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49E7B6" w14:textId="77777777" w:rsidR="005F4BAF" w:rsidRPr="005F4BAF" w:rsidRDefault="00EC5B37" w:rsidP="00233AB9">
      <w:pPr>
        <w:spacing w:line="360" w:lineRule="auto"/>
        <w:jc w:val="both"/>
        <w:rPr>
          <w:rFonts w:ascii="Arial" w:eastAsia="Times New Roman" w:hAnsi="Arial" w:cs="Arial"/>
          <w:color w:val="FF0000"/>
          <w:sz w:val="24"/>
          <w:szCs w:val="24"/>
          <w:lang w:eastAsia="es-ES"/>
        </w:rPr>
      </w:pPr>
      <w:r>
        <w:rPr>
          <w:rFonts w:ascii="Arial" w:eastAsia="Times New Roman" w:hAnsi="Arial" w:cs="Arial"/>
          <w:color w:val="FF0000"/>
          <w:sz w:val="24"/>
          <w:szCs w:val="24"/>
          <w:lang w:eastAsia="es-ES"/>
        </w:rPr>
        <w:t xml:space="preserve"> </w:t>
      </w:r>
    </w:p>
    <w:p w14:paraId="504AEFC2" w14:textId="77777777" w:rsidR="009A302D" w:rsidRPr="005F4BAF" w:rsidRDefault="009A302D" w:rsidP="00233AB9">
      <w:pPr>
        <w:spacing w:line="360" w:lineRule="auto"/>
        <w:jc w:val="center"/>
        <w:rPr>
          <w:rFonts w:ascii="Arial" w:hAnsi="Arial" w:cs="Arial"/>
          <w:b/>
          <w:sz w:val="24"/>
          <w:szCs w:val="24"/>
        </w:rPr>
      </w:pPr>
      <w:r w:rsidRPr="005F4BAF">
        <w:rPr>
          <w:rFonts w:ascii="Arial" w:hAnsi="Arial" w:cs="Arial"/>
          <w:b/>
          <w:sz w:val="24"/>
          <w:szCs w:val="24"/>
        </w:rPr>
        <w:t>CONSEJO DE ESTADO</w:t>
      </w:r>
    </w:p>
    <w:p w14:paraId="65DCB99E" w14:textId="77777777" w:rsidR="009A302D" w:rsidRPr="005F4BAF" w:rsidRDefault="009A302D" w:rsidP="00233AB9">
      <w:pPr>
        <w:spacing w:line="360" w:lineRule="auto"/>
        <w:jc w:val="center"/>
        <w:rPr>
          <w:rFonts w:ascii="Arial" w:hAnsi="Arial" w:cs="Arial"/>
          <w:b/>
          <w:sz w:val="24"/>
          <w:szCs w:val="24"/>
        </w:rPr>
      </w:pPr>
      <w:r w:rsidRPr="005F4BAF">
        <w:rPr>
          <w:rFonts w:ascii="Arial" w:hAnsi="Arial" w:cs="Arial"/>
          <w:b/>
          <w:sz w:val="24"/>
          <w:szCs w:val="24"/>
        </w:rPr>
        <w:t>SALA DE LO CONTENCIOSO ADMINISTRATIVO</w:t>
      </w:r>
    </w:p>
    <w:p w14:paraId="5FC9E1ED" w14:textId="77777777" w:rsidR="009A302D" w:rsidRPr="005F4BAF" w:rsidRDefault="009A302D" w:rsidP="00233AB9">
      <w:pPr>
        <w:spacing w:line="360" w:lineRule="auto"/>
        <w:jc w:val="center"/>
        <w:rPr>
          <w:rFonts w:ascii="Arial" w:hAnsi="Arial" w:cs="Arial"/>
          <w:b/>
          <w:sz w:val="24"/>
          <w:szCs w:val="24"/>
        </w:rPr>
      </w:pPr>
      <w:r w:rsidRPr="005F4BAF">
        <w:rPr>
          <w:rFonts w:ascii="Arial" w:hAnsi="Arial" w:cs="Arial"/>
          <w:b/>
          <w:sz w:val="24"/>
          <w:szCs w:val="24"/>
        </w:rPr>
        <w:t>SECCIÓN PRIMERA</w:t>
      </w:r>
    </w:p>
    <w:p w14:paraId="5EED20C8" w14:textId="77777777" w:rsidR="005F4BAF" w:rsidRDefault="005F4BAF" w:rsidP="00233AB9">
      <w:pPr>
        <w:spacing w:line="360" w:lineRule="auto"/>
        <w:jc w:val="both"/>
        <w:rPr>
          <w:rFonts w:ascii="Arial" w:hAnsi="Arial" w:cs="Arial"/>
          <w:b/>
          <w:bCs/>
          <w:sz w:val="24"/>
          <w:szCs w:val="24"/>
        </w:rPr>
      </w:pPr>
    </w:p>
    <w:p w14:paraId="4A0F70C6" w14:textId="039B71CF" w:rsidR="00E10C68" w:rsidRPr="0079363E" w:rsidRDefault="00E10C68" w:rsidP="00233AB9">
      <w:pPr>
        <w:spacing w:line="360" w:lineRule="auto"/>
        <w:jc w:val="both"/>
        <w:rPr>
          <w:rFonts w:ascii="Arial" w:hAnsi="Arial" w:cs="Arial"/>
          <w:sz w:val="24"/>
          <w:szCs w:val="24"/>
        </w:rPr>
      </w:pPr>
      <w:r>
        <w:rPr>
          <w:rFonts w:ascii="Arial" w:hAnsi="Arial" w:cs="Arial"/>
          <w:b/>
          <w:bCs/>
          <w:sz w:val="24"/>
          <w:szCs w:val="24"/>
        </w:rPr>
        <w:t>Bogotá, D.C.</w:t>
      </w:r>
      <w:r w:rsidR="006E7FCC">
        <w:rPr>
          <w:rFonts w:ascii="Arial" w:hAnsi="Arial" w:cs="Arial"/>
          <w:b/>
          <w:bCs/>
          <w:sz w:val="24"/>
          <w:szCs w:val="24"/>
        </w:rPr>
        <w:t>,</w:t>
      </w:r>
      <w:r w:rsidR="0079363E">
        <w:rPr>
          <w:rFonts w:ascii="Arial" w:hAnsi="Arial" w:cs="Arial"/>
          <w:b/>
          <w:bCs/>
          <w:sz w:val="24"/>
          <w:szCs w:val="24"/>
        </w:rPr>
        <w:t xml:space="preserve"> </w:t>
      </w:r>
      <w:r w:rsidR="002C7A20" w:rsidRPr="002C7A20">
        <w:rPr>
          <w:rFonts w:ascii="Arial" w:hAnsi="Arial" w:cs="Arial"/>
          <w:sz w:val="24"/>
          <w:szCs w:val="24"/>
        </w:rPr>
        <w:t>dieciocho (18) de enero de dos mil veintiuno (2021)</w:t>
      </w:r>
    </w:p>
    <w:p w14:paraId="4D6626C8" w14:textId="77777777" w:rsidR="005F4BAF" w:rsidRPr="00E10C68" w:rsidRDefault="005F4BAF" w:rsidP="00233AB9">
      <w:pPr>
        <w:spacing w:line="360" w:lineRule="auto"/>
        <w:jc w:val="both"/>
        <w:rPr>
          <w:rFonts w:ascii="Arial" w:hAnsi="Arial" w:cs="Arial"/>
          <w:bCs/>
          <w:sz w:val="24"/>
          <w:szCs w:val="24"/>
        </w:rPr>
      </w:pPr>
      <w:r w:rsidRPr="005F4BAF">
        <w:rPr>
          <w:rFonts w:ascii="Arial" w:hAnsi="Arial" w:cs="Arial"/>
          <w:b/>
          <w:sz w:val="24"/>
          <w:szCs w:val="24"/>
        </w:rPr>
        <w:t xml:space="preserve">Expediente: </w:t>
      </w:r>
      <w:r w:rsidR="0021762C">
        <w:rPr>
          <w:rFonts w:ascii="Arial" w:hAnsi="Arial" w:cs="Arial"/>
          <w:sz w:val="24"/>
          <w:szCs w:val="24"/>
        </w:rPr>
        <w:t>11001 03</w:t>
      </w:r>
      <w:r w:rsidR="009B217B">
        <w:rPr>
          <w:rFonts w:ascii="Arial" w:hAnsi="Arial" w:cs="Arial"/>
          <w:sz w:val="24"/>
          <w:szCs w:val="24"/>
        </w:rPr>
        <w:t xml:space="preserve"> </w:t>
      </w:r>
      <w:r w:rsidR="0021762C">
        <w:rPr>
          <w:rFonts w:ascii="Arial" w:hAnsi="Arial" w:cs="Arial"/>
          <w:sz w:val="24"/>
          <w:szCs w:val="24"/>
        </w:rPr>
        <w:t xml:space="preserve">15 000 </w:t>
      </w:r>
      <w:r w:rsidR="007E43A3">
        <w:rPr>
          <w:rFonts w:ascii="Arial" w:hAnsi="Arial" w:cs="Arial"/>
          <w:b/>
          <w:sz w:val="24"/>
          <w:szCs w:val="24"/>
        </w:rPr>
        <w:t>202</w:t>
      </w:r>
      <w:r w:rsidR="004944F6">
        <w:rPr>
          <w:rFonts w:ascii="Arial" w:hAnsi="Arial" w:cs="Arial"/>
          <w:b/>
          <w:sz w:val="24"/>
          <w:szCs w:val="24"/>
        </w:rPr>
        <w:t>1</w:t>
      </w:r>
      <w:r w:rsidR="00F8156A">
        <w:rPr>
          <w:rFonts w:ascii="Arial" w:hAnsi="Arial" w:cs="Arial"/>
          <w:b/>
          <w:sz w:val="24"/>
          <w:szCs w:val="24"/>
        </w:rPr>
        <w:t xml:space="preserve"> 0</w:t>
      </w:r>
      <w:r w:rsidR="004944F6">
        <w:rPr>
          <w:rFonts w:ascii="Arial" w:hAnsi="Arial" w:cs="Arial"/>
          <w:b/>
          <w:sz w:val="24"/>
          <w:szCs w:val="24"/>
        </w:rPr>
        <w:t>0085</w:t>
      </w:r>
      <w:r w:rsidR="0021762C">
        <w:rPr>
          <w:rFonts w:ascii="Arial" w:hAnsi="Arial" w:cs="Arial"/>
          <w:sz w:val="24"/>
          <w:szCs w:val="24"/>
        </w:rPr>
        <w:t xml:space="preserve"> 00</w:t>
      </w:r>
    </w:p>
    <w:p w14:paraId="62EAB21A" w14:textId="77777777" w:rsidR="00E10C68" w:rsidRPr="00A73073" w:rsidRDefault="005F4BAF" w:rsidP="00233AB9">
      <w:pPr>
        <w:tabs>
          <w:tab w:val="left" w:pos="2694"/>
          <w:tab w:val="left" w:pos="3261"/>
        </w:tabs>
        <w:spacing w:line="360" w:lineRule="auto"/>
        <w:jc w:val="both"/>
        <w:rPr>
          <w:rFonts w:ascii="Arial" w:hAnsi="Arial" w:cs="Arial"/>
          <w:sz w:val="24"/>
          <w:szCs w:val="24"/>
        </w:rPr>
      </w:pPr>
      <w:r w:rsidRPr="005F4BAF">
        <w:rPr>
          <w:rFonts w:ascii="Arial" w:hAnsi="Arial" w:cs="Arial"/>
          <w:b/>
          <w:sz w:val="24"/>
          <w:szCs w:val="24"/>
        </w:rPr>
        <w:t xml:space="preserve">Accionante: </w:t>
      </w:r>
      <w:r w:rsidR="004944F6">
        <w:rPr>
          <w:rFonts w:ascii="Arial" w:hAnsi="Arial" w:cs="Arial"/>
          <w:sz w:val="24"/>
          <w:szCs w:val="24"/>
        </w:rPr>
        <w:t>Juan Fernando Gómez Zapata</w:t>
      </w:r>
    </w:p>
    <w:p w14:paraId="60BF7B6A" w14:textId="77777777" w:rsidR="005F4BAF" w:rsidRPr="005F4BAF" w:rsidRDefault="005F4BAF" w:rsidP="00233AB9">
      <w:pPr>
        <w:tabs>
          <w:tab w:val="left" w:pos="2694"/>
          <w:tab w:val="left" w:pos="3261"/>
        </w:tabs>
        <w:spacing w:line="360" w:lineRule="auto"/>
        <w:jc w:val="both"/>
        <w:rPr>
          <w:rFonts w:ascii="Arial" w:hAnsi="Arial" w:cs="Arial"/>
          <w:b/>
          <w:sz w:val="24"/>
          <w:szCs w:val="24"/>
        </w:rPr>
      </w:pPr>
      <w:r w:rsidRPr="005F4BAF">
        <w:rPr>
          <w:rFonts w:ascii="Arial" w:hAnsi="Arial" w:cs="Arial"/>
          <w:b/>
          <w:sz w:val="24"/>
          <w:szCs w:val="24"/>
        </w:rPr>
        <w:t xml:space="preserve">Accionado: </w:t>
      </w:r>
      <w:r w:rsidR="004944F6">
        <w:rPr>
          <w:rFonts w:ascii="Arial" w:hAnsi="Arial" w:cs="Arial"/>
          <w:sz w:val="24"/>
          <w:szCs w:val="24"/>
        </w:rPr>
        <w:t>Consejo Superior de la Judicatura – Unidad de Administración de la Carrera Judicial</w:t>
      </w:r>
    </w:p>
    <w:p w14:paraId="2CEE87E5" w14:textId="77777777" w:rsidR="0021762C" w:rsidRPr="00762D67" w:rsidRDefault="0021762C" w:rsidP="00E1328C">
      <w:pPr>
        <w:spacing w:line="360" w:lineRule="auto"/>
        <w:jc w:val="both"/>
        <w:rPr>
          <w:rFonts w:ascii="Arial" w:hAnsi="Arial" w:cs="Arial"/>
          <w:b/>
          <w:sz w:val="24"/>
          <w:szCs w:val="26"/>
          <w:lang w:val="es-ES_tradnl"/>
        </w:rPr>
      </w:pPr>
    </w:p>
    <w:p w14:paraId="55E035BB" w14:textId="77777777" w:rsidR="00233AB9" w:rsidRPr="00233AB9" w:rsidRDefault="00233AB9" w:rsidP="00233AB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8840"/>
        </w:tabs>
        <w:spacing w:line="360" w:lineRule="auto"/>
        <w:jc w:val="both"/>
        <w:rPr>
          <w:rFonts w:ascii="Arial" w:hAnsi="Arial" w:cs="Arial"/>
          <w:b/>
          <w:sz w:val="24"/>
          <w:szCs w:val="24"/>
        </w:rPr>
      </w:pPr>
      <w:r w:rsidRPr="00233AB9">
        <w:rPr>
          <w:rFonts w:ascii="Arial" w:hAnsi="Arial" w:cs="Arial"/>
          <w:b/>
          <w:sz w:val="24"/>
          <w:szCs w:val="24"/>
        </w:rPr>
        <w:t>I. Antecedentes</w:t>
      </w:r>
    </w:p>
    <w:p w14:paraId="157A2319" w14:textId="77777777" w:rsidR="00233AB9" w:rsidRDefault="00233AB9" w:rsidP="00E1328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8840"/>
        </w:tabs>
        <w:spacing w:line="360" w:lineRule="auto"/>
        <w:jc w:val="both"/>
        <w:rPr>
          <w:rFonts w:ascii="Arial" w:hAnsi="Arial" w:cs="Arial"/>
          <w:sz w:val="24"/>
          <w:szCs w:val="24"/>
        </w:rPr>
      </w:pPr>
    </w:p>
    <w:p w14:paraId="09A13999" w14:textId="11D135D4" w:rsidR="009177A8" w:rsidRDefault="00864C6E" w:rsidP="00233AB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8840"/>
        </w:tabs>
        <w:spacing w:line="360" w:lineRule="auto"/>
        <w:jc w:val="both"/>
        <w:rPr>
          <w:rFonts w:ascii="Arial" w:hAnsi="Arial" w:cs="Arial"/>
          <w:sz w:val="24"/>
          <w:szCs w:val="24"/>
        </w:rPr>
      </w:pPr>
      <w:r w:rsidRPr="009177A8">
        <w:rPr>
          <w:rFonts w:ascii="Arial" w:hAnsi="Arial" w:cs="Arial"/>
          <w:sz w:val="24"/>
          <w:szCs w:val="24"/>
        </w:rPr>
        <w:t xml:space="preserve">Mediante </w:t>
      </w:r>
      <w:r w:rsidR="00EB5CC7">
        <w:rPr>
          <w:rFonts w:ascii="Arial" w:hAnsi="Arial" w:cs="Arial"/>
          <w:sz w:val="24"/>
          <w:szCs w:val="24"/>
        </w:rPr>
        <w:t>correo electrónico</w:t>
      </w:r>
      <w:r w:rsidR="002F07D8">
        <w:rPr>
          <w:rFonts w:ascii="Arial" w:hAnsi="Arial" w:cs="Arial"/>
          <w:sz w:val="24"/>
          <w:szCs w:val="24"/>
        </w:rPr>
        <w:t xml:space="preserve"> </w:t>
      </w:r>
      <w:r w:rsidR="009F505A">
        <w:rPr>
          <w:rFonts w:ascii="Arial" w:hAnsi="Arial" w:cs="Arial"/>
          <w:sz w:val="24"/>
          <w:szCs w:val="24"/>
        </w:rPr>
        <w:t xml:space="preserve">enviado a </w:t>
      </w:r>
      <w:r w:rsidRPr="009177A8">
        <w:rPr>
          <w:rFonts w:ascii="Arial" w:hAnsi="Arial" w:cs="Arial"/>
          <w:sz w:val="24"/>
          <w:szCs w:val="24"/>
        </w:rPr>
        <w:t>la Secretaría General de esta Corporación</w:t>
      </w:r>
      <w:r w:rsidR="009F505A">
        <w:rPr>
          <w:rStyle w:val="Refdenotaalpie"/>
          <w:rFonts w:ascii="Arial" w:hAnsi="Arial" w:cs="Arial"/>
          <w:sz w:val="24"/>
          <w:szCs w:val="24"/>
        </w:rPr>
        <w:footnoteReference w:id="1"/>
      </w:r>
      <w:r>
        <w:rPr>
          <w:rFonts w:ascii="Arial" w:hAnsi="Arial" w:cs="Arial"/>
          <w:sz w:val="24"/>
          <w:szCs w:val="24"/>
        </w:rPr>
        <w:t xml:space="preserve"> </w:t>
      </w:r>
      <w:r w:rsidR="00A63DC9">
        <w:rPr>
          <w:rFonts w:ascii="Arial" w:hAnsi="Arial" w:cs="Arial"/>
          <w:sz w:val="24"/>
          <w:szCs w:val="24"/>
        </w:rPr>
        <w:t xml:space="preserve">se recibió la acción de tutela presentada por el </w:t>
      </w:r>
      <w:r>
        <w:rPr>
          <w:rFonts w:ascii="Arial" w:hAnsi="Arial" w:cs="Arial"/>
          <w:sz w:val="24"/>
          <w:szCs w:val="24"/>
        </w:rPr>
        <w:t>señor</w:t>
      </w:r>
      <w:r w:rsidR="00794138">
        <w:rPr>
          <w:rFonts w:ascii="Arial" w:hAnsi="Arial" w:cs="Arial"/>
          <w:sz w:val="24"/>
          <w:szCs w:val="24"/>
        </w:rPr>
        <w:t xml:space="preserve"> </w:t>
      </w:r>
      <w:r w:rsidR="00B36622">
        <w:rPr>
          <w:rFonts w:ascii="Arial" w:hAnsi="Arial" w:cs="Arial"/>
          <w:sz w:val="24"/>
          <w:szCs w:val="24"/>
        </w:rPr>
        <w:t>Juan Fernando Gómez Zapa</w:t>
      </w:r>
      <w:r w:rsidR="000D44C9">
        <w:rPr>
          <w:rFonts w:ascii="Arial" w:hAnsi="Arial" w:cs="Arial"/>
          <w:sz w:val="24"/>
          <w:szCs w:val="24"/>
        </w:rPr>
        <w:t>t</w:t>
      </w:r>
      <w:r w:rsidR="00B36622">
        <w:rPr>
          <w:rFonts w:ascii="Arial" w:hAnsi="Arial" w:cs="Arial"/>
          <w:sz w:val="24"/>
          <w:szCs w:val="24"/>
        </w:rPr>
        <w:t xml:space="preserve">a </w:t>
      </w:r>
      <w:r>
        <w:rPr>
          <w:rFonts w:ascii="Arial" w:hAnsi="Arial" w:cs="Arial"/>
          <w:sz w:val="24"/>
          <w:szCs w:val="24"/>
        </w:rPr>
        <w:t>en contra d</w:t>
      </w:r>
      <w:r w:rsidR="00794138">
        <w:rPr>
          <w:rFonts w:ascii="Arial" w:hAnsi="Arial" w:cs="Arial"/>
          <w:sz w:val="24"/>
          <w:szCs w:val="24"/>
        </w:rPr>
        <w:t xml:space="preserve">el </w:t>
      </w:r>
      <w:r w:rsidR="00B36622">
        <w:rPr>
          <w:rFonts w:ascii="Arial" w:hAnsi="Arial" w:cs="Arial"/>
          <w:sz w:val="24"/>
          <w:szCs w:val="24"/>
        </w:rPr>
        <w:t>Consejo Superior de la Judicatura – Unida</w:t>
      </w:r>
      <w:r w:rsidR="000D44C9">
        <w:rPr>
          <w:rFonts w:ascii="Arial" w:hAnsi="Arial" w:cs="Arial"/>
          <w:sz w:val="24"/>
          <w:szCs w:val="24"/>
        </w:rPr>
        <w:t>d</w:t>
      </w:r>
      <w:r w:rsidR="00B36622">
        <w:rPr>
          <w:rFonts w:ascii="Arial" w:hAnsi="Arial" w:cs="Arial"/>
          <w:sz w:val="24"/>
          <w:szCs w:val="24"/>
        </w:rPr>
        <w:t xml:space="preserve"> de Administración de la Carrera Judicial</w:t>
      </w:r>
      <w:r>
        <w:rPr>
          <w:rFonts w:ascii="Arial" w:hAnsi="Arial" w:cs="Arial"/>
          <w:sz w:val="24"/>
          <w:szCs w:val="24"/>
        </w:rPr>
        <w:t>, invocando la protección de su</w:t>
      </w:r>
      <w:r w:rsidR="00B16AA9">
        <w:rPr>
          <w:rFonts w:ascii="Arial" w:hAnsi="Arial" w:cs="Arial"/>
          <w:sz w:val="24"/>
          <w:szCs w:val="24"/>
        </w:rPr>
        <w:t>s</w:t>
      </w:r>
      <w:r>
        <w:rPr>
          <w:rFonts w:ascii="Arial" w:hAnsi="Arial" w:cs="Arial"/>
          <w:sz w:val="24"/>
          <w:szCs w:val="24"/>
        </w:rPr>
        <w:t xml:space="preserve"> derecho</w:t>
      </w:r>
      <w:r w:rsidR="00B16AA9">
        <w:rPr>
          <w:rFonts w:ascii="Arial" w:hAnsi="Arial" w:cs="Arial"/>
          <w:sz w:val="24"/>
          <w:szCs w:val="24"/>
        </w:rPr>
        <w:t>s</w:t>
      </w:r>
      <w:r>
        <w:rPr>
          <w:rFonts w:ascii="Arial" w:hAnsi="Arial" w:cs="Arial"/>
          <w:sz w:val="24"/>
          <w:szCs w:val="24"/>
        </w:rPr>
        <w:t xml:space="preserve"> fundamental</w:t>
      </w:r>
      <w:r w:rsidR="00B16AA9">
        <w:rPr>
          <w:rFonts w:ascii="Arial" w:hAnsi="Arial" w:cs="Arial"/>
          <w:sz w:val="24"/>
          <w:szCs w:val="24"/>
        </w:rPr>
        <w:t>es</w:t>
      </w:r>
      <w:r>
        <w:rPr>
          <w:rFonts w:ascii="Arial" w:hAnsi="Arial" w:cs="Arial"/>
          <w:sz w:val="24"/>
          <w:szCs w:val="24"/>
        </w:rPr>
        <w:t xml:space="preserve"> al debido proceso</w:t>
      </w:r>
      <w:r w:rsidR="009F56C8">
        <w:rPr>
          <w:rFonts w:ascii="Arial" w:hAnsi="Arial" w:cs="Arial"/>
          <w:sz w:val="24"/>
          <w:szCs w:val="24"/>
        </w:rPr>
        <w:t xml:space="preserve"> y</w:t>
      </w:r>
      <w:r w:rsidR="00B16AA9">
        <w:rPr>
          <w:rFonts w:ascii="Arial" w:hAnsi="Arial" w:cs="Arial"/>
          <w:sz w:val="24"/>
          <w:szCs w:val="24"/>
        </w:rPr>
        <w:t xml:space="preserve"> acceso a </w:t>
      </w:r>
      <w:r w:rsidR="00B06100">
        <w:rPr>
          <w:rFonts w:ascii="Arial" w:hAnsi="Arial" w:cs="Arial"/>
          <w:sz w:val="24"/>
          <w:szCs w:val="24"/>
        </w:rPr>
        <w:t>cargos públicos</w:t>
      </w:r>
      <w:r w:rsidR="00091D99">
        <w:rPr>
          <w:rStyle w:val="Refdenotaalpie"/>
          <w:rFonts w:ascii="Arial" w:hAnsi="Arial" w:cs="Arial"/>
          <w:sz w:val="24"/>
          <w:szCs w:val="24"/>
        </w:rPr>
        <w:footnoteReference w:id="2"/>
      </w:r>
      <w:r w:rsidR="00F8156A">
        <w:rPr>
          <w:rFonts w:ascii="Arial" w:hAnsi="Arial" w:cs="Arial"/>
          <w:sz w:val="24"/>
          <w:szCs w:val="24"/>
        </w:rPr>
        <w:t>.</w:t>
      </w:r>
    </w:p>
    <w:p w14:paraId="092B48F3" w14:textId="77777777" w:rsidR="00E15CC0" w:rsidRDefault="00E15CC0" w:rsidP="00233AB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8840"/>
        </w:tabs>
        <w:spacing w:line="360" w:lineRule="auto"/>
        <w:jc w:val="both"/>
        <w:rPr>
          <w:rFonts w:ascii="Arial" w:hAnsi="Arial" w:cs="Arial"/>
          <w:sz w:val="24"/>
          <w:szCs w:val="24"/>
        </w:rPr>
      </w:pPr>
    </w:p>
    <w:p w14:paraId="5C9A45C0" w14:textId="77777777" w:rsidR="009177A8" w:rsidRDefault="009177A8" w:rsidP="00F77AE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8840"/>
        </w:tabs>
        <w:spacing w:line="360" w:lineRule="auto"/>
        <w:jc w:val="both"/>
        <w:rPr>
          <w:rFonts w:ascii="Arial" w:hAnsi="Arial" w:cs="Arial"/>
          <w:sz w:val="24"/>
          <w:szCs w:val="24"/>
        </w:rPr>
      </w:pPr>
      <w:r w:rsidRPr="009177A8">
        <w:rPr>
          <w:rFonts w:ascii="Arial" w:hAnsi="Arial" w:cs="Arial"/>
          <w:sz w:val="24"/>
          <w:szCs w:val="24"/>
        </w:rPr>
        <w:t>Sostuv</w:t>
      </w:r>
      <w:r w:rsidR="008714D8">
        <w:rPr>
          <w:rFonts w:ascii="Arial" w:hAnsi="Arial" w:cs="Arial"/>
          <w:sz w:val="24"/>
          <w:szCs w:val="24"/>
        </w:rPr>
        <w:t>o</w:t>
      </w:r>
      <w:r w:rsidRPr="009177A8">
        <w:rPr>
          <w:rFonts w:ascii="Arial" w:hAnsi="Arial" w:cs="Arial"/>
          <w:sz w:val="24"/>
          <w:szCs w:val="24"/>
        </w:rPr>
        <w:t xml:space="preserve"> que tales derechos le han sido vulnerados con ocasión</w:t>
      </w:r>
      <w:r w:rsidR="00236A7F">
        <w:rPr>
          <w:rFonts w:ascii="Arial" w:hAnsi="Arial" w:cs="Arial"/>
          <w:sz w:val="24"/>
          <w:szCs w:val="24"/>
        </w:rPr>
        <w:t xml:space="preserve"> de</w:t>
      </w:r>
      <w:r w:rsidR="00486005">
        <w:rPr>
          <w:rFonts w:ascii="Arial" w:hAnsi="Arial" w:cs="Arial"/>
          <w:sz w:val="24"/>
          <w:szCs w:val="24"/>
        </w:rPr>
        <w:t xml:space="preserve"> </w:t>
      </w:r>
      <w:r w:rsidR="008714D8">
        <w:rPr>
          <w:rFonts w:ascii="Arial" w:hAnsi="Arial" w:cs="Arial"/>
          <w:sz w:val="24"/>
          <w:szCs w:val="24"/>
        </w:rPr>
        <w:t xml:space="preserve">la </w:t>
      </w:r>
      <w:r w:rsidR="00EC5EB4">
        <w:rPr>
          <w:rFonts w:ascii="Arial" w:hAnsi="Arial" w:cs="Arial"/>
          <w:sz w:val="24"/>
          <w:szCs w:val="24"/>
        </w:rPr>
        <w:t>decisión</w:t>
      </w:r>
      <w:r w:rsidR="00FB5851">
        <w:rPr>
          <w:rFonts w:ascii="Arial" w:hAnsi="Arial" w:cs="Arial"/>
          <w:sz w:val="24"/>
          <w:szCs w:val="24"/>
        </w:rPr>
        <w:t xml:space="preserve"> </w:t>
      </w:r>
      <w:r w:rsidR="00EC5EB4">
        <w:rPr>
          <w:rFonts w:ascii="Arial" w:hAnsi="Arial" w:cs="Arial"/>
          <w:sz w:val="24"/>
          <w:szCs w:val="24"/>
        </w:rPr>
        <w:t xml:space="preserve">adoptada por </w:t>
      </w:r>
      <w:r w:rsidR="00E1328C">
        <w:rPr>
          <w:rFonts w:ascii="Arial" w:hAnsi="Arial" w:cs="Arial"/>
          <w:sz w:val="24"/>
          <w:szCs w:val="24"/>
        </w:rPr>
        <w:t>e</w:t>
      </w:r>
      <w:r w:rsidR="00EC5EB4">
        <w:rPr>
          <w:rFonts w:ascii="Arial" w:hAnsi="Arial" w:cs="Arial"/>
          <w:sz w:val="24"/>
          <w:szCs w:val="24"/>
        </w:rPr>
        <w:t xml:space="preserve">l Consejo Superior de la Judicatura – Unida de Administración de la Carrera Judicial a través de la Resolución nro. </w:t>
      </w:r>
      <w:r w:rsidR="00EC5EB4" w:rsidRPr="00EC5EB4">
        <w:rPr>
          <w:rFonts w:ascii="Arial" w:hAnsi="Arial" w:cs="Arial"/>
          <w:sz w:val="24"/>
          <w:szCs w:val="24"/>
        </w:rPr>
        <w:t>CJR20-0202</w:t>
      </w:r>
      <w:r w:rsidR="00EC5EB4">
        <w:rPr>
          <w:rFonts w:ascii="Arial" w:hAnsi="Arial" w:cs="Arial"/>
          <w:sz w:val="24"/>
          <w:szCs w:val="24"/>
        </w:rPr>
        <w:t xml:space="preserve"> del 27 de octubre de 2020, </w:t>
      </w:r>
      <w:r w:rsidR="00EC5EB4" w:rsidRPr="00EC5EB4">
        <w:rPr>
          <w:rFonts w:ascii="Arial" w:hAnsi="Arial" w:cs="Arial"/>
          <w:i/>
          <w:iCs/>
          <w:sz w:val="24"/>
          <w:szCs w:val="24"/>
        </w:rPr>
        <w:t>“Por medio de la cual se corrige una actuación administrativa en el marco de la convocatoria 27"</w:t>
      </w:r>
      <w:r w:rsidR="00FB5851">
        <w:rPr>
          <w:rFonts w:ascii="Arial" w:hAnsi="Arial" w:cs="Arial"/>
          <w:sz w:val="24"/>
          <w:szCs w:val="24"/>
        </w:rPr>
        <w:t xml:space="preserve">, toda vez que </w:t>
      </w:r>
      <w:r w:rsidR="00EC5EB4" w:rsidRPr="00EC5EB4">
        <w:rPr>
          <w:rFonts w:ascii="Arial" w:hAnsi="Arial" w:cs="Arial"/>
          <w:sz w:val="24"/>
          <w:szCs w:val="24"/>
        </w:rPr>
        <w:t>dispuso dejar sin efectos las pruebas realizadas y</w:t>
      </w:r>
      <w:r w:rsidR="00EC5EB4">
        <w:rPr>
          <w:rFonts w:ascii="Arial" w:hAnsi="Arial" w:cs="Arial"/>
          <w:sz w:val="24"/>
          <w:szCs w:val="24"/>
        </w:rPr>
        <w:t xml:space="preserve"> </w:t>
      </w:r>
      <w:r w:rsidR="00EC5EB4" w:rsidRPr="00EC5EB4">
        <w:rPr>
          <w:rFonts w:ascii="Arial" w:hAnsi="Arial" w:cs="Arial"/>
          <w:sz w:val="24"/>
          <w:szCs w:val="24"/>
        </w:rPr>
        <w:t>los resultados obtenidos por los concursantes</w:t>
      </w:r>
      <w:r w:rsidR="00F77AEF">
        <w:rPr>
          <w:rFonts w:ascii="Arial" w:hAnsi="Arial" w:cs="Arial"/>
          <w:sz w:val="24"/>
          <w:szCs w:val="24"/>
        </w:rPr>
        <w:t xml:space="preserve"> en desarrollo de la Convocatoria 27, </w:t>
      </w:r>
      <w:r w:rsidR="00F77AEF" w:rsidRPr="00F77AEF">
        <w:rPr>
          <w:rFonts w:ascii="Arial" w:hAnsi="Arial" w:cs="Arial"/>
          <w:sz w:val="24"/>
          <w:szCs w:val="24"/>
        </w:rPr>
        <w:t>para conformar los registros de elegibles de los cargos de</w:t>
      </w:r>
      <w:r w:rsidR="00F77AEF">
        <w:rPr>
          <w:rFonts w:ascii="Arial" w:hAnsi="Arial" w:cs="Arial"/>
          <w:sz w:val="24"/>
          <w:szCs w:val="24"/>
        </w:rPr>
        <w:t xml:space="preserve"> </w:t>
      </w:r>
      <w:r w:rsidR="00F77AEF" w:rsidRPr="00F77AEF">
        <w:rPr>
          <w:rFonts w:ascii="Arial" w:hAnsi="Arial" w:cs="Arial"/>
          <w:sz w:val="24"/>
          <w:szCs w:val="24"/>
        </w:rPr>
        <w:t>funcionarios del sistema de carrera judicial.</w:t>
      </w:r>
    </w:p>
    <w:p w14:paraId="2572CEC9" w14:textId="77777777" w:rsidR="009A7CB8" w:rsidRDefault="009A7CB8" w:rsidP="00E1328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8840"/>
        </w:tabs>
        <w:spacing w:line="360" w:lineRule="auto"/>
        <w:jc w:val="both"/>
        <w:rPr>
          <w:rFonts w:ascii="Arial" w:hAnsi="Arial" w:cs="Arial"/>
          <w:sz w:val="24"/>
          <w:szCs w:val="24"/>
        </w:rPr>
      </w:pPr>
    </w:p>
    <w:p w14:paraId="4073CE69" w14:textId="77777777" w:rsidR="00F77AEF" w:rsidRDefault="00F77AEF" w:rsidP="00E1328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8840"/>
        </w:tabs>
        <w:spacing w:line="360" w:lineRule="auto"/>
        <w:jc w:val="both"/>
        <w:rPr>
          <w:rFonts w:ascii="Arial" w:hAnsi="Arial" w:cs="Arial"/>
          <w:sz w:val="24"/>
          <w:szCs w:val="24"/>
        </w:rPr>
      </w:pPr>
    </w:p>
    <w:p w14:paraId="35C2605F" w14:textId="77777777" w:rsidR="00F77AEF" w:rsidRPr="00762D67" w:rsidRDefault="00F77AEF" w:rsidP="00E1328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8840"/>
        </w:tabs>
        <w:spacing w:line="360" w:lineRule="auto"/>
        <w:jc w:val="both"/>
        <w:rPr>
          <w:rFonts w:ascii="Arial" w:hAnsi="Arial" w:cs="Arial"/>
          <w:sz w:val="24"/>
          <w:szCs w:val="24"/>
        </w:rPr>
      </w:pPr>
    </w:p>
    <w:p w14:paraId="7CF7E843" w14:textId="77777777" w:rsidR="00233AB9" w:rsidRPr="00233AB9" w:rsidRDefault="00233AB9" w:rsidP="00233AB9">
      <w:pPr>
        <w:spacing w:line="360" w:lineRule="auto"/>
        <w:ind w:left="6"/>
        <w:jc w:val="both"/>
        <w:rPr>
          <w:rFonts w:ascii="Arial" w:hAnsi="Arial" w:cs="Arial"/>
          <w:b/>
          <w:sz w:val="24"/>
          <w:szCs w:val="24"/>
        </w:rPr>
      </w:pPr>
      <w:r w:rsidRPr="00233AB9">
        <w:rPr>
          <w:rFonts w:ascii="Arial" w:hAnsi="Arial" w:cs="Arial"/>
          <w:b/>
          <w:sz w:val="24"/>
          <w:szCs w:val="24"/>
        </w:rPr>
        <w:lastRenderedPageBreak/>
        <w:t>II. Consideraciones</w:t>
      </w:r>
    </w:p>
    <w:p w14:paraId="4D9644AE" w14:textId="77777777" w:rsidR="00233AB9" w:rsidRDefault="00233AB9" w:rsidP="00E1328C">
      <w:pPr>
        <w:spacing w:line="360" w:lineRule="auto"/>
        <w:ind w:left="6"/>
        <w:jc w:val="both"/>
        <w:rPr>
          <w:rFonts w:ascii="Arial" w:hAnsi="Arial" w:cs="Arial"/>
          <w:sz w:val="24"/>
          <w:szCs w:val="24"/>
        </w:rPr>
      </w:pPr>
    </w:p>
    <w:p w14:paraId="18D5A83F" w14:textId="3AAFD644" w:rsidR="00F56A1A" w:rsidRDefault="000D44C9" w:rsidP="00F56A1A">
      <w:pPr>
        <w:spacing w:line="360" w:lineRule="auto"/>
        <w:ind w:left="6"/>
        <w:jc w:val="both"/>
        <w:rPr>
          <w:rFonts w:ascii="Arial" w:hAnsi="Arial" w:cs="Arial"/>
          <w:sz w:val="24"/>
          <w:szCs w:val="24"/>
        </w:rPr>
      </w:pPr>
      <w:r>
        <w:rPr>
          <w:rFonts w:ascii="Arial" w:hAnsi="Arial" w:cs="Arial"/>
          <w:sz w:val="24"/>
          <w:szCs w:val="24"/>
        </w:rPr>
        <w:t xml:space="preserve">2.1. </w:t>
      </w:r>
      <w:r w:rsidR="00F56A1A">
        <w:rPr>
          <w:rFonts w:ascii="Arial" w:hAnsi="Arial" w:cs="Arial"/>
          <w:sz w:val="24"/>
          <w:szCs w:val="24"/>
        </w:rPr>
        <w:t xml:space="preserve">En atención a que el Consejo de Estado conoce de las acciones de tutela interpuestas contra </w:t>
      </w:r>
      <w:r w:rsidR="00EC5EB4">
        <w:rPr>
          <w:rFonts w:ascii="Arial" w:hAnsi="Arial" w:cs="Arial"/>
          <w:sz w:val="24"/>
          <w:szCs w:val="24"/>
        </w:rPr>
        <w:t>el Consejo Superior de la Judicatura</w:t>
      </w:r>
      <w:r w:rsidR="00F56A1A">
        <w:rPr>
          <w:rFonts w:ascii="Arial" w:hAnsi="Arial" w:cs="Arial"/>
          <w:sz w:val="24"/>
          <w:szCs w:val="24"/>
        </w:rPr>
        <w:t xml:space="preserve">, según lo dispuesto en el numeral </w:t>
      </w:r>
      <w:r w:rsidR="00EC5EB4">
        <w:rPr>
          <w:rFonts w:ascii="Arial" w:hAnsi="Arial" w:cs="Arial"/>
          <w:sz w:val="24"/>
          <w:szCs w:val="24"/>
        </w:rPr>
        <w:t>octavo</w:t>
      </w:r>
      <w:r w:rsidR="00F56A1A">
        <w:rPr>
          <w:rFonts w:ascii="Arial" w:hAnsi="Arial" w:cs="Arial"/>
          <w:sz w:val="24"/>
          <w:szCs w:val="24"/>
        </w:rPr>
        <w:t xml:space="preserve"> del artículo 2.2.3.1.2.1 del Decreto 1069 de 2015 reformado por el Decreto 1983 de 2017, “</w:t>
      </w:r>
      <w:r w:rsidR="00F56A1A">
        <w:rPr>
          <w:rFonts w:ascii="Arial" w:hAnsi="Arial" w:cs="Arial"/>
          <w:i/>
          <w:iCs/>
          <w:sz w:val="24"/>
          <w:szCs w:val="24"/>
        </w:rPr>
        <w:t>Por el cual se modifican los artículos 2.2.3.1.2.1, 2.2.3.1.2.4 y 2.2.3.1.2.5 del Decreto 1069 de 2015, Único Reglamentario del sector Justicia y del Derecho, referente a las reglas de reparto de la acción de tutela</w:t>
      </w:r>
      <w:r w:rsidR="00F56A1A">
        <w:rPr>
          <w:rFonts w:ascii="Arial" w:hAnsi="Arial" w:cs="Arial"/>
          <w:sz w:val="24"/>
          <w:szCs w:val="24"/>
        </w:rPr>
        <w:t>”, y como aquí la acción se presentó</w:t>
      </w:r>
      <w:r w:rsidR="00EC5EB4">
        <w:rPr>
          <w:rFonts w:ascii="Arial" w:hAnsi="Arial" w:cs="Arial"/>
          <w:sz w:val="24"/>
          <w:szCs w:val="24"/>
        </w:rPr>
        <w:t xml:space="preserve"> contra el Consejo Superior de la Judicatura – Unidad de Administración de la Carrera Judicial</w:t>
      </w:r>
      <w:r w:rsidR="00F56A1A">
        <w:rPr>
          <w:rFonts w:ascii="Arial" w:hAnsi="Arial" w:cs="Arial"/>
          <w:sz w:val="24"/>
          <w:szCs w:val="24"/>
        </w:rPr>
        <w:t>, esta Sección es competente para conocerla y decidirla.</w:t>
      </w:r>
    </w:p>
    <w:p w14:paraId="57A434FA" w14:textId="77777777" w:rsidR="007A0804" w:rsidRPr="009177A8" w:rsidRDefault="007A0804" w:rsidP="00AF742A">
      <w:pPr>
        <w:spacing w:line="360" w:lineRule="auto"/>
        <w:jc w:val="both"/>
        <w:rPr>
          <w:rFonts w:ascii="Arial" w:hAnsi="Arial" w:cs="Arial"/>
          <w:sz w:val="24"/>
          <w:szCs w:val="24"/>
        </w:rPr>
      </w:pPr>
    </w:p>
    <w:p w14:paraId="51914E95" w14:textId="77777777" w:rsidR="00B54C56" w:rsidRDefault="009177A8" w:rsidP="00CF2574">
      <w:pPr>
        <w:spacing w:line="360" w:lineRule="auto"/>
        <w:ind w:left="6"/>
        <w:jc w:val="both"/>
        <w:rPr>
          <w:rFonts w:ascii="Arial" w:hAnsi="Arial" w:cs="Arial"/>
          <w:sz w:val="24"/>
          <w:szCs w:val="24"/>
        </w:rPr>
      </w:pPr>
      <w:r w:rsidRPr="009177A8">
        <w:rPr>
          <w:rFonts w:ascii="Arial" w:hAnsi="Arial" w:cs="Arial"/>
          <w:sz w:val="24"/>
          <w:szCs w:val="24"/>
        </w:rPr>
        <w:t>En atención a que</w:t>
      </w:r>
      <w:r w:rsidR="008D4F4C">
        <w:rPr>
          <w:rFonts w:ascii="Arial" w:hAnsi="Arial" w:cs="Arial"/>
          <w:sz w:val="24"/>
          <w:szCs w:val="24"/>
        </w:rPr>
        <w:t>,</w:t>
      </w:r>
      <w:r w:rsidRPr="009177A8">
        <w:rPr>
          <w:rFonts w:ascii="Arial" w:hAnsi="Arial" w:cs="Arial"/>
          <w:sz w:val="24"/>
          <w:szCs w:val="24"/>
        </w:rPr>
        <w:t xml:space="preserve"> </w:t>
      </w:r>
      <w:r w:rsidR="006A4C80">
        <w:rPr>
          <w:rFonts w:ascii="Arial" w:hAnsi="Arial" w:cs="Arial"/>
          <w:sz w:val="24"/>
          <w:szCs w:val="24"/>
        </w:rPr>
        <w:t xml:space="preserve">la parte demandante pretende </w:t>
      </w:r>
      <w:r w:rsidR="00FF6B3E">
        <w:rPr>
          <w:rFonts w:ascii="Arial" w:hAnsi="Arial" w:cs="Arial"/>
          <w:sz w:val="24"/>
          <w:szCs w:val="24"/>
        </w:rPr>
        <w:t xml:space="preserve">que </w:t>
      </w:r>
      <w:r w:rsidR="00F56A1A" w:rsidRPr="00F56A1A">
        <w:rPr>
          <w:rFonts w:ascii="Arial" w:hAnsi="Arial" w:cs="Arial"/>
          <w:sz w:val="24"/>
          <w:szCs w:val="24"/>
        </w:rPr>
        <w:t>se tomen las medidas</w:t>
      </w:r>
      <w:r w:rsidR="00F56A1A">
        <w:rPr>
          <w:rFonts w:ascii="Arial" w:hAnsi="Arial" w:cs="Arial"/>
          <w:sz w:val="24"/>
          <w:szCs w:val="24"/>
        </w:rPr>
        <w:t xml:space="preserve"> </w:t>
      </w:r>
      <w:r w:rsidR="00F56A1A" w:rsidRPr="00F56A1A">
        <w:rPr>
          <w:rFonts w:ascii="Arial" w:hAnsi="Arial" w:cs="Arial"/>
          <w:sz w:val="24"/>
          <w:szCs w:val="24"/>
        </w:rPr>
        <w:t xml:space="preserve">pertinentes para que se </w:t>
      </w:r>
      <w:r w:rsidR="00EC5EB4">
        <w:rPr>
          <w:rFonts w:ascii="Arial" w:hAnsi="Arial" w:cs="Arial"/>
          <w:sz w:val="24"/>
          <w:szCs w:val="24"/>
        </w:rPr>
        <w:t xml:space="preserve">deje sin efectos la Resolución nro. </w:t>
      </w:r>
      <w:r w:rsidR="00EC5EB4" w:rsidRPr="00EC5EB4">
        <w:rPr>
          <w:rFonts w:ascii="Arial" w:hAnsi="Arial" w:cs="Arial"/>
          <w:sz w:val="24"/>
          <w:szCs w:val="24"/>
        </w:rPr>
        <w:t>CJR20-0202</w:t>
      </w:r>
      <w:r w:rsidR="00EC5EB4">
        <w:rPr>
          <w:rFonts w:ascii="Arial" w:hAnsi="Arial" w:cs="Arial"/>
          <w:sz w:val="24"/>
          <w:szCs w:val="24"/>
        </w:rPr>
        <w:t xml:space="preserve"> del 27 de octubre de 2020</w:t>
      </w:r>
      <w:r w:rsidR="00CF2574">
        <w:rPr>
          <w:rStyle w:val="Refdenotaalpie"/>
          <w:rFonts w:ascii="Arial" w:hAnsi="Arial" w:cs="Arial"/>
          <w:sz w:val="24"/>
          <w:szCs w:val="24"/>
        </w:rPr>
        <w:footnoteReference w:id="3"/>
      </w:r>
      <w:r w:rsidR="00F56A1A" w:rsidRPr="00F56A1A">
        <w:rPr>
          <w:rFonts w:ascii="Arial" w:hAnsi="Arial" w:cs="Arial"/>
          <w:sz w:val="24"/>
          <w:szCs w:val="24"/>
        </w:rPr>
        <w:t xml:space="preserve">, </w:t>
      </w:r>
      <w:r w:rsidR="00EC5EB4">
        <w:rPr>
          <w:rFonts w:ascii="Arial" w:hAnsi="Arial" w:cs="Arial"/>
          <w:sz w:val="24"/>
          <w:szCs w:val="24"/>
        </w:rPr>
        <w:t xml:space="preserve">que y en consecuencia se continúe con el cronograma inicial </w:t>
      </w:r>
      <w:r w:rsidR="00CF2574">
        <w:rPr>
          <w:rFonts w:ascii="Arial" w:hAnsi="Arial" w:cs="Arial"/>
          <w:sz w:val="24"/>
          <w:szCs w:val="24"/>
        </w:rPr>
        <w:t>definido para la Convocatoria 27</w:t>
      </w:r>
      <w:r w:rsidR="00A33728">
        <w:rPr>
          <w:rFonts w:ascii="Arial" w:hAnsi="Arial" w:cs="Arial"/>
          <w:sz w:val="24"/>
          <w:szCs w:val="24"/>
        </w:rPr>
        <w:t>,</w:t>
      </w:r>
      <w:r w:rsidR="00CF2574">
        <w:rPr>
          <w:rFonts w:ascii="Arial" w:hAnsi="Arial" w:cs="Arial"/>
          <w:sz w:val="24"/>
          <w:szCs w:val="24"/>
        </w:rPr>
        <w:t xml:space="preserve"> y habida cuenta que p</w:t>
      </w:r>
      <w:r w:rsidR="00CF2574" w:rsidRPr="00CF2574">
        <w:rPr>
          <w:rFonts w:ascii="Arial" w:hAnsi="Arial" w:cs="Arial"/>
          <w:sz w:val="24"/>
          <w:szCs w:val="24"/>
        </w:rPr>
        <w:t>ara su ejecución, la Dirección Ejecutiva de Administración Judicial celebró el contrato 096</w:t>
      </w:r>
      <w:r w:rsidR="00CF2574">
        <w:rPr>
          <w:rFonts w:ascii="Arial" w:hAnsi="Arial" w:cs="Arial"/>
          <w:sz w:val="24"/>
          <w:szCs w:val="24"/>
        </w:rPr>
        <w:t xml:space="preserve"> </w:t>
      </w:r>
      <w:r w:rsidR="00CF2574" w:rsidRPr="00CF2574">
        <w:rPr>
          <w:rFonts w:ascii="Arial" w:hAnsi="Arial" w:cs="Arial"/>
          <w:sz w:val="24"/>
          <w:szCs w:val="24"/>
        </w:rPr>
        <w:t>de 2018, con la Universidad Nacional de Colombia, cuyo objeto es realizar el diseño,</w:t>
      </w:r>
      <w:r w:rsidR="00CF2574">
        <w:rPr>
          <w:rFonts w:ascii="Arial" w:hAnsi="Arial" w:cs="Arial"/>
          <w:sz w:val="24"/>
          <w:szCs w:val="24"/>
        </w:rPr>
        <w:t xml:space="preserve"> </w:t>
      </w:r>
      <w:r w:rsidR="00CF2574" w:rsidRPr="00CF2574">
        <w:rPr>
          <w:rFonts w:ascii="Arial" w:hAnsi="Arial" w:cs="Arial"/>
          <w:sz w:val="24"/>
          <w:szCs w:val="24"/>
        </w:rPr>
        <w:t>estructuración, impresión y aplicación de las pruebas psicotécnicas, de conocimientos,</w:t>
      </w:r>
      <w:r w:rsidR="00CF2574">
        <w:rPr>
          <w:rFonts w:ascii="Arial" w:hAnsi="Arial" w:cs="Arial"/>
          <w:sz w:val="24"/>
          <w:szCs w:val="24"/>
        </w:rPr>
        <w:t xml:space="preserve"> </w:t>
      </w:r>
      <w:r w:rsidR="00CF2574" w:rsidRPr="00CF2574">
        <w:rPr>
          <w:rFonts w:ascii="Arial" w:hAnsi="Arial" w:cs="Arial"/>
          <w:sz w:val="24"/>
          <w:szCs w:val="24"/>
        </w:rPr>
        <w:t>competencias y/o aptitudes para los cargos de funcionarios y dentro de sus obligaciones</w:t>
      </w:r>
      <w:r w:rsidR="00CF2574">
        <w:rPr>
          <w:rFonts w:ascii="Arial" w:hAnsi="Arial" w:cs="Arial"/>
          <w:sz w:val="24"/>
          <w:szCs w:val="24"/>
        </w:rPr>
        <w:t xml:space="preserve"> </w:t>
      </w:r>
      <w:r w:rsidR="00CF2574" w:rsidRPr="00CF2574">
        <w:rPr>
          <w:rFonts w:ascii="Arial" w:hAnsi="Arial" w:cs="Arial"/>
          <w:sz w:val="24"/>
          <w:szCs w:val="24"/>
        </w:rPr>
        <w:t>incluyó la de realizar la lectura óptica y el procesamiento de las hojas de respuestas en las</w:t>
      </w:r>
      <w:r w:rsidR="00CF2574">
        <w:rPr>
          <w:rFonts w:ascii="Arial" w:hAnsi="Arial" w:cs="Arial"/>
          <w:sz w:val="24"/>
          <w:szCs w:val="24"/>
        </w:rPr>
        <w:t xml:space="preserve"> </w:t>
      </w:r>
      <w:r w:rsidR="00CF2574" w:rsidRPr="00CF2574">
        <w:rPr>
          <w:rFonts w:ascii="Arial" w:hAnsi="Arial" w:cs="Arial"/>
          <w:sz w:val="24"/>
          <w:szCs w:val="24"/>
        </w:rPr>
        <w:t>condiciones y características aprobadas por la Unidad de Carrera Judicial y calificar las</w:t>
      </w:r>
      <w:r w:rsidR="00CF2574">
        <w:rPr>
          <w:rFonts w:ascii="Arial" w:hAnsi="Arial" w:cs="Arial"/>
          <w:sz w:val="24"/>
          <w:szCs w:val="24"/>
        </w:rPr>
        <w:t xml:space="preserve"> </w:t>
      </w:r>
      <w:r w:rsidR="00CF2574" w:rsidRPr="00CF2574">
        <w:rPr>
          <w:rFonts w:ascii="Arial" w:hAnsi="Arial" w:cs="Arial"/>
          <w:sz w:val="24"/>
          <w:szCs w:val="24"/>
        </w:rPr>
        <w:t>pruebas presentadas por los aspirantes, suministrando la información técnica a la Unidad</w:t>
      </w:r>
      <w:r w:rsidR="00CF2574">
        <w:rPr>
          <w:rFonts w:ascii="Arial" w:hAnsi="Arial" w:cs="Arial"/>
          <w:sz w:val="24"/>
          <w:szCs w:val="24"/>
        </w:rPr>
        <w:t xml:space="preserve"> </w:t>
      </w:r>
      <w:r w:rsidR="00CF2574" w:rsidRPr="00CF2574">
        <w:rPr>
          <w:rFonts w:ascii="Arial" w:hAnsi="Arial" w:cs="Arial"/>
          <w:sz w:val="24"/>
          <w:szCs w:val="24"/>
        </w:rPr>
        <w:t xml:space="preserve">de </w:t>
      </w:r>
      <w:r w:rsidR="00F77AEF">
        <w:rPr>
          <w:rFonts w:ascii="Arial" w:hAnsi="Arial" w:cs="Arial"/>
          <w:sz w:val="24"/>
          <w:szCs w:val="24"/>
        </w:rPr>
        <w:t xml:space="preserve">Administración de la </w:t>
      </w:r>
      <w:r w:rsidR="00CF2574" w:rsidRPr="00CF2574">
        <w:rPr>
          <w:rFonts w:ascii="Arial" w:hAnsi="Arial" w:cs="Arial"/>
          <w:sz w:val="24"/>
          <w:szCs w:val="24"/>
        </w:rPr>
        <w:t>Carrera Judicial</w:t>
      </w:r>
      <w:r w:rsidR="00CF2574">
        <w:rPr>
          <w:rFonts w:ascii="Arial" w:hAnsi="Arial" w:cs="Arial"/>
          <w:sz w:val="24"/>
          <w:szCs w:val="24"/>
        </w:rPr>
        <w:t xml:space="preserve">, </w:t>
      </w:r>
      <w:r w:rsidR="00467274">
        <w:rPr>
          <w:rFonts w:ascii="Arial" w:hAnsi="Arial" w:cs="Arial"/>
          <w:sz w:val="24"/>
          <w:szCs w:val="24"/>
        </w:rPr>
        <w:t>se integrar</w:t>
      </w:r>
      <w:r w:rsidR="008D4F4C">
        <w:rPr>
          <w:rFonts w:ascii="Arial" w:hAnsi="Arial" w:cs="Arial"/>
          <w:sz w:val="24"/>
          <w:szCs w:val="24"/>
        </w:rPr>
        <w:t>á</w:t>
      </w:r>
      <w:r w:rsidR="00467274">
        <w:rPr>
          <w:rFonts w:ascii="Arial" w:hAnsi="Arial" w:cs="Arial"/>
          <w:sz w:val="24"/>
          <w:szCs w:val="24"/>
        </w:rPr>
        <w:t xml:space="preserve"> debidamente el contradictorio vinculando a</w:t>
      </w:r>
      <w:r w:rsidR="00F96F75">
        <w:rPr>
          <w:rFonts w:ascii="Arial" w:hAnsi="Arial" w:cs="Arial"/>
          <w:sz w:val="24"/>
          <w:szCs w:val="24"/>
        </w:rPr>
        <w:t xml:space="preserve"> la </w:t>
      </w:r>
      <w:r w:rsidR="00CF2574">
        <w:rPr>
          <w:rFonts w:ascii="Arial" w:hAnsi="Arial" w:cs="Arial"/>
          <w:sz w:val="24"/>
          <w:szCs w:val="24"/>
        </w:rPr>
        <w:t>Universidad Nacional de Colombia</w:t>
      </w:r>
      <w:r w:rsidR="00F96F75">
        <w:rPr>
          <w:rFonts w:ascii="Arial" w:hAnsi="Arial" w:cs="Arial"/>
          <w:sz w:val="24"/>
          <w:szCs w:val="24"/>
        </w:rPr>
        <w:t xml:space="preserve"> y a todos aquellos que tengan interés en las </w:t>
      </w:r>
      <w:r w:rsidR="008D4F4C">
        <w:rPr>
          <w:rFonts w:ascii="Arial" w:hAnsi="Arial" w:cs="Arial"/>
          <w:sz w:val="24"/>
          <w:szCs w:val="24"/>
        </w:rPr>
        <w:t xml:space="preserve">resultas de la presente </w:t>
      </w:r>
      <w:r w:rsidR="00F96F75">
        <w:rPr>
          <w:rFonts w:ascii="Arial" w:hAnsi="Arial" w:cs="Arial"/>
          <w:sz w:val="24"/>
          <w:szCs w:val="24"/>
        </w:rPr>
        <w:t xml:space="preserve">acción constitucional. </w:t>
      </w:r>
    </w:p>
    <w:p w14:paraId="4E809C52" w14:textId="77777777" w:rsidR="009177A8" w:rsidRPr="00762D67" w:rsidRDefault="009177A8" w:rsidP="00233AB9">
      <w:pPr>
        <w:spacing w:line="360" w:lineRule="auto"/>
        <w:jc w:val="both"/>
        <w:rPr>
          <w:rFonts w:ascii="Arial" w:eastAsia="Times New Roman" w:hAnsi="Arial" w:cs="Arial"/>
          <w:sz w:val="24"/>
          <w:szCs w:val="24"/>
          <w:lang w:eastAsia="es-ES"/>
        </w:rPr>
      </w:pPr>
    </w:p>
    <w:p w14:paraId="36F9C8BC" w14:textId="77777777" w:rsidR="009177A8" w:rsidRDefault="009177A8" w:rsidP="00233AB9">
      <w:pPr>
        <w:spacing w:line="360" w:lineRule="auto"/>
        <w:ind w:left="6"/>
        <w:jc w:val="both"/>
        <w:rPr>
          <w:rFonts w:ascii="Arial" w:eastAsia="Times New Roman" w:hAnsi="Arial" w:cs="Arial"/>
          <w:sz w:val="24"/>
          <w:szCs w:val="24"/>
          <w:lang w:eastAsia="es-ES"/>
        </w:rPr>
      </w:pPr>
      <w:r w:rsidRPr="009177A8">
        <w:rPr>
          <w:rFonts w:ascii="Arial" w:eastAsia="Times New Roman" w:hAnsi="Arial" w:cs="Arial"/>
          <w:sz w:val="24"/>
          <w:szCs w:val="24"/>
          <w:lang w:eastAsia="es-ES"/>
        </w:rPr>
        <w:t>Como la solicitud cumple con los requisitos que señala el artículo 14 del Decreto 2591 de 1991 el Despacho,</w:t>
      </w:r>
    </w:p>
    <w:p w14:paraId="2796B10F" w14:textId="77777777" w:rsidR="00233AB9" w:rsidRDefault="00233AB9" w:rsidP="00233AB9">
      <w:pPr>
        <w:spacing w:line="360" w:lineRule="auto"/>
        <w:ind w:left="6"/>
        <w:jc w:val="center"/>
        <w:rPr>
          <w:rFonts w:ascii="Arial" w:hAnsi="Arial" w:cs="Arial"/>
          <w:b/>
          <w:sz w:val="24"/>
          <w:szCs w:val="24"/>
        </w:rPr>
      </w:pPr>
    </w:p>
    <w:p w14:paraId="5B136157" w14:textId="77777777" w:rsidR="00F77AEF" w:rsidRDefault="00F77AEF" w:rsidP="00233AB9">
      <w:pPr>
        <w:spacing w:line="360" w:lineRule="auto"/>
        <w:ind w:left="6"/>
        <w:jc w:val="center"/>
        <w:rPr>
          <w:rFonts w:ascii="Arial" w:hAnsi="Arial" w:cs="Arial"/>
          <w:b/>
          <w:sz w:val="24"/>
          <w:szCs w:val="24"/>
        </w:rPr>
      </w:pPr>
    </w:p>
    <w:p w14:paraId="118A3F18" w14:textId="77777777" w:rsidR="009177A8" w:rsidRPr="009177A8" w:rsidRDefault="009177A8" w:rsidP="00233AB9">
      <w:pPr>
        <w:spacing w:line="360" w:lineRule="auto"/>
        <w:ind w:left="6"/>
        <w:jc w:val="center"/>
        <w:rPr>
          <w:rFonts w:ascii="Arial" w:eastAsia="Times New Roman" w:hAnsi="Arial" w:cs="Arial"/>
          <w:sz w:val="24"/>
          <w:szCs w:val="24"/>
          <w:lang w:eastAsia="es-ES"/>
        </w:rPr>
      </w:pPr>
      <w:r w:rsidRPr="009177A8">
        <w:rPr>
          <w:rFonts w:ascii="Arial" w:hAnsi="Arial" w:cs="Arial"/>
          <w:b/>
          <w:sz w:val="24"/>
          <w:szCs w:val="24"/>
        </w:rPr>
        <w:lastRenderedPageBreak/>
        <w:t>RESUELVE:</w:t>
      </w:r>
    </w:p>
    <w:p w14:paraId="7FA33230" w14:textId="77777777" w:rsidR="009177A8" w:rsidRPr="00762D67" w:rsidRDefault="009177A8" w:rsidP="00233AB9">
      <w:pPr>
        <w:ind w:left="6"/>
        <w:jc w:val="center"/>
        <w:rPr>
          <w:rFonts w:ascii="Arial" w:eastAsia="Times New Roman" w:hAnsi="Arial" w:cs="Arial"/>
          <w:sz w:val="24"/>
          <w:szCs w:val="24"/>
          <w:lang w:eastAsia="es-ES"/>
        </w:rPr>
      </w:pPr>
    </w:p>
    <w:p w14:paraId="32C95DAA" w14:textId="77777777" w:rsidR="009177A8" w:rsidRDefault="009177A8" w:rsidP="00233AB9">
      <w:pPr>
        <w:spacing w:line="360" w:lineRule="auto"/>
        <w:jc w:val="both"/>
        <w:rPr>
          <w:rFonts w:ascii="Arial" w:hAnsi="Arial" w:cs="Arial"/>
          <w:sz w:val="24"/>
          <w:szCs w:val="24"/>
        </w:rPr>
      </w:pPr>
      <w:r w:rsidRPr="009177A8">
        <w:rPr>
          <w:rFonts w:ascii="Arial" w:hAnsi="Arial" w:cs="Arial"/>
          <w:b/>
          <w:sz w:val="24"/>
          <w:szCs w:val="24"/>
        </w:rPr>
        <w:t xml:space="preserve">Primero. </w:t>
      </w:r>
      <w:r w:rsidRPr="009177A8">
        <w:rPr>
          <w:rFonts w:ascii="Arial" w:hAnsi="Arial" w:cs="Arial"/>
          <w:sz w:val="24"/>
          <w:szCs w:val="24"/>
        </w:rPr>
        <w:t xml:space="preserve">Admitir la acción de tutela interpuesta por </w:t>
      </w:r>
      <w:r w:rsidR="00A33728">
        <w:rPr>
          <w:rFonts w:ascii="Arial" w:hAnsi="Arial" w:cs="Arial"/>
          <w:sz w:val="24"/>
          <w:szCs w:val="24"/>
        </w:rPr>
        <w:t xml:space="preserve">el señor </w:t>
      </w:r>
      <w:r w:rsidR="00CF2574">
        <w:rPr>
          <w:rFonts w:ascii="Arial" w:hAnsi="Arial" w:cs="Arial"/>
          <w:sz w:val="24"/>
          <w:szCs w:val="24"/>
        </w:rPr>
        <w:t>Juan Fernando Gómez Zapata</w:t>
      </w:r>
      <w:r w:rsidR="002C1A67" w:rsidRPr="002C1A67">
        <w:rPr>
          <w:rFonts w:ascii="Arial" w:hAnsi="Arial" w:cs="Arial"/>
          <w:sz w:val="24"/>
          <w:szCs w:val="24"/>
        </w:rPr>
        <w:t xml:space="preserve"> </w:t>
      </w:r>
      <w:r>
        <w:rPr>
          <w:rFonts w:ascii="Arial" w:hAnsi="Arial" w:cs="Arial"/>
          <w:sz w:val="24"/>
          <w:szCs w:val="24"/>
        </w:rPr>
        <w:t xml:space="preserve">en contra </w:t>
      </w:r>
      <w:r w:rsidR="002C1A67" w:rsidRPr="002C1A67">
        <w:rPr>
          <w:rFonts w:ascii="Arial" w:hAnsi="Arial" w:cs="Arial"/>
          <w:sz w:val="24"/>
          <w:szCs w:val="24"/>
        </w:rPr>
        <w:t>del</w:t>
      </w:r>
      <w:r w:rsidR="00A33728">
        <w:rPr>
          <w:rFonts w:ascii="Arial" w:hAnsi="Arial" w:cs="Arial"/>
          <w:sz w:val="24"/>
          <w:szCs w:val="24"/>
        </w:rPr>
        <w:t xml:space="preserve"> </w:t>
      </w:r>
      <w:r w:rsidR="00CF2574">
        <w:rPr>
          <w:rFonts w:ascii="Arial" w:hAnsi="Arial" w:cs="Arial"/>
          <w:sz w:val="24"/>
          <w:szCs w:val="24"/>
        </w:rPr>
        <w:t>Consejo Superior de la Judicatura – Unidad de Administración de la Carrera Judicial</w:t>
      </w:r>
      <w:r w:rsidR="006A11AC">
        <w:rPr>
          <w:rFonts w:ascii="Arial" w:hAnsi="Arial" w:cs="Arial"/>
          <w:sz w:val="24"/>
          <w:szCs w:val="24"/>
        </w:rPr>
        <w:t>.</w:t>
      </w:r>
    </w:p>
    <w:p w14:paraId="721B10E8" w14:textId="77777777" w:rsidR="00F77AEF" w:rsidRDefault="00F77AEF" w:rsidP="00233AB9">
      <w:pPr>
        <w:spacing w:line="360" w:lineRule="auto"/>
        <w:jc w:val="both"/>
        <w:rPr>
          <w:rFonts w:ascii="Arial" w:hAnsi="Arial" w:cs="Arial"/>
          <w:sz w:val="24"/>
          <w:szCs w:val="24"/>
        </w:rPr>
      </w:pPr>
    </w:p>
    <w:p w14:paraId="13647F6F" w14:textId="77777777" w:rsidR="009177A8" w:rsidRPr="009177A8" w:rsidRDefault="009177A8" w:rsidP="00233AB9">
      <w:pPr>
        <w:spacing w:line="360" w:lineRule="auto"/>
        <w:jc w:val="both"/>
        <w:rPr>
          <w:rFonts w:ascii="Arial" w:hAnsi="Arial" w:cs="Arial"/>
          <w:sz w:val="24"/>
          <w:szCs w:val="24"/>
        </w:rPr>
      </w:pPr>
      <w:r w:rsidRPr="009177A8">
        <w:rPr>
          <w:rFonts w:ascii="Arial" w:hAnsi="Arial" w:cs="Arial"/>
          <w:b/>
          <w:sz w:val="24"/>
          <w:szCs w:val="24"/>
        </w:rPr>
        <w:t xml:space="preserve">Segundo. </w:t>
      </w:r>
      <w:r w:rsidRPr="009177A8">
        <w:rPr>
          <w:rFonts w:ascii="Arial" w:eastAsia="Times New Roman" w:hAnsi="Arial" w:cs="Arial"/>
          <w:sz w:val="24"/>
          <w:szCs w:val="24"/>
          <w:lang w:val="es-CO" w:eastAsia="es-ES"/>
        </w:rPr>
        <w:t>Notificar</w:t>
      </w:r>
      <w:r w:rsidRPr="009177A8">
        <w:rPr>
          <w:rFonts w:ascii="Arial" w:eastAsia="Times New Roman" w:hAnsi="Arial" w:cs="Arial"/>
          <w:b/>
          <w:sz w:val="24"/>
          <w:szCs w:val="24"/>
          <w:lang w:val="es-CO" w:eastAsia="es-ES"/>
        </w:rPr>
        <w:t xml:space="preserve"> </w:t>
      </w:r>
      <w:r w:rsidRPr="009177A8">
        <w:rPr>
          <w:rFonts w:ascii="Arial" w:eastAsia="Times New Roman" w:hAnsi="Arial" w:cs="Arial"/>
          <w:sz w:val="24"/>
          <w:szCs w:val="24"/>
          <w:lang w:val="es-CO" w:eastAsia="es-ES"/>
        </w:rPr>
        <w:t xml:space="preserve">por el medio más expedito y eficaz a </w:t>
      </w:r>
      <w:r w:rsidR="00CF2574">
        <w:rPr>
          <w:rFonts w:ascii="Arial" w:eastAsia="Times New Roman" w:hAnsi="Arial" w:cs="Arial"/>
          <w:sz w:val="24"/>
          <w:szCs w:val="24"/>
          <w:lang w:val="es-CO" w:eastAsia="es-ES"/>
        </w:rPr>
        <w:t xml:space="preserve">la </w:t>
      </w:r>
      <w:r w:rsidR="00CF2574">
        <w:rPr>
          <w:rFonts w:ascii="Arial" w:eastAsia="Times New Roman" w:hAnsi="Arial" w:cs="Arial"/>
          <w:sz w:val="24"/>
          <w:szCs w:val="24"/>
          <w:lang w:eastAsia="es-ES"/>
        </w:rPr>
        <w:t xml:space="preserve">Directora de la </w:t>
      </w:r>
      <w:r w:rsidR="00CF2574">
        <w:rPr>
          <w:rFonts w:ascii="Arial" w:hAnsi="Arial" w:cs="Arial"/>
          <w:sz w:val="24"/>
          <w:szCs w:val="24"/>
        </w:rPr>
        <w:t>Unidad de Administración de la Carrera Judicial del Consejo Superior de la Judicatura</w:t>
      </w:r>
      <w:r w:rsidRPr="009177A8">
        <w:rPr>
          <w:rFonts w:ascii="Arial" w:eastAsia="Times New Roman" w:hAnsi="Arial" w:cs="Arial"/>
          <w:sz w:val="24"/>
          <w:szCs w:val="24"/>
          <w:lang w:val="es-CO" w:eastAsia="es-ES"/>
        </w:rPr>
        <w:t>, quien podrá contestar la presente tutela y allegar los documentos que pretendan hacer valer como pruebas, dentro de los tres (3) días siguientes al recibo del respectivo oficio.</w:t>
      </w:r>
    </w:p>
    <w:p w14:paraId="11796F36" w14:textId="77777777" w:rsidR="009177A8" w:rsidRPr="00762D67" w:rsidRDefault="009177A8" w:rsidP="00233AB9">
      <w:pPr>
        <w:tabs>
          <w:tab w:val="left" w:pos="426"/>
        </w:tabs>
        <w:spacing w:line="360" w:lineRule="auto"/>
        <w:ind w:left="6"/>
        <w:jc w:val="both"/>
        <w:rPr>
          <w:rFonts w:ascii="Arial" w:hAnsi="Arial" w:cs="Arial"/>
          <w:b/>
          <w:sz w:val="24"/>
          <w:szCs w:val="24"/>
        </w:rPr>
      </w:pPr>
    </w:p>
    <w:p w14:paraId="7AAC32B2" w14:textId="77777777" w:rsidR="009177A8" w:rsidRPr="009177A8" w:rsidRDefault="009177A8" w:rsidP="00233AB9">
      <w:pPr>
        <w:tabs>
          <w:tab w:val="left" w:pos="426"/>
        </w:tabs>
        <w:spacing w:line="360" w:lineRule="auto"/>
        <w:ind w:left="6"/>
        <w:jc w:val="both"/>
        <w:rPr>
          <w:rFonts w:ascii="Arial" w:hAnsi="Arial" w:cs="Arial"/>
          <w:sz w:val="24"/>
          <w:szCs w:val="24"/>
        </w:rPr>
      </w:pPr>
      <w:r w:rsidRPr="009177A8">
        <w:rPr>
          <w:rFonts w:ascii="Arial" w:hAnsi="Arial" w:cs="Arial"/>
          <w:b/>
          <w:sz w:val="24"/>
          <w:szCs w:val="24"/>
        </w:rPr>
        <w:t>Tercero.</w:t>
      </w:r>
      <w:r w:rsidRPr="009177A8">
        <w:rPr>
          <w:rFonts w:ascii="Arial" w:hAnsi="Arial" w:cs="Arial"/>
          <w:sz w:val="24"/>
          <w:szCs w:val="24"/>
        </w:rPr>
        <w:t xml:space="preserve"> Comunicar por el medio más expedito y eficaz, la iniciación del presente trámite procesal a</w:t>
      </w:r>
      <w:r w:rsidR="00E84BBD">
        <w:rPr>
          <w:rFonts w:ascii="Arial" w:hAnsi="Arial" w:cs="Arial"/>
          <w:sz w:val="24"/>
          <w:szCs w:val="24"/>
        </w:rPr>
        <w:t xml:space="preserve"> la</w:t>
      </w:r>
      <w:r w:rsidR="000614B5">
        <w:rPr>
          <w:rFonts w:ascii="Arial" w:hAnsi="Arial" w:cs="Arial"/>
          <w:sz w:val="24"/>
          <w:szCs w:val="24"/>
        </w:rPr>
        <w:t xml:space="preserve"> </w:t>
      </w:r>
      <w:r w:rsidR="00CF2574">
        <w:rPr>
          <w:rFonts w:ascii="Arial" w:hAnsi="Arial" w:cs="Arial"/>
          <w:sz w:val="24"/>
          <w:szCs w:val="24"/>
        </w:rPr>
        <w:t>Universidad Nacional de Colombia</w:t>
      </w:r>
      <w:r w:rsidR="00AF65FA">
        <w:rPr>
          <w:rFonts w:ascii="Arial" w:hAnsi="Arial" w:cs="Arial"/>
          <w:sz w:val="24"/>
          <w:szCs w:val="24"/>
        </w:rPr>
        <w:t xml:space="preserve"> </w:t>
      </w:r>
      <w:r w:rsidR="00240A66">
        <w:rPr>
          <w:rFonts w:ascii="Arial" w:hAnsi="Arial" w:cs="Arial"/>
          <w:sz w:val="24"/>
          <w:szCs w:val="24"/>
        </w:rPr>
        <w:t xml:space="preserve">y </w:t>
      </w:r>
      <w:r w:rsidR="00772565">
        <w:rPr>
          <w:rFonts w:ascii="Arial" w:hAnsi="Arial" w:cs="Arial"/>
          <w:sz w:val="24"/>
          <w:szCs w:val="24"/>
        </w:rPr>
        <w:t xml:space="preserve">a la </w:t>
      </w:r>
      <w:r w:rsidR="00772565" w:rsidRPr="00772565">
        <w:rPr>
          <w:rFonts w:ascii="Arial" w:hAnsi="Arial" w:cs="Arial"/>
          <w:sz w:val="24"/>
          <w:szCs w:val="24"/>
        </w:rPr>
        <w:t xml:space="preserve">Agencia Nacional </w:t>
      </w:r>
      <w:r w:rsidR="00772565">
        <w:rPr>
          <w:rFonts w:ascii="Arial" w:hAnsi="Arial" w:cs="Arial"/>
          <w:sz w:val="24"/>
          <w:szCs w:val="24"/>
        </w:rPr>
        <w:t>d</w:t>
      </w:r>
      <w:r w:rsidR="00772565" w:rsidRPr="00772565">
        <w:rPr>
          <w:rFonts w:ascii="Arial" w:hAnsi="Arial" w:cs="Arial"/>
          <w:sz w:val="24"/>
          <w:szCs w:val="24"/>
        </w:rPr>
        <w:t xml:space="preserve">e Defensa Jurídica </w:t>
      </w:r>
      <w:r w:rsidR="00772565">
        <w:rPr>
          <w:rFonts w:ascii="Arial" w:hAnsi="Arial" w:cs="Arial"/>
          <w:sz w:val="24"/>
          <w:szCs w:val="24"/>
        </w:rPr>
        <w:t>d</w:t>
      </w:r>
      <w:r w:rsidR="00772565" w:rsidRPr="00772565">
        <w:rPr>
          <w:rFonts w:ascii="Arial" w:hAnsi="Arial" w:cs="Arial"/>
          <w:sz w:val="24"/>
          <w:szCs w:val="24"/>
        </w:rPr>
        <w:t>el Estado</w:t>
      </w:r>
      <w:r w:rsidRPr="009177A8">
        <w:rPr>
          <w:rFonts w:ascii="Arial" w:hAnsi="Arial" w:cs="Arial"/>
          <w:sz w:val="24"/>
          <w:szCs w:val="24"/>
        </w:rPr>
        <w:t xml:space="preserve">, con el fin de que dentro del término de tres (3) días, contados a partir de la fecha de recibo de la correspondiente comunicación, manifiesten lo que consideren pertinente. </w:t>
      </w:r>
    </w:p>
    <w:p w14:paraId="3B21CCD4" w14:textId="77777777" w:rsidR="00570AF1" w:rsidRDefault="00570AF1" w:rsidP="00233AB9">
      <w:pPr>
        <w:tabs>
          <w:tab w:val="left" w:pos="426"/>
        </w:tabs>
        <w:spacing w:line="360" w:lineRule="auto"/>
        <w:ind w:left="6"/>
        <w:jc w:val="both"/>
        <w:rPr>
          <w:rFonts w:ascii="Arial" w:hAnsi="Arial" w:cs="Arial"/>
          <w:sz w:val="24"/>
          <w:szCs w:val="24"/>
        </w:rPr>
      </w:pPr>
    </w:p>
    <w:p w14:paraId="1ABBA5BA" w14:textId="77777777" w:rsidR="009177A8" w:rsidRPr="009177A8" w:rsidRDefault="009177A8" w:rsidP="00570AF1">
      <w:pPr>
        <w:tabs>
          <w:tab w:val="left" w:pos="6"/>
        </w:tabs>
        <w:spacing w:line="360" w:lineRule="auto"/>
        <w:jc w:val="both"/>
        <w:rPr>
          <w:rFonts w:ascii="Arial" w:hAnsi="Arial" w:cs="Arial"/>
          <w:sz w:val="24"/>
          <w:szCs w:val="24"/>
        </w:rPr>
      </w:pPr>
      <w:r w:rsidRPr="009177A8">
        <w:rPr>
          <w:rFonts w:ascii="Arial" w:hAnsi="Arial" w:cs="Arial"/>
          <w:sz w:val="24"/>
          <w:szCs w:val="24"/>
        </w:rPr>
        <w:t>Lo anterior, en atención al interés que les asiste en las resultas de este proceso por cuanto pueden verse afectados con la decisión definitiva que se adopte dentro del mismo.</w:t>
      </w:r>
    </w:p>
    <w:p w14:paraId="2BD199B4" w14:textId="77777777" w:rsidR="009177A8" w:rsidRPr="00762D67" w:rsidRDefault="009177A8" w:rsidP="00350D7F">
      <w:pPr>
        <w:spacing w:line="360" w:lineRule="auto"/>
        <w:ind w:left="6"/>
        <w:contextualSpacing/>
        <w:jc w:val="both"/>
        <w:rPr>
          <w:rFonts w:ascii="Arial" w:hAnsi="Arial" w:cs="Arial"/>
          <w:b/>
          <w:sz w:val="24"/>
          <w:szCs w:val="24"/>
        </w:rPr>
      </w:pPr>
    </w:p>
    <w:p w14:paraId="23024CA8" w14:textId="77777777" w:rsidR="00240A66" w:rsidRDefault="009177A8" w:rsidP="00350D7F">
      <w:pPr>
        <w:spacing w:line="360" w:lineRule="auto"/>
        <w:ind w:left="6"/>
        <w:contextualSpacing/>
        <w:jc w:val="both"/>
        <w:rPr>
          <w:rFonts w:ascii="Arial" w:eastAsia="Times New Roman" w:hAnsi="Arial" w:cs="Arial"/>
          <w:bCs/>
          <w:sz w:val="24"/>
          <w:szCs w:val="24"/>
          <w:lang w:val="es-CO" w:eastAsia="es-ES"/>
        </w:rPr>
      </w:pPr>
      <w:r w:rsidRPr="009177A8">
        <w:rPr>
          <w:rFonts w:ascii="Arial" w:hAnsi="Arial" w:cs="Arial"/>
          <w:b/>
          <w:sz w:val="24"/>
          <w:szCs w:val="24"/>
        </w:rPr>
        <w:t>Cuarto.</w:t>
      </w:r>
      <w:r w:rsidRPr="009177A8">
        <w:rPr>
          <w:rFonts w:ascii="Arial" w:eastAsia="Times New Roman" w:hAnsi="Arial" w:cs="Arial"/>
          <w:b/>
          <w:sz w:val="24"/>
          <w:szCs w:val="24"/>
          <w:lang w:val="es-CO" w:eastAsia="es-ES"/>
        </w:rPr>
        <w:t xml:space="preserve"> </w:t>
      </w:r>
      <w:r w:rsidR="00F77AEF" w:rsidRPr="00FB6C0B">
        <w:rPr>
          <w:rFonts w:ascii="Arial" w:hAnsi="Arial" w:cs="Arial"/>
          <w:b/>
          <w:sz w:val="24"/>
        </w:rPr>
        <w:t>O</w:t>
      </w:r>
      <w:r w:rsidR="00F77AEF">
        <w:rPr>
          <w:rFonts w:ascii="Arial" w:hAnsi="Arial" w:cs="Arial"/>
          <w:b/>
          <w:sz w:val="24"/>
        </w:rPr>
        <w:t>ficiar</w:t>
      </w:r>
      <w:r w:rsidR="00F77AEF" w:rsidRPr="00FB6C0B">
        <w:rPr>
          <w:rFonts w:ascii="Arial" w:hAnsi="Arial" w:cs="Arial"/>
          <w:sz w:val="24"/>
        </w:rPr>
        <w:t xml:space="preserve"> a la Unidad de Administración de </w:t>
      </w:r>
      <w:r w:rsidR="00F77AEF">
        <w:rPr>
          <w:rFonts w:ascii="Arial" w:hAnsi="Arial" w:cs="Arial"/>
          <w:sz w:val="24"/>
        </w:rPr>
        <w:t xml:space="preserve">la Carrera Judicial del Consejo </w:t>
      </w:r>
      <w:r w:rsidR="00F77AEF" w:rsidRPr="00FB6C0B">
        <w:rPr>
          <w:rFonts w:ascii="Arial" w:hAnsi="Arial" w:cs="Arial"/>
          <w:sz w:val="24"/>
        </w:rPr>
        <w:t xml:space="preserve">Superior de la Judicatura para que, </w:t>
      </w:r>
      <w:r w:rsidR="00F77AEF">
        <w:rPr>
          <w:rFonts w:ascii="Arial" w:hAnsi="Arial" w:cs="Arial"/>
          <w:b/>
          <w:sz w:val="24"/>
        </w:rPr>
        <w:t>publique</w:t>
      </w:r>
      <w:r w:rsidR="00F77AEF">
        <w:rPr>
          <w:rFonts w:ascii="Arial" w:hAnsi="Arial" w:cs="Arial"/>
          <w:sz w:val="24"/>
        </w:rPr>
        <w:t xml:space="preserve"> el contenido de la presente </w:t>
      </w:r>
      <w:r w:rsidR="00F77AEF" w:rsidRPr="00FB6C0B">
        <w:rPr>
          <w:rFonts w:ascii="Arial" w:hAnsi="Arial" w:cs="Arial"/>
          <w:sz w:val="24"/>
        </w:rPr>
        <w:t>providencia y de la demanda de tutela, en la página Web de la Rama Judicial.</w:t>
      </w:r>
    </w:p>
    <w:p w14:paraId="2A43A0B3" w14:textId="77777777" w:rsidR="00350D7F" w:rsidRDefault="00350D7F" w:rsidP="00350D7F">
      <w:pPr>
        <w:spacing w:line="360" w:lineRule="auto"/>
        <w:ind w:left="6"/>
        <w:contextualSpacing/>
        <w:jc w:val="both"/>
        <w:rPr>
          <w:rFonts w:ascii="Arial" w:eastAsia="Times New Roman" w:hAnsi="Arial" w:cs="Arial"/>
          <w:b/>
          <w:sz w:val="24"/>
          <w:szCs w:val="24"/>
          <w:lang w:eastAsia="es-ES"/>
        </w:rPr>
      </w:pPr>
    </w:p>
    <w:p w14:paraId="7F78BA6E" w14:textId="77777777" w:rsidR="00F77AEF" w:rsidRDefault="009177A8" w:rsidP="00F77AEF">
      <w:pPr>
        <w:spacing w:line="360" w:lineRule="auto"/>
        <w:ind w:left="6"/>
        <w:contextualSpacing/>
        <w:jc w:val="both"/>
        <w:rPr>
          <w:rFonts w:ascii="Arial" w:hAnsi="Arial" w:cs="Arial"/>
          <w:sz w:val="24"/>
        </w:rPr>
      </w:pPr>
      <w:r w:rsidRPr="009177A8">
        <w:rPr>
          <w:rFonts w:ascii="Arial" w:eastAsia="Times New Roman" w:hAnsi="Arial" w:cs="Arial"/>
          <w:b/>
          <w:sz w:val="24"/>
          <w:szCs w:val="24"/>
          <w:lang w:eastAsia="es-ES"/>
        </w:rPr>
        <w:t xml:space="preserve">Quinto. </w:t>
      </w:r>
      <w:r w:rsidR="00F77AEF" w:rsidRPr="00350D7F">
        <w:rPr>
          <w:rFonts w:ascii="Arial" w:eastAsia="Times New Roman" w:hAnsi="Arial" w:cs="Arial"/>
          <w:bCs/>
          <w:sz w:val="24"/>
          <w:szCs w:val="24"/>
          <w:lang w:val="es-CO" w:eastAsia="es-ES"/>
        </w:rPr>
        <w:t>Tener como pruebas los documentos aportados como anexos con la</w:t>
      </w:r>
      <w:r w:rsidR="00F77AEF">
        <w:rPr>
          <w:rFonts w:ascii="Arial" w:eastAsia="Times New Roman" w:hAnsi="Arial" w:cs="Arial"/>
          <w:bCs/>
          <w:sz w:val="24"/>
          <w:szCs w:val="24"/>
          <w:lang w:val="es-CO" w:eastAsia="es-ES"/>
        </w:rPr>
        <w:t xml:space="preserve"> </w:t>
      </w:r>
      <w:r w:rsidR="00F77AEF" w:rsidRPr="00350D7F">
        <w:rPr>
          <w:rFonts w:ascii="Arial" w:eastAsia="Times New Roman" w:hAnsi="Arial" w:cs="Arial"/>
          <w:bCs/>
          <w:sz w:val="24"/>
          <w:szCs w:val="24"/>
          <w:lang w:val="es-CO" w:eastAsia="es-ES"/>
        </w:rPr>
        <w:t>solicitud de amparo, con el valor probatorio que les corresponda según la ley.</w:t>
      </w:r>
    </w:p>
    <w:p w14:paraId="55951222" w14:textId="77777777" w:rsidR="004327D7" w:rsidRDefault="004327D7" w:rsidP="00350D7F">
      <w:pPr>
        <w:spacing w:line="360" w:lineRule="auto"/>
        <w:ind w:left="6"/>
        <w:jc w:val="both"/>
        <w:rPr>
          <w:rFonts w:ascii="Arial" w:eastAsia="Times New Roman" w:hAnsi="Arial" w:cs="Arial"/>
          <w:b/>
          <w:sz w:val="24"/>
          <w:szCs w:val="24"/>
          <w:lang w:eastAsia="es-ES"/>
        </w:rPr>
      </w:pPr>
    </w:p>
    <w:p w14:paraId="52E58C13" w14:textId="77777777" w:rsidR="002225EF" w:rsidRDefault="00E55B7E" w:rsidP="00350D7F">
      <w:pPr>
        <w:spacing w:line="360" w:lineRule="auto"/>
        <w:ind w:left="6"/>
        <w:jc w:val="both"/>
        <w:rPr>
          <w:rFonts w:ascii="Arial" w:eastAsia="Times New Roman" w:hAnsi="Arial" w:cs="Arial"/>
          <w:sz w:val="24"/>
          <w:szCs w:val="24"/>
          <w:lang w:eastAsia="es-ES"/>
        </w:rPr>
      </w:pPr>
      <w:r>
        <w:rPr>
          <w:rFonts w:ascii="Arial" w:eastAsia="Times New Roman" w:hAnsi="Arial" w:cs="Arial"/>
          <w:b/>
          <w:sz w:val="24"/>
          <w:szCs w:val="24"/>
          <w:lang w:eastAsia="es-ES"/>
        </w:rPr>
        <w:t xml:space="preserve">Sexto. </w:t>
      </w:r>
      <w:r w:rsidR="009177A8" w:rsidRPr="009177A8">
        <w:rPr>
          <w:rFonts w:ascii="Arial" w:eastAsia="Times New Roman" w:hAnsi="Arial" w:cs="Arial"/>
          <w:sz w:val="24"/>
          <w:szCs w:val="24"/>
          <w:lang w:eastAsia="es-ES"/>
        </w:rPr>
        <w:t>Notificar por el medio más expedito y eficaz esta decisión al actor.</w:t>
      </w:r>
    </w:p>
    <w:p w14:paraId="4B3B9A0E" w14:textId="77777777" w:rsidR="002225EF" w:rsidRDefault="002225EF" w:rsidP="002225EF">
      <w:pPr>
        <w:spacing w:line="360" w:lineRule="auto"/>
        <w:jc w:val="both"/>
        <w:rPr>
          <w:rFonts w:ascii="Arial" w:eastAsia="Times New Roman" w:hAnsi="Arial" w:cs="Arial"/>
          <w:sz w:val="24"/>
          <w:szCs w:val="24"/>
          <w:lang w:eastAsia="es-ES"/>
        </w:rPr>
      </w:pPr>
    </w:p>
    <w:p w14:paraId="4891ED2B" w14:textId="77777777" w:rsidR="009177A8" w:rsidRPr="002225EF" w:rsidRDefault="009177A8" w:rsidP="002225EF">
      <w:pPr>
        <w:spacing w:line="360" w:lineRule="auto"/>
        <w:jc w:val="both"/>
        <w:rPr>
          <w:rFonts w:ascii="Arial" w:eastAsia="Times New Roman" w:hAnsi="Arial" w:cs="Arial"/>
          <w:sz w:val="24"/>
          <w:szCs w:val="24"/>
          <w:lang w:eastAsia="es-ES"/>
        </w:rPr>
      </w:pPr>
      <w:r w:rsidRPr="009177A8">
        <w:rPr>
          <w:rFonts w:ascii="Arial" w:hAnsi="Arial" w:cs="Arial"/>
          <w:spacing w:val="-3"/>
          <w:sz w:val="24"/>
          <w:szCs w:val="24"/>
        </w:rPr>
        <w:t>Notifíquese y cúmplase,</w:t>
      </w:r>
    </w:p>
    <w:p w14:paraId="21445B8C" w14:textId="77777777" w:rsidR="009177A8" w:rsidRDefault="009177A8" w:rsidP="00233AB9">
      <w:pPr>
        <w:tabs>
          <w:tab w:val="left" w:pos="-1440"/>
          <w:tab w:val="left" w:pos="-720"/>
          <w:tab w:val="left" w:pos="2268"/>
          <w:tab w:val="left" w:pos="5668"/>
        </w:tabs>
        <w:suppressAutoHyphens/>
        <w:spacing w:line="360" w:lineRule="auto"/>
        <w:jc w:val="both"/>
        <w:rPr>
          <w:rFonts w:ascii="Arial" w:hAnsi="Arial" w:cs="Arial"/>
          <w:b/>
          <w:spacing w:val="-3"/>
          <w:sz w:val="2"/>
          <w:szCs w:val="24"/>
        </w:rPr>
      </w:pPr>
    </w:p>
    <w:p w14:paraId="5678C3EE" w14:textId="77777777" w:rsidR="00233AB9" w:rsidRDefault="00233AB9" w:rsidP="00233AB9">
      <w:pPr>
        <w:tabs>
          <w:tab w:val="left" w:pos="-1440"/>
          <w:tab w:val="left" w:pos="-720"/>
          <w:tab w:val="left" w:pos="2268"/>
          <w:tab w:val="left" w:pos="5668"/>
        </w:tabs>
        <w:suppressAutoHyphens/>
        <w:spacing w:line="360" w:lineRule="auto"/>
        <w:jc w:val="both"/>
        <w:rPr>
          <w:rFonts w:ascii="Arial" w:hAnsi="Arial" w:cs="Arial"/>
          <w:b/>
          <w:spacing w:val="-3"/>
          <w:sz w:val="2"/>
          <w:szCs w:val="24"/>
        </w:rPr>
      </w:pPr>
    </w:p>
    <w:p w14:paraId="72015288" w14:textId="77777777" w:rsidR="00233AB9" w:rsidRDefault="00233AB9" w:rsidP="00233AB9">
      <w:pPr>
        <w:tabs>
          <w:tab w:val="left" w:pos="-1440"/>
          <w:tab w:val="left" w:pos="-720"/>
          <w:tab w:val="left" w:pos="2268"/>
          <w:tab w:val="left" w:pos="5668"/>
        </w:tabs>
        <w:suppressAutoHyphens/>
        <w:spacing w:line="360" w:lineRule="auto"/>
        <w:jc w:val="both"/>
        <w:rPr>
          <w:rFonts w:ascii="Arial" w:hAnsi="Arial" w:cs="Arial"/>
          <w:b/>
          <w:spacing w:val="-3"/>
          <w:sz w:val="2"/>
          <w:szCs w:val="24"/>
        </w:rPr>
      </w:pPr>
    </w:p>
    <w:p w14:paraId="37C819C7" w14:textId="77777777" w:rsidR="00233AB9" w:rsidRDefault="00233AB9" w:rsidP="00233AB9">
      <w:pPr>
        <w:tabs>
          <w:tab w:val="left" w:pos="-1440"/>
          <w:tab w:val="left" w:pos="-720"/>
          <w:tab w:val="left" w:pos="2268"/>
          <w:tab w:val="left" w:pos="5668"/>
        </w:tabs>
        <w:suppressAutoHyphens/>
        <w:spacing w:line="360" w:lineRule="auto"/>
        <w:jc w:val="both"/>
        <w:rPr>
          <w:rFonts w:ascii="Arial" w:hAnsi="Arial" w:cs="Arial"/>
          <w:b/>
          <w:spacing w:val="-3"/>
          <w:sz w:val="2"/>
          <w:szCs w:val="24"/>
        </w:rPr>
      </w:pPr>
    </w:p>
    <w:p w14:paraId="1291B034" w14:textId="77777777" w:rsidR="00233AB9" w:rsidRDefault="00233AB9" w:rsidP="00233AB9">
      <w:pPr>
        <w:tabs>
          <w:tab w:val="left" w:pos="-1440"/>
          <w:tab w:val="left" w:pos="-720"/>
          <w:tab w:val="left" w:pos="2268"/>
          <w:tab w:val="left" w:pos="5668"/>
        </w:tabs>
        <w:suppressAutoHyphens/>
        <w:spacing w:line="360" w:lineRule="auto"/>
        <w:jc w:val="both"/>
        <w:rPr>
          <w:rFonts w:ascii="Arial" w:hAnsi="Arial" w:cs="Arial"/>
          <w:b/>
          <w:spacing w:val="-3"/>
          <w:sz w:val="2"/>
          <w:szCs w:val="24"/>
        </w:rPr>
      </w:pPr>
    </w:p>
    <w:p w14:paraId="7A21643F" w14:textId="77777777" w:rsidR="00233AB9" w:rsidRDefault="00233AB9" w:rsidP="00233AB9">
      <w:pPr>
        <w:tabs>
          <w:tab w:val="left" w:pos="-1440"/>
          <w:tab w:val="left" w:pos="-720"/>
          <w:tab w:val="left" w:pos="2268"/>
          <w:tab w:val="left" w:pos="5668"/>
        </w:tabs>
        <w:suppressAutoHyphens/>
        <w:spacing w:line="360" w:lineRule="auto"/>
        <w:jc w:val="both"/>
        <w:rPr>
          <w:rFonts w:ascii="Arial" w:hAnsi="Arial" w:cs="Arial"/>
          <w:b/>
          <w:spacing w:val="-3"/>
          <w:sz w:val="2"/>
          <w:szCs w:val="24"/>
        </w:rPr>
      </w:pPr>
    </w:p>
    <w:p w14:paraId="6E0FCF47" w14:textId="77777777" w:rsidR="00233AB9" w:rsidRDefault="00233AB9" w:rsidP="00233AB9">
      <w:pPr>
        <w:tabs>
          <w:tab w:val="left" w:pos="-1440"/>
          <w:tab w:val="left" w:pos="-720"/>
          <w:tab w:val="left" w:pos="2268"/>
          <w:tab w:val="left" w:pos="5668"/>
        </w:tabs>
        <w:suppressAutoHyphens/>
        <w:spacing w:line="360" w:lineRule="auto"/>
        <w:jc w:val="both"/>
        <w:rPr>
          <w:rFonts w:ascii="Arial" w:hAnsi="Arial" w:cs="Arial"/>
          <w:b/>
          <w:spacing w:val="-3"/>
          <w:sz w:val="2"/>
          <w:szCs w:val="24"/>
        </w:rPr>
      </w:pPr>
    </w:p>
    <w:p w14:paraId="6F8FC383" w14:textId="77777777" w:rsidR="00233AB9" w:rsidRDefault="00233AB9" w:rsidP="00233AB9">
      <w:pPr>
        <w:tabs>
          <w:tab w:val="left" w:pos="-1440"/>
          <w:tab w:val="left" w:pos="-720"/>
          <w:tab w:val="left" w:pos="2268"/>
          <w:tab w:val="left" w:pos="5668"/>
        </w:tabs>
        <w:suppressAutoHyphens/>
        <w:spacing w:line="360" w:lineRule="auto"/>
        <w:jc w:val="both"/>
        <w:rPr>
          <w:rFonts w:ascii="Arial" w:hAnsi="Arial" w:cs="Arial"/>
          <w:b/>
          <w:spacing w:val="-3"/>
          <w:sz w:val="2"/>
          <w:szCs w:val="24"/>
        </w:rPr>
      </w:pPr>
    </w:p>
    <w:p w14:paraId="794C6801" w14:textId="77777777" w:rsidR="00233AB9" w:rsidRDefault="00233AB9" w:rsidP="00233AB9">
      <w:pPr>
        <w:tabs>
          <w:tab w:val="left" w:pos="-1440"/>
          <w:tab w:val="left" w:pos="-720"/>
          <w:tab w:val="left" w:pos="2268"/>
          <w:tab w:val="left" w:pos="5668"/>
        </w:tabs>
        <w:suppressAutoHyphens/>
        <w:spacing w:line="360" w:lineRule="auto"/>
        <w:jc w:val="both"/>
        <w:rPr>
          <w:rFonts w:ascii="Arial" w:hAnsi="Arial" w:cs="Arial"/>
          <w:b/>
          <w:spacing w:val="-3"/>
          <w:sz w:val="2"/>
          <w:szCs w:val="24"/>
        </w:rPr>
      </w:pPr>
    </w:p>
    <w:p w14:paraId="033EF277" w14:textId="77777777" w:rsidR="00233AB9" w:rsidRDefault="00233AB9" w:rsidP="00233AB9">
      <w:pPr>
        <w:tabs>
          <w:tab w:val="left" w:pos="-1440"/>
          <w:tab w:val="left" w:pos="-720"/>
          <w:tab w:val="left" w:pos="2268"/>
          <w:tab w:val="left" w:pos="5668"/>
        </w:tabs>
        <w:suppressAutoHyphens/>
        <w:spacing w:line="360" w:lineRule="auto"/>
        <w:jc w:val="both"/>
        <w:rPr>
          <w:rFonts w:ascii="Arial" w:hAnsi="Arial" w:cs="Arial"/>
          <w:b/>
          <w:spacing w:val="-3"/>
          <w:sz w:val="2"/>
          <w:szCs w:val="24"/>
        </w:rPr>
      </w:pPr>
    </w:p>
    <w:p w14:paraId="20E87BB3" w14:textId="77777777" w:rsidR="00233AB9" w:rsidRPr="006A11AC" w:rsidRDefault="00233AB9" w:rsidP="00233AB9">
      <w:pPr>
        <w:tabs>
          <w:tab w:val="left" w:pos="-1440"/>
          <w:tab w:val="left" w:pos="-720"/>
          <w:tab w:val="left" w:pos="2268"/>
          <w:tab w:val="left" w:pos="5668"/>
        </w:tabs>
        <w:suppressAutoHyphens/>
        <w:spacing w:line="360" w:lineRule="auto"/>
        <w:jc w:val="both"/>
        <w:rPr>
          <w:rFonts w:ascii="Arial" w:hAnsi="Arial" w:cs="Arial"/>
          <w:b/>
          <w:spacing w:val="-3"/>
          <w:sz w:val="2"/>
          <w:szCs w:val="24"/>
        </w:rPr>
      </w:pPr>
    </w:p>
    <w:p w14:paraId="11DE4BEA" w14:textId="77777777" w:rsidR="00233AB9" w:rsidRPr="009177A8" w:rsidRDefault="00233AB9" w:rsidP="00233AB9">
      <w:pPr>
        <w:tabs>
          <w:tab w:val="left" w:pos="-1440"/>
          <w:tab w:val="left" w:pos="-720"/>
          <w:tab w:val="left" w:pos="2268"/>
          <w:tab w:val="left" w:pos="5668"/>
        </w:tabs>
        <w:suppressAutoHyphens/>
        <w:jc w:val="both"/>
        <w:rPr>
          <w:rFonts w:ascii="Arial" w:hAnsi="Arial" w:cs="Arial"/>
          <w:b/>
          <w:spacing w:val="-3"/>
          <w:sz w:val="24"/>
          <w:szCs w:val="24"/>
        </w:rPr>
      </w:pPr>
    </w:p>
    <w:p w14:paraId="1812F7DF" w14:textId="77777777" w:rsidR="00762D67" w:rsidRPr="009177A8" w:rsidRDefault="00762D67" w:rsidP="00233AB9">
      <w:pPr>
        <w:suppressAutoHyphens/>
        <w:jc w:val="both"/>
        <w:rPr>
          <w:rFonts w:ascii="Arial" w:hAnsi="Arial" w:cs="Arial"/>
          <w:b/>
          <w:spacing w:val="-3"/>
          <w:sz w:val="24"/>
          <w:szCs w:val="24"/>
        </w:rPr>
      </w:pPr>
    </w:p>
    <w:p w14:paraId="2ABBF1C4" w14:textId="77777777" w:rsidR="009177A8" w:rsidRPr="009177A8" w:rsidRDefault="009177A8" w:rsidP="00233AB9">
      <w:pPr>
        <w:tabs>
          <w:tab w:val="left" w:pos="-1440"/>
          <w:tab w:val="left" w:pos="-720"/>
          <w:tab w:val="left" w:pos="2268"/>
          <w:tab w:val="left" w:pos="5668"/>
        </w:tabs>
        <w:suppressAutoHyphens/>
        <w:jc w:val="center"/>
        <w:rPr>
          <w:rFonts w:ascii="Arial" w:hAnsi="Arial" w:cs="Arial"/>
          <w:b/>
          <w:spacing w:val="-3"/>
        </w:rPr>
      </w:pPr>
      <w:r w:rsidRPr="009177A8">
        <w:rPr>
          <w:rFonts w:ascii="Arial" w:hAnsi="Arial" w:cs="Arial"/>
          <w:b/>
          <w:spacing w:val="-3"/>
        </w:rPr>
        <w:t>OSWALDO GIRALDO LÓPEZ</w:t>
      </w:r>
    </w:p>
    <w:p w14:paraId="0736B82F" w14:textId="77777777" w:rsidR="009A6404" w:rsidRPr="002225EF" w:rsidRDefault="009177A8" w:rsidP="00363FB6">
      <w:pPr>
        <w:tabs>
          <w:tab w:val="left" w:pos="-1440"/>
          <w:tab w:val="left" w:pos="-720"/>
          <w:tab w:val="left" w:pos="2268"/>
          <w:tab w:val="left" w:pos="5668"/>
        </w:tabs>
        <w:suppressAutoHyphens/>
        <w:jc w:val="center"/>
        <w:rPr>
          <w:b/>
          <w:bCs/>
        </w:rPr>
      </w:pPr>
      <w:r w:rsidRPr="002225EF">
        <w:rPr>
          <w:rFonts w:ascii="Arial" w:hAnsi="Arial" w:cs="Arial"/>
          <w:b/>
          <w:bCs/>
          <w:spacing w:val="-3"/>
        </w:rPr>
        <w:t xml:space="preserve">Consejero de Estado </w:t>
      </w:r>
    </w:p>
    <w:sectPr w:rsidR="009A6404" w:rsidRPr="002225EF" w:rsidSect="00233AB9">
      <w:headerReference w:type="default" r:id="rId10"/>
      <w:footerReference w:type="default" r:id="rId11"/>
      <w:headerReference w:type="first" r:id="rId12"/>
      <w:pgSz w:w="12242" w:h="18722" w:code="14"/>
      <w:pgMar w:top="892" w:right="1701" w:bottom="1701" w:left="1701"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662BCE" w14:textId="77777777" w:rsidR="004E5F00" w:rsidRDefault="004E5F00">
      <w:r>
        <w:separator/>
      </w:r>
    </w:p>
  </w:endnote>
  <w:endnote w:type="continuationSeparator" w:id="0">
    <w:p w14:paraId="43E809AF" w14:textId="77777777" w:rsidR="004E5F00" w:rsidRDefault="004E5F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5179D2" w14:textId="77777777" w:rsidR="002165F9" w:rsidRPr="006E15A8" w:rsidRDefault="002165F9" w:rsidP="002165F9">
    <w:pPr>
      <w:tabs>
        <w:tab w:val="center" w:pos="4252"/>
        <w:tab w:val="right" w:pos="8504"/>
      </w:tabs>
      <w:jc w:val="center"/>
      <w:rPr>
        <w:rFonts w:ascii="Verdana" w:hAnsi="Verdana" w:cs="Arial"/>
        <w:color w:val="767171"/>
        <w:sz w:val="20"/>
        <w:szCs w:val="20"/>
      </w:rPr>
    </w:pPr>
    <w:r w:rsidRPr="006E15A8">
      <w:rPr>
        <w:rFonts w:ascii="Verdana" w:hAnsi="Verdana" w:cs="Arial"/>
        <w:color w:val="767171"/>
        <w:sz w:val="20"/>
        <w:szCs w:val="20"/>
      </w:rPr>
      <w:t>Calle 12 No. 7-65 – Tel: (57-1) 350-6700 – Bogotá D.C. – Colombia</w:t>
    </w:r>
  </w:p>
  <w:p w14:paraId="6CBB403B" w14:textId="77777777" w:rsidR="002165F9" w:rsidRPr="006E15A8" w:rsidRDefault="002165F9" w:rsidP="002165F9">
    <w:pPr>
      <w:tabs>
        <w:tab w:val="center" w:pos="4252"/>
        <w:tab w:val="right" w:pos="8504"/>
      </w:tabs>
      <w:jc w:val="center"/>
      <w:rPr>
        <w:rFonts w:ascii="Verdana" w:hAnsi="Verdana" w:cs="Arial"/>
        <w:color w:val="767171"/>
        <w:sz w:val="20"/>
        <w:szCs w:val="20"/>
      </w:rPr>
    </w:pPr>
    <w:r w:rsidRPr="006E15A8">
      <w:rPr>
        <w:rFonts w:ascii="Verdana" w:hAnsi="Verdana" w:cs="Arial"/>
        <w:color w:val="767171"/>
        <w:sz w:val="20"/>
        <w:szCs w:val="20"/>
      </w:rPr>
      <w:t>www.consejodeestado.gov.co</w:t>
    </w:r>
  </w:p>
  <w:p w14:paraId="669C1A8E" w14:textId="77777777" w:rsidR="002165F9" w:rsidRPr="006E15A8" w:rsidRDefault="002165F9" w:rsidP="002165F9">
    <w:pPr>
      <w:tabs>
        <w:tab w:val="center" w:pos="4252"/>
        <w:tab w:val="right" w:pos="8504"/>
      </w:tabs>
      <w:jc w:val="right"/>
      <w:rPr>
        <w:rFonts w:ascii="Arial" w:hAnsi="Arial"/>
        <w:sz w:val="20"/>
        <w:szCs w:val="20"/>
      </w:rPr>
    </w:pPr>
  </w:p>
  <w:p w14:paraId="0DB3B4FF" w14:textId="77777777" w:rsidR="002165F9" w:rsidRDefault="002165F9" w:rsidP="002165F9">
    <w:pPr>
      <w:pStyle w:val="Piedepgina"/>
      <w:jc w:val="right"/>
    </w:pPr>
    <w:r>
      <w:fldChar w:fldCharType="begin"/>
    </w:r>
    <w:r>
      <w:instrText>PAGE   \* MERGEFORMAT</w:instrText>
    </w:r>
    <w:r>
      <w:fldChar w:fldCharType="separate"/>
    </w:r>
    <w:r w:rsidR="00873616">
      <w:rPr>
        <w:noProof/>
      </w:rPr>
      <w:t>3</w:t>
    </w:r>
    <w:r>
      <w:fldChar w:fldCharType="end"/>
    </w:r>
  </w:p>
  <w:p w14:paraId="42335455" w14:textId="77777777" w:rsidR="002165F9" w:rsidRDefault="002165F9" w:rsidP="002165F9">
    <w:pPr>
      <w:pStyle w:val="Piedepgina"/>
    </w:pPr>
  </w:p>
  <w:p w14:paraId="46371579" w14:textId="77777777" w:rsidR="002165F9" w:rsidRDefault="002165F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D040AE" w14:textId="77777777" w:rsidR="004E5F00" w:rsidRDefault="004E5F00">
      <w:r>
        <w:separator/>
      </w:r>
    </w:p>
  </w:footnote>
  <w:footnote w:type="continuationSeparator" w:id="0">
    <w:p w14:paraId="6A2E1A58" w14:textId="77777777" w:rsidR="004E5F00" w:rsidRDefault="004E5F00">
      <w:r>
        <w:continuationSeparator/>
      </w:r>
    </w:p>
  </w:footnote>
  <w:footnote w:id="1">
    <w:p w14:paraId="014DA66B" w14:textId="77777777" w:rsidR="009F505A" w:rsidRPr="00C12DC6" w:rsidRDefault="009F505A" w:rsidP="002F07D8">
      <w:pPr>
        <w:pStyle w:val="Textonotapie"/>
        <w:jc w:val="both"/>
        <w:rPr>
          <w:rFonts w:ascii="Arial" w:hAnsi="Arial" w:cs="Arial"/>
          <w:lang w:val="es-CO"/>
        </w:rPr>
      </w:pPr>
      <w:r w:rsidRPr="00694DB9">
        <w:rPr>
          <w:rStyle w:val="Refdenotaalpie"/>
          <w:rFonts w:ascii="Arial" w:hAnsi="Arial" w:cs="Arial"/>
        </w:rPr>
        <w:footnoteRef/>
      </w:r>
      <w:r w:rsidRPr="00694DB9">
        <w:rPr>
          <w:rFonts w:ascii="Arial" w:hAnsi="Arial" w:cs="Arial"/>
        </w:rPr>
        <w:t xml:space="preserve"> </w:t>
      </w:r>
      <w:r w:rsidR="002F07D8" w:rsidRPr="00694DB9">
        <w:rPr>
          <w:rFonts w:ascii="Arial" w:hAnsi="Arial" w:cs="Arial"/>
        </w:rPr>
        <w:t xml:space="preserve">Enviado desde la dirección </w:t>
      </w:r>
      <w:hyperlink r:id="rId1" w:history="1">
        <w:r w:rsidR="00A63DC9" w:rsidRPr="00F13471">
          <w:rPr>
            <w:rStyle w:val="Hipervnculo"/>
            <w:rFonts w:ascii="Arial" w:hAnsi="Arial" w:cs="Arial"/>
          </w:rPr>
          <w:t>apptutelasbta@cendoj.ramajudicial.gov.co</w:t>
        </w:r>
      </w:hyperlink>
      <w:r w:rsidR="00A63DC9">
        <w:rPr>
          <w:rFonts w:ascii="Arial" w:hAnsi="Arial" w:cs="Arial"/>
        </w:rPr>
        <w:t xml:space="preserve"> </w:t>
      </w:r>
      <w:r w:rsidR="002F07D8" w:rsidRPr="00694DB9">
        <w:rPr>
          <w:rFonts w:ascii="Arial" w:hAnsi="Arial" w:cs="Arial"/>
        </w:rPr>
        <w:t xml:space="preserve">el </w:t>
      </w:r>
      <w:r w:rsidR="00A63DC9">
        <w:rPr>
          <w:rFonts w:ascii="Arial" w:hAnsi="Arial" w:cs="Arial"/>
        </w:rPr>
        <w:t>jueves</w:t>
      </w:r>
      <w:r w:rsidR="002F07D8" w:rsidRPr="00694DB9">
        <w:rPr>
          <w:rFonts w:ascii="Arial" w:hAnsi="Arial" w:cs="Arial"/>
        </w:rPr>
        <w:t xml:space="preserve">, </w:t>
      </w:r>
      <w:r w:rsidR="00A63DC9">
        <w:rPr>
          <w:rFonts w:ascii="Arial" w:hAnsi="Arial" w:cs="Arial"/>
        </w:rPr>
        <w:t>29</w:t>
      </w:r>
      <w:r w:rsidR="002F07D8" w:rsidRPr="00694DB9">
        <w:rPr>
          <w:rFonts w:ascii="Arial" w:hAnsi="Arial" w:cs="Arial"/>
        </w:rPr>
        <w:t xml:space="preserve"> de </w:t>
      </w:r>
      <w:r w:rsidR="00A63DC9">
        <w:rPr>
          <w:rFonts w:ascii="Arial" w:hAnsi="Arial" w:cs="Arial"/>
        </w:rPr>
        <w:t>octubre</w:t>
      </w:r>
      <w:r w:rsidR="002F07D8" w:rsidRPr="00694DB9">
        <w:rPr>
          <w:rFonts w:ascii="Arial" w:hAnsi="Arial" w:cs="Arial"/>
        </w:rPr>
        <w:t xml:space="preserve"> de 2020 a la Secretaria General Conse</w:t>
      </w:r>
      <w:r w:rsidR="002F07D8" w:rsidRPr="00C12DC6">
        <w:rPr>
          <w:rFonts w:ascii="Arial" w:hAnsi="Arial" w:cs="Arial"/>
        </w:rPr>
        <w:t xml:space="preserve">jo De Estado </w:t>
      </w:r>
      <w:hyperlink r:id="rId2" w:history="1">
        <w:r w:rsidR="003A3757" w:rsidRPr="00C12DC6">
          <w:rPr>
            <w:rStyle w:val="Hipervnculo"/>
            <w:rFonts w:ascii="Arial" w:hAnsi="Arial" w:cs="Arial"/>
          </w:rPr>
          <w:t>secgeneral@consejoestado.ramajudicial.gov.co</w:t>
        </w:r>
      </w:hyperlink>
      <w:r w:rsidR="00A63DC9">
        <w:rPr>
          <w:rFonts w:ascii="Arial" w:hAnsi="Arial" w:cs="Arial"/>
        </w:rPr>
        <w:t>, archivo “</w:t>
      </w:r>
      <w:r w:rsidR="00A63DC9" w:rsidRPr="00A63DC9">
        <w:rPr>
          <w:rFonts w:ascii="Arial" w:hAnsi="Arial" w:cs="Arial"/>
        </w:rPr>
        <w:t>1_110010315000202100085001expedientedigi2021115104456</w:t>
      </w:r>
      <w:r w:rsidR="00A63DC9">
        <w:rPr>
          <w:rFonts w:ascii="Arial" w:hAnsi="Arial" w:cs="Arial"/>
        </w:rPr>
        <w:t xml:space="preserve">”. El expediente fue repartido al Despacho el viernes, 15 de enero de 2021, según consta en el acta de reparto contenida en el archivo </w:t>
      </w:r>
      <w:r w:rsidR="00A63DC9" w:rsidRPr="00A63DC9">
        <w:rPr>
          <w:rFonts w:ascii="Arial" w:hAnsi="Arial" w:cs="Arial"/>
        </w:rPr>
        <w:t>5_110010315000202100085001aldespachopor2021115104631</w:t>
      </w:r>
      <w:r w:rsidR="00A63DC9">
        <w:rPr>
          <w:rFonts w:ascii="Arial" w:hAnsi="Arial" w:cs="Arial"/>
        </w:rPr>
        <w:t>, índice 3 del sistema de información judicial SAMAI.</w:t>
      </w:r>
    </w:p>
  </w:footnote>
  <w:footnote w:id="2">
    <w:p w14:paraId="1AF60913" w14:textId="77777777" w:rsidR="00091D99" w:rsidRPr="00C12DC6" w:rsidRDefault="00091D99" w:rsidP="009F56C8">
      <w:pPr>
        <w:pStyle w:val="Textonotapie"/>
        <w:jc w:val="both"/>
        <w:rPr>
          <w:rFonts w:ascii="Arial" w:hAnsi="Arial" w:cs="Arial"/>
          <w:lang w:val="es-CO"/>
        </w:rPr>
      </w:pPr>
      <w:r w:rsidRPr="00694DB9">
        <w:rPr>
          <w:rStyle w:val="Refdenotaalpie"/>
          <w:rFonts w:ascii="Arial" w:hAnsi="Arial" w:cs="Arial"/>
        </w:rPr>
        <w:footnoteRef/>
      </w:r>
      <w:r w:rsidRPr="00694DB9">
        <w:rPr>
          <w:rFonts w:ascii="Arial" w:hAnsi="Arial" w:cs="Arial"/>
        </w:rPr>
        <w:t xml:space="preserve"> </w:t>
      </w:r>
      <w:r w:rsidRPr="00C12DC6">
        <w:rPr>
          <w:rFonts w:ascii="Arial" w:hAnsi="Arial" w:cs="Arial"/>
          <w:lang w:val="es-CO"/>
        </w:rPr>
        <w:t xml:space="preserve">Visto </w:t>
      </w:r>
      <w:r w:rsidR="008714D8" w:rsidRPr="00C12DC6">
        <w:rPr>
          <w:rFonts w:ascii="Arial" w:hAnsi="Arial" w:cs="Arial"/>
          <w:lang w:val="es-CO"/>
        </w:rPr>
        <w:t xml:space="preserve">en el folio </w:t>
      </w:r>
      <w:r w:rsidR="009F56C8">
        <w:rPr>
          <w:rFonts w:ascii="Arial" w:hAnsi="Arial" w:cs="Arial"/>
          <w:lang w:val="es-CO"/>
        </w:rPr>
        <w:t>2</w:t>
      </w:r>
      <w:r w:rsidR="008714D8" w:rsidRPr="00C12DC6">
        <w:rPr>
          <w:rFonts w:ascii="Arial" w:hAnsi="Arial" w:cs="Arial"/>
          <w:lang w:val="es-CO"/>
        </w:rPr>
        <w:t xml:space="preserve"> </w:t>
      </w:r>
      <w:r w:rsidRPr="00C12DC6">
        <w:rPr>
          <w:rFonts w:ascii="Arial" w:hAnsi="Arial" w:cs="Arial"/>
          <w:lang w:val="es-CO"/>
        </w:rPr>
        <w:t>del escrito de acción de tutela</w:t>
      </w:r>
      <w:r w:rsidR="009F56C8">
        <w:rPr>
          <w:rFonts w:ascii="Arial" w:hAnsi="Arial" w:cs="Arial"/>
          <w:lang w:val="es-CO"/>
        </w:rPr>
        <w:t xml:space="preserve"> contenido en el archivo “</w:t>
      </w:r>
      <w:r w:rsidR="00B06100" w:rsidRPr="00B06100">
        <w:rPr>
          <w:rFonts w:ascii="Arial" w:hAnsi="Arial" w:cs="Arial"/>
          <w:lang w:val="es-CO"/>
        </w:rPr>
        <w:t>2_110010315000202100085002expedientedigi2021115104456</w:t>
      </w:r>
      <w:r w:rsidR="009F56C8">
        <w:rPr>
          <w:rFonts w:ascii="Arial" w:hAnsi="Arial" w:cs="Arial"/>
          <w:lang w:val="es-CO"/>
        </w:rPr>
        <w:t>”</w:t>
      </w:r>
      <w:r w:rsidR="00B06100">
        <w:rPr>
          <w:rFonts w:ascii="Arial" w:hAnsi="Arial" w:cs="Arial"/>
          <w:lang w:val="es-CO"/>
        </w:rPr>
        <w:t>.</w:t>
      </w:r>
    </w:p>
  </w:footnote>
  <w:footnote w:id="3">
    <w:p w14:paraId="6BC6EC34" w14:textId="77777777" w:rsidR="00CF2574" w:rsidRPr="00CF2574" w:rsidRDefault="00CF2574" w:rsidP="00CF2574">
      <w:pPr>
        <w:pStyle w:val="Textonotapie"/>
        <w:jc w:val="both"/>
        <w:rPr>
          <w:rFonts w:ascii="Arial" w:hAnsi="Arial" w:cs="Arial"/>
          <w:lang w:val="es-CO"/>
        </w:rPr>
      </w:pPr>
      <w:r w:rsidRPr="00CF2574">
        <w:rPr>
          <w:rStyle w:val="Refdenotaalpie"/>
          <w:rFonts w:ascii="Arial" w:hAnsi="Arial" w:cs="Arial"/>
        </w:rPr>
        <w:footnoteRef/>
      </w:r>
      <w:r w:rsidRPr="00CF2574">
        <w:rPr>
          <w:rFonts w:ascii="Arial" w:hAnsi="Arial" w:cs="Arial"/>
        </w:rPr>
        <w:t xml:space="preserve"> </w:t>
      </w:r>
      <w:r w:rsidRPr="00CF2574">
        <w:rPr>
          <w:rFonts w:ascii="Arial" w:hAnsi="Arial" w:cs="Arial"/>
          <w:lang w:val="es-CO"/>
        </w:rPr>
        <w:t xml:space="preserve">La Resolución nro.  nro. CJR20-0202 del 27 de octubre de 2020, en el artículo primero dispuso: </w:t>
      </w:r>
      <w:r w:rsidRPr="00CF2574">
        <w:rPr>
          <w:rFonts w:ascii="Arial" w:hAnsi="Arial" w:cs="Arial"/>
          <w:i/>
          <w:iCs/>
          <w:lang w:val="es-CO"/>
        </w:rPr>
        <w:t>“</w:t>
      </w:r>
      <w:r w:rsidRPr="00CF2574">
        <w:rPr>
          <w:rFonts w:ascii="Arial" w:hAnsi="Arial" w:cs="Arial"/>
          <w:i/>
          <w:iCs/>
        </w:rPr>
        <w:t>Artículo 1.° CORREGIR la actuación administrativa contenida en las resoluciones CJR19-0679 y CJR19-0877 de 2019; CJR20-0185, CJR20-0187, CJR20-0188, CJR20- 0189 y CJR20-0200 de 2020, junto con los demás actos administrativos expedidos durante el procedimiento que se corrige, desde la citación a las pruebas de conocimientos generales.”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55CC18" w14:textId="77777777" w:rsidR="00502156" w:rsidRPr="00502156" w:rsidRDefault="000D44C9" w:rsidP="00233AB9">
    <w:pPr>
      <w:tabs>
        <w:tab w:val="center" w:pos="4252"/>
        <w:tab w:val="right" w:pos="8504"/>
      </w:tabs>
      <w:jc w:val="center"/>
      <w:rPr>
        <w:rFonts w:ascii="Arial" w:hAnsi="Arial"/>
        <w:sz w:val="20"/>
        <w:szCs w:val="20"/>
      </w:rPr>
    </w:pPr>
    <w:r>
      <w:rPr>
        <w:noProof/>
      </w:rPr>
      <w:drawing>
        <wp:anchor distT="0" distB="0" distL="114300" distR="114300" simplePos="0" relativeHeight="251658240" behindDoc="0" locked="0" layoutInCell="1" allowOverlap="1" wp14:anchorId="6B1885E5" wp14:editId="26D5A4DE">
          <wp:simplePos x="0" y="0"/>
          <wp:positionH relativeFrom="column">
            <wp:posOffset>-133350</wp:posOffset>
          </wp:positionH>
          <wp:positionV relativeFrom="paragraph">
            <wp:posOffset>-18415</wp:posOffset>
          </wp:positionV>
          <wp:extent cx="1099185" cy="981710"/>
          <wp:effectExtent l="0" t="0" r="0" b="0"/>
          <wp:wrapSquare wrapText="bothSides"/>
          <wp:docPr id="2" name="Imagen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9185" cy="981710"/>
                  </a:xfrm>
                  <a:prstGeom prst="rect">
                    <a:avLst/>
                  </a:prstGeom>
                  <a:noFill/>
                  <a:ln>
                    <a:noFill/>
                  </a:ln>
                </pic:spPr>
              </pic:pic>
            </a:graphicData>
          </a:graphic>
          <wp14:sizeRelH relativeFrom="page">
            <wp14:pctWidth>0</wp14:pctWidth>
          </wp14:sizeRelH>
          <wp14:sizeRelV relativeFrom="page">
            <wp14:pctHeight>0</wp14:pctHeight>
          </wp14:sizeRelV>
        </wp:anchor>
      </w:drawing>
    </w:r>
    <w:r w:rsidR="00502156" w:rsidRPr="00502156">
      <w:rPr>
        <w:rFonts w:ascii="Arial" w:hAnsi="Arial"/>
        <w:sz w:val="20"/>
        <w:szCs w:val="20"/>
      </w:rPr>
      <w:t xml:space="preserve">                                                                                 </w:t>
    </w:r>
  </w:p>
  <w:p w14:paraId="6F83A436" w14:textId="77777777" w:rsidR="00502156" w:rsidRPr="00502156" w:rsidRDefault="00502156" w:rsidP="00502156">
    <w:pPr>
      <w:tabs>
        <w:tab w:val="center" w:pos="4252"/>
        <w:tab w:val="right" w:pos="8504"/>
      </w:tabs>
      <w:jc w:val="both"/>
      <w:rPr>
        <w:rFonts w:ascii="Verdana" w:hAnsi="Verdana" w:cs="Arial"/>
        <w:sz w:val="20"/>
        <w:szCs w:val="20"/>
      </w:rPr>
    </w:pPr>
  </w:p>
  <w:p w14:paraId="283F903F" w14:textId="77777777" w:rsidR="00502156" w:rsidRPr="00502156" w:rsidRDefault="000D44C9" w:rsidP="00502156">
    <w:pPr>
      <w:tabs>
        <w:tab w:val="center" w:pos="4252"/>
        <w:tab w:val="right" w:pos="8504"/>
      </w:tabs>
      <w:jc w:val="both"/>
      <w:rPr>
        <w:rFonts w:ascii="Verdana" w:hAnsi="Verdana" w:cs="Arial"/>
        <w:sz w:val="20"/>
        <w:szCs w:val="20"/>
      </w:rPr>
    </w:pPr>
    <w:r>
      <w:rPr>
        <w:noProof/>
      </w:rPr>
      <mc:AlternateContent>
        <mc:Choice Requires="wps">
          <w:drawing>
            <wp:anchor distT="4294967294" distB="4294967294" distL="114300" distR="114300" simplePos="0" relativeHeight="251657216" behindDoc="0" locked="0" layoutInCell="1" allowOverlap="1" wp14:anchorId="6D22AA18" wp14:editId="65E44591">
              <wp:simplePos x="0" y="0"/>
              <wp:positionH relativeFrom="column">
                <wp:posOffset>1567815</wp:posOffset>
              </wp:positionH>
              <wp:positionV relativeFrom="paragraph">
                <wp:posOffset>22224</wp:posOffset>
              </wp:positionV>
              <wp:extent cx="5400040" cy="0"/>
              <wp:effectExtent l="0" t="12700" r="10160" b="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400040" cy="0"/>
                      </a:xfrm>
                      <a:prstGeom prst="straightConnector1">
                        <a:avLst/>
                      </a:prstGeom>
                      <a:noFill/>
                      <a:ln w="28575">
                        <a:solidFill>
                          <a:srgbClr val="000000"/>
                        </a:solidFill>
                        <a:round/>
                        <a:headEnd/>
                        <a:tailEnd/>
                      </a:ln>
                      <a:effectLst/>
                    </wps:spPr>
                    <wps:bodyPr/>
                  </wps:wsp>
                </a:graphicData>
              </a:graphic>
              <wp14:sizeRelH relativeFrom="page">
                <wp14:pctWidth>0</wp14:pctWidth>
              </wp14:sizeRelH>
              <wp14:sizeRelV relativeFrom="page">
                <wp14:pctHeight>0</wp14:pctHeight>
              </wp14:sizeRelV>
            </wp:anchor>
          </w:drawing>
        </mc:Choice>
        <mc:Fallback>
          <w:pict>
            <v:shapetype w14:anchorId="15703FEA" id="_x0000_t32" coordsize="21600,21600" o:spt="32" o:oned="t" path="m,l21600,21600e" filled="f">
              <v:path arrowok="t" fillok="f" o:connecttype="none"/>
              <o:lock v:ext="edit" shapetype="t"/>
            </v:shapetype>
            <v:shape id="AutoShape 1" o:spid="_x0000_s1026" type="#_x0000_t32" style="position:absolute;margin-left:123.45pt;margin-top:1.75pt;width:425.2pt;height:0;z-index:251657216;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" strokeweight="2.25pt">
              <o:lock v:ext="edit" shapetype="f"/>
            </v:shape>
          </w:pict>
        </mc:Fallback>
      </mc:AlternateContent>
    </w:r>
  </w:p>
  <w:p w14:paraId="298D98A1" w14:textId="77777777" w:rsidR="0021762C" w:rsidRPr="00502156" w:rsidRDefault="00502156" w:rsidP="0021762C">
    <w:pPr>
      <w:tabs>
        <w:tab w:val="center" w:pos="4252"/>
        <w:tab w:val="right" w:pos="8504"/>
      </w:tabs>
      <w:jc w:val="right"/>
      <w:rPr>
        <w:rFonts w:ascii="Verdana" w:hAnsi="Verdana" w:cs="Arial"/>
        <w:bCs/>
        <w:color w:val="808080"/>
        <w:sz w:val="20"/>
        <w:szCs w:val="20"/>
      </w:rPr>
    </w:pPr>
    <w:r w:rsidRPr="00502156">
      <w:rPr>
        <w:rFonts w:ascii="Verdana" w:hAnsi="Verdana" w:cs="Arial"/>
        <w:color w:val="808080"/>
        <w:sz w:val="20"/>
        <w:szCs w:val="20"/>
      </w:rPr>
      <w:t xml:space="preserve">Radicado: </w:t>
    </w:r>
    <w:r w:rsidR="0021762C">
      <w:rPr>
        <w:rFonts w:ascii="Verdana" w:hAnsi="Verdana" w:cs="Arial"/>
        <w:bCs/>
        <w:color w:val="808080"/>
        <w:sz w:val="20"/>
        <w:szCs w:val="20"/>
      </w:rPr>
      <w:t>11001 03</w:t>
    </w:r>
    <w:r w:rsidR="009B217B">
      <w:rPr>
        <w:rFonts w:ascii="Verdana" w:hAnsi="Verdana" w:cs="Arial"/>
        <w:bCs/>
        <w:color w:val="808080"/>
        <w:sz w:val="20"/>
        <w:szCs w:val="20"/>
      </w:rPr>
      <w:t xml:space="preserve"> </w:t>
    </w:r>
    <w:r w:rsidR="007E43A3">
      <w:rPr>
        <w:rFonts w:ascii="Verdana" w:hAnsi="Verdana" w:cs="Arial"/>
        <w:bCs/>
        <w:color w:val="808080"/>
        <w:sz w:val="20"/>
        <w:szCs w:val="20"/>
      </w:rPr>
      <w:t xml:space="preserve">15 000 </w:t>
    </w:r>
    <w:r w:rsidR="007E43A3" w:rsidRPr="007E43A3">
      <w:rPr>
        <w:rFonts w:ascii="Verdana" w:hAnsi="Verdana" w:cs="Arial"/>
        <w:b/>
        <w:bCs/>
        <w:color w:val="808080"/>
        <w:sz w:val="20"/>
        <w:szCs w:val="20"/>
      </w:rPr>
      <w:t>202</w:t>
    </w:r>
    <w:r w:rsidR="004944F6">
      <w:rPr>
        <w:rFonts w:ascii="Verdana" w:hAnsi="Verdana" w:cs="Arial"/>
        <w:b/>
        <w:bCs/>
        <w:color w:val="808080"/>
        <w:sz w:val="20"/>
        <w:szCs w:val="20"/>
      </w:rPr>
      <w:t>1</w:t>
    </w:r>
    <w:r w:rsidR="0021762C" w:rsidRPr="007E43A3">
      <w:rPr>
        <w:rFonts w:ascii="Verdana" w:hAnsi="Verdana" w:cs="Arial"/>
        <w:b/>
        <w:bCs/>
        <w:color w:val="808080"/>
        <w:sz w:val="20"/>
        <w:szCs w:val="20"/>
      </w:rPr>
      <w:t xml:space="preserve"> 0</w:t>
    </w:r>
    <w:r w:rsidR="004944F6">
      <w:rPr>
        <w:rFonts w:ascii="Verdana" w:hAnsi="Verdana" w:cs="Arial"/>
        <w:b/>
        <w:bCs/>
        <w:color w:val="808080"/>
        <w:sz w:val="20"/>
        <w:szCs w:val="20"/>
      </w:rPr>
      <w:t>0085</w:t>
    </w:r>
    <w:r w:rsidR="0021762C">
      <w:rPr>
        <w:rFonts w:ascii="Verdana" w:hAnsi="Verdana" w:cs="Arial"/>
        <w:bCs/>
        <w:color w:val="808080"/>
        <w:sz w:val="20"/>
        <w:szCs w:val="20"/>
      </w:rPr>
      <w:t xml:space="preserve"> 00</w:t>
    </w:r>
  </w:p>
  <w:p w14:paraId="382526DD" w14:textId="77777777" w:rsidR="00233AB9" w:rsidRDefault="00502156" w:rsidP="00233AB9">
    <w:pPr>
      <w:tabs>
        <w:tab w:val="center" w:pos="4252"/>
        <w:tab w:val="right" w:pos="8504"/>
      </w:tabs>
      <w:jc w:val="right"/>
      <w:rPr>
        <w:rFonts w:ascii="Verdana" w:hAnsi="Verdana" w:cs="Arial"/>
        <w:color w:val="808080"/>
        <w:sz w:val="20"/>
        <w:szCs w:val="20"/>
      </w:rPr>
    </w:pPr>
    <w:r w:rsidRPr="00502156">
      <w:rPr>
        <w:rFonts w:ascii="Verdana" w:hAnsi="Verdana" w:cs="Arial"/>
        <w:color w:val="808080"/>
        <w:sz w:val="20"/>
        <w:szCs w:val="20"/>
      </w:rPr>
      <w:t xml:space="preserve">Demandante: </w:t>
    </w:r>
    <w:r w:rsidR="004944F6">
      <w:rPr>
        <w:rFonts w:ascii="Verdana" w:hAnsi="Verdana" w:cs="Arial"/>
        <w:color w:val="808080"/>
        <w:sz w:val="20"/>
        <w:szCs w:val="20"/>
      </w:rPr>
      <w:t>Juan Fernando Gómez Zapata</w:t>
    </w:r>
  </w:p>
  <w:p w14:paraId="0450C5FA" w14:textId="77777777" w:rsidR="007A0804" w:rsidRDefault="007A0804" w:rsidP="00233AB9">
    <w:pPr>
      <w:tabs>
        <w:tab w:val="center" w:pos="4252"/>
        <w:tab w:val="right" w:pos="8504"/>
      </w:tabs>
      <w:jc w:val="right"/>
      <w:rPr>
        <w:rFonts w:ascii="Verdana" w:hAnsi="Verdana" w:cs="Arial"/>
        <w:color w:val="808080"/>
        <w:sz w:val="20"/>
        <w:szCs w:val="20"/>
      </w:rPr>
    </w:pPr>
  </w:p>
  <w:p w14:paraId="29C7CB8F" w14:textId="77777777" w:rsidR="00233AB9" w:rsidRPr="00233AB9" w:rsidRDefault="00233AB9" w:rsidP="00233AB9">
    <w:pPr>
      <w:tabs>
        <w:tab w:val="center" w:pos="4252"/>
        <w:tab w:val="right" w:pos="8504"/>
      </w:tabs>
      <w:jc w:val="right"/>
      <w:rPr>
        <w:rFonts w:ascii="Verdana" w:hAnsi="Verdana" w:cs="Arial"/>
        <w:color w:val="80808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D96B00" w14:textId="77777777" w:rsidR="00B05220" w:rsidRDefault="00B05220" w:rsidP="00B05220">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11725"/>
    <w:multiLevelType w:val="hybridMultilevel"/>
    <w:tmpl w:val="FAAEA9B4"/>
    <w:lvl w:ilvl="0" w:tplc="DF543238">
      <w:start w:val="1"/>
      <w:numFmt w:val="lowerRoman"/>
      <w:lvlText w:val="%1)"/>
      <w:lvlJc w:val="left"/>
      <w:pPr>
        <w:ind w:left="780" w:hanging="720"/>
      </w:pPr>
      <w:rPr>
        <w:rFonts w:hint="default"/>
        <w:b/>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 w15:restartNumberingAfterBreak="0">
    <w:nsid w:val="01A24EDD"/>
    <w:multiLevelType w:val="hybridMultilevel"/>
    <w:tmpl w:val="96969346"/>
    <w:lvl w:ilvl="0" w:tplc="BB24E04E">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31D7730"/>
    <w:multiLevelType w:val="hybridMultilevel"/>
    <w:tmpl w:val="7E342D68"/>
    <w:lvl w:ilvl="0" w:tplc="7242B6A6">
      <w:start w:val="1"/>
      <w:numFmt w:val="low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7636325"/>
    <w:multiLevelType w:val="hybridMultilevel"/>
    <w:tmpl w:val="FD52D492"/>
    <w:lvl w:ilvl="0" w:tplc="18C8FFC0">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4221227C"/>
    <w:multiLevelType w:val="multilevel"/>
    <w:tmpl w:val="3FA4C1E2"/>
    <w:lvl w:ilvl="0">
      <w:start w:val="1"/>
      <w:numFmt w:val="upperRoman"/>
      <w:lvlText w:val="%1."/>
      <w:lvlJc w:val="left"/>
      <w:pPr>
        <w:ind w:left="1080" w:hanging="72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ABA6640"/>
    <w:multiLevelType w:val="hybridMultilevel"/>
    <w:tmpl w:val="D25A5FC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BAF"/>
    <w:rsid w:val="00013D5D"/>
    <w:rsid w:val="0001521B"/>
    <w:rsid w:val="0003081C"/>
    <w:rsid w:val="000334C2"/>
    <w:rsid w:val="00034135"/>
    <w:rsid w:val="00040E01"/>
    <w:rsid w:val="00042329"/>
    <w:rsid w:val="000462E8"/>
    <w:rsid w:val="00053306"/>
    <w:rsid w:val="00054E91"/>
    <w:rsid w:val="00055314"/>
    <w:rsid w:val="000614B5"/>
    <w:rsid w:val="00064AB7"/>
    <w:rsid w:val="000743DB"/>
    <w:rsid w:val="00091D99"/>
    <w:rsid w:val="0009634E"/>
    <w:rsid w:val="000B002E"/>
    <w:rsid w:val="000C0A53"/>
    <w:rsid w:val="000C4762"/>
    <w:rsid w:val="000C6BAD"/>
    <w:rsid w:val="000D44C9"/>
    <w:rsid w:val="00110EE0"/>
    <w:rsid w:val="00115575"/>
    <w:rsid w:val="00122548"/>
    <w:rsid w:val="00144616"/>
    <w:rsid w:val="00160A85"/>
    <w:rsid w:val="001654B8"/>
    <w:rsid w:val="00167705"/>
    <w:rsid w:val="001962E6"/>
    <w:rsid w:val="001A23A0"/>
    <w:rsid w:val="001A407E"/>
    <w:rsid w:val="001E7A98"/>
    <w:rsid w:val="001F1DF4"/>
    <w:rsid w:val="002165F9"/>
    <w:rsid w:val="0021762C"/>
    <w:rsid w:val="002225EF"/>
    <w:rsid w:val="00233AB9"/>
    <w:rsid w:val="00236A7F"/>
    <w:rsid w:val="00240A66"/>
    <w:rsid w:val="00246ABF"/>
    <w:rsid w:val="002527E1"/>
    <w:rsid w:val="00253142"/>
    <w:rsid w:val="00266D20"/>
    <w:rsid w:val="00266DFE"/>
    <w:rsid w:val="00270132"/>
    <w:rsid w:val="00270A2F"/>
    <w:rsid w:val="002715E3"/>
    <w:rsid w:val="002A6119"/>
    <w:rsid w:val="002C1A67"/>
    <w:rsid w:val="002C7A20"/>
    <w:rsid w:val="002E2912"/>
    <w:rsid w:val="002F07D8"/>
    <w:rsid w:val="00313EF0"/>
    <w:rsid w:val="00350D7F"/>
    <w:rsid w:val="00352D1B"/>
    <w:rsid w:val="003625E4"/>
    <w:rsid w:val="00363FB6"/>
    <w:rsid w:val="00370A01"/>
    <w:rsid w:val="00380273"/>
    <w:rsid w:val="00383DB0"/>
    <w:rsid w:val="003A1174"/>
    <w:rsid w:val="003A2796"/>
    <w:rsid w:val="003A3757"/>
    <w:rsid w:val="003C56C6"/>
    <w:rsid w:val="003D2750"/>
    <w:rsid w:val="003F2F3B"/>
    <w:rsid w:val="003F6B2F"/>
    <w:rsid w:val="003F7A5A"/>
    <w:rsid w:val="004255E2"/>
    <w:rsid w:val="004306A3"/>
    <w:rsid w:val="004327D7"/>
    <w:rsid w:val="004541BC"/>
    <w:rsid w:val="00460465"/>
    <w:rsid w:val="00467274"/>
    <w:rsid w:val="00486005"/>
    <w:rsid w:val="00486CE7"/>
    <w:rsid w:val="004944F6"/>
    <w:rsid w:val="004952AF"/>
    <w:rsid w:val="004A3C64"/>
    <w:rsid w:val="004C7AFF"/>
    <w:rsid w:val="004D2705"/>
    <w:rsid w:val="004E4272"/>
    <w:rsid w:val="004E5F00"/>
    <w:rsid w:val="004F182F"/>
    <w:rsid w:val="00502156"/>
    <w:rsid w:val="005134A5"/>
    <w:rsid w:val="00530C72"/>
    <w:rsid w:val="00531F5D"/>
    <w:rsid w:val="00553C87"/>
    <w:rsid w:val="00561E54"/>
    <w:rsid w:val="005649FD"/>
    <w:rsid w:val="00565D52"/>
    <w:rsid w:val="00566A3D"/>
    <w:rsid w:val="0056726B"/>
    <w:rsid w:val="00570AF1"/>
    <w:rsid w:val="00576FB8"/>
    <w:rsid w:val="005A3007"/>
    <w:rsid w:val="005B050E"/>
    <w:rsid w:val="005B2BDB"/>
    <w:rsid w:val="005C05E8"/>
    <w:rsid w:val="005F0303"/>
    <w:rsid w:val="005F4BAF"/>
    <w:rsid w:val="00600B99"/>
    <w:rsid w:val="00606222"/>
    <w:rsid w:val="00617A04"/>
    <w:rsid w:val="006266C6"/>
    <w:rsid w:val="00644F64"/>
    <w:rsid w:val="00675B16"/>
    <w:rsid w:val="00686C68"/>
    <w:rsid w:val="00694DB9"/>
    <w:rsid w:val="00695BAA"/>
    <w:rsid w:val="006A11AC"/>
    <w:rsid w:val="006A4C80"/>
    <w:rsid w:val="006C4926"/>
    <w:rsid w:val="006E122A"/>
    <w:rsid w:val="006E7FCC"/>
    <w:rsid w:val="006F2E80"/>
    <w:rsid w:val="006F58A9"/>
    <w:rsid w:val="007168BA"/>
    <w:rsid w:val="00736F71"/>
    <w:rsid w:val="00751F49"/>
    <w:rsid w:val="00753CB5"/>
    <w:rsid w:val="007561D9"/>
    <w:rsid w:val="00760642"/>
    <w:rsid w:val="00762D67"/>
    <w:rsid w:val="00772565"/>
    <w:rsid w:val="0077257A"/>
    <w:rsid w:val="007727B7"/>
    <w:rsid w:val="0079363E"/>
    <w:rsid w:val="00794138"/>
    <w:rsid w:val="007A0804"/>
    <w:rsid w:val="007C63BC"/>
    <w:rsid w:val="007C76F9"/>
    <w:rsid w:val="007D1CA3"/>
    <w:rsid w:val="007D22E3"/>
    <w:rsid w:val="007E43A3"/>
    <w:rsid w:val="0081461E"/>
    <w:rsid w:val="008225E9"/>
    <w:rsid w:val="008331B8"/>
    <w:rsid w:val="008440E8"/>
    <w:rsid w:val="0084696B"/>
    <w:rsid w:val="00864C6E"/>
    <w:rsid w:val="00867568"/>
    <w:rsid w:val="008714D8"/>
    <w:rsid w:val="00873616"/>
    <w:rsid w:val="008C263F"/>
    <w:rsid w:val="008C4961"/>
    <w:rsid w:val="008D1109"/>
    <w:rsid w:val="008D2200"/>
    <w:rsid w:val="008D2FAE"/>
    <w:rsid w:val="008D4F4C"/>
    <w:rsid w:val="008D5DC3"/>
    <w:rsid w:val="009029A0"/>
    <w:rsid w:val="00903440"/>
    <w:rsid w:val="009177A8"/>
    <w:rsid w:val="00945D73"/>
    <w:rsid w:val="0098452D"/>
    <w:rsid w:val="009A302D"/>
    <w:rsid w:val="009A6404"/>
    <w:rsid w:val="009A7692"/>
    <w:rsid w:val="009A7CB8"/>
    <w:rsid w:val="009B217B"/>
    <w:rsid w:val="009B63B1"/>
    <w:rsid w:val="009B6AB1"/>
    <w:rsid w:val="009B70DF"/>
    <w:rsid w:val="009C3CCA"/>
    <w:rsid w:val="009C42F5"/>
    <w:rsid w:val="009D1FBE"/>
    <w:rsid w:val="009F03C2"/>
    <w:rsid w:val="009F3CF3"/>
    <w:rsid w:val="009F505A"/>
    <w:rsid w:val="009F56C8"/>
    <w:rsid w:val="00A2106F"/>
    <w:rsid w:val="00A2246F"/>
    <w:rsid w:val="00A25489"/>
    <w:rsid w:val="00A257C3"/>
    <w:rsid w:val="00A26376"/>
    <w:rsid w:val="00A30E87"/>
    <w:rsid w:val="00A33728"/>
    <w:rsid w:val="00A42782"/>
    <w:rsid w:val="00A574E9"/>
    <w:rsid w:val="00A63DC9"/>
    <w:rsid w:val="00A73073"/>
    <w:rsid w:val="00A85649"/>
    <w:rsid w:val="00A86A73"/>
    <w:rsid w:val="00AA7442"/>
    <w:rsid w:val="00AB03DB"/>
    <w:rsid w:val="00AC1676"/>
    <w:rsid w:val="00AF65FA"/>
    <w:rsid w:val="00AF742A"/>
    <w:rsid w:val="00B05220"/>
    <w:rsid w:val="00B06100"/>
    <w:rsid w:val="00B06C20"/>
    <w:rsid w:val="00B130E2"/>
    <w:rsid w:val="00B16AA9"/>
    <w:rsid w:val="00B24D9F"/>
    <w:rsid w:val="00B36622"/>
    <w:rsid w:val="00B41069"/>
    <w:rsid w:val="00B47EE5"/>
    <w:rsid w:val="00B54C56"/>
    <w:rsid w:val="00B63F7D"/>
    <w:rsid w:val="00B64CFC"/>
    <w:rsid w:val="00B829E1"/>
    <w:rsid w:val="00BA31F1"/>
    <w:rsid w:val="00BB6662"/>
    <w:rsid w:val="00BF4EA7"/>
    <w:rsid w:val="00C12DC6"/>
    <w:rsid w:val="00C134B8"/>
    <w:rsid w:val="00C13C32"/>
    <w:rsid w:val="00C214FE"/>
    <w:rsid w:val="00C332BF"/>
    <w:rsid w:val="00C3384F"/>
    <w:rsid w:val="00C34196"/>
    <w:rsid w:val="00C37EE1"/>
    <w:rsid w:val="00C47C2F"/>
    <w:rsid w:val="00C55ADF"/>
    <w:rsid w:val="00C60340"/>
    <w:rsid w:val="00C624F1"/>
    <w:rsid w:val="00C63ABE"/>
    <w:rsid w:val="00CA10CE"/>
    <w:rsid w:val="00CB523D"/>
    <w:rsid w:val="00CC57BE"/>
    <w:rsid w:val="00CE1CAF"/>
    <w:rsid w:val="00CE61B4"/>
    <w:rsid w:val="00CF2574"/>
    <w:rsid w:val="00D02C42"/>
    <w:rsid w:val="00D10509"/>
    <w:rsid w:val="00D10518"/>
    <w:rsid w:val="00D10B47"/>
    <w:rsid w:val="00D24282"/>
    <w:rsid w:val="00D538FA"/>
    <w:rsid w:val="00D57D18"/>
    <w:rsid w:val="00D70591"/>
    <w:rsid w:val="00D87DE4"/>
    <w:rsid w:val="00DC0979"/>
    <w:rsid w:val="00DC1846"/>
    <w:rsid w:val="00DC21F8"/>
    <w:rsid w:val="00DC2B10"/>
    <w:rsid w:val="00DE2B2C"/>
    <w:rsid w:val="00E00D96"/>
    <w:rsid w:val="00E1041B"/>
    <w:rsid w:val="00E10C68"/>
    <w:rsid w:val="00E1328C"/>
    <w:rsid w:val="00E15CC0"/>
    <w:rsid w:val="00E44441"/>
    <w:rsid w:val="00E5326C"/>
    <w:rsid w:val="00E55B7E"/>
    <w:rsid w:val="00E571D7"/>
    <w:rsid w:val="00E64E88"/>
    <w:rsid w:val="00E7586C"/>
    <w:rsid w:val="00E84BBD"/>
    <w:rsid w:val="00EA68E1"/>
    <w:rsid w:val="00EB5CC7"/>
    <w:rsid w:val="00EC5B37"/>
    <w:rsid w:val="00EC5EB4"/>
    <w:rsid w:val="00EC7769"/>
    <w:rsid w:val="00EF18DF"/>
    <w:rsid w:val="00F216DB"/>
    <w:rsid w:val="00F3766B"/>
    <w:rsid w:val="00F55992"/>
    <w:rsid w:val="00F56A1A"/>
    <w:rsid w:val="00F77AEF"/>
    <w:rsid w:val="00F8156A"/>
    <w:rsid w:val="00F853BE"/>
    <w:rsid w:val="00F93669"/>
    <w:rsid w:val="00F95669"/>
    <w:rsid w:val="00F96F75"/>
    <w:rsid w:val="00FA5C4E"/>
    <w:rsid w:val="00FB5851"/>
    <w:rsid w:val="00FC5479"/>
    <w:rsid w:val="00FD1CE4"/>
    <w:rsid w:val="00FD64AD"/>
    <w:rsid w:val="00FE087C"/>
    <w:rsid w:val="00FF1959"/>
    <w:rsid w:val="00FF5408"/>
    <w:rsid w:val="00FF6B3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88313D"/>
  <w15:chartTrackingRefBased/>
  <w15:docId w15:val="{E9F2EDB4-56C6-4841-A27F-B4D4C91F1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s-CO"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F4BAF"/>
    <w:pPr>
      <w:tabs>
        <w:tab w:val="center" w:pos="4252"/>
        <w:tab w:val="right" w:pos="8504"/>
      </w:tabs>
    </w:pPr>
  </w:style>
  <w:style w:type="character" w:customStyle="1" w:styleId="EncabezadoCar">
    <w:name w:val="Encabezado Car"/>
    <w:link w:val="Encabezado"/>
    <w:uiPriority w:val="99"/>
    <w:rsid w:val="005F4BAF"/>
    <w:rPr>
      <w:sz w:val="22"/>
      <w:szCs w:val="22"/>
      <w:lang w:eastAsia="en-US"/>
    </w:rPr>
  </w:style>
  <w:style w:type="paragraph" w:styleId="Textodeglobo">
    <w:name w:val="Balloon Text"/>
    <w:basedOn w:val="Normal"/>
    <w:link w:val="TextodegloboCar"/>
    <w:uiPriority w:val="99"/>
    <w:semiHidden/>
    <w:unhideWhenUsed/>
    <w:rsid w:val="005F4BAF"/>
    <w:rPr>
      <w:rFonts w:ascii="Segoe UI" w:hAnsi="Segoe UI" w:cs="Segoe UI"/>
      <w:sz w:val="18"/>
      <w:szCs w:val="18"/>
    </w:rPr>
  </w:style>
  <w:style w:type="character" w:customStyle="1" w:styleId="TextodegloboCar">
    <w:name w:val="Texto de globo Car"/>
    <w:link w:val="Textodeglobo"/>
    <w:uiPriority w:val="99"/>
    <w:semiHidden/>
    <w:rsid w:val="005F4BAF"/>
    <w:rPr>
      <w:rFonts w:ascii="Segoe UI" w:hAnsi="Segoe UI" w:cs="Segoe UI"/>
      <w:sz w:val="18"/>
      <w:szCs w:val="18"/>
      <w:lang w:eastAsia="en-US"/>
    </w:rPr>
  </w:style>
  <w:style w:type="paragraph" w:styleId="Textonotapie">
    <w:name w:val="footnote text"/>
    <w:aliases w:val="Footnote Text Char Char Char Char Char,Footnote Text Char Char Char Char,Footnote reference,FA Fu,Texto nota pie Car Car,Footnote Text Char Char Char Char Char Car,Footnote Text Char Char Char Char Car,FA Fu Car,texto de nota al pie"/>
    <w:basedOn w:val="Normal"/>
    <w:link w:val="TextonotapieCar"/>
    <w:uiPriority w:val="99"/>
    <w:semiHidden/>
    <w:unhideWhenUsed/>
    <w:rsid w:val="003F2F3B"/>
    <w:rPr>
      <w:sz w:val="20"/>
      <w:szCs w:val="20"/>
    </w:rPr>
  </w:style>
  <w:style w:type="character" w:customStyle="1" w:styleId="TextonotapieCar">
    <w:name w:val="Texto nota pie Car"/>
    <w:aliases w:val="Footnote Text Char Char Char Char Char Car1,Footnote Text Char Char Char Char Car1,Footnote reference Car,FA Fu Car1,Texto nota pie Car Car Car,Footnote Text Char Char Char Char Char Car Car,Footnote Text Char Char Char Char Car Car"/>
    <w:link w:val="Textonotapie"/>
    <w:uiPriority w:val="99"/>
    <w:semiHidden/>
    <w:rsid w:val="003F2F3B"/>
    <w:rPr>
      <w:lang w:eastAsia="en-US"/>
    </w:rPr>
  </w:style>
  <w:style w:type="character" w:styleId="Refdenotaalpie">
    <w:name w:val="footnote reference"/>
    <w:aliases w:val="Texto de nota al pie,referencia nota al pie"/>
    <w:unhideWhenUsed/>
    <w:rsid w:val="003F2F3B"/>
    <w:rPr>
      <w:vertAlign w:val="superscript"/>
    </w:rPr>
  </w:style>
  <w:style w:type="character" w:styleId="Refdecomentario">
    <w:name w:val="annotation reference"/>
    <w:uiPriority w:val="99"/>
    <w:semiHidden/>
    <w:unhideWhenUsed/>
    <w:rsid w:val="00531F5D"/>
    <w:rPr>
      <w:sz w:val="16"/>
      <w:szCs w:val="16"/>
    </w:rPr>
  </w:style>
  <w:style w:type="paragraph" w:styleId="Textocomentario">
    <w:name w:val="annotation text"/>
    <w:basedOn w:val="Normal"/>
    <w:link w:val="TextocomentarioCar"/>
    <w:uiPriority w:val="99"/>
    <w:semiHidden/>
    <w:unhideWhenUsed/>
    <w:rsid w:val="00531F5D"/>
    <w:rPr>
      <w:sz w:val="20"/>
      <w:szCs w:val="20"/>
    </w:rPr>
  </w:style>
  <w:style w:type="character" w:customStyle="1" w:styleId="TextocomentarioCar">
    <w:name w:val="Texto comentario Car"/>
    <w:link w:val="Textocomentario"/>
    <w:uiPriority w:val="99"/>
    <w:semiHidden/>
    <w:rsid w:val="00531F5D"/>
    <w:rPr>
      <w:lang w:val="es-ES" w:eastAsia="en-US"/>
    </w:rPr>
  </w:style>
  <w:style w:type="paragraph" w:styleId="Asuntodelcomentario">
    <w:name w:val="annotation subject"/>
    <w:basedOn w:val="Textocomentario"/>
    <w:next w:val="Textocomentario"/>
    <w:link w:val="AsuntodelcomentarioCar"/>
    <w:uiPriority w:val="99"/>
    <w:semiHidden/>
    <w:unhideWhenUsed/>
    <w:rsid w:val="00531F5D"/>
    <w:rPr>
      <w:b/>
      <w:bCs/>
    </w:rPr>
  </w:style>
  <w:style w:type="character" w:customStyle="1" w:styleId="AsuntodelcomentarioCar">
    <w:name w:val="Asunto del comentario Car"/>
    <w:link w:val="Asuntodelcomentario"/>
    <w:uiPriority w:val="99"/>
    <w:semiHidden/>
    <w:rsid w:val="00531F5D"/>
    <w:rPr>
      <w:b/>
      <w:bCs/>
      <w:lang w:val="es-ES" w:eastAsia="en-US"/>
    </w:rPr>
  </w:style>
  <w:style w:type="paragraph" w:styleId="Piedepgina">
    <w:name w:val="footer"/>
    <w:basedOn w:val="Normal"/>
    <w:link w:val="PiedepginaCar"/>
    <w:uiPriority w:val="99"/>
    <w:unhideWhenUsed/>
    <w:rsid w:val="00064AB7"/>
    <w:pPr>
      <w:tabs>
        <w:tab w:val="center" w:pos="4252"/>
        <w:tab w:val="right" w:pos="8504"/>
      </w:tabs>
    </w:pPr>
  </w:style>
  <w:style w:type="character" w:customStyle="1" w:styleId="PiedepginaCar">
    <w:name w:val="Pie de página Car"/>
    <w:link w:val="Piedepgina"/>
    <w:uiPriority w:val="99"/>
    <w:rsid w:val="00064AB7"/>
    <w:rPr>
      <w:sz w:val="22"/>
      <w:szCs w:val="22"/>
      <w:lang w:eastAsia="en-US"/>
    </w:rPr>
  </w:style>
  <w:style w:type="paragraph" w:styleId="Prrafodelista">
    <w:name w:val="List Paragraph"/>
    <w:basedOn w:val="Normal"/>
    <w:uiPriority w:val="34"/>
    <w:qFormat/>
    <w:rsid w:val="00CC57BE"/>
    <w:pPr>
      <w:ind w:left="708"/>
    </w:pPr>
  </w:style>
  <w:style w:type="character" w:styleId="Hipervnculo">
    <w:name w:val="Hyperlink"/>
    <w:uiPriority w:val="99"/>
    <w:unhideWhenUsed/>
    <w:rsid w:val="009F505A"/>
    <w:rPr>
      <w:color w:val="0563C1"/>
      <w:u w:val="single"/>
    </w:rPr>
  </w:style>
  <w:style w:type="character" w:styleId="Mencinsinresolver">
    <w:name w:val="Unresolved Mention"/>
    <w:uiPriority w:val="99"/>
    <w:semiHidden/>
    <w:unhideWhenUsed/>
    <w:rsid w:val="009F50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68150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mailto:secgeneral@consejoestado.ramajudicial.gov.co" TargetMode="External"/><Relationship Id="rId1" Type="http://schemas.openxmlformats.org/officeDocument/2006/relationships/hyperlink" Target="mailto:apptutelasbta@cendoj.ramajudicial.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ABEB0210B9F80489780DD7A5A06F3DB" ma:contentTypeVersion="2" ma:contentTypeDescription="Crear nuevo documento." ma:contentTypeScope="" ma:versionID="1878680429ab77fc32df8df70364a839">
  <xsd:schema xmlns:xsd="http://www.w3.org/2001/XMLSchema" xmlns:xs="http://www.w3.org/2001/XMLSchema" xmlns:p="http://schemas.microsoft.com/office/2006/metadata/properties" xmlns:ns2="13c9172f-313c-4059-8e8c-b3325bc7eec8" targetNamespace="http://schemas.microsoft.com/office/2006/metadata/properties" ma:root="true" ma:fieldsID="0d12b192457ba65b97c241d67d1e0cd9" ns2:_="">
    <xsd:import namespace="13c9172f-313c-4059-8e8c-b3325bc7eec8"/>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c9172f-313c-4059-8e8c-b3325bc7ee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AAA1EA-0885-48E1-87D2-E683ADD4FF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c9172f-313c-4059-8e8c-b3325bc7ee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A08049-6A71-42FE-8E80-15FD20A40B8A}">
  <ds:schemaRefs>
    <ds:schemaRef ds:uri="http://schemas.microsoft.com/sharepoint/v3/contenttype/forms"/>
  </ds:schemaRefs>
</ds:datastoreItem>
</file>

<file path=customXml/itemProps3.xml><?xml version="1.0" encoding="utf-8"?>
<ds:datastoreItem xmlns:ds="http://schemas.openxmlformats.org/officeDocument/2006/customXml" ds:itemID="{D9DF7538-5FA1-514A-BDED-7FE442D5E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3</Pages>
  <Words>748</Words>
  <Characters>4114</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4853</CharactersWithSpaces>
  <SharedDoc>false</SharedDoc>
  <HLinks>
    <vt:vector size="12" baseType="variant">
      <vt:variant>
        <vt:i4>1376318</vt:i4>
      </vt:variant>
      <vt:variant>
        <vt:i4>3</vt:i4>
      </vt:variant>
      <vt:variant>
        <vt:i4>0</vt:i4>
      </vt:variant>
      <vt:variant>
        <vt:i4>5</vt:i4>
      </vt:variant>
      <vt:variant>
        <vt:lpwstr>mailto:secgeneral@consejoestado.ramajudicial.gov.co</vt:lpwstr>
      </vt:variant>
      <vt:variant>
        <vt:lpwstr/>
      </vt:variant>
      <vt:variant>
        <vt:i4>2490374</vt:i4>
      </vt:variant>
      <vt:variant>
        <vt:i4>0</vt:i4>
      </vt:variant>
      <vt:variant>
        <vt:i4>0</vt:i4>
      </vt:variant>
      <vt:variant>
        <vt:i4>5</vt:i4>
      </vt:variant>
      <vt:variant>
        <vt:lpwstr>mailto:apptutelasbta@cendoj.ramajudicial.gov.co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LIDA NATALIA BARON AVILA</dc:creator>
  <cp:keywords/>
  <dc:description/>
  <cp:lastModifiedBy>Marco Antonio Balanta Bonfante</cp:lastModifiedBy>
  <cp:revision>3</cp:revision>
  <cp:lastPrinted>2020-02-11T21:24:00Z</cp:lastPrinted>
  <dcterms:created xsi:type="dcterms:W3CDTF">2021-01-18T15:19:00Z</dcterms:created>
  <dcterms:modified xsi:type="dcterms:W3CDTF">2021-01-18T16:02:00Z</dcterms:modified>
</cp:coreProperties>
</file>