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A42193" w14:textId="77777777" w:rsidR="00747DAE" w:rsidRPr="001A2F0A" w:rsidRDefault="00747DAE" w:rsidP="00747DAE">
      <w:pPr>
        <w:pStyle w:val="Ttulo3"/>
        <w:spacing w:line="276" w:lineRule="auto"/>
        <w:rPr>
          <w:rFonts w:cs="Arial"/>
          <w:color w:val="auto"/>
        </w:rPr>
      </w:pPr>
      <w:bookmarkStart w:id="0" w:name="_GoBack"/>
      <w:bookmarkEnd w:id="0"/>
      <w:r w:rsidRPr="001A2F0A">
        <w:rPr>
          <w:rFonts w:cs="Arial"/>
          <w:color w:val="auto"/>
        </w:rPr>
        <w:t>Consejero Ponente: NICOLÁS YEPES CORRALES</w:t>
      </w:r>
    </w:p>
    <w:p w14:paraId="20A8EDE7" w14:textId="77777777" w:rsidR="00747DAE" w:rsidRPr="001A2F0A" w:rsidRDefault="00747DAE" w:rsidP="00747DAE">
      <w:pPr>
        <w:pStyle w:val="Lista"/>
        <w:spacing w:line="276" w:lineRule="auto"/>
        <w:ind w:left="0" w:firstLine="0"/>
        <w:rPr>
          <w:sz w:val="24"/>
          <w:szCs w:val="24"/>
        </w:rPr>
      </w:pPr>
    </w:p>
    <w:p w14:paraId="0BBB872B" w14:textId="3B4F7402" w:rsidR="00747DAE" w:rsidRPr="001A2F0A" w:rsidRDefault="00747DAE" w:rsidP="00747DAE">
      <w:pPr>
        <w:pStyle w:val="Lista"/>
        <w:spacing w:line="276" w:lineRule="auto"/>
        <w:ind w:left="284" w:hanging="284"/>
        <w:rPr>
          <w:sz w:val="24"/>
          <w:szCs w:val="24"/>
        </w:rPr>
      </w:pPr>
      <w:r w:rsidRPr="001A2F0A">
        <w:rPr>
          <w:sz w:val="24"/>
          <w:szCs w:val="24"/>
        </w:rPr>
        <w:t xml:space="preserve">Bogotá D.C., </w:t>
      </w:r>
      <w:r w:rsidR="00E56816">
        <w:rPr>
          <w:sz w:val="24"/>
          <w:szCs w:val="24"/>
        </w:rPr>
        <w:t>ocho</w:t>
      </w:r>
      <w:r w:rsidRPr="001A2F0A">
        <w:rPr>
          <w:sz w:val="24"/>
          <w:szCs w:val="24"/>
        </w:rPr>
        <w:t xml:space="preserve"> (</w:t>
      </w:r>
      <w:r w:rsidR="00E56816">
        <w:rPr>
          <w:sz w:val="24"/>
          <w:szCs w:val="24"/>
        </w:rPr>
        <w:t>08</w:t>
      </w:r>
      <w:r w:rsidRPr="001A2F0A">
        <w:rPr>
          <w:sz w:val="24"/>
          <w:szCs w:val="24"/>
        </w:rPr>
        <w:t>) de septiembre de dos mil veintitrés (2023)</w:t>
      </w:r>
    </w:p>
    <w:p w14:paraId="343D44B4" w14:textId="77777777" w:rsidR="00747DAE" w:rsidRPr="001A2F0A" w:rsidRDefault="00747DAE" w:rsidP="00747DAE">
      <w:pPr>
        <w:rPr>
          <w:sz w:val="24"/>
          <w:szCs w:val="24"/>
        </w:rPr>
      </w:pPr>
    </w:p>
    <w:p w14:paraId="0342DE00" w14:textId="3C4933C0" w:rsidR="00747DAE" w:rsidRPr="001A2F0A" w:rsidRDefault="00747DAE" w:rsidP="00747DAE">
      <w:pPr>
        <w:rPr>
          <w:b/>
          <w:bCs/>
          <w:sz w:val="24"/>
          <w:szCs w:val="24"/>
        </w:rPr>
      </w:pPr>
      <w:r w:rsidRPr="001A2F0A">
        <w:rPr>
          <w:b/>
          <w:bCs/>
          <w:sz w:val="24"/>
          <w:szCs w:val="24"/>
        </w:rPr>
        <w:t xml:space="preserve">Radicación: </w:t>
      </w:r>
      <w:r w:rsidRPr="001A2F0A">
        <w:rPr>
          <w:sz w:val="24"/>
          <w:szCs w:val="24"/>
        </w:rPr>
        <w:t>11001-03-15-000-2023-02828-01</w:t>
      </w:r>
    </w:p>
    <w:p w14:paraId="3B093B10" w14:textId="3D45F43C" w:rsidR="00747DAE" w:rsidRPr="001A2F0A" w:rsidRDefault="00747DAE" w:rsidP="00747DAE">
      <w:pPr>
        <w:rPr>
          <w:sz w:val="24"/>
          <w:szCs w:val="24"/>
        </w:rPr>
      </w:pPr>
      <w:r w:rsidRPr="001A2F0A">
        <w:rPr>
          <w:b/>
          <w:bCs/>
          <w:sz w:val="24"/>
          <w:szCs w:val="24"/>
        </w:rPr>
        <w:t xml:space="preserve">Accionante: </w:t>
      </w:r>
      <w:r w:rsidRPr="001A2F0A">
        <w:rPr>
          <w:sz w:val="24"/>
          <w:szCs w:val="24"/>
        </w:rPr>
        <w:t xml:space="preserve">Miguel Ángel </w:t>
      </w:r>
      <w:proofErr w:type="spellStart"/>
      <w:r w:rsidRPr="001A2F0A">
        <w:rPr>
          <w:sz w:val="24"/>
          <w:szCs w:val="24"/>
        </w:rPr>
        <w:t>Taján</w:t>
      </w:r>
      <w:proofErr w:type="spellEnd"/>
      <w:r w:rsidRPr="001A2F0A">
        <w:rPr>
          <w:sz w:val="24"/>
          <w:szCs w:val="24"/>
        </w:rPr>
        <w:t xml:space="preserve"> de Ávila </w:t>
      </w:r>
    </w:p>
    <w:p w14:paraId="48616358" w14:textId="1F16AE24" w:rsidR="00747DAE" w:rsidRPr="001A2F0A" w:rsidRDefault="00747DAE" w:rsidP="00747DAE">
      <w:pPr>
        <w:rPr>
          <w:sz w:val="24"/>
          <w:szCs w:val="24"/>
        </w:rPr>
      </w:pPr>
      <w:r w:rsidRPr="001A2F0A">
        <w:rPr>
          <w:b/>
          <w:bCs/>
          <w:sz w:val="24"/>
          <w:szCs w:val="24"/>
        </w:rPr>
        <w:t xml:space="preserve">Accionados: </w:t>
      </w:r>
      <w:r w:rsidRPr="001A2F0A">
        <w:rPr>
          <w:sz w:val="24"/>
          <w:szCs w:val="24"/>
        </w:rPr>
        <w:t>Consejo Superior de la Judicatura</w:t>
      </w:r>
    </w:p>
    <w:p w14:paraId="44E36E3C" w14:textId="77777777" w:rsidR="00747DAE" w:rsidRPr="001A2F0A" w:rsidRDefault="00747DAE" w:rsidP="00747DAE">
      <w:pPr>
        <w:spacing w:line="276" w:lineRule="auto"/>
        <w:rPr>
          <w:sz w:val="24"/>
          <w:szCs w:val="24"/>
        </w:rPr>
      </w:pPr>
      <w:r w:rsidRPr="001A2F0A">
        <w:rPr>
          <w:b/>
          <w:sz w:val="24"/>
          <w:szCs w:val="24"/>
        </w:rPr>
        <w:t xml:space="preserve">Asunto: </w:t>
      </w:r>
      <w:r w:rsidRPr="001A2F0A">
        <w:rPr>
          <w:sz w:val="24"/>
          <w:szCs w:val="24"/>
        </w:rPr>
        <w:t xml:space="preserve">Resuelve manifestación de impedimento </w:t>
      </w:r>
    </w:p>
    <w:p w14:paraId="6408CE88" w14:textId="77777777" w:rsidR="00747DAE" w:rsidRPr="001A2F0A" w:rsidRDefault="00747DAE" w:rsidP="00747DAE">
      <w:pPr>
        <w:spacing w:line="360" w:lineRule="auto"/>
        <w:rPr>
          <w:sz w:val="24"/>
          <w:szCs w:val="24"/>
        </w:rPr>
      </w:pPr>
    </w:p>
    <w:p w14:paraId="03FAAA23" w14:textId="2E9EBE77" w:rsidR="00747DAE" w:rsidRPr="001A2F0A" w:rsidRDefault="00747DAE" w:rsidP="00747DAE">
      <w:pPr>
        <w:spacing w:line="360" w:lineRule="auto"/>
        <w:rPr>
          <w:sz w:val="24"/>
          <w:szCs w:val="24"/>
        </w:rPr>
      </w:pPr>
      <w:r w:rsidRPr="001A2F0A">
        <w:rPr>
          <w:sz w:val="24"/>
          <w:szCs w:val="24"/>
        </w:rPr>
        <w:t xml:space="preserve">Procede la Sala a resolver </w:t>
      </w:r>
      <w:r w:rsidRPr="001A2F0A">
        <w:rPr>
          <w:color w:val="000000"/>
          <w:sz w:val="24"/>
          <w:szCs w:val="24"/>
        </w:rPr>
        <w:t>el</w:t>
      </w:r>
      <w:r w:rsidRPr="001A2F0A">
        <w:rPr>
          <w:sz w:val="24"/>
          <w:szCs w:val="24"/>
        </w:rPr>
        <w:t xml:space="preserve"> impedimento manifestado por el Consejero de Estado José Roberto Sáchica Méndez para conocer la solicitud de tutela.</w:t>
      </w:r>
    </w:p>
    <w:p w14:paraId="4FE405B1" w14:textId="77777777" w:rsidR="00747DAE" w:rsidRPr="001A2F0A" w:rsidRDefault="00747DAE" w:rsidP="00747DAE">
      <w:pPr>
        <w:spacing w:line="360" w:lineRule="auto"/>
        <w:rPr>
          <w:sz w:val="24"/>
          <w:szCs w:val="24"/>
        </w:rPr>
      </w:pPr>
    </w:p>
    <w:p w14:paraId="79BB455E" w14:textId="77777777" w:rsidR="00747DAE" w:rsidRPr="001A2F0A" w:rsidRDefault="00747DAE" w:rsidP="00747DAE">
      <w:pPr>
        <w:spacing w:line="360" w:lineRule="auto"/>
        <w:jc w:val="center"/>
        <w:rPr>
          <w:b/>
          <w:sz w:val="24"/>
          <w:szCs w:val="24"/>
        </w:rPr>
      </w:pPr>
      <w:r w:rsidRPr="001A2F0A">
        <w:rPr>
          <w:b/>
          <w:sz w:val="24"/>
          <w:szCs w:val="24"/>
        </w:rPr>
        <w:t>I. ANTECEDENTES</w:t>
      </w:r>
    </w:p>
    <w:p w14:paraId="206120D6" w14:textId="77777777" w:rsidR="00747DAE" w:rsidRPr="006430B2" w:rsidRDefault="00747DAE" w:rsidP="00747DAE">
      <w:pPr>
        <w:spacing w:line="360" w:lineRule="auto"/>
        <w:rPr>
          <w:b/>
          <w:sz w:val="24"/>
          <w:szCs w:val="24"/>
        </w:rPr>
      </w:pPr>
    </w:p>
    <w:p w14:paraId="4935649E" w14:textId="12958C72" w:rsidR="00747DAE" w:rsidRPr="006430B2" w:rsidRDefault="00747DAE" w:rsidP="00747DAE">
      <w:pPr>
        <w:spacing w:line="360" w:lineRule="auto"/>
        <w:rPr>
          <w:b/>
          <w:sz w:val="24"/>
          <w:szCs w:val="24"/>
        </w:rPr>
      </w:pPr>
      <w:r w:rsidRPr="006430B2">
        <w:rPr>
          <w:b/>
          <w:sz w:val="24"/>
          <w:szCs w:val="24"/>
        </w:rPr>
        <w:t>1.1</w:t>
      </w:r>
      <w:r w:rsidR="00FD54F5">
        <w:rPr>
          <w:b/>
          <w:sz w:val="24"/>
          <w:szCs w:val="24"/>
        </w:rPr>
        <w:t>.</w:t>
      </w:r>
      <w:r w:rsidRPr="006430B2">
        <w:rPr>
          <w:b/>
          <w:sz w:val="24"/>
          <w:szCs w:val="24"/>
        </w:rPr>
        <w:t>- La solicitud de tutela</w:t>
      </w:r>
    </w:p>
    <w:p w14:paraId="2061E80D" w14:textId="77777777" w:rsidR="00747DAE" w:rsidRPr="006430B2" w:rsidRDefault="00747DAE" w:rsidP="00747DAE">
      <w:pPr>
        <w:spacing w:line="360" w:lineRule="auto"/>
        <w:rPr>
          <w:sz w:val="24"/>
          <w:szCs w:val="24"/>
        </w:rPr>
      </w:pPr>
    </w:p>
    <w:p w14:paraId="2514D5BA" w14:textId="703A073D" w:rsidR="001A2F0A" w:rsidRPr="006430B2" w:rsidRDefault="001A2F0A" w:rsidP="00747DAE">
      <w:pPr>
        <w:spacing w:line="360" w:lineRule="auto"/>
        <w:rPr>
          <w:sz w:val="24"/>
          <w:szCs w:val="24"/>
        </w:rPr>
      </w:pPr>
      <w:r w:rsidRPr="006430B2">
        <w:rPr>
          <w:sz w:val="24"/>
          <w:szCs w:val="24"/>
        </w:rPr>
        <w:t xml:space="preserve">Miguel Ángel </w:t>
      </w:r>
      <w:proofErr w:type="spellStart"/>
      <w:r w:rsidRPr="006430B2">
        <w:rPr>
          <w:sz w:val="24"/>
          <w:szCs w:val="24"/>
        </w:rPr>
        <w:t>Taján</w:t>
      </w:r>
      <w:proofErr w:type="spellEnd"/>
      <w:r w:rsidRPr="006430B2">
        <w:rPr>
          <w:sz w:val="24"/>
          <w:szCs w:val="24"/>
        </w:rPr>
        <w:t xml:space="preserve"> de Ávila interpuso acción de tutela en contra de</w:t>
      </w:r>
      <w:r w:rsidR="006430B2" w:rsidRPr="006430B2">
        <w:rPr>
          <w:sz w:val="24"/>
          <w:szCs w:val="24"/>
        </w:rPr>
        <w:t>l Consejo Superior de la Judicatura – Unidad de Administración de Carrera Judicial, en procura de la protección de</w:t>
      </w:r>
      <w:r w:rsidR="00543DE1">
        <w:rPr>
          <w:sz w:val="24"/>
          <w:szCs w:val="24"/>
        </w:rPr>
        <w:t>l</w:t>
      </w:r>
      <w:r w:rsidR="006430B2" w:rsidRPr="006430B2">
        <w:rPr>
          <w:sz w:val="24"/>
          <w:szCs w:val="24"/>
        </w:rPr>
        <w:t xml:space="preserve"> derecho fundamental de petición que consideró vulnerado dado que la entidad contestó de </w:t>
      </w:r>
      <w:r w:rsidR="00D85472">
        <w:rPr>
          <w:sz w:val="24"/>
          <w:szCs w:val="24"/>
        </w:rPr>
        <w:t>manera</w:t>
      </w:r>
      <w:r w:rsidR="006430B2" w:rsidRPr="006430B2">
        <w:rPr>
          <w:sz w:val="24"/>
          <w:szCs w:val="24"/>
        </w:rPr>
        <w:t xml:space="preserve"> incompleta la petición</w:t>
      </w:r>
      <w:r w:rsidR="00543DE1">
        <w:rPr>
          <w:sz w:val="24"/>
          <w:szCs w:val="24"/>
        </w:rPr>
        <w:t xml:space="preserve"> que presentó </w:t>
      </w:r>
      <w:r w:rsidR="006430B2" w:rsidRPr="006430B2">
        <w:rPr>
          <w:sz w:val="24"/>
          <w:szCs w:val="24"/>
        </w:rPr>
        <w:t>el 16 de febrero de 2023</w:t>
      </w:r>
      <w:r w:rsidR="00543DE1">
        <w:rPr>
          <w:sz w:val="24"/>
          <w:szCs w:val="24"/>
        </w:rPr>
        <w:t xml:space="preserve"> ante la accionada</w:t>
      </w:r>
      <w:r w:rsidR="006430B2" w:rsidRPr="006430B2">
        <w:rPr>
          <w:sz w:val="24"/>
          <w:szCs w:val="24"/>
        </w:rPr>
        <w:t xml:space="preserve">.  </w:t>
      </w:r>
    </w:p>
    <w:p w14:paraId="6D19C9E7" w14:textId="77777777" w:rsidR="001A2F0A" w:rsidRPr="006430B2" w:rsidRDefault="001A2F0A" w:rsidP="00747DAE">
      <w:pPr>
        <w:spacing w:line="360" w:lineRule="auto"/>
        <w:rPr>
          <w:sz w:val="24"/>
          <w:szCs w:val="24"/>
        </w:rPr>
      </w:pPr>
    </w:p>
    <w:p w14:paraId="631A5A6F" w14:textId="2AA42BBD" w:rsidR="0025661A" w:rsidRPr="001A2F0A" w:rsidRDefault="00C35DD1" w:rsidP="00747DAE">
      <w:pPr>
        <w:spacing w:line="360" w:lineRule="auto"/>
        <w:rPr>
          <w:b/>
          <w:bCs/>
          <w:sz w:val="24"/>
          <w:szCs w:val="24"/>
        </w:rPr>
      </w:pPr>
      <w:r w:rsidRPr="001A2F0A">
        <w:rPr>
          <w:b/>
          <w:bCs/>
          <w:sz w:val="24"/>
          <w:szCs w:val="24"/>
        </w:rPr>
        <w:t xml:space="preserve">1.2.- Trámite constitucional </w:t>
      </w:r>
    </w:p>
    <w:p w14:paraId="5816CC9F" w14:textId="77777777" w:rsidR="00C35DD1" w:rsidRPr="001A2F0A" w:rsidRDefault="00C35DD1" w:rsidP="00747DAE">
      <w:pPr>
        <w:spacing w:line="360" w:lineRule="auto"/>
        <w:rPr>
          <w:b/>
          <w:bCs/>
          <w:sz w:val="24"/>
          <w:szCs w:val="24"/>
        </w:rPr>
      </w:pPr>
    </w:p>
    <w:p w14:paraId="1C985FC2" w14:textId="1FB3B4C4" w:rsidR="00C35DD1" w:rsidRPr="001A2F0A" w:rsidRDefault="00C35DD1" w:rsidP="00747DAE">
      <w:pPr>
        <w:spacing w:line="360" w:lineRule="auto"/>
        <w:rPr>
          <w:sz w:val="24"/>
          <w:szCs w:val="24"/>
        </w:rPr>
      </w:pPr>
      <w:r w:rsidRPr="00BB733F">
        <w:rPr>
          <w:sz w:val="24"/>
          <w:szCs w:val="24"/>
        </w:rPr>
        <w:t>1.2.1.- En primera instancia la causa fue conocida por la Subsección A de la Sección Tercera del Consejo de Estado, que en sentencia del 4 de julio de 2023</w:t>
      </w:r>
      <w:r w:rsidR="006430B2" w:rsidRPr="00BB733F">
        <w:rPr>
          <w:sz w:val="24"/>
          <w:szCs w:val="24"/>
        </w:rPr>
        <w:t xml:space="preserve"> declaró la improcedencia del amparo</w:t>
      </w:r>
      <w:r w:rsidR="00BB733F" w:rsidRPr="00BB733F">
        <w:rPr>
          <w:sz w:val="24"/>
          <w:szCs w:val="24"/>
        </w:rPr>
        <w:t>.</w:t>
      </w:r>
      <w:r w:rsidR="00BB733F">
        <w:rPr>
          <w:sz w:val="24"/>
          <w:szCs w:val="24"/>
        </w:rPr>
        <w:t xml:space="preserve"> </w:t>
      </w:r>
    </w:p>
    <w:p w14:paraId="64397064" w14:textId="77777777" w:rsidR="00C35DD1" w:rsidRPr="001A2F0A" w:rsidRDefault="00C35DD1" w:rsidP="00747DAE">
      <w:pPr>
        <w:spacing w:line="360" w:lineRule="auto"/>
        <w:rPr>
          <w:sz w:val="24"/>
          <w:szCs w:val="24"/>
        </w:rPr>
      </w:pPr>
    </w:p>
    <w:p w14:paraId="401BA184" w14:textId="18A4AA13" w:rsidR="00C35DD1" w:rsidRPr="001A2F0A" w:rsidRDefault="00C35DD1" w:rsidP="00747DAE">
      <w:pPr>
        <w:spacing w:line="360" w:lineRule="auto"/>
        <w:rPr>
          <w:sz w:val="24"/>
          <w:szCs w:val="24"/>
        </w:rPr>
      </w:pPr>
      <w:r w:rsidRPr="001A2F0A">
        <w:rPr>
          <w:sz w:val="24"/>
          <w:szCs w:val="24"/>
        </w:rPr>
        <w:t xml:space="preserve">1.2.2.- La anterior decisión fue impugnada. En segunda instancia el asunto fue repartido al Consejero </w:t>
      </w:r>
      <w:r w:rsidR="003D18BF">
        <w:rPr>
          <w:sz w:val="24"/>
          <w:szCs w:val="24"/>
        </w:rPr>
        <w:t xml:space="preserve">(E) </w:t>
      </w:r>
      <w:r w:rsidRPr="001A2F0A">
        <w:rPr>
          <w:sz w:val="24"/>
          <w:szCs w:val="24"/>
        </w:rPr>
        <w:t>José Roberto Sáchica Méndez</w:t>
      </w:r>
      <w:r w:rsidR="003D18BF">
        <w:rPr>
          <w:sz w:val="24"/>
          <w:szCs w:val="24"/>
        </w:rPr>
        <w:t>.</w:t>
      </w:r>
    </w:p>
    <w:p w14:paraId="0FF1F8FE" w14:textId="77777777" w:rsidR="00C35DD1" w:rsidRPr="001A2F0A" w:rsidRDefault="00C35DD1" w:rsidP="00747DAE">
      <w:pPr>
        <w:spacing w:line="360" w:lineRule="auto"/>
        <w:rPr>
          <w:sz w:val="24"/>
          <w:szCs w:val="24"/>
        </w:rPr>
      </w:pPr>
    </w:p>
    <w:p w14:paraId="63DE75FD" w14:textId="77777777" w:rsidR="00C35DD1" w:rsidRPr="001A2F0A" w:rsidRDefault="00C35DD1" w:rsidP="00C35DD1">
      <w:pPr>
        <w:spacing w:line="360" w:lineRule="auto"/>
        <w:rPr>
          <w:b/>
          <w:sz w:val="24"/>
          <w:szCs w:val="24"/>
        </w:rPr>
      </w:pPr>
      <w:r w:rsidRPr="001A2F0A">
        <w:rPr>
          <w:b/>
          <w:sz w:val="24"/>
          <w:szCs w:val="24"/>
        </w:rPr>
        <w:t xml:space="preserve">2.- Manifestación de impedimento </w:t>
      </w:r>
    </w:p>
    <w:p w14:paraId="68616052" w14:textId="77777777" w:rsidR="00C35DD1" w:rsidRPr="001A2F0A" w:rsidRDefault="00C35DD1" w:rsidP="00C35DD1">
      <w:pPr>
        <w:spacing w:line="360" w:lineRule="auto"/>
        <w:rPr>
          <w:sz w:val="24"/>
          <w:szCs w:val="24"/>
        </w:rPr>
      </w:pPr>
    </w:p>
    <w:p w14:paraId="38F32BA7" w14:textId="50E88513" w:rsidR="00C35DD1" w:rsidRPr="001A2F0A" w:rsidRDefault="00C35DD1" w:rsidP="00747DAE">
      <w:pPr>
        <w:spacing w:line="360" w:lineRule="auto"/>
        <w:rPr>
          <w:sz w:val="24"/>
          <w:szCs w:val="24"/>
        </w:rPr>
      </w:pPr>
      <w:r w:rsidRPr="001A2F0A">
        <w:rPr>
          <w:sz w:val="24"/>
          <w:szCs w:val="24"/>
        </w:rPr>
        <w:t xml:space="preserve">2.1.- En escrito </w:t>
      </w:r>
      <w:r w:rsidRPr="008F632D">
        <w:rPr>
          <w:sz w:val="24"/>
          <w:szCs w:val="24"/>
        </w:rPr>
        <w:t>del 18 de agosto de 2023</w:t>
      </w:r>
      <w:r w:rsidR="001A2F0A" w:rsidRPr="008F632D">
        <w:rPr>
          <w:rStyle w:val="Refdenotaalpie"/>
          <w:sz w:val="24"/>
          <w:szCs w:val="24"/>
        </w:rPr>
        <w:footnoteReference w:id="1"/>
      </w:r>
      <w:r w:rsidRPr="008F632D">
        <w:rPr>
          <w:sz w:val="24"/>
          <w:szCs w:val="24"/>
        </w:rPr>
        <w:t xml:space="preserve"> el Consejero José Roberto Sáchica Méndez manifestó su impedimento para conocer del amparo </w:t>
      </w:r>
      <w:r w:rsidRPr="008F632D">
        <w:rPr>
          <w:i/>
          <w:iCs/>
          <w:sz w:val="24"/>
          <w:szCs w:val="24"/>
        </w:rPr>
        <w:t>sub examine</w:t>
      </w:r>
      <w:r w:rsidRPr="003D18BF">
        <w:rPr>
          <w:sz w:val="24"/>
          <w:szCs w:val="24"/>
        </w:rPr>
        <w:t>.</w:t>
      </w:r>
      <w:r w:rsidRPr="008F632D">
        <w:rPr>
          <w:i/>
          <w:iCs/>
          <w:sz w:val="24"/>
          <w:szCs w:val="24"/>
        </w:rPr>
        <w:t xml:space="preserve"> </w:t>
      </w:r>
      <w:r w:rsidR="00655FCB">
        <w:rPr>
          <w:sz w:val="24"/>
          <w:szCs w:val="24"/>
        </w:rPr>
        <w:t xml:space="preserve">Aquel se </w:t>
      </w:r>
      <w:r w:rsidRPr="008F632D">
        <w:rPr>
          <w:sz w:val="24"/>
          <w:szCs w:val="24"/>
        </w:rPr>
        <w:t>estructuró en los siguientes términos:</w:t>
      </w:r>
      <w:r w:rsidRPr="001A2F0A">
        <w:rPr>
          <w:sz w:val="24"/>
          <w:szCs w:val="24"/>
        </w:rPr>
        <w:t xml:space="preserve"> </w:t>
      </w:r>
    </w:p>
    <w:p w14:paraId="7251B369" w14:textId="77777777" w:rsidR="00C35DD1" w:rsidRPr="001A2F0A" w:rsidRDefault="00C35DD1" w:rsidP="00747DAE">
      <w:pPr>
        <w:spacing w:line="360" w:lineRule="auto"/>
        <w:rPr>
          <w:sz w:val="24"/>
          <w:szCs w:val="24"/>
        </w:rPr>
      </w:pPr>
    </w:p>
    <w:p w14:paraId="34645C33" w14:textId="77777777" w:rsidR="00C35DD1" w:rsidRPr="001A2F0A" w:rsidRDefault="00C35DD1" w:rsidP="00C35DD1">
      <w:pPr>
        <w:spacing w:line="276" w:lineRule="auto"/>
        <w:ind w:left="567" w:right="567"/>
        <w:rPr>
          <w:i/>
          <w:iCs/>
          <w:sz w:val="24"/>
          <w:szCs w:val="24"/>
        </w:rPr>
      </w:pPr>
      <w:r w:rsidRPr="001A2F0A">
        <w:rPr>
          <w:i/>
          <w:iCs/>
          <w:sz w:val="24"/>
          <w:szCs w:val="24"/>
        </w:rPr>
        <w:t xml:space="preserve">“(i) Mediante sentencia del 4 de julio de 2023, la Subsección A de la Sección Tercera de la Corporación profirió la sentencia de tutela de primera instancia que el solicitante impugna en el asunto de la referencia. </w:t>
      </w:r>
    </w:p>
    <w:p w14:paraId="5A46B1D6" w14:textId="77777777" w:rsidR="00C35DD1" w:rsidRPr="001A2F0A" w:rsidRDefault="00C35DD1" w:rsidP="00C35DD1">
      <w:pPr>
        <w:spacing w:line="276" w:lineRule="auto"/>
        <w:ind w:left="567" w:right="567"/>
        <w:rPr>
          <w:i/>
          <w:iCs/>
          <w:sz w:val="24"/>
          <w:szCs w:val="24"/>
        </w:rPr>
      </w:pPr>
    </w:p>
    <w:p w14:paraId="4A3ED2DD" w14:textId="77777777" w:rsidR="00C35DD1" w:rsidRPr="001A2F0A" w:rsidRDefault="00C35DD1" w:rsidP="00C35DD1">
      <w:pPr>
        <w:spacing w:line="276" w:lineRule="auto"/>
        <w:ind w:left="567" w:right="567"/>
        <w:rPr>
          <w:i/>
          <w:iCs/>
          <w:sz w:val="24"/>
          <w:szCs w:val="24"/>
        </w:rPr>
      </w:pPr>
      <w:r w:rsidRPr="001A2F0A">
        <w:rPr>
          <w:i/>
          <w:iCs/>
          <w:sz w:val="24"/>
          <w:szCs w:val="24"/>
        </w:rPr>
        <w:t>(</w:t>
      </w:r>
      <w:proofErr w:type="spellStart"/>
      <w:r w:rsidRPr="001A2F0A">
        <w:rPr>
          <w:i/>
          <w:iCs/>
          <w:sz w:val="24"/>
          <w:szCs w:val="24"/>
        </w:rPr>
        <w:t>ii</w:t>
      </w:r>
      <w:proofErr w:type="spellEnd"/>
      <w:r w:rsidRPr="001A2F0A">
        <w:rPr>
          <w:i/>
          <w:iCs/>
          <w:sz w:val="24"/>
          <w:szCs w:val="24"/>
        </w:rPr>
        <w:t xml:space="preserve">) Por cuanto soy integrante de la subsección que decidió la acción de tutela en primera instancia, intervine en la deliberación y aprobación de la sentencia impugnada. </w:t>
      </w:r>
    </w:p>
    <w:p w14:paraId="29CEC1D5" w14:textId="77777777" w:rsidR="00C35DD1" w:rsidRPr="001A2F0A" w:rsidRDefault="00C35DD1" w:rsidP="00C35DD1">
      <w:pPr>
        <w:spacing w:line="276" w:lineRule="auto"/>
        <w:ind w:left="567" w:right="567"/>
        <w:rPr>
          <w:i/>
          <w:iCs/>
          <w:sz w:val="24"/>
          <w:szCs w:val="24"/>
        </w:rPr>
      </w:pPr>
    </w:p>
    <w:p w14:paraId="543E5303" w14:textId="672C4E8F" w:rsidR="00C35DD1" w:rsidRDefault="00C35DD1" w:rsidP="00C35DD1">
      <w:pPr>
        <w:spacing w:line="276" w:lineRule="auto"/>
        <w:ind w:left="567" w:right="567"/>
        <w:rPr>
          <w:i/>
          <w:iCs/>
          <w:sz w:val="24"/>
          <w:szCs w:val="24"/>
        </w:rPr>
      </w:pPr>
      <w:r w:rsidRPr="001A2F0A">
        <w:rPr>
          <w:i/>
          <w:iCs/>
          <w:sz w:val="24"/>
          <w:szCs w:val="24"/>
        </w:rPr>
        <w:t>(</w:t>
      </w:r>
      <w:proofErr w:type="spellStart"/>
      <w:r w:rsidRPr="001A2F0A">
        <w:rPr>
          <w:i/>
          <w:iCs/>
          <w:sz w:val="24"/>
          <w:szCs w:val="24"/>
        </w:rPr>
        <w:t>iii</w:t>
      </w:r>
      <w:proofErr w:type="spellEnd"/>
      <w:r w:rsidRPr="001A2F0A">
        <w:rPr>
          <w:i/>
          <w:iCs/>
          <w:sz w:val="24"/>
          <w:szCs w:val="24"/>
        </w:rPr>
        <w:t>) Considerando lo anterior, estimo que en el presente asunto estoy incurso en la causal de impedimento contemplada en el numeral 6 del artículo 56 del Código de Procedimiento Penal (por remisión del artículo 39 del Decreto Ley 2591 de 1991), porque participé en el dictamen de la providencia de cuya revisión se trata.”</w:t>
      </w:r>
    </w:p>
    <w:p w14:paraId="0376E5A2" w14:textId="77777777" w:rsidR="00BB733F" w:rsidRPr="001A2F0A" w:rsidRDefault="00BB733F" w:rsidP="00BB733F">
      <w:pPr>
        <w:spacing w:line="360" w:lineRule="auto"/>
        <w:ind w:left="567" w:right="567"/>
        <w:rPr>
          <w:i/>
          <w:iCs/>
          <w:sz w:val="24"/>
          <w:szCs w:val="24"/>
        </w:rPr>
      </w:pPr>
    </w:p>
    <w:p w14:paraId="35A47EA5" w14:textId="77777777" w:rsidR="00A26499" w:rsidRPr="001A2F0A" w:rsidRDefault="00A26499" w:rsidP="00BB733F">
      <w:pPr>
        <w:spacing w:line="360" w:lineRule="auto"/>
        <w:ind w:right="567"/>
        <w:jc w:val="center"/>
        <w:rPr>
          <w:b/>
          <w:sz w:val="24"/>
          <w:szCs w:val="24"/>
        </w:rPr>
      </w:pPr>
      <w:r w:rsidRPr="001A2F0A">
        <w:rPr>
          <w:b/>
          <w:sz w:val="24"/>
          <w:szCs w:val="24"/>
        </w:rPr>
        <w:t>II. CONSIDERACIONES</w:t>
      </w:r>
    </w:p>
    <w:p w14:paraId="029B48A0" w14:textId="77777777" w:rsidR="00A26499" w:rsidRPr="001A2F0A" w:rsidRDefault="00A26499" w:rsidP="00A26499">
      <w:pPr>
        <w:spacing w:line="360" w:lineRule="auto"/>
        <w:ind w:right="567"/>
        <w:jc w:val="center"/>
        <w:rPr>
          <w:b/>
          <w:sz w:val="24"/>
          <w:szCs w:val="24"/>
        </w:rPr>
      </w:pPr>
    </w:p>
    <w:p w14:paraId="6FE0E03A" w14:textId="3364AD16" w:rsidR="00A26499" w:rsidRPr="001A2F0A" w:rsidRDefault="00A26499" w:rsidP="00A26499">
      <w:pPr>
        <w:spacing w:line="360" w:lineRule="auto"/>
        <w:rPr>
          <w:sz w:val="24"/>
          <w:szCs w:val="24"/>
        </w:rPr>
      </w:pPr>
      <w:r w:rsidRPr="001A2F0A">
        <w:rPr>
          <w:sz w:val="24"/>
          <w:szCs w:val="24"/>
        </w:rPr>
        <w:t xml:space="preserve">2.1.- Como se señaló, el Consejero de Estado José Roberto Sáchica Méndez expresó su impedimento para conocer del amparo </w:t>
      </w:r>
      <w:r w:rsidRPr="001A2F0A">
        <w:rPr>
          <w:i/>
          <w:sz w:val="24"/>
          <w:szCs w:val="24"/>
        </w:rPr>
        <w:t>sub examine</w:t>
      </w:r>
      <w:r w:rsidR="00DA0EAB" w:rsidRPr="001A2F0A">
        <w:rPr>
          <w:sz w:val="24"/>
          <w:szCs w:val="24"/>
        </w:rPr>
        <w:t>,</w:t>
      </w:r>
      <w:r w:rsidRPr="001A2F0A">
        <w:rPr>
          <w:sz w:val="24"/>
          <w:szCs w:val="24"/>
        </w:rPr>
        <w:t xml:space="preserve"> según la causal prevista en el numeral 6° del artículo 56 del Código de Procedimiento Penal, que dispone lo siguiente: </w:t>
      </w:r>
    </w:p>
    <w:p w14:paraId="52E7F737" w14:textId="77777777" w:rsidR="00A26499" w:rsidRPr="001A2F0A" w:rsidRDefault="00A26499" w:rsidP="00A26499">
      <w:pPr>
        <w:spacing w:line="360" w:lineRule="auto"/>
        <w:rPr>
          <w:sz w:val="24"/>
          <w:szCs w:val="24"/>
        </w:rPr>
      </w:pPr>
    </w:p>
    <w:p w14:paraId="75041A13" w14:textId="77777777" w:rsidR="00A26499" w:rsidRPr="001A2F0A" w:rsidRDefault="00A26499" w:rsidP="00A26499">
      <w:pPr>
        <w:tabs>
          <w:tab w:val="left" w:pos="2661"/>
        </w:tabs>
        <w:spacing w:line="276" w:lineRule="auto"/>
        <w:ind w:left="567" w:right="567"/>
        <w:rPr>
          <w:i/>
          <w:color w:val="000000" w:themeColor="text1"/>
          <w:sz w:val="24"/>
          <w:szCs w:val="24"/>
        </w:rPr>
      </w:pPr>
      <w:r w:rsidRPr="001A2F0A">
        <w:rPr>
          <w:i/>
          <w:color w:val="000000" w:themeColor="text1"/>
          <w:sz w:val="24"/>
          <w:szCs w:val="24"/>
        </w:rPr>
        <w:t>“</w:t>
      </w:r>
      <w:bookmarkStart w:id="1" w:name="56"/>
      <w:r w:rsidRPr="001A2F0A">
        <w:rPr>
          <w:b/>
          <w:bCs/>
          <w:i/>
          <w:color w:val="000000" w:themeColor="text1"/>
          <w:sz w:val="24"/>
          <w:szCs w:val="24"/>
        </w:rPr>
        <w:t>ARTÍCULO 56. CAUSALES DE IMPEDIMENTO.</w:t>
      </w:r>
      <w:bookmarkEnd w:id="1"/>
      <w:r w:rsidRPr="001A2F0A">
        <w:rPr>
          <w:i/>
          <w:color w:val="000000" w:themeColor="text1"/>
          <w:sz w:val="24"/>
          <w:szCs w:val="24"/>
        </w:rPr>
        <w:t xml:space="preserve"> Son causales de impedimento: </w:t>
      </w:r>
    </w:p>
    <w:p w14:paraId="39693C1F" w14:textId="77777777" w:rsidR="00A26499" w:rsidRPr="001A2F0A" w:rsidRDefault="00A26499" w:rsidP="00A26499">
      <w:pPr>
        <w:tabs>
          <w:tab w:val="left" w:pos="2661"/>
        </w:tabs>
        <w:spacing w:line="276" w:lineRule="auto"/>
        <w:ind w:left="567" w:right="567"/>
        <w:rPr>
          <w:i/>
          <w:color w:val="000000" w:themeColor="text1"/>
          <w:sz w:val="24"/>
          <w:szCs w:val="24"/>
        </w:rPr>
      </w:pPr>
      <w:r w:rsidRPr="001A2F0A">
        <w:rPr>
          <w:i/>
          <w:color w:val="000000" w:themeColor="text1"/>
          <w:sz w:val="24"/>
          <w:szCs w:val="24"/>
        </w:rPr>
        <w:t>(…)</w:t>
      </w:r>
    </w:p>
    <w:p w14:paraId="1534366C" w14:textId="77777777" w:rsidR="00A26499" w:rsidRPr="001A2F0A" w:rsidRDefault="00A26499" w:rsidP="00A26499">
      <w:pPr>
        <w:tabs>
          <w:tab w:val="left" w:pos="2661"/>
        </w:tabs>
        <w:spacing w:line="276" w:lineRule="auto"/>
        <w:ind w:left="567" w:right="567"/>
        <w:rPr>
          <w:i/>
          <w:color w:val="000000" w:themeColor="text1"/>
          <w:sz w:val="24"/>
          <w:szCs w:val="24"/>
        </w:rPr>
      </w:pPr>
      <w:r w:rsidRPr="001A2F0A">
        <w:rPr>
          <w:i/>
          <w:color w:val="000000" w:themeColor="text1"/>
          <w:sz w:val="24"/>
          <w:szCs w:val="24"/>
        </w:rPr>
        <w:t>6. Que el funcionario haya dictado la providencia de cuya revisión se trata, o hubiere participado dentro del proceso, o sea cónyuge o compañero o compañera permanente o pariente dentro del cuarto grado de consanguinidad o civil, o segundo de afinidad, del funcionario que dictó la providencia a revisar”</w:t>
      </w:r>
      <w:r w:rsidRPr="001A2F0A">
        <w:rPr>
          <w:iCs/>
          <w:color w:val="000000" w:themeColor="text1"/>
          <w:sz w:val="24"/>
          <w:szCs w:val="24"/>
        </w:rPr>
        <w:t>.</w:t>
      </w:r>
    </w:p>
    <w:p w14:paraId="0F1899D0" w14:textId="77777777" w:rsidR="00A26499" w:rsidRPr="001A2F0A" w:rsidRDefault="00A26499" w:rsidP="00A26499">
      <w:pPr>
        <w:widowControl w:val="0"/>
        <w:spacing w:line="360" w:lineRule="auto"/>
        <w:rPr>
          <w:color w:val="000000" w:themeColor="text1"/>
          <w:sz w:val="24"/>
          <w:szCs w:val="24"/>
        </w:rPr>
      </w:pPr>
    </w:p>
    <w:p w14:paraId="3357EC1E" w14:textId="5972C3A5" w:rsidR="00DA0EAB" w:rsidRPr="001A2F0A" w:rsidRDefault="00A26499" w:rsidP="00DA0EAB">
      <w:pPr>
        <w:spacing w:line="360" w:lineRule="auto"/>
        <w:rPr>
          <w:sz w:val="24"/>
          <w:szCs w:val="24"/>
        </w:rPr>
      </w:pPr>
      <w:r w:rsidRPr="001A2F0A">
        <w:rPr>
          <w:sz w:val="24"/>
          <w:szCs w:val="24"/>
        </w:rPr>
        <w:t xml:space="preserve">2.2.- </w:t>
      </w:r>
      <w:r w:rsidR="00DA0EAB" w:rsidRPr="001A2F0A">
        <w:rPr>
          <w:sz w:val="24"/>
          <w:szCs w:val="24"/>
        </w:rPr>
        <w:t xml:space="preserve">Ahora, luego de revisar el expediente de la acción de tutela de la referencia, se pudo constatar que el Consejero Sáchica Méndez suscribió, como integrante de la Subsección A de la Sección Tercera de Consejo de Estado, el fallo del 4 de julio de 2023 que es la sentencia objeto del recurso de impugnación incoado por Miguel Ángel </w:t>
      </w:r>
      <w:proofErr w:type="spellStart"/>
      <w:r w:rsidR="00DA0EAB" w:rsidRPr="001A2F0A">
        <w:rPr>
          <w:sz w:val="24"/>
          <w:szCs w:val="24"/>
        </w:rPr>
        <w:t>Taján</w:t>
      </w:r>
      <w:proofErr w:type="spellEnd"/>
      <w:r w:rsidR="00DA0EAB" w:rsidRPr="001A2F0A">
        <w:rPr>
          <w:sz w:val="24"/>
          <w:szCs w:val="24"/>
        </w:rPr>
        <w:t xml:space="preserve"> de Ávila </w:t>
      </w:r>
      <w:r w:rsidR="008F632D">
        <w:rPr>
          <w:sz w:val="24"/>
          <w:szCs w:val="24"/>
        </w:rPr>
        <w:t xml:space="preserve">y </w:t>
      </w:r>
      <w:r w:rsidR="00DA0EAB" w:rsidRPr="001A2F0A">
        <w:rPr>
          <w:sz w:val="24"/>
          <w:szCs w:val="24"/>
        </w:rPr>
        <w:t>que debe ser resuelto por la Subsección C de la Sección Tercera del Consejo de Estado</w:t>
      </w:r>
      <w:r w:rsidR="001A2F0A" w:rsidRPr="001A2F0A">
        <w:rPr>
          <w:sz w:val="24"/>
          <w:szCs w:val="24"/>
        </w:rPr>
        <w:t xml:space="preserve"> en esta oportunidad. </w:t>
      </w:r>
    </w:p>
    <w:p w14:paraId="79CCAAE7" w14:textId="77777777" w:rsidR="00DA0EAB" w:rsidRPr="001A2F0A" w:rsidRDefault="00DA0EAB" w:rsidP="00DA0EAB">
      <w:pPr>
        <w:spacing w:line="360" w:lineRule="auto"/>
        <w:rPr>
          <w:sz w:val="24"/>
          <w:szCs w:val="24"/>
        </w:rPr>
      </w:pPr>
    </w:p>
    <w:p w14:paraId="0DF1D7EC" w14:textId="4D98384B" w:rsidR="00DA0EAB" w:rsidRPr="001A2F0A" w:rsidRDefault="00DA0EAB" w:rsidP="00DA0EAB">
      <w:pPr>
        <w:spacing w:line="360" w:lineRule="auto"/>
        <w:rPr>
          <w:sz w:val="24"/>
          <w:szCs w:val="24"/>
        </w:rPr>
      </w:pPr>
      <w:r w:rsidRPr="001A2F0A">
        <w:rPr>
          <w:sz w:val="24"/>
          <w:szCs w:val="24"/>
        </w:rPr>
        <w:t xml:space="preserve">3.- Así las cosas, se encuentra configurada la causal de impedimento prevista en el numeral 6° del artículo 56 del Código de Procedimiento Penal, en la medida en que el Consejero firmó la providencia </w:t>
      </w:r>
      <w:r w:rsidR="001A2F0A" w:rsidRPr="001A2F0A">
        <w:rPr>
          <w:sz w:val="24"/>
          <w:szCs w:val="24"/>
        </w:rPr>
        <w:t xml:space="preserve">objeto del recurso de impugnación que debe ser desatado por la Subsección C. </w:t>
      </w:r>
    </w:p>
    <w:p w14:paraId="72E3A568" w14:textId="77777777" w:rsidR="001A2F0A" w:rsidRPr="001A2F0A" w:rsidRDefault="001A2F0A" w:rsidP="00DA0EAB">
      <w:pPr>
        <w:spacing w:line="360" w:lineRule="auto"/>
        <w:rPr>
          <w:sz w:val="24"/>
          <w:szCs w:val="24"/>
        </w:rPr>
      </w:pPr>
    </w:p>
    <w:p w14:paraId="51D161CC" w14:textId="77777777" w:rsidR="001A2F0A" w:rsidRPr="001A2F0A" w:rsidRDefault="001A2F0A" w:rsidP="001A2F0A">
      <w:pPr>
        <w:widowControl w:val="0"/>
        <w:spacing w:line="360" w:lineRule="auto"/>
        <w:rPr>
          <w:rFonts w:eastAsia="Times New Roman"/>
          <w:sz w:val="24"/>
          <w:szCs w:val="24"/>
          <w:lang w:eastAsia="es-ES"/>
        </w:rPr>
      </w:pPr>
      <w:r w:rsidRPr="001A2F0A">
        <w:rPr>
          <w:sz w:val="24"/>
          <w:szCs w:val="24"/>
        </w:rPr>
        <w:t xml:space="preserve">4.- </w:t>
      </w:r>
      <w:r w:rsidRPr="001A2F0A">
        <w:rPr>
          <w:rFonts w:eastAsia="Times New Roman"/>
          <w:sz w:val="24"/>
          <w:szCs w:val="24"/>
          <w:lang w:eastAsia="es-ES"/>
        </w:rPr>
        <w:t xml:space="preserve">En consecuencia, se aceptará el impedimento manifestado y así se declarará. </w:t>
      </w:r>
    </w:p>
    <w:p w14:paraId="68A1A08E" w14:textId="77777777" w:rsidR="001A2F0A" w:rsidRPr="001A2F0A" w:rsidRDefault="001A2F0A" w:rsidP="001A2F0A">
      <w:pPr>
        <w:widowControl w:val="0"/>
        <w:spacing w:line="360" w:lineRule="auto"/>
        <w:rPr>
          <w:sz w:val="24"/>
          <w:szCs w:val="24"/>
          <w:lang w:val="es-ES"/>
        </w:rPr>
      </w:pPr>
    </w:p>
    <w:p w14:paraId="1B995270" w14:textId="77777777" w:rsidR="001A2F0A" w:rsidRPr="001A2F0A" w:rsidRDefault="001A2F0A" w:rsidP="001A2F0A">
      <w:pPr>
        <w:tabs>
          <w:tab w:val="left" w:pos="2661"/>
        </w:tabs>
        <w:spacing w:line="360" w:lineRule="auto"/>
        <w:rPr>
          <w:sz w:val="24"/>
          <w:szCs w:val="24"/>
        </w:rPr>
      </w:pPr>
      <w:r w:rsidRPr="001A2F0A">
        <w:rPr>
          <w:sz w:val="24"/>
          <w:szCs w:val="24"/>
        </w:rPr>
        <w:t xml:space="preserve">En mérito de lo expuesto, la Subsección C de la Sección Tercera de esta Corporación, </w:t>
      </w:r>
    </w:p>
    <w:p w14:paraId="63FC46E9" w14:textId="77777777" w:rsidR="001A2F0A" w:rsidRPr="001A2F0A" w:rsidRDefault="001A2F0A" w:rsidP="001A2F0A">
      <w:pPr>
        <w:tabs>
          <w:tab w:val="left" w:pos="2661"/>
        </w:tabs>
        <w:spacing w:line="360" w:lineRule="auto"/>
        <w:rPr>
          <w:sz w:val="24"/>
          <w:szCs w:val="24"/>
        </w:rPr>
      </w:pPr>
    </w:p>
    <w:p w14:paraId="603949A2" w14:textId="77777777" w:rsidR="001A2F0A" w:rsidRPr="001A2F0A" w:rsidRDefault="001A2F0A" w:rsidP="001A2F0A">
      <w:pPr>
        <w:spacing w:line="360" w:lineRule="auto"/>
        <w:jc w:val="center"/>
        <w:rPr>
          <w:b/>
          <w:sz w:val="24"/>
          <w:szCs w:val="24"/>
        </w:rPr>
      </w:pPr>
      <w:r w:rsidRPr="001A2F0A">
        <w:rPr>
          <w:b/>
          <w:sz w:val="24"/>
          <w:szCs w:val="24"/>
        </w:rPr>
        <w:t>III. RESUELVE</w:t>
      </w:r>
    </w:p>
    <w:p w14:paraId="10CAC8C3" w14:textId="77777777" w:rsidR="001A2F0A" w:rsidRPr="001A2F0A" w:rsidRDefault="001A2F0A" w:rsidP="001A2F0A">
      <w:pPr>
        <w:spacing w:line="360" w:lineRule="auto"/>
        <w:jc w:val="center"/>
        <w:rPr>
          <w:b/>
          <w:sz w:val="24"/>
          <w:szCs w:val="24"/>
        </w:rPr>
      </w:pPr>
    </w:p>
    <w:p w14:paraId="6DF3F4A3" w14:textId="1B69B092" w:rsidR="001A2F0A" w:rsidRDefault="001A2F0A" w:rsidP="001A2F0A">
      <w:pPr>
        <w:spacing w:line="360" w:lineRule="auto"/>
        <w:rPr>
          <w:rFonts w:eastAsia="Times New Roman"/>
          <w:color w:val="000000"/>
          <w:sz w:val="24"/>
          <w:szCs w:val="24"/>
          <w:lang w:eastAsia="es-CO"/>
        </w:rPr>
      </w:pPr>
      <w:r w:rsidRPr="001A2F0A">
        <w:rPr>
          <w:rFonts w:eastAsia="Times New Roman"/>
          <w:b/>
          <w:color w:val="000000"/>
          <w:sz w:val="24"/>
          <w:szCs w:val="24"/>
          <w:lang w:eastAsia="es-CO"/>
        </w:rPr>
        <w:t xml:space="preserve">PRIMERO: ACEPTAR </w:t>
      </w:r>
      <w:r w:rsidRPr="001A2F0A">
        <w:rPr>
          <w:rFonts w:eastAsia="Times New Roman"/>
          <w:color w:val="000000"/>
          <w:sz w:val="24"/>
          <w:szCs w:val="24"/>
          <w:lang w:eastAsia="es-CO"/>
        </w:rPr>
        <w:t xml:space="preserve">el impedimento manifestado por el Consejero </w:t>
      </w:r>
      <w:r w:rsidRPr="001A2F0A">
        <w:rPr>
          <w:sz w:val="24"/>
          <w:szCs w:val="24"/>
        </w:rPr>
        <w:t xml:space="preserve">José Roberto Sáchica Méndez, </w:t>
      </w:r>
      <w:r w:rsidRPr="001A2F0A">
        <w:rPr>
          <w:rFonts w:eastAsia="Times New Roman"/>
          <w:color w:val="000000"/>
          <w:sz w:val="24"/>
          <w:szCs w:val="24"/>
          <w:lang w:eastAsia="es-CO"/>
        </w:rPr>
        <w:t>según lo expuesto en antecedencia y, en consecuencia, sep</w:t>
      </w:r>
      <w:r w:rsidR="008668F5">
        <w:rPr>
          <w:rFonts w:eastAsia="Times New Roman"/>
          <w:color w:val="000000"/>
          <w:sz w:val="24"/>
          <w:szCs w:val="24"/>
          <w:lang w:eastAsia="es-CO"/>
        </w:rPr>
        <w:t xml:space="preserve">áresele </w:t>
      </w:r>
      <w:r w:rsidRPr="001A2F0A">
        <w:rPr>
          <w:rFonts w:eastAsia="Times New Roman"/>
          <w:color w:val="000000"/>
          <w:sz w:val="24"/>
          <w:szCs w:val="24"/>
          <w:lang w:eastAsia="es-CO"/>
        </w:rPr>
        <w:t xml:space="preserve">del conocimiento del presente asunto. </w:t>
      </w:r>
    </w:p>
    <w:p w14:paraId="2E81D8C7" w14:textId="77777777" w:rsidR="00DC5252" w:rsidRDefault="00DC5252" w:rsidP="001A2F0A">
      <w:pPr>
        <w:spacing w:line="360" w:lineRule="auto"/>
        <w:rPr>
          <w:rFonts w:eastAsia="Times New Roman"/>
          <w:color w:val="000000"/>
          <w:sz w:val="24"/>
          <w:szCs w:val="24"/>
          <w:lang w:eastAsia="es-CO"/>
        </w:rPr>
      </w:pPr>
    </w:p>
    <w:p w14:paraId="67EFE984" w14:textId="7B11218C" w:rsidR="00DC5252" w:rsidRPr="001A2F0A" w:rsidRDefault="00DC5252" w:rsidP="001A2F0A">
      <w:pPr>
        <w:spacing w:line="360" w:lineRule="auto"/>
        <w:rPr>
          <w:rFonts w:eastAsia="Times New Roman"/>
          <w:b/>
          <w:color w:val="000000"/>
          <w:sz w:val="24"/>
          <w:szCs w:val="24"/>
          <w:lang w:eastAsia="es-CO"/>
        </w:rPr>
      </w:pPr>
      <w:r w:rsidRPr="00DC5252">
        <w:rPr>
          <w:rFonts w:eastAsia="Times New Roman"/>
          <w:b/>
          <w:bCs/>
          <w:color w:val="000000"/>
          <w:sz w:val="24"/>
          <w:szCs w:val="24"/>
          <w:lang w:eastAsia="es-CO"/>
        </w:rPr>
        <w:t>SEGUNDO:</w:t>
      </w:r>
      <w:r>
        <w:rPr>
          <w:rFonts w:eastAsia="Times New Roman"/>
          <w:color w:val="000000"/>
          <w:sz w:val="24"/>
          <w:szCs w:val="24"/>
          <w:lang w:eastAsia="es-CO"/>
        </w:rPr>
        <w:t xml:space="preserve"> Por secretaría háganse las compensaciones del caso.</w:t>
      </w:r>
    </w:p>
    <w:p w14:paraId="42FD0521" w14:textId="77777777" w:rsidR="001A2F0A" w:rsidRPr="001A2F0A" w:rsidRDefault="001A2F0A" w:rsidP="001A2F0A">
      <w:pPr>
        <w:spacing w:line="360" w:lineRule="auto"/>
        <w:jc w:val="center"/>
        <w:rPr>
          <w:b/>
          <w:bCs/>
          <w:sz w:val="24"/>
          <w:szCs w:val="24"/>
        </w:rPr>
      </w:pPr>
    </w:p>
    <w:p w14:paraId="7FBA9CD3" w14:textId="77777777" w:rsidR="001A2F0A" w:rsidRPr="001A2F0A" w:rsidRDefault="001A2F0A" w:rsidP="001A2F0A">
      <w:pPr>
        <w:jc w:val="center"/>
        <w:rPr>
          <w:b/>
          <w:bCs/>
          <w:sz w:val="24"/>
          <w:szCs w:val="24"/>
        </w:rPr>
      </w:pPr>
      <w:r w:rsidRPr="001A2F0A">
        <w:rPr>
          <w:b/>
          <w:bCs/>
          <w:sz w:val="24"/>
          <w:szCs w:val="24"/>
        </w:rPr>
        <w:t>NOTIFÍQUESE Y CÚMPLASE</w:t>
      </w:r>
    </w:p>
    <w:p w14:paraId="5219AB7B" w14:textId="77777777" w:rsidR="001A2F0A" w:rsidRPr="001A2F0A" w:rsidRDefault="001A2F0A" w:rsidP="001A2F0A">
      <w:pPr>
        <w:jc w:val="center"/>
        <w:rPr>
          <w:b/>
          <w:bCs/>
          <w:sz w:val="24"/>
          <w:szCs w:val="24"/>
        </w:rPr>
      </w:pPr>
    </w:p>
    <w:p w14:paraId="3DD4778F" w14:textId="77777777" w:rsidR="001A2F0A" w:rsidRPr="001A2F0A" w:rsidRDefault="001A2F0A" w:rsidP="001A2F0A">
      <w:pPr>
        <w:jc w:val="center"/>
        <w:rPr>
          <w:b/>
          <w:sz w:val="24"/>
          <w:szCs w:val="24"/>
        </w:rPr>
      </w:pPr>
    </w:p>
    <w:p w14:paraId="1AFB75AE" w14:textId="77777777" w:rsidR="001A2F0A" w:rsidRPr="001A2F0A" w:rsidRDefault="001A2F0A" w:rsidP="001A2F0A">
      <w:pPr>
        <w:jc w:val="center"/>
        <w:rPr>
          <w:b/>
          <w:bCs/>
          <w:sz w:val="24"/>
          <w:szCs w:val="24"/>
        </w:rPr>
      </w:pPr>
      <w:r w:rsidRPr="001A2F0A">
        <w:rPr>
          <w:rFonts w:eastAsia="Times New Roman"/>
          <w:b/>
          <w:bCs/>
          <w:color w:val="000000"/>
          <w:sz w:val="24"/>
          <w:szCs w:val="24"/>
          <w:lang w:eastAsia="es-CO"/>
        </w:rPr>
        <w:t>JAIME ENRIQUE RODRÍGUEZ NAVAS</w:t>
      </w:r>
      <w:r w:rsidRPr="001A2F0A">
        <w:rPr>
          <w:b/>
          <w:bCs/>
          <w:sz w:val="24"/>
          <w:szCs w:val="24"/>
        </w:rPr>
        <w:t xml:space="preserve"> </w:t>
      </w:r>
    </w:p>
    <w:p w14:paraId="3BDE47B0" w14:textId="77777777" w:rsidR="001A2F0A" w:rsidRPr="001A2F0A" w:rsidRDefault="001A2F0A" w:rsidP="001A2F0A">
      <w:pPr>
        <w:jc w:val="center"/>
        <w:rPr>
          <w:b/>
          <w:sz w:val="24"/>
          <w:szCs w:val="24"/>
        </w:rPr>
      </w:pPr>
      <w:r w:rsidRPr="001A2F0A">
        <w:rPr>
          <w:b/>
          <w:sz w:val="24"/>
          <w:szCs w:val="24"/>
        </w:rPr>
        <w:t>Consejero de Estado</w:t>
      </w:r>
    </w:p>
    <w:p w14:paraId="7F962209" w14:textId="77777777" w:rsidR="001A2F0A" w:rsidRPr="001A2F0A" w:rsidRDefault="001A2F0A" w:rsidP="001A2F0A">
      <w:pPr>
        <w:jc w:val="center"/>
        <w:rPr>
          <w:b/>
          <w:sz w:val="24"/>
          <w:szCs w:val="24"/>
        </w:rPr>
      </w:pPr>
    </w:p>
    <w:p w14:paraId="3DA4A563" w14:textId="77777777" w:rsidR="001A2F0A" w:rsidRPr="001A2F0A" w:rsidRDefault="001A2F0A" w:rsidP="001A2F0A">
      <w:pPr>
        <w:jc w:val="center"/>
        <w:rPr>
          <w:b/>
          <w:sz w:val="24"/>
          <w:szCs w:val="24"/>
        </w:rPr>
      </w:pPr>
    </w:p>
    <w:p w14:paraId="70699304" w14:textId="77777777" w:rsidR="001A2F0A" w:rsidRPr="001A2F0A" w:rsidRDefault="001A2F0A" w:rsidP="001A2F0A">
      <w:pPr>
        <w:jc w:val="center"/>
        <w:rPr>
          <w:b/>
          <w:sz w:val="24"/>
          <w:szCs w:val="24"/>
          <w:lang w:eastAsia="es-ES"/>
        </w:rPr>
      </w:pPr>
      <w:r w:rsidRPr="001A2F0A">
        <w:rPr>
          <w:b/>
          <w:sz w:val="24"/>
          <w:szCs w:val="24"/>
          <w:lang w:eastAsia="es-ES"/>
        </w:rPr>
        <w:t>NICOLÁS YEPES CORRALES</w:t>
      </w:r>
    </w:p>
    <w:p w14:paraId="1AE63AF7" w14:textId="3A3DD5FC" w:rsidR="00DA0EAB" w:rsidRPr="001A2F0A" w:rsidRDefault="001A2F0A" w:rsidP="00BB733F">
      <w:pPr>
        <w:jc w:val="center"/>
        <w:rPr>
          <w:sz w:val="24"/>
          <w:szCs w:val="24"/>
        </w:rPr>
      </w:pPr>
      <w:r w:rsidRPr="001A2F0A">
        <w:rPr>
          <w:b/>
          <w:sz w:val="24"/>
          <w:szCs w:val="24"/>
          <w:lang w:eastAsia="es-ES"/>
        </w:rPr>
        <w:t xml:space="preserve">Presidente de la Sala </w:t>
      </w:r>
    </w:p>
    <w:sectPr w:rsidR="00DA0EAB" w:rsidRPr="001A2F0A" w:rsidSect="00747DAE">
      <w:headerReference w:type="default" r:id="rId9"/>
      <w:headerReference w:type="first" r:id="rId10"/>
      <w:pgSz w:w="12242" w:h="18722"/>
      <w:pgMar w:top="1417" w:right="1701" w:bottom="1417"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2586C7" w14:textId="77777777" w:rsidR="00813874" w:rsidRDefault="00813874" w:rsidP="00747DAE">
      <w:r>
        <w:separator/>
      </w:r>
    </w:p>
  </w:endnote>
  <w:endnote w:type="continuationSeparator" w:id="0">
    <w:p w14:paraId="1E64BD31" w14:textId="77777777" w:rsidR="00813874" w:rsidRDefault="00813874" w:rsidP="00747D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82F1F9" w14:textId="77777777" w:rsidR="00813874" w:rsidRDefault="00813874" w:rsidP="00747DAE">
      <w:r>
        <w:separator/>
      </w:r>
    </w:p>
  </w:footnote>
  <w:footnote w:type="continuationSeparator" w:id="0">
    <w:p w14:paraId="7F8FDDBE" w14:textId="77777777" w:rsidR="00813874" w:rsidRDefault="00813874" w:rsidP="00747DAE">
      <w:r>
        <w:continuationSeparator/>
      </w:r>
    </w:p>
  </w:footnote>
  <w:footnote w:id="1">
    <w:p w14:paraId="04AA99C8" w14:textId="189725E3" w:rsidR="001A2F0A" w:rsidRDefault="001A2F0A">
      <w:pPr>
        <w:pStyle w:val="Textonotapie"/>
      </w:pPr>
      <w:r>
        <w:rPr>
          <w:rStyle w:val="Refdenotaalpie"/>
        </w:rPr>
        <w:footnoteRef/>
      </w:r>
      <w:r>
        <w:t xml:space="preserve"> Obra en el índice 6 del expediente de segunda instancia.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77670862"/>
      <w:docPartObj>
        <w:docPartGallery w:val="Page Numbers (Top of Page)"/>
        <w:docPartUnique/>
      </w:docPartObj>
    </w:sdtPr>
    <w:sdtEndPr/>
    <w:sdtContent>
      <w:p w14:paraId="5B8B5CF9" w14:textId="599F0858" w:rsidR="00A26499" w:rsidRDefault="00A26499">
        <w:pPr>
          <w:pStyle w:val="Encabezado"/>
          <w:jc w:val="center"/>
        </w:pPr>
        <w:r>
          <w:fldChar w:fldCharType="begin"/>
        </w:r>
        <w:r>
          <w:instrText>PAGE   \* MERGEFORMAT</w:instrText>
        </w:r>
        <w:r>
          <w:fldChar w:fldCharType="separate"/>
        </w:r>
        <w:r>
          <w:rPr>
            <w:lang w:val="es-ES"/>
          </w:rPr>
          <w:t>2</w:t>
        </w:r>
        <w:r>
          <w:fldChar w:fldCharType="end"/>
        </w:r>
      </w:p>
    </w:sdtContent>
  </w:sdt>
  <w:p w14:paraId="4AF8E540" w14:textId="77777777" w:rsidR="00A26499" w:rsidRPr="00A26499" w:rsidRDefault="00A26499" w:rsidP="00A26499">
    <w:pPr>
      <w:jc w:val="right"/>
      <w:rPr>
        <w:i/>
        <w:iCs/>
      </w:rPr>
    </w:pPr>
    <w:r w:rsidRPr="00A26499">
      <w:rPr>
        <w:i/>
        <w:iCs/>
      </w:rPr>
      <w:t>Resuelve manifestación de impedimento</w:t>
    </w:r>
  </w:p>
  <w:p w14:paraId="497FAE4D" w14:textId="77777777" w:rsidR="00A26499" w:rsidRPr="00A26499" w:rsidRDefault="00A26499" w:rsidP="00A26499">
    <w:pPr>
      <w:jc w:val="right"/>
      <w:rPr>
        <w:i/>
        <w:iCs/>
      </w:rPr>
    </w:pPr>
    <w:r w:rsidRPr="00A26499">
      <w:rPr>
        <w:i/>
        <w:iCs/>
      </w:rPr>
      <w:t>Radicación: 11001-03-15-000-2023-02828-01</w:t>
    </w:r>
  </w:p>
  <w:p w14:paraId="424EA8F3" w14:textId="77777777" w:rsidR="00A26499" w:rsidRPr="00A26499" w:rsidRDefault="00A26499" w:rsidP="00A26499">
    <w:pPr>
      <w:jc w:val="right"/>
      <w:rPr>
        <w:i/>
        <w:iCs/>
      </w:rPr>
    </w:pPr>
    <w:r w:rsidRPr="00A26499">
      <w:rPr>
        <w:i/>
        <w:iCs/>
      </w:rPr>
      <w:t xml:space="preserve">Accionante: Miguel Ángel </w:t>
    </w:r>
    <w:proofErr w:type="spellStart"/>
    <w:r w:rsidRPr="00A26499">
      <w:rPr>
        <w:i/>
        <w:iCs/>
      </w:rPr>
      <w:t>Taján</w:t>
    </w:r>
    <w:proofErr w:type="spellEnd"/>
    <w:r w:rsidRPr="00A26499">
      <w:rPr>
        <w:i/>
        <w:iCs/>
      </w:rPr>
      <w:t xml:space="preserve"> de Ávila </w:t>
    </w:r>
  </w:p>
  <w:p w14:paraId="5EB4381C" w14:textId="77777777" w:rsidR="00A26499" w:rsidRPr="00A26499" w:rsidRDefault="00A26499" w:rsidP="00A26499">
    <w:pPr>
      <w:jc w:val="right"/>
      <w:rPr>
        <w:i/>
        <w:iCs/>
      </w:rPr>
    </w:pPr>
    <w:r w:rsidRPr="00A26499">
      <w:rPr>
        <w:i/>
        <w:iCs/>
      </w:rPr>
      <w:t>Accionados: Consejo Superior de la Judicatura</w:t>
    </w:r>
  </w:p>
  <w:p w14:paraId="739CBAE3" w14:textId="77777777" w:rsidR="00747DAE" w:rsidRDefault="00747DAE">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22DFDC" w14:textId="77777777" w:rsidR="00747DAE" w:rsidRPr="009E1A97" w:rsidRDefault="00747DAE" w:rsidP="00747DAE">
    <w:pPr>
      <w:pStyle w:val="Encabezado"/>
      <w:ind w:firstLine="3540"/>
      <w:rPr>
        <w:b/>
        <w:bCs/>
        <w:color w:val="000000"/>
        <w:sz w:val="24"/>
        <w:szCs w:val="24"/>
      </w:rPr>
    </w:pPr>
    <w:r w:rsidRPr="009E1A97">
      <w:rPr>
        <w:noProof/>
        <w:sz w:val="24"/>
        <w:szCs w:val="24"/>
        <w:lang w:eastAsia="es-CO"/>
      </w:rPr>
      <w:drawing>
        <wp:anchor distT="0" distB="0" distL="114300" distR="114300" simplePos="0" relativeHeight="251661312" behindDoc="1" locked="0" layoutInCell="1" allowOverlap="1" wp14:anchorId="12649CE3" wp14:editId="38E37B05">
          <wp:simplePos x="0" y="0"/>
          <wp:positionH relativeFrom="column">
            <wp:posOffset>45085</wp:posOffset>
          </wp:positionH>
          <wp:positionV relativeFrom="paragraph">
            <wp:posOffset>6350</wp:posOffset>
          </wp:positionV>
          <wp:extent cx="962025" cy="899795"/>
          <wp:effectExtent l="0" t="0" r="9525" b="0"/>
          <wp:wrapNone/>
          <wp:docPr id="92545504" name="Imagen 925455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2025" cy="8997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5F2B3A4" w14:textId="77777777" w:rsidR="00747DAE" w:rsidRPr="009E1A97" w:rsidRDefault="00747DAE" w:rsidP="00747DAE">
    <w:pPr>
      <w:pStyle w:val="Encabezado"/>
      <w:spacing w:line="276" w:lineRule="auto"/>
      <w:jc w:val="center"/>
      <w:rPr>
        <w:sz w:val="24"/>
        <w:szCs w:val="24"/>
      </w:rPr>
    </w:pPr>
    <w:r w:rsidRPr="009E1A97">
      <w:rPr>
        <w:b/>
        <w:bCs/>
        <w:color w:val="000000"/>
        <w:sz w:val="24"/>
        <w:szCs w:val="24"/>
      </w:rPr>
      <w:t>CONSEJO DE ESTADO</w:t>
    </w:r>
  </w:p>
  <w:p w14:paraId="0AE287AD" w14:textId="77777777" w:rsidR="00747DAE" w:rsidRPr="009E1A97" w:rsidRDefault="00747DAE" w:rsidP="00747DAE">
    <w:pPr>
      <w:suppressAutoHyphens/>
      <w:spacing w:line="276" w:lineRule="auto"/>
      <w:jc w:val="center"/>
      <w:rPr>
        <w:rFonts w:eastAsia="Times New Roman"/>
        <w:b/>
        <w:bCs/>
        <w:color w:val="000000"/>
        <w:sz w:val="24"/>
        <w:szCs w:val="24"/>
        <w:lang w:eastAsia="es-ES"/>
      </w:rPr>
    </w:pPr>
    <w:r w:rsidRPr="009E1A97">
      <w:rPr>
        <w:rFonts w:eastAsia="Times New Roman"/>
        <w:b/>
        <w:bCs/>
        <w:color w:val="000000"/>
        <w:sz w:val="24"/>
        <w:szCs w:val="24"/>
        <w:lang w:eastAsia="es-ES"/>
      </w:rPr>
      <w:t>SALA DE LO CONTENCIOSO ADMINISTRATIVO</w:t>
    </w:r>
  </w:p>
  <w:p w14:paraId="2F7BBD4F" w14:textId="77777777" w:rsidR="00747DAE" w:rsidRPr="009E1A97" w:rsidRDefault="00747DAE" w:rsidP="00747DAE">
    <w:pPr>
      <w:suppressAutoHyphens/>
      <w:spacing w:line="276" w:lineRule="auto"/>
      <w:jc w:val="center"/>
      <w:rPr>
        <w:rFonts w:eastAsia="Times New Roman"/>
        <w:b/>
        <w:bCs/>
        <w:color w:val="000000"/>
        <w:sz w:val="24"/>
        <w:szCs w:val="24"/>
        <w:lang w:eastAsia="es-ES"/>
      </w:rPr>
    </w:pPr>
    <w:r w:rsidRPr="009E1A97">
      <w:rPr>
        <w:rFonts w:eastAsia="Times New Roman"/>
        <w:b/>
        <w:bCs/>
        <w:color w:val="000000"/>
        <w:sz w:val="24"/>
        <w:szCs w:val="24"/>
        <w:lang w:eastAsia="es-ES"/>
      </w:rPr>
      <w:t xml:space="preserve">SECCIÓN TERCERA </w:t>
    </w:r>
  </w:p>
  <w:p w14:paraId="38EFD4AA" w14:textId="3C25F5C3" w:rsidR="00747DAE" w:rsidRDefault="00747DAE" w:rsidP="00747DAE">
    <w:pPr>
      <w:suppressAutoHyphens/>
      <w:spacing w:line="276" w:lineRule="auto"/>
      <w:jc w:val="center"/>
      <w:rPr>
        <w:rFonts w:eastAsia="Times New Roman"/>
        <w:b/>
        <w:bCs/>
        <w:color w:val="000000"/>
        <w:sz w:val="24"/>
        <w:szCs w:val="24"/>
        <w:lang w:eastAsia="es-ES"/>
      </w:rPr>
    </w:pPr>
    <w:r w:rsidRPr="009E1A97">
      <w:rPr>
        <w:rFonts w:eastAsia="Times New Roman"/>
        <w:b/>
        <w:bCs/>
        <w:color w:val="000000"/>
        <w:sz w:val="24"/>
        <w:szCs w:val="24"/>
        <w:lang w:eastAsia="es-ES"/>
      </w:rPr>
      <w:t>SUBSECCIÓN C</w:t>
    </w:r>
  </w:p>
  <w:p w14:paraId="3F1AF64D" w14:textId="77777777" w:rsidR="00747DAE" w:rsidRPr="00747DAE" w:rsidRDefault="00747DAE" w:rsidP="00747DAE">
    <w:pPr>
      <w:suppressAutoHyphens/>
      <w:spacing w:line="276" w:lineRule="auto"/>
      <w:jc w:val="center"/>
      <w:rPr>
        <w:rFonts w:eastAsia="Times New Roman"/>
        <w:b/>
        <w:bCs/>
        <w:color w:val="000000"/>
        <w:sz w:val="24"/>
        <w:szCs w:val="24"/>
        <w:lang w:eastAsia="es-E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7DAE"/>
    <w:rsid w:val="00052A55"/>
    <w:rsid w:val="000F64F6"/>
    <w:rsid w:val="001143E5"/>
    <w:rsid w:val="0013654C"/>
    <w:rsid w:val="001A2F0A"/>
    <w:rsid w:val="001A694B"/>
    <w:rsid w:val="002559B9"/>
    <w:rsid w:val="0025661A"/>
    <w:rsid w:val="003D18BF"/>
    <w:rsid w:val="00543DE1"/>
    <w:rsid w:val="006430B2"/>
    <w:rsid w:val="00655FCB"/>
    <w:rsid w:val="00747DAE"/>
    <w:rsid w:val="007604D9"/>
    <w:rsid w:val="00813874"/>
    <w:rsid w:val="008668F5"/>
    <w:rsid w:val="008F632D"/>
    <w:rsid w:val="00937947"/>
    <w:rsid w:val="0097562F"/>
    <w:rsid w:val="00A26499"/>
    <w:rsid w:val="00AB0EC6"/>
    <w:rsid w:val="00B12576"/>
    <w:rsid w:val="00BB733F"/>
    <w:rsid w:val="00C35DD1"/>
    <w:rsid w:val="00D85472"/>
    <w:rsid w:val="00DA0EAB"/>
    <w:rsid w:val="00DC5252"/>
    <w:rsid w:val="00E56816"/>
    <w:rsid w:val="00FC50D6"/>
    <w:rsid w:val="00FD54F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169C18"/>
  <w15:chartTrackingRefBased/>
  <w15:docId w15:val="{BD3B5D1F-7249-4213-A4EC-5BB0C3F2C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18"/>
        <w:szCs w:val="18"/>
        <w:lang w:val="es-CO" w:eastAsia="en-US" w:bidi="ar-SA"/>
      </w:rPr>
    </w:rPrDefault>
    <w:pPrDefault>
      <w:pPr>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47DAE"/>
  </w:style>
  <w:style w:type="paragraph" w:styleId="Ttulo3">
    <w:name w:val="heading 3"/>
    <w:basedOn w:val="Normal"/>
    <w:next w:val="Normal"/>
    <w:link w:val="Ttulo3Car"/>
    <w:qFormat/>
    <w:rsid w:val="00747DAE"/>
    <w:pPr>
      <w:keepNext/>
      <w:autoSpaceDE w:val="0"/>
      <w:autoSpaceDN w:val="0"/>
      <w:jc w:val="center"/>
      <w:outlineLvl w:val="2"/>
    </w:pPr>
    <w:rPr>
      <w:rFonts w:eastAsia="Times New Roman" w:cs="Times New Roman"/>
      <w:b/>
      <w:bCs/>
      <w:color w:val="000080"/>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47DAE"/>
    <w:pPr>
      <w:tabs>
        <w:tab w:val="center" w:pos="4419"/>
        <w:tab w:val="right" w:pos="8838"/>
      </w:tabs>
    </w:pPr>
  </w:style>
  <w:style w:type="character" w:customStyle="1" w:styleId="EncabezadoCar">
    <w:name w:val="Encabezado Car"/>
    <w:basedOn w:val="Fuentedeprrafopredeter"/>
    <w:link w:val="Encabezado"/>
    <w:uiPriority w:val="99"/>
    <w:rsid w:val="00747DAE"/>
  </w:style>
  <w:style w:type="paragraph" w:styleId="Piedepgina">
    <w:name w:val="footer"/>
    <w:basedOn w:val="Normal"/>
    <w:link w:val="PiedepginaCar"/>
    <w:uiPriority w:val="99"/>
    <w:unhideWhenUsed/>
    <w:rsid w:val="00747DAE"/>
    <w:pPr>
      <w:tabs>
        <w:tab w:val="center" w:pos="4419"/>
        <w:tab w:val="right" w:pos="8838"/>
      </w:tabs>
    </w:pPr>
  </w:style>
  <w:style w:type="character" w:customStyle="1" w:styleId="PiedepginaCar">
    <w:name w:val="Pie de página Car"/>
    <w:basedOn w:val="Fuentedeprrafopredeter"/>
    <w:link w:val="Piedepgina"/>
    <w:uiPriority w:val="99"/>
    <w:rsid w:val="00747DAE"/>
  </w:style>
  <w:style w:type="character" w:customStyle="1" w:styleId="Ttulo3Car">
    <w:name w:val="Título 3 Car"/>
    <w:basedOn w:val="Fuentedeprrafopredeter"/>
    <w:link w:val="Ttulo3"/>
    <w:qFormat/>
    <w:rsid w:val="00747DAE"/>
    <w:rPr>
      <w:rFonts w:eastAsia="Times New Roman" w:cs="Times New Roman"/>
      <w:b/>
      <w:bCs/>
      <w:color w:val="000080"/>
      <w:sz w:val="24"/>
      <w:szCs w:val="24"/>
      <w:lang w:eastAsia="es-ES"/>
    </w:rPr>
  </w:style>
  <w:style w:type="paragraph" w:styleId="Lista">
    <w:name w:val="List"/>
    <w:basedOn w:val="Normal"/>
    <w:qFormat/>
    <w:rsid w:val="00747DAE"/>
    <w:pPr>
      <w:autoSpaceDE w:val="0"/>
      <w:autoSpaceDN w:val="0"/>
      <w:ind w:left="283" w:hanging="283"/>
      <w:jc w:val="left"/>
    </w:pPr>
    <w:rPr>
      <w:rFonts w:eastAsia="Times New Roman"/>
      <w:sz w:val="28"/>
      <w:szCs w:val="28"/>
      <w:lang w:eastAsia="es-ES"/>
    </w:rPr>
  </w:style>
  <w:style w:type="paragraph" w:styleId="Textonotapie">
    <w:name w:val="footnote text"/>
    <w:basedOn w:val="Normal"/>
    <w:link w:val="TextonotapieCar"/>
    <w:uiPriority w:val="99"/>
    <w:semiHidden/>
    <w:unhideWhenUsed/>
    <w:rsid w:val="001A2F0A"/>
    <w:rPr>
      <w:sz w:val="20"/>
      <w:szCs w:val="20"/>
    </w:rPr>
  </w:style>
  <w:style w:type="character" w:customStyle="1" w:styleId="TextonotapieCar">
    <w:name w:val="Texto nota pie Car"/>
    <w:basedOn w:val="Fuentedeprrafopredeter"/>
    <w:link w:val="Textonotapie"/>
    <w:uiPriority w:val="99"/>
    <w:semiHidden/>
    <w:rsid w:val="001A2F0A"/>
    <w:rPr>
      <w:sz w:val="20"/>
      <w:szCs w:val="20"/>
    </w:rPr>
  </w:style>
  <w:style w:type="character" w:styleId="Refdenotaalpie">
    <w:name w:val="footnote reference"/>
    <w:basedOn w:val="Fuentedeprrafopredeter"/>
    <w:uiPriority w:val="99"/>
    <w:semiHidden/>
    <w:unhideWhenUsed/>
    <w:rsid w:val="001A2F0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13C6B7335167F145BCA082A8F6CB3F14" ma:contentTypeVersion="7" ma:contentTypeDescription="Crear nuevo documento." ma:contentTypeScope="" ma:versionID="3de35b3433a76be67c0e65d9a2e295b1">
  <xsd:schema xmlns:xsd="http://www.w3.org/2001/XMLSchema" xmlns:xs="http://www.w3.org/2001/XMLSchema" xmlns:p="http://schemas.microsoft.com/office/2006/metadata/properties" xmlns:ns2="90c507b4-eb83-4d09-9396-a464e3679abf" xmlns:ns3="3f651fff-6043-404f-be87-95b68ded21b6" targetNamespace="http://schemas.microsoft.com/office/2006/metadata/properties" ma:root="true" ma:fieldsID="abea595168611290015dabe73d826805" ns2:_="" ns3:_="">
    <xsd:import namespace="90c507b4-eb83-4d09-9396-a464e3679abf"/>
    <xsd:import namespace="3f651fff-6043-404f-be87-95b68ded21b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c507b4-eb83-4d09-9396-a464e3679a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f651fff-6043-404f-be87-95b68ded21b6"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579D47-980F-4631-A43C-D8789A9A19B9}">
  <ds:schemaRefs>
    <ds:schemaRef ds:uri="http://schemas.microsoft.com/sharepoint/v3/contenttype/forms"/>
  </ds:schemaRefs>
</ds:datastoreItem>
</file>

<file path=customXml/itemProps2.xml><?xml version="1.0" encoding="utf-8"?>
<ds:datastoreItem xmlns:ds="http://schemas.openxmlformats.org/officeDocument/2006/customXml" ds:itemID="{81B66067-7AE3-4691-8F20-B98B768C786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C25C197-023E-4DF4-9DDA-6ADDE8F672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c507b4-eb83-4d09-9396-a464e3679abf"/>
    <ds:schemaRef ds:uri="3f651fff-6043-404f-be87-95b68ded21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632</Words>
  <Characters>3479</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Alejandra Pinzón Sánchez</dc:creator>
  <cp:keywords/>
  <dc:description/>
  <cp:lastModifiedBy>GABRIEL EDUARDO ANDRADE CORREAL</cp:lastModifiedBy>
  <cp:revision>2</cp:revision>
  <dcterms:created xsi:type="dcterms:W3CDTF">2023-10-03T14:35:00Z</dcterms:created>
  <dcterms:modified xsi:type="dcterms:W3CDTF">2023-10-03T14:35:00Z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0x01010013C6B7335167F145BCA082A8F6CB3F14</vt:lpwstr>
  </property>
</Properties>
</file>