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C6FC" w14:textId="77777777" w:rsidR="000432AB" w:rsidRPr="00A0569B" w:rsidRDefault="000432AB" w:rsidP="000432AB">
      <w:pPr>
        <w:widowControl w:val="0"/>
        <w:overflowPunct w:val="0"/>
        <w:autoSpaceDE w:val="0"/>
        <w:autoSpaceDN w:val="0"/>
        <w:adjustRightInd w:val="0"/>
        <w:spacing w:after="0" w:line="360" w:lineRule="auto"/>
        <w:textAlignment w:val="baseline"/>
        <w:outlineLvl w:val="1"/>
        <w:rPr>
          <w:rFonts w:ascii="Arial" w:eastAsia="Arial Unicode MS" w:hAnsi="Arial" w:cs="Arial"/>
          <w:sz w:val="24"/>
          <w:szCs w:val="24"/>
          <w:lang w:val="es-ES" w:eastAsia="es-ES"/>
        </w:rPr>
      </w:pPr>
      <w:r w:rsidRPr="00A0569B">
        <w:rPr>
          <w:rFonts w:ascii="Arial" w:eastAsia="Arial Unicode MS" w:hAnsi="Arial" w:cs="Arial"/>
          <w:sz w:val="24"/>
          <w:szCs w:val="24"/>
          <w:lang w:val="es-ES" w:eastAsia="es-ES"/>
        </w:rPr>
        <w:t xml:space="preserve">Consejero sustanciador: César Palomino Cortés (e) </w:t>
      </w:r>
    </w:p>
    <w:p w14:paraId="597971AF" w14:textId="77777777" w:rsidR="000432AB" w:rsidRPr="00A0569B" w:rsidRDefault="000432AB" w:rsidP="000432AB">
      <w:pPr>
        <w:pStyle w:val="Sinespaciado"/>
        <w:spacing w:line="360" w:lineRule="auto"/>
        <w:rPr>
          <w:rFonts w:ascii="Arial" w:hAnsi="Arial" w:cs="Arial"/>
        </w:rPr>
      </w:pPr>
    </w:p>
    <w:p w14:paraId="230B32FF" w14:textId="77777777" w:rsidR="000432AB" w:rsidRPr="00A0569B" w:rsidRDefault="000432AB" w:rsidP="000432AB">
      <w:pPr>
        <w:widowControl w:val="0"/>
        <w:spacing w:after="0" w:line="360" w:lineRule="auto"/>
        <w:rPr>
          <w:rFonts w:ascii="Arial" w:eastAsia="Arial Unicode MS" w:hAnsi="Arial" w:cs="Arial"/>
          <w:sz w:val="24"/>
          <w:szCs w:val="24"/>
          <w:lang w:val="es-ES"/>
        </w:rPr>
      </w:pPr>
      <w:r w:rsidRPr="00A0569B">
        <w:rPr>
          <w:rFonts w:ascii="Arial" w:eastAsia="Arial Unicode MS" w:hAnsi="Arial" w:cs="Arial"/>
          <w:sz w:val="24"/>
          <w:szCs w:val="24"/>
          <w:lang w:val="es-ES"/>
        </w:rPr>
        <w:t xml:space="preserve">Bogotá, D. C., </w:t>
      </w:r>
      <w:r w:rsidR="005E0B17">
        <w:rPr>
          <w:rFonts w:ascii="Arial" w:eastAsia="Arial Unicode MS" w:hAnsi="Arial" w:cs="Arial"/>
          <w:sz w:val="24"/>
          <w:szCs w:val="24"/>
          <w:lang w:val="es-ES"/>
        </w:rPr>
        <w:t>veint</w:t>
      </w:r>
      <w:r w:rsidR="005C02B4">
        <w:rPr>
          <w:rFonts w:ascii="Arial" w:eastAsia="Arial Unicode MS" w:hAnsi="Arial" w:cs="Arial"/>
          <w:sz w:val="24"/>
          <w:szCs w:val="24"/>
          <w:lang w:val="es-ES"/>
        </w:rPr>
        <w:t xml:space="preserve">icuatro </w:t>
      </w:r>
      <w:r w:rsidRPr="00A0569B">
        <w:rPr>
          <w:rFonts w:ascii="Arial" w:eastAsia="Arial Unicode MS" w:hAnsi="Arial" w:cs="Arial"/>
          <w:sz w:val="24"/>
          <w:szCs w:val="24"/>
          <w:lang w:val="es-ES"/>
        </w:rPr>
        <w:t>(</w:t>
      </w:r>
      <w:r w:rsidR="005E0B17">
        <w:rPr>
          <w:rFonts w:ascii="Arial" w:eastAsia="Arial Unicode MS" w:hAnsi="Arial" w:cs="Arial"/>
          <w:sz w:val="24"/>
          <w:szCs w:val="24"/>
          <w:lang w:val="es-ES"/>
        </w:rPr>
        <w:t>2</w:t>
      </w:r>
      <w:r w:rsidR="005C02B4">
        <w:rPr>
          <w:rFonts w:ascii="Arial" w:eastAsia="Arial Unicode MS" w:hAnsi="Arial" w:cs="Arial"/>
          <w:sz w:val="24"/>
          <w:szCs w:val="24"/>
          <w:lang w:val="es-ES"/>
        </w:rPr>
        <w:t>4</w:t>
      </w:r>
      <w:r w:rsidRPr="00A0569B">
        <w:rPr>
          <w:rFonts w:ascii="Arial" w:eastAsia="Arial Unicode MS" w:hAnsi="Arial" w:cs="Arial"/>
          <w:sz w:val="24"/>
          <w:szCs w:val="24"/>
          <w:lang w:val="es-ES"/>
        </w:rPr>
        <w:t xml:space="preserve">) de agosto dos mil veintitrés (2023) </w:t>
      </w:r>
    </w:p>
    <w:p w14:paraId="7FB0341A" w14:textId="77777777" w:rsidR="000432AB" w:rsidRPr="00A0569B" w:rsidRDefault="000432AB" w:rsidP="000432AB">
      <w:pPr>
        <w:pStyle w:val="Sinespaciado"/>
        <w:spacing w:line="360" w:lineRule="auto"/>
        <w:rPr>
          <w:rFonts w:ascii="Arial" w:eastAsia="Arial Unicode MS" w:hAnsi="Arial" w:cs="Arial"/>
        </w:rPr>
      </w:pPr>
    </w:p>
    <w:tbl>
      <w:tblPr>
        <w:tblW w:w="0" w:type="auto"/>
        <w:tblLayout w:type="fixed"/>
        <w:tblLook w:val="01E0" w:firstRow="1" w:lastRow="1" w:firstColumn="1" w:lastColumn="1" w:noHBand="0" w:noVBand="0"/>
      </w:tblPr>
      <w:tblGrid>
        <w:gridCol w:w="1668"/>
        <w:gridCol w:w="283"/>
        <w:gridCol w:w="7088"/>
      </w:tblGrid>
      <w:tr w:rsidR="000432AB" w:rsidRPr="00E4487B" w14:paraId="7DDA09D2" w14:textId="77777777" w:rsidTr="003B17D3">
        <w:trPr>
          <w:trHeight w:val="200"/>
        </w:trPr>
        <w:tc>
          <w:tcPr>
            <w:tcW w:w="1668" w:type="dxa"/>
          </w:tcPr>
          <w:p w14:paraId="25CBD6FD" w14:textId="77777777" w:rsidR="000432AB" w:rsidRPr="00E4487B" w:rsidRDefault="000432AB" w:rsidP="005E0B17">
            <w:pPr>
              <w:widowControl w:val="0"/>
              <w:spacing w:after="0" w:line="240" w:lineRule="auto"/>
              <w:ind w:right="-91"/>
              <w:jc w:val="both"/>
              <w:rPr>
                <w:rFonts w:ascii="Arial" w:hAnsi="Arial" w:cs="Arial"/>
                <w:sz w:val="24"/>
                <w:szCs w:val="24"/>
              </w:rPr>
            </w:pPr>
            <w:r w:rsidRPr="00E4487B">
              <w:rPr>
                <w:rFonts w:ascii="Arial" w:hAnsi="Arial" w:cs="Arial"/>
                <w:sz w:val="24"/>
                <w:szCs w:val="24"/>
              </w:rPr>
              <w:t xml:space="preserve">Acción </w:t>
            </w:r>
          </w:p>
        </w:tc>
        <w:tc>
          <w:tcPr>
            <w:tcW w:w="283" w:type="dxa"/>
          </w:tcPr>
          <w:p w14:paraId="18036009" w14:textId="77777777" w:rsidR="000432AB" w:rsidRPr="00E4487B" w:rsidRDefault="000432AB" w:rsidP="005E0B17">
            <w:pPr>
              <w:widowControl w:val="0"/>
              <w:spacing w:after="0" w:line="240" w:lineRule="auto"/>
              <w:ind w:right="-91"/>
              <w:jc w:val="both"/>
              <w:rPr>
                <w:rFonts w:ascii="Arial" w:hAnsi="Arial" w:cs="Arial"/>
                <w:sz w:val="24"/>
                <w:szCs w:val="24"/>
              </w:rPr>
            </w:pPr>
            <w:r w:rsidRPr="00E4487B">
              <w:rPr>
                <w:rFonts w:ascii="Arial" w:hAnsi="Arial" w:cs="Arial"/>
                <w:sz w:val="24"/>
                <w:szCs w:val="24"/>
              </w:rPr>
              <w:t>:</w:t>
            </w:r>
          </w:p>
        </w:tc>
        <w:tc>
          <w:tcPr>
            <w:tcW w:w="7088" w:type="dxa"/>
          </w:tcPr>
          <w:p w14:paraId="5487EE9E" w14:textId="77777777" w:rsidR="000432AB" w:rsidRPr="00E4487B" w:rsidRDefault="000432AB" w:rsidP="005E0B17">
            <w:pPr>
              <w:widowControl w:val="0"/>
              <w:spacing w:after="0" w:line="240" w:lineRule="auto"/>
              <w:ind w:right="-91"/>
              <w:jc w:val="both"/>
              <w:rPr>
                <w:rFonts w:ascii="Arial" w:hAnsi="Arial" w:cs="Arial"/>
                <w:sz w:val="24"/>
                <w:szCs w:val="24"/>
              </w:rPr>
            </w:pPr>
            <w:r w:rsidRPr="00E4487B">
              <w:rPr>
                <w:rFonts w:ascii="Arial" w:hAnsi="Arial" w:cs="Arial"/>
                <w:sz w:val="24"/>
                <w:szCs w:val="24"/>
              </w:rPr>
              <w:t>Tutela</w:t>
            </w:r>
          </w:p>
        </w:tc>
      </w:tr>
      <w:tr w:rsidR="000432AB" w:rsidRPr="00E4487B" w14:paraId="4869C245" w14:textId="77777777" w:rsidTr="003B17D3">
        <w:trPr>
          <w:trHeight w:val="306"/>
        </w:trPr>
        <w:tc>
          <w:tcPr>
            <w:tcW w:w="1668" w:type="dxa"/>
          </w:tcPr>
          <w:p w14:paraId="30B7C91B" w14:textId="77777777" w:rsidR="000432AB" w:rsidRPr="00E4487B" w:rsidRDefault="000432AB" w:rsidP="005E0B17">
            <w:pPr>
              <w:widowControl w:val="0"/>
              <w:spacing w:after="0" w:line="240" w:lineRule="auto"/>
              <w:ind w:right="-91"/>
              <w:jc w:val="both"/>
              <w:rPr>
                <w:rFonts w:ascii="Arial" w:hAnsi="Arial" w:cs="Arial"/>
                <w:sz w:val="24"/>
                <w:szCs w:val="24"/>
              </w:rPr>
            </w:pPr>
            <w:r w:rsidRPr="00E4487B">
              <w:rPr>
                <w:rFonts w:ascii="Arial" w:hAnsi="Arial" w:cs="Arial"/>
                <w:sz w:val="24"/>
                <w:szCs w:val="24"/>
              </w:rPr>
              <w:t xml:space="preserve">Expediente        </w:t>
            </w:r>
          </w:p>
        </w:tc>
        <w:tc>
          <w:tcPr>
            <w:tcW w:w="283" w:type="dxa"/>
          </w:tcPr>
          <w:p w14:paraId="15AAE88D" w14:textId="77777777" w:rsidR="000432AB" w:rsidRPr="00E4487B" w:rsidRDefault="000432AB" w:rsidP="005E0B17">
            <w:pPr>
              <w:widowControl w:val="0"/>
              <w:spacing w:after="0" w:line="240" w:lineRule="auto"/>
              <w:ind w:right="-91"/>
              <w:jc w:val="both"/>
              <w:rPr>
                <w:rFonts w:ascii="Arial" w:hAnsi="Arial" w:cs="Arial"/>
                <w:sz w:val="24"/>
                <w:szCs w:val="24"/>
              </w:rPr>
            </w:pPr>
            <w:r w:rsidRPr="00E4487B">
              <w:rPr>
                <w:rFonts w:ascii="Arial" w:hAnsi="Arial" w:cs="Arial"/>
                <w:sz w:val="24"/>
                <w:szCs w:val="24"/>
              </w:rPr>
              <w:t>:</w:t>
            </w:r>
          </w:p>
        </w:tc>
        <w:tc>
          <w:tcPr>
            <w:tcW w:w="7088" w:type="dxa"/>
          </w:tcPr>
          <w:p w14:paraId="58A83799" w14:textId="77777777" w:rsidR="000432AB" w:rsidRPr="00E4487B" w:rsidRDefault="000432AB" w:rsidP="005E0B17">
            <w:pPr>
              <w:widowControl w:val="0"/>
              <w:spacing w:after="0" w:line="240" w:lineRule="auto"/>
              <w:ind w:right="-91"/>
              <w:jc w:val="both"/>
              <w:rPr>
                <w:rFonts w:ascii="Arial" w:hAnsi="Arial" w:cs="Arial"/>
                <w:sz w:val="24"/>
                <w:szCs w:val="24"/>
              </w:rPr>
            </w:pPr>
            <w:r w:rsidRPr="00E4487B">
              <w:rPr>
                <w:rFonts w:ascii="Arial" w:hAnsi="Arial" w:cs="Arial"/>
                <w:sz w:val="24"/>
                <w:szCs w:val="24"/>
              </w:rPr>
              <w:t>11001-03-15-000-2023-0</w:t>
            </w:r>
            <w:r w:rsidR="005C02B4" w:rsidRPr="00E4487B">
              <w:rPr>
                <w:rFonts w:ascii="Arial" w:hAnsi="Arial" w:cs="Arial"/>
                <w:sz w:val="24"/>
                <w:szCs w:val="24"/>
              </w:rPr>
              <w:t>2948</w:t>
            </w:r>
            <w:r w:rsidRPr="00E4487B">
              <w:rPr>
                <w:rFonts w:ascii="Arial" w:hAnsi="Arial" w:cs="Arial"/>
                <w:sz w:val="24"/>
                <w:szCs w:val="24"/>
              </w:rPr>
              <w:t>-00  </w:t>
            </w:r>
          </w:p>
        </w:tc>
      </w:tr>
      <w:tr w:rsidR="000432AB" w:rsidRPr="00E4487B" w14:paraId="6223CE21" w14:textId="77777777" w:rsidTr="003B17D3">
        <w:trPr>
          <w:trHeight w:val="166"/>
        </w:trPr>
        <w:tc>
          <w:tcPr>
            <w:tcW w:w="1668" w:type="dxa"/>
          </w:tcPr>
          <w:p w14:paraId="1C4EBB2B" w14:textId="77777777" w:rsidR="000432AB" w:rsidRPr="00E4487B" w:rsidRDefault="000432AB" w:rsidP="005E0B17">
            <w:pPr>
              <w:widowControl w:val="0"/>
              <w:spacing w:after="0" w:line="240" w:lineRule="auto"/>
              <w:ind w:right="-91"/>
              <w:jc w:val="both"/>
              <w:rPr>
                <w:rFonts w:ascii="Arial" w:hAnsi="Arial" w:cs="Arial"/>
                <w:sz w:val="24"/>
                <w:szCs w:val="24"/>
              </w:rPr>
            </w:pPr>
            <w:r w:rsidRPr="00E4487B">
              <w:rPr>
                <w:rFonts w:ascii="Arial" w:hAnsi="Arial" w:cs="Arial"/>
                <w:sz w:val="24"/>
                <w:szCs w:val="24"/>
              </w:rPr>
              <w:t>Actor</w:t>
            </w:r>
          </w:p>
        </w:tc>
        <w:tc>
          <w:tcPr>
            <w:tcW w:w="283" w:type="dxa"/>
          </w:tcPr>
          <w:p w14:paraId="136F1BE4" w14:textId="77777777" w:rsidR="000432AB" w:rsidRPr="00E4487B" w:rsidRDefault="000432AB" w:rsidP="005E0B17">
            <w:pPr>
              <w:widowControl w:val="0"/>
              <w:spacing w:after="0" w:line="240" w:lineRule="auto"/>
              <w:ind w:right="-91"/>
              <w:jc w:val="both"/>
              <w:rPr>
                <w:rFonts w:ascii="Arial" w:hAnsi="Arial" w:cs="Arial"/>
                <w:sz w:val="24"/>
                <w:szCs w:val="24"/>
              </w:rPr>
            </w:pPr>
            <w:r w:rsidRPr="00E4487B">
              <w:rPr>
                <w:rFonts w:ascii="Arial" w:hAnsi="Arial" w:cs="Arial"/>
                <w:sz w:val="24"/>
                <w:szCs w:val="24"/>
              </w:rPr>
              <w:t>:</w:t>
            </w:r>
          </w:p>
        </w:tc>
        <w:tc>
          <w:tcPr>
            <w:tcW w:w="7088" w:type="dxa"/>
          </w:tcPr>
          <w:p w14:paraId="288DC74E" w14:textId="77777777" w:rsidR="000432AB" w:rsidRPr="00E4487B" w:rsidRDefault="005C02B4" w:rsidP="005E0B17">
            <w:pPr>
              <w:pStyle w:val="Sinespaciado"/>
              <w:ind w:right="-91"/>
              <w:jc w:val="both"/>
              <w:rPr>
                <w:rFonts w:ascii="Arial" w:hAnsi="Arial" w:cs="Arial"/>
                <w:b/>
                <w:bCs/>
                <w:lang w:val="es-MX"/>
              </w:rPr>
            </w:pPr>
            <w:r w:rsidRPr="00E4487B">
              <w:rPr>
                <w:rFonts w:ascii="Arial" w:hAnsi="Arial" w:cs="Arial"/>
                <w:b/>
                <w:bCs/>
              </w:rPr>
              <w:t>Daniel Cadavid Bernal</w:t>
            </w:r>
          </w:p>
        </w:tc>
      </w:tr>
      <w:tr w:rsidR="000432AB" w:rsidRPr="00E4487B" w14:paraId="2F6B5EC0" w14:textId="77777777" w:rsidTr="003B17D3">
        <w:trPr>
          <w:trHeight w:val="88"/>
        </w:trPr>
        <w:tc>
          <w:tcPr>
            <w:tcW w:w="1668" w:type="dxa"/>
          </w:tcPr>
          <w:p w14:paraId="12A7BD2E" w14:textId="77777777" w:rsidR="000432AB" w:rsidRPr="00E4487B" w:rsidRDefault="000432AB" w:rsidP="005E0B17">
            <w:pPr>
              <w:widowControl w:val="0"/>
              <w:spacing w:after="0" w:line="240" w:lineRule="auto"/>
              <w:ind w:right="-91"/>
              <w:jc w:val="both"/>
              <w:rPr>
                <w:rFonts w:ascii="Arial" w:hAnsi="Arial" w:cs="Arial"/>
                <w:sz w:val="24"/>
                <w:szCs w:val="24"/>
              </w:rPr>
            </w:pPr>
            <w:r w:rsidRPr="00E4487B">
              <w:rPr>
                <w:rFonts w:ascii="Arial" w:hAnsi="Arial" w:cs="Arial"/>
                <w:sz w:val="24"/>
                <w:szCs w:val="24"/>
              </w:rPr>
              <w:t>Demandados</w:t>
            </w:r>
          </w:p>
        </w:tc>
        <w:tc>
          <w:tcPr>
            <w:tcW w:w="283" w:type="dxa"/>
          </w:tcPr>
          <w:p w14:paraId="4811447C" w14:textId="77777777" w:rsidR="000432AB" w:rsidRPr="00E4487B" w:rsidRDefault="000432AB" w:rsidP="005E0B17">
            <w:pPr>
              <w:widowControl w:val="0"/>
              <w:spacing w:after="0" w:line="240" w:lineRule="auto"/>
              <w:ind w:right="-91"/>
              <w:jc w:val="both"/>
              <w:rPr>
                <w:rFonts w:ascii="Arial" w:hAnsi="Arial" w:cs="Arial"/>
                <w:sz w:val="24"/>
                <w:szCs w:val="24"/>
              </w:rPr>
            </w:pPr>
            <w:r w:rsidRPr="00E4487B">
              <w:rPr>
                <w:rFonts w:ascii="Arial" w:hAnsi="Arial" w:cs="Arial"/>
                <w:sz w:val="24"/>
                <w:szCs w:val="24"/>
              </w:rPr>
              <w:t>:</w:t>
            </w:r>
          </w:p>
        </w:tc>
        <w:tc>
          <w:tcPr>
            <w:tcW w:w="7088" w:type="dxa"/>
          </w:tcPr>
          <w:p w14:paraId="597D1A6B" w14:textId="77777777" w:rsidR="000432AB" w:rsidRPr="00E4487B" w:rsidRDefault="005C02B4" w:rsidP="005E0B17">
            <w:pPr>
              <w:spacing w:after="0" w:line="240" w:lineRule="auto"/>
              <w:jc w:val="both"/>
              <w:rPr>
                <w:rFonts w:ascii="Arial" w:hAnsi="Arial" w:cs="Arial"/>
                <w:sz w:val="24"/>
                <w:szCs w:val="24"/>
                <w:lang w:val="es-MX" w:eastAsia="es-MX"/>
              </w:rPr>
            </w:pPr>
            <w:r w:rsidRPr="00E4487B">
              <w:rPr>
                <w:rFonts w:ascii="Arial" w:eastAsia="Arial Unicode MS" w:hAnsi="Arial" w:cs="Arial"/>
                <w:bCs/>
                <w:sz w:val="24"/>
                <w:szCs w:val="24"/>
              </w:rPr>
              <w:t xml:space="preserve">Magistrados del Consejo Superior de la Judicatura, </w:t>
            </w:r>
            <w:r w:rsidRPr="00E4487B">
              <w:rPr>
                <w:rFonts w:ascii="Arial" w:eastAsia="Arial Unicode MS" w:hAnsi="Arial" w:cs="Arial"/>
                <w:iCs/>
                <w:color w:val="000000"/>
                <w:sz w:val="24"/>
                <w:szCs w:val="24"/>
              </w:rPr>
              <w:t>directora de la unidad de administración de la carrera judicial de esa Corporación y rectora de la Universidad Nacional de Colombia</w:t>
            </w:r>
          </w:p>
        </w:tc>
      </w:tr>
      <w:tr w:rsidR="000432AB" w:rsidRPr="00E4487B" w14:paraId="7FFA6CBA" w14:textId="77777777" w:rsidTr="003B17D3">
        <w:trPr>
          <w:trHeight w:val="311"/>
        </w:trPr>
        <w:tc>
          <w:tcPr>
            <w:tcW w:w="1668" w:type="dxa"/>
          </w:tcPr>
          <w:p w14:paraId="451ECA76" w14:textId="77777777" w:rsidR="000432AB" w:rsidRPr="00E4487B" w:rsidRDefault="000432AB" w:rsidP="005E0B17">
            <w:pPr>
              <w:widowControl w:val="0"/>
              <w:spacing w:after="0" w:line="240" w:lineRule="auto"/>
              <w:ind w:right="-91"/>
              <w:jc w:val="both"/>
              <w:rPr>
                <w:rFonts w:ascii="Arial" w:hAnsi="Arial" w:cs="Arial"/>
                <w:sz w:val="24"/>
                <w:szCs w:val="24"/>
              </w:rPr>
            </w:pPr>
            <w:r w:rsidRPr="00E4487B">
              <w:rPr>
                <w:rFonts w:ascii="Arial" w:hAnsi="Arial" w:cs="Arial"/>
                <w:sz w:val="24"/>
                <w:szCs w:val="24"/>
              </w:rPr>
              <w:t>Actuación</w:t>
            </w:r>
          </w:p>
        </w:tc>
        <w:tc>
          <w:tcPr>
            <w:tcW w:w="283" w:type="dxa"/>
          </w:tcPr>
          <w:p w14:paraId="4949DB1F" w14:textId="77777777" w:rsidR="000432AB" w:rsidRPr="00E4487B" w:rsidRDefault="000432AB" w:rsidP="005E0B17">
            <w:pPr>
              <w:widowControl w:val="0"/>
              <w:spacing w:after="0" w:line="240" w:lineRule="auto"/>
              <w:ind w:right="-91"/>
              <w:jc w:val="both"/>
              <w:rPr>
                <w:rFonts w:ascii="Arial" w:hAnsi="Arial" w:cs="Arial"/>
                <w:sz w:val="24"/>
                <w:szCs w:val="24"/>
              </w:rPr>
            </w:pPr>
            <w:r w:rsidRPr="00E4487B">
              <w:rPr>
                <w:rFonts w:ascii="Arial" w:hAnsi="Arial" w:cs="Arial"/>
                <w:sz w:val="24"/>
                <w:szCs w:val="24"/>
              </w:rPr>
              <w:t>:</w:t>
            </w:r>
          </w:p>
        </w:tc>
        <w:tc>
          <w:tcPr>
            <w:tcW w:w="7088" w:type="dxa"/>
          </w:tcPr>
          <w:p w14:paraId="31680E54" w14:textId="77777777" w:rsidR="000432AB" w:rsidRPr="00E4487B" w:rsidRDefault="000432AB" w:rsidP="005E0B17">
            <w:pPr>
              <w:widowControl w:val="0"/>
              <w:spacing w:after="0" w:line="240" w:lineRule="auto"/>
              <w:ind w:right="-91"/>
              <w:jc w:val="both"/>
              <w:rPr>
                <w:rFonts w:ascii="Arial" w:hAnsi="Arial" w:cs="Arial"/>
                <w:sz w:val="24"/>
                <w:szCs w:val="24"/>
              </w:rPr>
            </w:pPr>
            <w:r w:rsidRPr="00E4487B">
              <w:rPr>
                <w:rFonts w:ascii="Arial" w:hAnsi="Arial" w:cs="Arial"/>
                <w:sz w:val="24"/>
                <w:szCs w:val="24"/>
              </w:rPr>
              <w:t>Concede impugnaci</w:t>
            </w:r>
            <w:r w:rsidR="00E90354" w:rsidRPr="00E4487B">
              <w:rPr>
                <w:rFonts w:ascii="Arial" w:hAnsi="Arial" w:cs="Arial"/>
                <w:sz w:val="24"/>
                <w:szCs w:val="24"/>
              </w:rPr>
              <w:t>ó</w:t>
            </w:r>
            <w:r w:rsidR="005E0B17" w:rsidRPr="00E4487B">
              <w:rPr>
                <w:rFonts w:ascii="Arial" w:hAnsi="Arial" w:cs="Arial"/>
                <w:sz w:val="24"/>
                <w:szCs w:val="24"/>
              </w:rPr>
              <w:t>n</w:t>
            </w:r>
          </w:p>
        </w:tc>
      </w:tr>
    </w:tbl>
    <w:p w14:paraId="452A0EF6" w14:textId="77777777" w:rsidR="000432AB" w:rsidRPr="00A0569B" w:rsidRDefault="000432AB" w:rsidP="000432AB">
      <w:pPr>
        <w:spacing w:line="360" w:lineRule="auto"/>
        <w:rPr>
          <w:rFonts w:ascii="Arial" w:hAnsi="Arial" w:cs="Arial"/>
          <w:sz w:val="24"/>
          <w:szCs w:val="24"/>
          <w:lang w:val="es-ES_tradnl"/>
        </w:rPr>
      </w:pPr>
    </w:p>
    <w:p w14:paraId="798CC2B7" w14:textId="77777777" w:rsidR="000432AB" w:rsidRPr="00A0569B" w:rsidRDefault="000432AB" w:rsidP="000432AB">
      <w:pPr>
        <w:spacing w:after="0" w:line="360" w:lineRule="auto"/>
        <w:jc w:val="both"/>
        <w:rPr>
          <w:rFonts w:ascii="Arial" w:hAnsi="Arial" w:cs="Arial"/>
          <w:sz w:val="24"/>
          <w:szCs w:val="24"/>
          <w:lang w:val="es-ES_tradnl"/>
        </w:rPr>
      </w:pPr>
      <w:r w:rsidRPr="00A0569B">
        <w:rPr>
          <w:rFonts w:ascii="Arial" w:hAnsi="Arial" w:cs="Arial"/>
          <w:sz w:val="24"/>
          <w:szCs w:val="24"/>
          <w:lang w:val="es-ES_tradnl"/>
        </w:rPr>
        <w:t>De conformidad con lo establecido en los artículos 237 (numeral 6)</w:t>
      </w:r>
      <w:r w:rsidRPr="00A0569B">
        <w:rPr>
          <w:rFonts w:ascii="Arial" w:hAnsi="Arial" w:cs="Arial"/>
          <w:sz w:val="24"/>
          <w:szCs w:val="24"/>
          <w:vertAlign w:val="superscript"/>
          <w:lang w:val="es-ES"/>
        </w:rPr>
        <w:footnoteReference w:id="1"/>
      </w:r>
      <w:r w:rsidRPr="00A0569B">
        <w:rPr>
          <w:rFonts w:ascii="Arial" w:hAnsi="Arial" w:cs="Arial"/>
          <w:sz w:val="24"/>
          <w:szCs w:val="24"/>
          <w:lang w:val="es-ES_tradnl"/>
        </w:rPr>
        <w:t xml:space="preserve"> de la Carta Política, 35 (numeral 5)</w:t>
      </w:r>
      <w:r w:rsidRPr="00A0569B">
        <w:rPr>
          <w:rFonts w:ascii="Arial" w:hAnsi="Arial" w:cs="Arial"/>
          <w:sz w:val="24"/>
          <w:szCs w:val="24"/>
          <w:vertAlign w:val="superscript"/>
          <w:lang w:val="es-ES"/>
        </w:rPr>
        <w:footnoteReference w:id="2"/>
      </w:r>
      <w:r w:rsidRPr="00A0569B">
        <w:rPr>
          <w:rFonts w:ascii="Arial" w:hAnsi="Arial" w:cs="Arial"/>
          <w:sz w:val="24"/>
          <w:szCs w:val="24"/>
          <w:lang w:val="es-ES_tradnl"/>
        </w:rPr>
        <w:t xml:space="preserve"> de la Ley 270 de 1996 y </w:t>
      </w:r>
      <w:r w:rsidRPr="00A0569B">
        <w:rPr>
          <w:rFonts w:ascii="Arial" w:eastAsia="Times New Roman" w:hAnsi="Arial" w:cs="Arial"/>
          <w:spacing w:val="-4"/>
          <w:sz w:val="24"/>
          <w:szCs w:val="24"/>
          <w:lang w:eastAsia="es-ES"/>
        </w:rPr>
        <w:t>25</w:t>
      </w:r>
      <w:r w:rsidRPr="00A0569B">
        <w:rPr>
          <w:rStyle w:val="Refdenotaalpie"/>
          <w:rFonts w:ascii="Arial" w:eastAsia="Calibri" w:hAnsi="Arial"/>
          <w:spacing w:val="-4"/>
          <w:sz w:val="24"/>
          <w:szCs w:val="24"/>
        </w:rPr>
        <w:footnoteReference w:id="3"/>
      </w:r>
      <w:r w:rsidRPr="00A0569B">
        <w:rPr>
          <w:rFonts w:ascii="Arial" w:eastAsia="Times New Roman" w:hAnsi="Arial" w:cs="Arial"/>
          <w:spacing w:val="-4"/>
          <w:sz w:val="24"/>
          <w:szCs w:val="24"/>
          <w:lang w:eastAsia="es-ES"/>
        </w:rPr>
        <w:t xml:space="preserve"> del Acuerdo 80 de 12 de marzo de 2019</w:t>
      </w:r>
      <w:r w:rsidRPr="0053469C">
        <w:rPr>
          <w:rStyle w:val="Refdenotaalpie"/>
          <w:rFonts w:ascii="Arial" w:eastAsia="Calibri" w:hAnsi="Arial"/>
          <w:spacing w:val="-4"/>
          <w:sz w:val="24"/>
          <w:szCs w:val="24"/>
          <w:vertAlign w:val="superscript"/>
        </w:rPr>
        <w:footnoteReference w:id="4"/>
      </w:r>
      <w:r w:rsidRPr="0053469C">
        <w:rPr>
          <w:rFonts w:ascii="Arial" w:eastAsia="Times New Roman" w:hAnsi="Arial" w:cs="Arial"/>
          <w:spacing w:val="-4"/>
          <w:sz w:val="24"/>
          <w:szCs w:val="24"/>
          <w:vertAlign w:val="superscript"/>
          <w:lang w:eastAsia="es-ES"/>
        </w:rPr>
        <w:t xml:space="preserve"> </w:t>
      </w:r>
      <w:r w:rsidRPr="00A0569B">
        <w:rPr>
          <w:rFonts w:ascii="Arial" w:hAnsi="Arial" w:cs="Arial"/>
          <w:spacing w:val="-4"/>
          <w:sz w:val="24"/>
          <w:szCs w:val="24"/>
        </w:rPr>
        <w:t>expedido por la sala plena del Consejo de Estado</w:t>
      </w:r>
      <w:r w:rsidRPr="00A0569B">
        <w:rPr>
          <w:rFonts w:ascii="Arial" w:hAnsi="Arial" w:cs="Arial"/>
          <w:sz w:val="24"/>
          <w:szCs w:val="24"/>
          <w:lang w:val="es-ES_tradnl"/>
        </w:rPr>
        <w:t xml:space="preserve">, </w:t>
      </w:r>
      <w:proofErr w:type="spellStart"/>
      <w:r w:rsidRPr="00A0569B">
        <w:rPr>
          <w:rFonts w:ascii="Arial" w:hAnsi="Arial" w:cs="Arial"/>
          <w:sz w:val="24"/>
          <w:szCs w:val="24"/>
          <w:lang w:val="es-ES_tradnl"/>
        </w:rPr>
        <w:t>concédese</w:t>
      </w:r>
      <w:proofErr w:type="spellEnd"/>
      <w:r w:rsidRPr="00A0569B">
        <w:rPr>
          <w:rFonts w:ascii="Arial" w:hAnsi="Arial" w:cs="Arial"/>
          <w:sz w:val="24"/>
          <w:szCs w:val="24"/>
          <w:lang w:val="es-ES_tradnl"/>
        </w:rPr>
        <w:t xml:space="preserve"> la impugnaci</w:t>
      </w:r>
      <w:r w:rsidR="00BA47F1">
        <w:rPr>
          <w:rFonts w:ascii="Arial" w:hAnsi="Arial" w:cs="Arial"/>
          <w:sz w:val="24"/>
          <w:szCs w:val="24"/>
          <w:lang w:val="es-ES_tradnl"/>
        </w:rPr>
        <w:t>ó</w:t>
      </w:r>
      <w:r w:rsidR="005E0B17">
        <w:rPr>
          <w:rFonts w:ascii="Arial" w:hAnsi="Arial" w:cs="Arial"/>
          <w:sz w:val="24"/>
          <w:szCs w:val="24"/>
          <w:lang w:val="es-ES_tradnl"/>
        </w:rPr>
        <w:t xml:space="preserve">n </w:t>
      </w:r>
      <w:r w:rsidRPr="00A0569B">
        <w:rPr>
          <w:rFonts w:ascii="Arial" w:hAnsi="Arial" w:cs="Arial"/>
          <w:sz w:val="24"/>
          <w:szCs w:val="24"/>
          <w:lang w:val="es-ES_tradnl"/>
        </w:rPr>
        <w:t xml:space="preserve">interpuesta por </w:t>
      </w:r>
      <w:r w:rsidR="00BA47F1">
        <w:rPr>
          <w:rFonts w:ascii="Arial" w:hAnsi="Arial" w:cs="Arial"/>
          <w:sz w:val="24"/>
          <w:szCs w:val="24"/>
          <w:lang w:val="es-ES_tradnl"/>
        </w:rPr>
        <w:t>el</w:t>
      </w:r>
      <w:r w:rsidRPr="00A0569B">
        <w:rPr>
          <w:rFonts w:ascii="Arial" w:hAnsi="Arial" w:cs="Arial"/>
          <w:sz w:val="24"/>
          <w:szCs w:val="24"/>
          <w:lang w:val="es-ES_tradnl"/>
        </w:rPr>
        <w:t xml:space="preserve"> accionante contra la sentencia de </w:t>
      </w:r>
      <w:r w:rsidR="005C02B4">
        <w:rPr>
          <w:rFonts w:ascii="Arial" w:hAnsi="Arial" w:cs="Arial"/>
          <w:sz w:val="24"/>
          <w:szCs w:val="24"/>
          <w:lang w:val="es-ES_tradnl"/>
        </w:rPr>
        <w:t>30</w:t>
      </w:r>
      <w:r w:rsidRPr="00A0569B">
        <w:rPr>
          <w:rFonts w:ascii="Arial" w:hAnsi="Arial" w:cs="Arial"/>
          <w:sz w:val="24"/>
          <w:szCs w:val="24"/>
          <w:lang w:val="es-ES_tradnl"/>
        </w:rPr>
        <w:t xml:space="preserve"> </w:t>
      </w:r>
      <w:r w:rsidR="00E4487B">
        <w:rPr>
          <w:rFonts w:ascii="Arial" w:hAnsi="Arial" w:cs="Arial"/>
          <w:sz w:val="24"/>
          <w:szCs w:val="24"/>
          <w:lang w:val="es-ES_tradnl"/>
        </w:rPr>
        <w:t>de</w:t>
      </w:r>
      <w:r w:rsidRPr="00A0569B">
        <w:rPr>
          <w:rFonts w:ascii="Arial" w:hAnsi="Arial" w:cs="Arial"/>
          <w:sz w:val="24"/>
          <w:szCs w:val="24"/>
          <w:lang w:val="es-ES_tradnl"/>
        </w:rPr>
        <w:t xml:space="preserve"> junio de 2023 proferida por esta subsección dentro del asunto de la referencia.</w:t>
      </w:r>
    </w:p>
    <w:p w14:paraId="2816CE08" w14:textId="77777777" w:rsidR="000432AB" w:rsidRPr="00A0569B" w:rsidRDefault="000432AB" w:rsidP="000432AB">
      <w:pPr>
        <w:spacing w:after="0" w:line="360" w:lineRule="auto"/>
        <w:jc w:val="center"/>
        <w:rPr>
          <w:rFonts w:ascii="Arial" w:eastAsia="Times New Roman" w:hAnsi="Arial" w:cs="Arial"/>
          <w:bCs/>
          <w:kern w:val="32"/>
          <w:sz w:val="24"/>
          <w:szCs w:val="24"/>
          <w:lang w:val="es-ES"/>
        </w:rPr>
      </w:pPr>
    </w:p>
    <w:p w14:paraId="0DEAE3F3" w14:textId="77777777" w:rsidR="000432AB" w:rsidRPr="00A0569B" w:rsidRDefault="000432AB" w:rsidP="000432AB">
      <w:pPr>
        <w:spacing w:after="0" w:line="360" w:lineRule="auto"/>
        <w:jc w:val="center"/>
        <w:rPr>
          <w:rFonts w:ascii="Arial" w:eastAsia="Times New Roman" w:hAnsi="Arial" w:cs="Arial"/>
          <w:bCs/>
          <w:kern w:val="32"/>
          <w:sz w:val="24"/>
          <w:szCs w:val="24"/>
          <w:lang w:val="es-ES"/>
        </w:rPr>
      </w:pPr>
      <w:r w:rsidRPr="00A0569B">
        <w:rPr>
          <w:rFonts w:ascii="Arial" w:eastAsia="Times New Roman" w:hAnsi="Arial" w:cs="Arial"/>
          <w:bCs/>
          <w:kern w:val="32"/>
          <w:sz w:val="24"/>
          <w:szCs w:val="24"/>
          <w:lang w:val="es-ES"/>
        </w:rPr>
        <w:t>Notifíquese y cúmplase,</w:t>
      </w:r>
    </w:p>
    <w:p w14:paraId="073788FE" w14:textId="77777777" w:rsidR="000432AB" w:rsidRDefault="000432AB" w:rsidP="000432AB">
      <w:pPr>
        <w:spacing w:after="0" w:line="360" w:lineRule="auto"/>
        <w:rPr>
          <w:rFonts w:ascii="Arial" w:eastAsia="Times New Roman" w:hAnsi="Arial" w:cs="Arial"/>
          <w:bCs/>
          <w:kern w:val="32"/>
          <w:sz w:val="24"/>
          <w:szCs w:val="24"/>
          <w:lang w:val="es-ES"/>
        </w:rPr>
      </w:pPr>
    </w:p>
    <w:p w14:paraId="788F3616" w14:textId="77777777" w:rsidR="005E0B17" w:rsidRPr="00A0569B" w:rsidRDefault="005E0B17" w:rsidP="000432AB">
      <w:pPr>
        <w:spacing w:after="0" w:line="360" w:lineRule="auto"/>
        <w:rPr>
          <w:rFonts w:ascii="Arial" w:eastAsia="Times New Roman" w:hAnsi="Arial" w:cs="Arial"/>
          <w:bCs/>
          <w:kern w:val="32"/>
          <w:sz w:val="24"/>
          <w:szCs w:val="24"/>
          <w:lang w:val="es-ES"/>
        </w:rPr>
      </w:pPr>
    </w:p>
    <w:p w14:paraId="291AE494" w14:textId="77777777" w:rsidR="000432AB" w:rsidRPr="00A0569B" w:rsidRDefault="000432AB" w:rsidP="0053469C">
      <w:pPr>
        <w:spacing w:after="0" w:line="240" w:lineRule="auto"/>
        <w:jc w:val="center"/>
        <w:rPr>
          <w:rFonts w:ascii="Arial" w:eastAsia="Times New Roman" w:hAnsi="Arial" w:cs="Arial"/>
          <w:bCs/>
          <w:kern w:val="32"/>
          <w:sz w:val="20"/>
          <w:szCs w:val="20"/>
          <w:lang w:val="es-ES"/>
        </w:rPr>
      </w:pPr>
      <w:r w:rsidRPr="00A0569B">
        <w:rPr>
          <w:rFonts w:ascii="Arial" w:eastAsia="Times New Roman" w:hAnsi="Arial" w:cs="Arial"/>
          <w:bCs/>
          <w:kern w:val="32"/>
          <w:sz w:val="20"/>
          <w:szCs w:val="20"/>
          <w:lang w:val="es-ES"/>
        </w:rPr>
        <w:t>Firmado electrónicamente</w:t>
      </w:r>
    </w:p>
    <w:p w14:paraId="07BFBB8A" w14:textId="77777777" w:rsidR="000432AB" w:rsidRPr="00A0569B" w:rsidRDefault="000432AB" w:rsidP="0053469C">
      <w:pPr>
        <w:spacing w:line="240" w:lineRule="auto"/>
        <w:jc w:val="center"/>
        <w:rPr>
          <w:rFonts w:ascii="Arial" w:hAnsi="Arial" w:cs="Arial"/>
          <w:sz w:val="24"/>
          <w:szCs w:val="24"/>
        </w:rPr>
      </w:pPr>
      <w:r w:rsidRPr="00A0569B">
        <w:rPr>
          <w:rFonts w:ascii="Arial" w:eastAsia="Arial Unicode MS" w:hAnsi="Arial" w:cs="Arial"/>
          <w:sz w:val="24"/>
          <w:szCs w:val="24"/>
          <w:lang w:val="es-ES"/>
        </w:rPr>
        <w:t>CÉSAR PALOMINO CORTÉS (E)</w:t>
      </w:r>
    </w:p>
    <w:sectPr w:rsidR="000432AB" w:rsidRPr="00A0569B" w:rsidSect="00A10563">
      <w:headerReference w:type="default" r:id="rId6"/>
      <w:pgSz w:w="12242" w:h="18722" w:code="14"/>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EBAA9" w14:textId="77777777" w:rsidR="008A2067" w:rsidRDefault="008A2067" w:rsidP="000432AB">
      <w:pPr>
        <w:spacing w:after="0" w:line="240" w:lineRule="auto"/>
      </w:pPr>
      <w:r>
        <w:separator/>
      </w:r>
    </w:p>
  </w:endnote>
  <w:endnote w:type="continuationSeparator" w:id="0">
    <w:p w14:paraId="31616327" w14:textId="77777777" w:rsidR="008A2067" w:rsidRDefault="008A2067" w:rsidP="00043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5DCF7" w14:textId="77777777" w:rsidR="008A2067" w:rsidRDefault="008A2067" w:rsidP="000432AB">
      <w:pPr>
        <w:spacing w:after="0" w:line="240" w:lineRule="auto"/>
      </w:pPr>
      <w:r>
        <w:separator/>
      </w:r>
    </w:p>
  </w:footnote>
  <w:footnote w:type="continuationSeparator" w:id="0">
    <w:p w14:paraId="058B4E04" w14:textId="77777777" w:rsidR="008A2067" w:rsidRDefault="008A2067" w:rsidP="000432AB">
      <w:pPr>
        <w:spacing w:after="0" w:line="240" w:lineRule="auto"/>
      </w:pPr>
      <w:r>
        <w:continuationSeparator/>
      </w:r>
    </w:p>
  </w:footnote>
  <w:footnote w:id="1">
    <w:p w14:paraId="3E71A777" w14:textId="77777777" w:rsidR="000432AB" w:rsidRPr="007F7D59" w:rsidRDefault="000432AB" w:rsidP="000432AB">
      <w:pPr>
        <w:pStyle w:val="Sinespaciado"/>
        <w:rPr>
          <w:rFonts w:ascii="Arial" w:hAnsi="Arial" w:cs="Arial"/>
          <w:sz w:val="20"/>
          <w:szCs w:val="20"/>
        </w:rPr>
      </w:pPr>
      <w:r w:rsidRPr="007F7D59">
        <w:rPr>
          <w:rStyle w:val="Refdenotaalpie"/>
          <w:rFonts w:ascii="Arial" w:hAnsi="Arial" w:cs="Arial"/>
          <w:sz w:val="20"/>
          <w:szCs w:val="20"/>
          <w:vertAlign w:val="superscript"/>
        </w:rPr>
        <w:footnoteRef/>
      </w:r>
      <w:r w:rsidRPr="007F7D59">
        <w:rPr>
          <w:rFonts w:ascii="Arial" w:hAnsi="Arial" w:cs="Arial"/>
          <w:sz w:val="20"/>
          <w:szCs w:val="20"/>
        </w:rPr>
        <w:t xml:space="preserve"> «</w:t>
      </w:r>
      <w:r w:rsidRPr="007F7D59">
        <w:rPr>
          <w:rFonts w:ascii="Arial" w:hAnsi="Arial" w:cs="Arial"/>
          <w:i/>
          <w:sz w:val="20"/>
          <w:szCs w:val="20"/>
        </w:rPr>
        <w:t>Artículo 237: Son atribuciones del Consejo de Estado:</w:t>
      </w:r>
      <w:r w:rsidRPr="007F7D59">
        <w:rPr>
          <w:rFonts w:ascii="Arial" w:hAnsi="Arial" w:cs="Arial"/>
          <w:sz w:val="20"/>
          <w:szCs w:val="20"/>
        </w:rPr>
        <w:t xml:space="preserve"> </w:t>
      </w:r>
    </w:p>
    <w:p w14:paraId="293249A9" w14:textId="77777777" w:rsidR="000432AB" w:rsidRPr="007F7D59" w:rsidRDefault="000432AB" w:rsidP="000432AB">
      <w:pPr>
        <w:pStyle w:val="Sinespaciado"/>
        <w:jc w:val="both"/>
        <w:rPr>
          <w:rFonts w:ascii="Arial" w:hAnsi="Arial" w:cs="Arial"/>
          <w:sz w:val="20"/>
          <w:szCs w:val="20"/>
        </w:rPr>
      </w:pPr>
      <w:r w:rsidRPr="007F7D59">
        <w:rPr>
          <w:rFonts w:ascii="Arial" w:hAnsi="Arial" w:cs="Arial"/>
          <w:sz w:val="20"/>
          <w:szCs w:val="20"/>
        </w:rPr>
        <w:t>[…]</w:t>
      </w:r>
    </w:p>
    <w:p w14:paraId="0940B289" w14:textId="77777777" w:rsidR="000432AB" w:rsidRPr="007F7D59" w:rsidRDefault="000432AB" w:rsidP="000432AB">
      <w:pPr>
        <w:pStyle w:val="Sinespaciado"/>
        <w:jc w:val="both"/>
        <w:rPr>
          <w:rFonts w:ascii="Arial" w:hAnsi="Arial" w:cs="Arial"/>
          <w:i/>
          <w:sz w:val="20"/>
          <w:szCs w:val="20"/>
          <w:shd w:val="clear" w:color="auto" w:fill="FFFFFF"/>
        </w:rPr>
      </w:pPr>
      <w:r w:rsidRPr="007F7D59">
        <w:rPr>
          <w:rFonts w:ascii="Arial" w:hAnsi="Arial" w:cs="Arial"/>
          <w:i/>
          <w:sz w:val="20"/>
          <w:szCs w:val="20"/>
        </w:rPr>
        <w:t>6. Darse</w:t>
      </w:r>
      <w:r w:rsidRPr="007F7D59">
        <w:rPr>
          <w:rFonts w:ascii="Arial" w:hAnsi="Arial" w:cs="Arial"/>
          <w:i/>
          <w:sz w:val="20"/>
          <w:szCs w:val="20"/>
          <w:shd w:val="clear" w:color="auto" w:fill="FFFFFF"/>
        </w:rPr>
        <w:t xml:space="preserve"> su propio reglamento y ejercer las demás funciones que determine la ley.</w:t>
      </w:r>
    </w:p>
    <w:p w14:paraId="120DF8F4" w14:textId="77777777" w:rsidR="000432AB" w:rsidRPr="007F7D59" w:rsidRDefault="000432AB" w:rsidP="000432AB">
      <w:pPr>
        <w:pStyle w:val="Sinespaciado"/>
        <w:jc w:val="both"/>
        <w:rPr>
          <w:rFonts w:ascii="Arial" w:hAnsi="Arial" w:cs="Arial"/>
          <w:sz w:val="20"/>
          <w:szCs w:val="20"/>
        </w:rPr>
      </w:pPr>
      <w:r w:rsidRPr="007F7D59">
        <w:rPr>
          <w:rFonts w:ascii="Arial" w:hAnsi="Arial" w:cs="Arial"/>
          <w:sz w:val="20"/>
          <w:szCs w:val="20"/>
          <w:shd w:val="clear" w:color="auto" w:fill="FFFFFF"/>
        </w:rPr>
        <w:t>[…]».</w:t>
      </w:r>
    </w:p>
  </w:footnote>
  <w:footnote w:id="2">
    <w:p w14:paraId="3D14718C" w14:textId="77777777" w:rsidR="000432AB" w:rsidRPr="007F7D59" w:rsidRDefault="000432AB" w:rsidP="000432AB">
      <w:pPr>
        <w:pStyle w:val="Sinespaciado"/>
        <w:jc w:val="both"/>
        <w:rPr>
          <w:rFonts w:ascii="Arial" w:hAnsi="Arial" w:cs="Arial"/>
          <w:i/>
          <w:sz w:val="20"/>
          <w:szCs w:val="20"/>
          <w:shd w:val="clear" w:color="auto" w:fill="FFFFFF"/>
        </w:rPr>
      </w:pPr>
      <w:r w:rsidRPr="007F7D59">
        <w:rPr>
          <w:rStyle w:val="Refdenotaalpie"/>
          <w:rFonts w:ascii="Arial" w:hAnsi="Arial" w:cs="Arial"/>
          <w:sz w:val="20"/>
          <w:szCs w:val="20"/>
          <w:vertAlign w:val="superscript"/>
        </w:rPr>
        <w:footnoteRef/>
      </w:r>
      <w:r w:rsidRPr="007F7D59">
        <w:rPr>
          <w:rFonts w:ascii="Arial" w:hAnsi="Arial" w:cs="Arial"/>
          <w:sz w:val="20"/>
          <w:szCs w:val="20"/>
          <w:vertAlign w:val="superscript"/>
        </w:rPr>
        <w:t xml:space="preserve"> </w:t>
      </w:r>
      <w:r w:rsidRPr="007F7D59">
        <w:rPr>
          <w:rFonts w:ascii="Arial" w:hAnsi="Arial" w:cs="Arial"/>
          <w:sz w:val="20"/>
          <w:szCs w:val="20"/>
        </w:rPr>
        <w:t>«</w:t>
      </w:r>
      <w:r w:rsidRPr="007F7D59">
        <w:rPr>
          <w:rFonts w:ascii="Arial" w:hAnsi="Arial" w:cs="Arial"/>
          <w:i/>
          <w:sz w:val="20"/>
          <w:szCs w:val="20"/>
        </w:rPr>
        <w:t xml:space="preserve">Artículo 35: </w:t>
      </w:r>
      <w:r w:rsidRPr="007F7D59">
        <w:rPr>
          <w:rFonts w:ascii="Arial" w:hAnsi="Arial" w:cs="Arial"/>
          <w:bCs/>
          <w:i/>
          <w:sz w:val="20"/>
          <w:szCs w:val="20"/>
          <w:shd w:val="clear" w:color="auto" w:fill="FFFFFF"/>
        </w:rPr>
        <w:t>ATRIBUCIONES DE LA SALA PLENA.</w:t>
      </w:r>
      <w:r w:rsidRPr="007F7D59">
        <w:rPr>
          <w:rStyle w:val="apple-converted-space"/>
          <w:rFonts w:ascii="Arial" w:hAnsi="Arial" w:cs="Arial"/>
          <w:i/>
          <w:sz w:val="20"/>
          <w:szCs w:val="20"/>
          <w:shd w:val="clear" w:color="auto" w:fill="FFFFFF"/>
        </w:rPr>
        <w:t> </w:t>
      </w:r>
      <w:r w:rsidRPr="007F7D59">
        <w:rPr>
          <w:rFonts w:ascii="Arial" w:hAnsi="Arial" w:cs="Arial"/>
          <w:i/>
          <w:sz w:val="20"/>
          <w:szCs w:val="20"/>
          <w:shd w:val="clear" w:color="auto" w:fill="FFFFFF"/>
        </w:rPr>
        <w:t>La Sala Plena del Consejo de Estado tendrá las siguientes atribuciones administrativas:</w:t>
      </w:r>
    </w:p>
    <w:p w14:paraId="5454D795" w14:textId="77777777" w:rsidR="000432AB" w:rsidRPr="007F7D59" w:rsidRDefault="000432AB" w:rsidP="000432AB">
      <w:pPr>
        <w:pStyle w:val="Sinespaciado"/>
        <w:jc w:val="both"/>
        <w:rPr>
          <w:rFonts w:ascii="Arial" w:hAnsi="Arial" w:cs="Arial"/>
          <w:sz w:val="20"/>
          <w:szCs w:val="20"/>
          <w:shd w:val="clear" w:color="auto" w:fill="FFFFFF"/>
        </w:rPr>
      </w:pPr>
      <w:r w:rsidRPr="007F7D59">
        <w:rPr>
          <w:rFonts w:ascii="Arial" w:hAnsi="Arial" w:cs="Arial"/>
          <w:sz w:val="20"/>
          <w:szCs w:val="20"/>
          <w:shd w:val="clear" w:color="auto" w:fill="FFFFFF"/>
        </w:rPr>
        <w:t>[…]</w:t>
      </w:r>
    </w:p>
    <w:p w14:paraId="55DF5328" w14:textId="77777777" w:rsidR="000432AB" w:rsidRPr="007F7D59" w:rsidRDefault="000432AB" w:rsidP="000432AB">
      <w:pPr>
        <w:pStyle w:val="Sinespaciado"/>
        <w:jc w:val="both"/>
        <w:rPr>
          <w:rFonts w:ascii="Arial" w:hAnsi="Arial" w:cs="Arial"/>
          <w:i/>
          <w:sz w:val="20"/>
          <w:szCs w:val="20"/>
          <w:shd w:val="clear" w:color="auto" w:fill="FFFFFF"/>
        </w:rPr>
      </w:pPr>
      <w:r w:rsidRPr="007F7D59">
        <w:rPr>
          <w:rFonts w:ascii="Arial" w:hAnsi="Arial" w:cs="Arial"/>
          <w:i/>
          <w:sz w:val="20"/>
          <w:szCs w:val="20"/>
          <w:shd w:val="clear" w:color="auto" w:fill="FFFFFF"/>
        </w:rPr>
        <w:t>5. Distribuir, mediante Acuerdo, las funciones de la Sala de lo Contencioso Administrativo que no deban ser ejercidas en pleno, entre las Secciones que la constituyen, con base en un criterio de especialización y de volumen de trabajo.</w:t>
      </w:r>
    </w:p>
    <w:p w14:paraId="7386122D" w14:textId="77777777" w:rsidR="000432AB" w:rsidRPr="007F7D59" w:rsidRDefault="000432AB" w:rsidP="000432AB">
      <w:pPr>
        <w:pStyle w:val="Sinespaciado"/>
        <w:jc w:val="both"/>
        <w:rPr>
          <w:rFonts w:ascii="Arial" w:hAnsi="Arial" w:cs="Arial"/>
          <w:sz w:val="20"/>
          <w:szCs w:val="20"/>
        </w:rPr>
      </w:pPr>
      <w:r w:rsidRPr="007F7D59">
        <w:rPr>
          <w:rFonts w:ascii="Arial" w:hAnsi="Arial" w:cs="Arial"/>
          <w:sz w:val="20"/>
          <w:szCs w:val="20"/>
          <w:shd w:val="clear" w:color="auto" w:fill="FFFFFF"/>
        </w:rPr>
        <w:t>[…]».</w:t>
      </w:r>
    </w:p>
  </w:footnote>
  <w:footnote w:id="3">
    <w:p w14:paraId="797430B8" w14:textId="77777777" w:rsidR="000432AB" w:rsidRPr="007F7D59" w:rsidRDefault="000432AB" w:rsidP="000432AB">
      <w:pPr>
        <w:pStyle w:val="Sinespaciado"/>
        <w:jc w:val="both"/>
        <w:rPr>
          <w:rFonts w:ascii="Arial" w:hAnsi="Arial" w:cs="Arial"/>
          <w:sz w:val="20"/>
          <w:szCs w:val="20"/>
        </w:rPr>
      </w:pPr>
      <w:r w:rsidRPr="007F7D59">
        <w:rPr>
          <w:rStyle w:val="Refdenotaalpie"/>
          <w:rFonts w:ascii="Arial" w:hAnsi="Arial" w:cs="Arial"/>
          <w:sz w:val="20"/>
          <w:szCs w:val="20"/>
          <w:vertAlign w:val="superscript"/>
        </w:rPr>
        <w:footnoteRef/>
      </w:r>
      <w:r w:rsidRPr="007F7D59">
        <w:rPr>
          <w:rFonts w:ascii="Arial" w:hAnsi="Arial" w:cs="Arial"/>
          <w:sz w:val="20"/>
          <w:szCs w:val="20"/>
        </w:rPr>
        <w:t xml:space="preserve"> «[…]</w:t>
      </w:r>
    </w:p>
    <w:p w14:paraId="797E0418" w14:textId="77777777" w:rsidR="000432AB" w:rsidRPr="007F7D59" w:rsidRDefault="000432AB" w:rsidP="000432AB">
      <w:pPr>
        <w:pStyle w:val="Sinespaciado"/>
        <w:jc w:val="both"/>
        <w:rPr>
          <w:rFonts w:ascii="Arial" w:hAnsi="Arial" w:cs="Arial"/>
          <w:sz w:val="20"/>
          <w:szCs w:val="20"/>
        </w:rPr>
      </w:pPr>
      <w:r w:rsidRPr="007F7D59">
        <w:rPr>
          <w:rFonts w:ascii="Arial" w:hAnsi="Arial" w:cs="Arial"/>
          <w:i/>
          <w:sz w:val="20"/>
          <w:szCs w:val="20"/>
        </w:rPr>
        <w:t>Las tutelas que sean de competencia del Consejo de Estado en primera y en segunda instancia se someterán a reparto por igual entre todos los magistrados de la Sala de lo Contencioso Administrativo y serán resueltas por la sección o subsección de la cual haga parte el magistrado a quien le haya correspondido el reparto</w:t>
      </w:r>
      <w:r w:rsidRPr="007F7D59">
        <w:rPr>
          <w:rFonts w:ascii="Arial" w:hAnsi="Arial" w:cs="Arial"/>
          <w:sz w:val="20"/>
          <w:szCs w:val="20"/>
        </w:rPr>
        <w:t>.</w:t>
      </w:r>
    </w:p>
    <w:p w14:paraId="726FF34B" w14:textId="77777777" w:rsidR="000432AB" w:rsidRPr="007F7D59" w:rsidRDefault="000432AB" w:rsidP="000432AB">
      <w:pPr>
        <w:pStyle w:val="Sinespaciado"/>
        <w:jc w:val="both"/>
        <w:rPr>
          <w:rFonts w:ascii="Arial" w:hAnsi="Arial" w:cs="Arial"/>
          <w:sz w:val="20"/>
          <w:szCs w:val="20"/>
        </w:rPr>
      </w:pPr>
      <w:r w:rsidRPr="007F7D59">
        <w:rPr>
          <w:rFonts w:ascii="Arial" w:hAnsi="Arial" w:cs="Arial"/>
          <w:sz w:val="20"/>
          <w:szCs w:val="20"/>
        </w:rPr>
        <w:t xml:space="preserve">[…]». </w:t>
      </w:r>
    </w:p>
  </w:footnote>
  <w:footnote w:id="4">
    <w:p w14:paraId="4BD577B6" w14:textId="77777777" w:rsidR="000432AB" w:rsidRPr="002A24C9" w:rsidRDefault="000432AB" w:rsidP="000432AB">
      <w:pPr>
        <w:pStyle w:val="Sinespaciado"/>
        <w:jc w:val="both"/>
        <w:rPr>
          <w:rFonts w:ascii="Arial" w:hAnsi="Arial" w:cs="Arial"/>
          <w:sz w:val="20"/>
          <w:szCs w:val="20"/>
        </w:rPr>
      </w:pPr>
      <w:r w:rsidRPr="002A24C9">
        <w:rPr>
          <w:rStyle w:val="Refdenotaalpie"/>
          <w:rFonts w:ascii="Arial" w:hAnsi="Arial" w:cs="Arial"/>
          <w:sz w:val="20"/>
          <w:szCs w:val="20"/>
          <w:vertAlign w:val="superscript"/>
        </w:rPr>
        <w:footnoteRef/>
      </w:r>
      <w:r w:rsidRPr="002A24C9">
        <w:rPr>
          <w:rFonts w:ascii="Arial" w:hAnsi="Arial" w:cs="Arial"/>
          <w:sz w:val="20"/>
          <w:szCs w:val="20"/>
        </w:rPr>
        <w:t xml:space="preserve"> «</w:t>
      </w:r>
      <w:r w:rsidRPr="002A24C9">
        <w:rPr>
          <w:rFonts w:ascii="Arial" w:hAnsi="Arial" w:cs="Arial"/>
          <w:i/>
          <w:sz w:val="20"/>
          <w:szCs w:val="20"/>
        </w:rPr>
        <w:t>Reglamento interno</w:t>
      </w:r>
      <w:r w:rsidRPr="002A24C9">
        <w:rPr>
          <w:rStyle w:val="Textoennegrita"/>
          <w:rFonts w:ascii="Arial" w:hAnsi="Arial" w:cs="Arial"/>
          <w:i/>
          <w:sz w:val="20"/>
          <w:szCs w:val="20"/>
          <w:shd w:val="clear" w:color="auto" w:fill="FFFFFF"/>
        </w:rPr>
        <w:t xml:space="preserve"> </w:t>
      </w:r>
      <w:r w:rsidRPr="002A24C9">
        <w:rPr>
          <w:rStyle w:val="Textoennegrita"/>
          <w:rFonts w:ascii="Arial" w:hAnsi="Arial" w:cs="Arial"/>
          <w:b w:val="0"/>
          <w:i/>
          <w:sz w:val="20"/>
          <w:szCs w:val="20"/>
          <w:shd w:val="clear" w:color="auto" w:fill="FFFFFF"/>
        </w:rPr>
        <w:t>del Consejo de Estado</w:t>
      </w:r>
      <w:r w:rsidRPr="002A24C9">
        <w:rPr>
          <w:rStyle w:val="Textoennegrita"/>
          <w:rFonts w:ascii="Arial" w:hAnsi="Arial" w:cs="Arial"/>
          <w:b w:val="0"/>
          <w:sz w:val="20"/>
          <w:szCs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01" w:type="dxa"/>
      <w:tblLook w:val="04A0" w:firstRow="1" w:lastRow="0" w:firstColumn="1" w:lastColumn="0" w:noHBand="0" w:noVBand="1"/>
    </w:tblPr>
    <w:tblGrid>
      <w:gridCol w:w="2012"/>
      <w:gridCol w:w="7429"/>
    </w:tblGrid>
    <w:tr w:rsidR="00A10563" w:rsidRPr="00A0569B" w14:paraId="53544569" w14:textId="77777777" w:rsidTr="000C70E6">
      <w:trPr>
        <w:trHeight w:val="1261"/>
      </w:trPr>
      <w:tc>
        <w:tcPr>
          <w:tcW w:w="2016" w:type="dxa"/>
          <w:shd w:val="clear" w:color="auto" w:fill="auto"/>
        </w:tcPr>
        <w:p w14:paraId="1812342F" w14:textId="77777777" w:rsidR="00FD3E9A" w:rsidRPr="00A0569B" w:rsidRDefault="008355BD" w:rsidP="00A10563">
          <w:pPr>
            <w:pStyle w:val="Encabezado"/>
            <w:rPr>
              <w:rFonts w:ascii="Arial" w:hAnsi="Arial" w:cs="Arial"/>
              <w:b/>
              <w:sz w:val="24"/>
              <w:szCs w:val="24"/>
            </w:rPr>
          </w:pPr>
          <w:r w:rsidRPr="00A0569B">
            <w:rPr>
              <w:rFonts w:ascii="Arial" w:hAnsi="Arial" w:cs="Arial"/>
              <w:b/>
              <w:noProof/>
              <w:sz w:val="24"/>
              <w:szCs w:val="24"/>
              <w:lang w:val="es-ES" w:eastAsia="es-ES"/>
            </w:rPr>
            <w:drawing>
              <wp:anchor distT="0" distB="0" distL="114300" distR="114300" simplePos="0" relativeHeight="251659264" behindDoc="1" locked="0" layoutInCell="1" allowOverlap="1" wp14:anchorId="02D4C306" wp14:editId="374A74DA">
                <wp:simplePos x="0" y="0"/>
                <wp:positionH relativeFrom="margin">
                  <wp:posOffset>72390</wp:posOffset>
                </wp:positionH>
                <wp:positionV relativeFrom="margin">
                  <wp:posOffset>80010</wp:posOffset>
                </wp:positionV>
                <wp:extent cx="1037590" cy="933450"/>
                <wp:effectExtent l="0" t="0" r="0" b="0"/>
                <wp:wrapThrough wrapText="bothSides">
                  <wp:wrapPolygon edited="0">
                    <wp:start x="8725" y="0"/>
                    <wp:lineTo x="6345" y="1322"/>
                    <wp:lineTo x="1190" y="6171"/>
                    <wp:lineTo x="1190" y="9257"/>
                    <wp:lineTo x="1586" y="14988"/>
                    <wp:lineTo x="1983" y="16310"/>
                    <wp:lineTo x="7138" y="20278"/>
                    <wp:lineTo x="8725" y="21159"/>
                    <wp:lineTo x="12294" y="21159"/>
                    <wp:lineTo x="13880" y="20278"/>
                    <wp:lineTo x="19035" y="16310"/>
                    <wp:lineTo x="19432" y="14988"/>
                    <wp:lineTo x="20225" y="6612"/>
                    <wp:lineTo x="14673" y="1322"/>
                    <wp:lineTo x="12294" y="0"/>
                    <wp:lineTo x="8725" y="0"/>
                  </wp:wrapPolygon>
                </wp:wrapThrough>
                <wp:docPr id="1079865798" name="Imagen 1" descr="ESCUDO diseñado FINAL-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diseñado FINAL-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7590"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43" w:type="dxa"/>
          <w:shd w:val="clear" w:color="auto" w:fill="auto"/>
        </w:tcPr>
        <w:p w14:paraId="0D68AC38" w14:textId="77777777" w:rsidR="00FD3E9A" w:rsidRPr="00A0569B" w:rsidRDefault="008355BD" w:rsidP="00040CC4">
          <w:pPr>
            <w:overflowPunct w:val="0"/>
            <w:autoSpaceDE w:val="0"/>
            <w:autoSpaceDN w:val="0"/>
            <w:adjustRightInd w:val="0"/>
            <w:spacing w:after="0" w:line="360" w:lineRule="auto"/>
            <w:jc w:val="center"/>
            <w:textAlignment w:val="baseline"/>
            <w:rPr>
              <w:rFonts w:ascii="Arial" w:hAnsi="Arial" w:cs="Arial"/>
              <w:sz w:val="24"/>
              <w:szCs w:val="24"/>
            </w:rPr>
          </w:pPr>
          <w:r w:rsidRPr="00A0569B">
            <w:rPr>
              <w:rFonts w:ascii="Arial" w:hAnsi="Arial" w:cs="Arial"/>
              <w:sz w:val="24"/>
              <w:szCs w:val="24"/>
            </w:rPr>
            <w:t>CONSEJO DE ESTADO</w:t>
          </w:r>
        </w:p>
        <w:p w14:paraId="03A39C37" w14:textId="77777777" w:rsidR="00FD3E9A" w:rsidRPr="00A0569B" w:rsidRDefault="008355BD" w:rsidP="00040CC4">
          <w:pPr>
            <w:overflowPunct w:val="0"/>
            <w:autoSpaceDE w:val="0"/>
            <w:autoSpaceDN w:val="0"/>
            <w:adjustRightInd w:val="0"/>
            <w:spacing w:after="0" w:line="360" w:lineRule="auto"/>
            <w:jc w:val="center"/>
            <w:textAlignment w:val="baseline"/>
            <w:rPr>
              <w:rFonts w:ascii="Arial" w:hAnsi="Arial" w:cs="Arial"/>
              <w:sz w:val="24"/>
              <w:szCs w:val="24"/>
            </w:rPr>
          </w:pPr>
          <w:r w:rsidRPr="00A0569B">
            <w:rPr>
              <w:rFonts w:ascii="Arial" w:hAnsi="Arial" w:cs="Arial"/>
              <w:sz w:val="24"/>
              <w:szCs w:val="24"/>
            </w:rPr>
            <w:t>SALA DE LO CONTENCIOSO-ADMINISTRATIVO</w:t>
          </w:r>
        </w:p>
        <w:p w14:paraId="36ACA27A" w14:textId="77777777" w:rsidR="00FD3E9A" w:rsidRPr="00A0569B" w:rsidRDefault="008355BD" w:rsidP="00040CC4">
          <w:pPr>
            <w:overflowPunct w:val="0"/>
            <w:autoSpaceDE w:val="0"/>
            <w:autoSpaceDN w:val="0"/>
            <w:adjustRightInd w:val="0"/>
            <w:spacing w:after="0" w:line="360" w:lineRule="auto"/>
            <w:jc w:val="center"/>
            <w:textAlignment w:val="baseline"/>
            <w:rPr>
              <w:rFonts w:ascii="Arial" w:hAnsi="Arial" w:cs="Arial"/>
              <w:sz w:val="24"/>
              <w:szCs w:val="24"/>
            </w:rPr>
          </w:pPr>
          <w:r w:rsidRPr="00A0569B">
            <w:rPr>
              <w:rFonts w:ascii="Arial" w:hAnsi="Arial" w:cs="Arial"/>
              <w:sz w:val="24"/>
              <w:szCs w:val="24"/>
            </w:rPr>
            <w:t>SECCIÓN SEGUNDA</w:t>
          </w:r>
        </w:p>
        <w:p w14:paraId="17E1FA84" w14:textId="77777777" w:rsidR="00FD3E9A" w:rsidRPr="00A0569B" w:rsidRDefault="008355BD" w:rsidP="00040CC4">
          <w:pPr>
            <w:overflowPunct w:val="0"/>
            <w:autoSpaceDE w:val="0"/>
            <w:autoSpaceDN w:val="0"/>
            <w:adjustRightInd w:val="0"/>
            <w:spacing w:after="0" w:line="360" w:lineRule="auto"/>
            <w:jc w:val="center"/>
            <w:textAlignment w:val="baseline"/>
            <w:rPr>
              <w:rFonts w:ascii="Arial" w:hAnsi="Arial" w:cs="Arial"/>
              <w:b/>
              <w:sz w:val="24"/>
              <w:szCs w:val="24"/>
            </w:rPr>
          </w:pPr>
          <w:r w:rsidRPr="00A0569B">
            <w:rPr>
              <w:rFonts w:ascii="Arial" w:hAnsi="Arial" w:cs="Arial"/>
              <w:sz w:val="24"/>
              <w:szCs w:val="24"/>
            </w:rPr>
            <w:t>SUBSECCIÓN B</w:t>
          </w:r>
        </w:p>
      </w:tc>
    </w:tr>
  </w:tbl>
  <w:p w14:paraId="62F7B478" w14:textId="77777777" w:rsidR="00FD3E9A" w:rsidRPr="00A0569B" w:rsidRDefault="008355BD" w:rsidP="000C70E6">
    <w:pPr>
      <w:pStyle w:val="Encabezado"/>
      <w:tabs>
        <w:tab w:val="clear" w:pos="4419"/>
        <w:tab w:val="clear" w:pos="8838"/>
        <w:tab w:val="left" w:pos="1580"/>
      </w:tabs>
      <w:rPr>
        <w:rFonts w:ascii="Arial" w:hAnsi="Arial" w:cs="Arial"/>
        <w:sz w:val="24"/>
        <w:szCs w:val="24"/>
      </w:rPr>
    </w:pPr>
    <w:r w:rsidRPr="00A0569B">
      <w:rPr>
        <w:rFonts w:ascii="Arial" w:hAnsi="Arial" w:cs="Arial"/>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2AB"/>
    <w:rsid w:val="00006C05"/>
    <w:rsid w:val="00040CC4"/>
    <w:rsid w:val="000432AB"/>
    <w:rsid w:val="000677E4"/>
    <w:rsid w:val="00097437"/>
    <w:rsid w:val="00136116"/>
    <w:rsid w:val="00147DB5"/>
    <w:rsid w:val="00237472"/>
    <w:rsid w:val="002A24C9"/>
    <w:rsid w:val="003F7F80"/>
    <w:rsid w:val="00490074"/>
    <w:rsid w:val="004D5F61"/>
    <w:rsid w:val="0053469C"/>
    <w:rsid w:val="005C02B4"/>
    <w:rsid w:val="005E0B17"/>
    <w:rsid w:val="007F7D59"/>
    <w:rsid w:val="008355BD"/>
    <w:rsid w:val="008A2067"/>
    <w:rsid w:val="008F0E79"/>
    <w:rsid w:val="0097210D"/>
    <w:rsid w:val="00BA47F1"/>
    <w:rsid w:val="00C71EC9"/>
    <w:rsid w:val="00C9723A"/>
    <w:rsid w:val="00CD340D"/>
    <w:rsid w:val="00D77B75"/>
    <w:rsid w:val="00DE4278"/>
    <w:rsid w:val="00E4487B"/>
    <w:rsid w:val="00E8617F"/>
    <w:rsid w:val="00E90354"/>
    <w:rsid w:val="00F428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D144"/>
  <w15:chartTrackingRefBased/>
  <w15:docId w15:val="{FEF1E0DE-ABD5-4C58-8010-0312084F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erdomo"/>
    <w:qFormat/>
    <w:rsid w:val="000432A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pagina">
    <w:name w:val="Pie de pagina"/>
    <w:basedOn w:val="Normal"/>
    <w:link w:val="Refdenotaalpie"/>
    <w:autoRedefine/>
    <w:uiPriority w:val="99"/>
    <w:rsid w:val="000432AB"/>
    <w:pPr>
      <w:overflowPunct w:val="0"/>
      <w:autoSpaceDE w:val="0"/>
      <w:autoSpaceDN w:val="0"/>
      <w:adjustRightInd w:val="0"/>
      <w:spacing w:line="240" w:lineRule="auto"/>
      <w:jc w:val="both"/>
      <w:textAlignment w:val="baseline"/>
    </w:pPr>
    <w:rPr>
      <w:rFonts w:eastAsia="Times New Roman"/>
      <w:lang w:val="es-ES" w:eastAsia="es-ES"/>
    </w:rPr>
  </w:style>
  <w:style w:type="character" w:styleId="Refdenotaalpie">
    <w:name w:val="footnote reference"/>
    <w:aliases w:val="Texto de nota al pie,referencia nota al pie,Ref. de nota al pie 2,Footnotes refss,Appel note de bas de page,Footnote number,BVI fnr,f,4_G,16 Point,Superscript 6 Point,Texto nota al pie,Texto de nota al pi,Pie de Página,FC,Pie de Pàgi"/>
    <w:link w:val="Piedepagina"/>
    <w:uiPriority w:val="99"/>
    <w:qFormat/>
    <w:rsid w:val="000432AB"/>
    <w:rPr>
      <w:rFonts w:ascii="Calibri" w:eastAsia="Times New Roman" w:hAnsi="Calibri" w:cs="Times New Roman"/>
      <w:lang w:val="es-ES" w:eastAsia="es-ES"/>
    </w:rPr>
  </w:style>
  <w:style w:type="character" w:customStyle="1" w:styleId="apple-converted-space">
    <w:name w:val="apple-converted-space"/>
    <w:rsid w:val="000432AB"/>
  </w:style>
  <w:style w:type="paragraph" w:styleId="Encabezado">
    <w:name w:val="header"/>
    <w:basedOn w:val="Normal"/>
    <w:link w:val="EncabezadoCar"/>
    <w:uiPriority w:val="99"/>
    <w:unhideWhenUsed/>
    <w:rsid w:val="000432AB"/>
    <w:pPr>
      <w:tabs>
        <w:tab w:val="center" w:pos="4419"/>
        <w:tab w:val="right" w:pos="8838"/>
      </w:tabs>
    </w:pPr>
  </w:style>
  <w:style w:type="character" w:customStyle="1" w:styleId="EncabezadoCar">
    <w:name w:val="Encabezado Car"/>
    <w:basedOn w:val="Fuentedeprrafopredeter"/>
    <w:link w:val="Encabezado"/>
    <w:uiPriority w:val="99"/>
    <w:rsid w:val="000432AB"/>
    <w:rPr>
      <w:rFonts w:ascii="Calibri" w:eastAsia="Calibri" w:hAnsi="Calibri" w:cs="Times New Roman"/>
    </w:rPr>
  </w:style>
  <w:style w:type="paragraph" w:styleId="Sinespaciado">
    <w:name w:val="No Spacing"/>
    <w:uiPriority w:val="1"/>
    <w:qFormat/>
    <w:rsid w:val="000432AB"/>
    <w:pPr>
      <w:spacing w:after="0" w:line="240" w:lineRule="auto"/>
    </w:pPr>
    <w:rPr>
      <w:rFonts w:ascii="Times New Roman" w:eastAsia="Times New Roman" w:hAnsi="Times New Roman" w:cs="Times New Roman"/>
      <w:sz w:val="24"/>
      <w:szCs w:val="24"/>
      <w:lang w:val="es-ES" w:eastAsia="es-ES"/>
    </w:rPr>
  </w:style>
  <w:style w:type="character" w:styleId="Textoennegrita">
    <w:name w:val="Strong"/>
    <w:uiPriority w:val="22"/>
    <w:qFormat/>
    <w:rsid w:val="000432AB"/>
    <w:rPr>
      <w:b/>
      <w:bCs/>
    </w:rPr>
  </w:style>
  <w:style w:type="paragraph" w:styleId="Piedepgina">
    <w:name w:val="footer"/>
    <w:basedOn w:val="Normal"/>
    <w:link w:val="PiedepginaCar"/>
    <w:uiPriority w:val="99"/>
    <w:unhideWhenUsed/>
    <w:rsid w:val="00040C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0CC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141</Words>
  <Characters>781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Rama Judicial</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Zaida Katherine Martínez González</dc:creator>
  <cp:keywords/>
  <dc:description/>
  <cp:lastModifiedBy>Cindy Daza</cp:lastModifiedBy>
  <cp:revision>6</cp:revision>
  <dcterms:created xsi:type="dcterms:W3CDTF">2023-08-24T12:18:00Z</dcterms:created>
  <dcterms:modified xsi:type="dcterms:W3CDTF">2023-08-24T14:00:00Z</dcterms:modified>
</cp:coreProperties>
</file>