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AFC6" w14:textId="7397C448" w:rsidR="00A320DF" w:rsidRPr="00E77C3C" w:rsidRDefault="00A320DF" w:rsidP="00A320DF">
      <w:pPr>
        <w:pStyle w:val="Sinespaciado"/>
        <w:spacing w:before="240"/>
      </w:pPr>
      <w:r>
        <w:rPr>
          <w:caps w:val="0"/>
        </w:rPr>
        <w:t>Magistrado</w:t>
      </w:r>
      <w:r w:rsidRPr="00E77C3C">
        <w:rPr>
          <w:caps w:val="0"/>
        </w:rPr>
        <w:t xml:space="preserve"> ponente</w:t>
      </w:r>
      <w:r w:rsidRPr="00E77C3C">
        <w:t>: JAIME ENRIQUE RODRÍGUEZ NAVAS</w:t>
      </w:r>
    </w:p>
    <w:p w14:paraId="48633ACE" w14:textId="21D7CC1D" w:rsidR="00A320DF" w:rsidRPr="00E77C3C" w:rsidRDefault="00A320DF" w:rsidP="00A320DF">
      <w:pPr>
        <w:spacing w:before="240" w:line="240" w:lineRule="auto"/>
        <w:jc w:val="both"/>
        <w:rPr>
          <w:rFonts w:ascii="Arial" w:hAnsi="Arial" w:cs="Arial"/>
          <w:b/>
          <w:sz w:val="24"/>
          <w:szCs w:val="24"/>
        </w:rPr>
      </w:pPr>
      <w:r w:rsidRPr="00A320DF">
        <w:rPr>
          <w:rFonts w:ascii="Arial" w:hAnsi="Arial" w:cs="Arial"/>
          <w:b/>
          <w:sz w:val="24"/>
          <w:szCs w:val="24"/>
        </w:rPr>
        <w:t>Bogotá D.C., veinti</w:t>
      </w:r>
      <w:r>
        <w:rPr>
          <w:rFonts w:ascii="Arial" w:hAnsi="Arial" w:cs="Arial"/>
          <w:b/>
          <w:sz w:val="24"/>
          <w:szCs w:val="24"/>
        </w:rPr>
        <w:t>siete</w:t>
      </w:r>
      <w:r w:rsidRPr="00A320DF">
        <w:rPr>
          <w:rFonts w:ascii="Arial" w:hAnsi="Arial" w:cs="Arial"/>
          <w:b/>
          <w:sz w:val="24"/>
          <w:szCs w:val="24"/>
        </w:rPr>
        <w:t xml:space="preserve"> (2</w:t>
      </w:r>
      <w:r>
        <w:rPr>
          <w:rFonts w:ascii="Arial" w:hAnsi="Arial" w:cs="Arial"/>
          <w:b/>
          <w:sz w:val="24"/>
          <w:szCs w:val="24"/>
        </w:rPr>
        <w:t>7</w:t>
      </w:r>
      <w:r w:rsidRPr="00A320DF">
        <w:rPr>
          <w:rFonts w:ascii="Arial" w:hAnsi="Arial" w:cs="Arial"/>
          <w:b/>
          <w:sz w:val="24"/>
          <w:szCs w:val="24"/>
        </w:rPr>
        <w:t xml:space="preserve">) de </w:t>
      </w:r>
      <w:r>
        <w:rPr>
          <w:rFonts w:ascii="Arial" w:hAnsi="Arial" w:cs="Arial"/>
          <w:b/>
          <w:sz w:val="24"/>
          <w:szCs w:val="24"/>
        </w:rPr>
        <w:t>enero</w:t>
      </w:r>
      <w:r w:rsidRPr="00A320DF">
        <w:rPr>
          <w:rFonts w:ascii="Arial" w:hAnsi="Arial" w:cs="Arial"/>
          <w:b/>
          <w:sz w:val="24"/>
          <w:szCs w:val="24"/>
        </w:rPr>
        <w:t xml:space="preserve"> de dos mil veinti</w:t>
      </w:r>
      <w:r>
        <w:rPr>
          <w:rFonts w:ascii="Arial" w:hAnsi="Arial" w:cs="Arial"/>
          <w:b/>
          <w:sz w:val="24"/>
          <w:szCs w:val="24"/>
        </w:rPr>
        <w:t>trés</w:t>
      </w:r>
      <w:r w:rsidRPr="00A320DF">
        <w:rPr>
          <w:rFonts w:ascii="Arial" w:hAnsi="Arial" w:cs="Arial"/>
          <w:b/>
          <w:sz w:val="24"/>
          <w:szCs w:val="24"/>
        </w:rPr>
        <w:t xml:space="preserve"> (202</w:t>
      </w:r>
      <w:r>
        <w:rPr>
          <w:rFonts w:ascii="Arial" w:hAnsi="Arial" w:cs="Arial"/>
          <w:b/>
          <w:sz w:val="24"/>
          <w:szCs w:val="24"/>
        </w:rPr>
        <w:t>3</w:t>
      </w:r>
      <w:r w:rsidRPr="00A320DF">
        <w:rPr>
          <w:rFonts w:ascii="Arial" w:hAnsi="Arial" w:cs="Arial"/>
          <w:b/>
          <w:sz w:val="24"/>
          <w:szCs w:val="24"/>
        </w:rPr>
        <w:t>).</w:t>
      </w:r>
    </w:p>
    <w:p w14:paraId="552A1F7C" w14:textId="13A746AD" w:rsidR="00A320DF" w:rsidRPr="00E77C3C" w:rsidRDefault="00A320DF" w:rsidP="00A320DF">
      <w:pPr>
        <w:tabs>
          <w:tab w:val="left" w:pos="1985"/>
        </w:tabs>
        <w:spacing w:before="240" w:line="240" w:lineRule="auto"/>
        <w:contextualSpacing/>
        <w:jc w:val="both"/>
        <w:rPr>
          <w:rFonts w:ascii="Arial" w:hAnsi="Arial" w:cs="Arial"/>
          <w:sz w:val="24"/>
          <w:szCs w:val="24"/>
        </w:rPr>
      </w:pPr>
      <w:r w:rsidRPr="00E77C3C">
        <w:rPr>
          <w:rFonts w:ascii="Arial" w:hAnsi="Arial" w:cs="Arial"/>
          <w:b/>
          <w:sz w:val="24"/>
          <w:szCs w:val="24"/>
        </w:rPr>
        <w:t>Radica</w:t>
      </w:r>
      <w:r>
        <w:rPr>
          <w:rFonts w:ascii="Arial" w:hAnsi="Arial" w:cs="Arial"/>
          <w:b/>
          <w:sz w:val="24"/>
          <w:szCs w:val="24"/>
        </w:rPr>
        <w:t>do número:</w:t>
      </w:r>
      <w:r w:rsidRPr="00E77C3C">
        <w:rPr>
          <w:rFonts w:ascii="Arial" w:hAnsi="Arial" w:cs="Arial"/>
          <w:b/>
          <w:sz w:val="24"/>
          <w:szCs w:val="24"/>
        </w:rPr>
        <w:tab/>
      </w:r>
      <w:r>
        <w:rPr>
          <w:rFonts w:ascii="Arial" w:hAnsi="Arial" w:cs="Arial"/>
          <w:b/>
          <w:sz w:val="24"/>
          <w:szCs w:val="24"/>
        </w:rPr>
        <w:tab/>
      </w:r>
      <w:r w:rsidRPr="00125BEF">
        <w:rPr>
          <w:rFonts w:ascii="Arial" w:hAnsi="Arial" w:cs="Arial"/>
          <w:bCs/>
          <w:sz w:val="24"/>
          <w:szCs w:val="24"/>
        </w:rPr>
        <w:t>11001-03-15-000-202</w:t>
      </w:r>
      <w:r w:rsidR="005A4B5E">
        <w:rPr>
          <w:rFonts w:ascii="Arial" w:hAnsi="Arial" w:cs="Arial"/>
          <w:bCs/>
          <w:sz w:val="24"/>
          <w:szCs w:val="24"/>
        </w:rPr>
        <w:t>3</w:t>
      </w:r>
      <w:r w:rsidRPr="00125BEF">
        <w:rPr>
          <w:rFonts w:ascii="Arial" w:hAnsi="Arial" w:cs="Arial"/>
          <w:bCs/>
          <w:sz w:val="24"/>
          <w:szCs w:val="24"/>
        </w:rPr>
        <w:t>-0</w:t>
      </w:r>
      <w:r w:rsidR="005A4B5E">
        <w:rPr>
          <w:rFonts w:ascii="Arial" w:hAnsi="Arial" w:cs="Arial"/>
          <w:bCs/>
          <w:sz w:val="24"/>
          <w:szCs w:val="24"/>
        </w:rPr>
        <w:t>0276</w:t>
      </w:r>
      <w:r w:rsidRPr="00125BEF">
        <w:rPr>
          <w:rFonts w:ascii="Arial" w:hAnsi="Arial" w:cs="Arial"/>
          <w:bCs/>
          <w:sz w:val="24"/>
          <w:szCs w:val="24"/>
        </w:rPr>
        <w:t>-00</w:t>
      </w:r>
      <w:r w:rsidRPr="00E77C3C">
        <w:rPr>
          <w:rFonts w:ascii="Arial" w:hAnsi="Arial" w:cs="Arial"/>
          <w:sz w:val="24"/>
          <w:szCs w:val="24"/>
        </w:rPr>
        <w:t>.</w:t>
      </w:r>
    </w:p>
    <w:p w14:paraId="4C06B6D5" w14:textId="1CB799F1" w:rsidR="00A320DF" w:rsidRPr="00E77C3C" w:rsidRDefault="00A320DF" w:rsidP="00A320DF">
      <w:pPr>
        <w:tabs>
          <w:tab w:val="left" w:pos="1985"/>
        </w:tabs>
        <w:spacing w:line="240" w:lineRule="auto"/>
        <w:ind w:left="1980" w:hanging="1980"/>
        <w:contextualSpacing/>
        <w:jc w:val="both"/>
        <w:rPr>
          <w:rFonts w:ascii="Arial" w:hAnsi="Arial" w:cs="Arial"/>
          <w:sz w:val="24"/>
          <w:szCs w:val="24"/>
        </w:rPr>
      </w:pPr>
      <w:r w:rsidRPr="00E77C3C">
        <w:rPr>
          <w:rFonts w:ascii="Arial" w:hAnsi="Arial" w:cs="Arial"/>
          <w:b/>
          <w:sz w:val="24"/>
          <w:szCs w:val="24"/>
        </w:rPr>
        <w:t>Accionante:</w:t>
      </w:r>
      <w:r w:rsidRPr="00E77C3C">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Cs/>
          <w:sz w:val="24"/>
          <w:szCs w:val="24"/>
        </w:rPr>
        <w:t>Nelson Julián Valencia Zamora.</w:t>
      </w:r>
    </w:p>
    <w:p w14:paraId="3B9776DA" w14:textId="7E4A19E7" w:rsidR="00A320DF" w:rsidRDefault="00A320DF" w:rsidP="00A320DF">
      <w:pPr>
        <w:spacing w:line="240" w:lineRule="auto"/>
        <w:ind w:left="1985" w:hanging="1985"/>
        <w:contextualSpacing/>
        <w:jc w:val="both"/>
        <w:rPr>
          <w:rFonts w:ascii="Arial" w:hAnsi="Arial" w:cs="Arial"/>
          <w:b/>
          <w:sz w:val="24"/>
          <w:szCs w:val="24"/>
        </w:rPr>
      </w:pPr>
      <w:r w:rsidRPr="00E77C3C">
        <w:rPr>
          <w:rFonts w:ascii="Arial" w:hAnsi="Arial" w:cs="Arial"/>
          <w:b/>
          <w:sz w:val="24"/>
          <w:szCs w:val="24"/>
        </w:rPr>
        <w:t>Accionados:</w:t>
      </w:r>
      <w:r w:rsidRPr="00E77C3C">
        <w:rPr>
          <w:rFonts w:ascii="Arial" w:hAnsi="Arial" w:cs="Arial"/>
          <w:b/>
          <w:sz w:val="24"/>
          <w:szCs w:val="24"/>
        </w:rPr>
        <w:tab/>
      </w:r>
      <w:r>
        <w:rPr>
          <w:rFonts w:ascii="Arial" w:hAnsi="Arial" w:cs="Arial"/>
          <w:b/>
          <w:sz w:val="24"/>
          <w:szCs w:val="24"/>
        </w:rPr>
        <w:tab/>
      </w:r>
      <w:r>
        <w:rPr>
          <w:rFonts w:ascii="Arial" w:hAnsi="Arial" w:cs="Arial"/>
          <w:b/>
          <w:sz w:val="24"/>
          <w:szCs w:val="24"/>
        </w:rPr>
        <w:tab/>
      </w:r>
      <w:r w:rsidRPr="00E77C3C">
        <w:rPr>
          <w:rFonts w:ascii="Arial" w:hAnsi="Arial" w:cs="Arial"/>
          <w:bCs/>
          <w:sz w:val="24"/>
          <w:szCs w:val="24"/>
        </w:rPr>
        <w:t>Consejo Superior de la Judicatura.</w:t>
      </w:r>
      <w:r w:rsidRPr="00A320DF">
        <w:rPr>
          <w:rFonts w:ascii="Arial" w:hAnsi="Arial" w:cs="Arial"/>
          <w:b/>
          <w:sz w:val="24"/>
          <w:szCs w:val="24"/>
        </w:rPr>
        <w:t xml:space="preserve"> </w:t>
      </w:r>
    </w:p>
    <w:p w14:paraId="5F8DC998" w14:textId="119C90C4" w:rsidR="00A320DF" w:rsidRPr="00E77C3C" w:rsidRDefault="00A320DF" w:rsidP="00A320DF">
      <w:pPr>
        <w:spacing w:line="240" w:lineRule="auto"/>
        <w:ind w:left="1985" w:hanging="1985"/>
        <w:jc w:val="both"/>
        <w:rPr>
          <w:rFonts w:ascii="Arial" w:hAnsi="Arial" w:cs="Arial"/>
          <w:b/>
          <w:sz w:val="24"/>
          <w:szCs w:val="24"/>
        </w:rPr>
      </w:pPr>
      <w:r w:rsidRPr="00E77C3C">
        <w:rPr>
          <w:rFonts w:ascii="Arial" w:hAnsi="Arial" w:cs="Arial"/>
          <w:b/>
          <w:sz w:val="24"/>
          <w:szCs w:val="24"/>
        </w:rPr>
        <w:t xml:space="preserve">Referencia: </w:t>
      </w:r>
      <w:r w:rsidRPr="00E77C3C">
        <w:rPr>
          <w:rFonts w:ascii="Arial" w:hAnsi="Arial" w:cs="Arial"/>
          <w:b/>
          <w:sz w:val="24"/>
          <w:szCs w:val="24"/>
        </w:rPr>
        <w:tab/>
      </w:r>
      <w:r>
        <w:rPr>
          <w:rFonts w:ascii="Arial" w:hAnsi="Arial" w:cs="Arial"/>
          <w:b/>
          <w:sz w:val="24"/>
          <w:szCs w:val="24"/>
        </w:rPr>
        <w:tab/>
      </w:r>
      <w:r>
        <w:rPr>
          <w:rFonts w:ascii="Arial" w:hAnsi="Arial" w:cs="Arial"/>
          <w:b/>
          <w:sz w:val="24"/>
          <w:szCs w:val="24"/>
        </w:rPr>
        <w:tab/>
      </w:r>
      <w:r w:rsidRPr="00E77C3C">
        <w:rPr>
          <w:rFonts w:ascii="Arial" w:hAnsi="Arial" w:cs="Arial"/>
          <w:sz w:val="24"/>
          <w:szCs w:val="24"/>
        </w:rPr>
        <w:t>Acción de tutela.</w:t>
      </w:r>
    </w:p>
    <w:p w14:paraId="0DEF1BE4" w14:textId="77777777" w:rsidR="00A320DF" w:rsidRPr="00E77C3C" w:rsidRDefault="00A320DF" w:rsidP="00A320DF">
      <w:pPr>
        <w:pBdr>
          <w:bottom w:val="single" w:sz="12" w:space="0" w:color="auto"/>
        </w:pBdr>
        <w:spacing w:before="240" w:line="240" w:lineRule="auto"/>
        <w:ind w:left="2829" w:hanging="2829"/>
        <w:jc w:val="both"/>
        <w:rPr>
          <w:rFonts w:ascii="Arial" w:hAnsi="Arial" w:cs="Arial"/>
          <w:b/>
          <w:sz w:val="24"/>
          <w:szCs w:val="24"/>
        </w:rPr>
      </w:pPr>
      <w:r w:rsidRPr="00E77C3C">
        <w:rPr>
          <w:rFonts w:ascii="Arial" w:hAnsi="Arial" w:cs="Arial"/>
          <w:b/>
          <w:sz w:val="24"/>
          <w:szCs w:val="24"/>
        </w:rPr>
        <w:t>AUTO ADMISORIO</w:t>
      </w:r>
    </w:p>
    <w:p w14:paraId="17665F95" w14:textId="47204A07" w:rsidR="005146EB" w:rsidRDefault="005146EB" w:rsidP="00A320DF">
      <w:pPr>
        <w:widowControl w:val="0"/>
        <w:tabs>
          <w:tab w:val="left" w:pos="1985"/>
        </w:tabs>
        <w:spacing w:before="240" w:after="240" w:line="240" w:lineRule="auto"/>
        <w:jc w:val="both"/>
        <w:rPr>
          <w:rFonts w:ascii="Arial" w:eastAsia="Calibri" w:hAnsi="Arial" w:cs="Arial"/>
          <w:bCs/>
          <w:sz w:val="24"/>
          <w:szCs w:val="24"/>
          <w:lang w:eastAsia="es-ES_tradnl"/>
        </w:rPr>
      </w:pPr>
      <w:r w:rsidRPr="005146EB">
        <w:rPr>
          <w:rFonts w:ascii="Arial" w:eastAsia="Calibri" w:hAnsi="Arial" w:cs="Arial"/>
          <w:bCs/>
          <w:sz w:val="24"/>
          <w:szCs w:val="24"/>
          <w:lang w:eastAsia="es-ES_tradnl"/>
        </w:rPr>
        <w:t xml:space="preserve">El </w:t>
      </w:r>
      <w:r>
        <w:rPr>
          <w:rFonts w:ascii="Arial" w:eastAsia="Calibri" w:hAnsi="Arial" w:cs="Arial"/>
          <w:bCs/>
          <w:sz w:val="24"/>
          <w:szCs w:val="24"/>
          <w:lang w:eastAsia="es-ES_tradnl"/>
        </w:rPr>
        <w:t>d</w:t>
      </w:r>
      <w:r w:rsidRPr="005146EB">
        <w:rPr>
          <w:rFonts w:ascii="Arial" w:eastAsia="Calibri" w:hAnsi="Arial" w:cs="Arial"/>
          <w:bCs/>
          <w:sz w:val="24"/>
          <w:szCs w:val="24"/>
          <w:lang w:eastAsia="es-ES_tradnl"/>
        </w:rPr>
        <w:t>espacho decide sobre la admisión de la</w:t>
      </w:r>
      <w:r>
        <w:rPr>
          <w:rFonts w:ascii="Arial" w:eastAsia="Calibri" w:hAnsi="Arial" w:cs="Arial"/>
          <w:bCs/>
          <w:sz w:val="24"/>
          <w:szCs w:val="24"/>
          <w:lang w:eastAsia="es-ES_tradnl"/>
        </w:rPr>
        <w:t xml:space="preserve"> acción de</w:t>
      </w:r>
      <w:r w:rsidRPr="005146EB">
        <w:rPr>
          <w:rFonts w:ascii="Arial" w:eastAsia="Calibri" w:hAnsi="Arial" w:cs="Arial"/>
          <w:bCs/>
          <w:sz w:val="24"/>
          <w:szCs w:val="24"/>
          <w:lang w:eastAsia="es-ES_tradnl"/>
        </w:rPr>
        <w:t xml:space="preserve"> tutela y</w:t>
      </w:r>
      <w:r>
        <w:rPr>
          <w:rFonts w:ascii="Arial" w:eastAsia="Calibri" w:hAnsi="Arial" w:cs="Arial"/>
          <w:bCs/>
          <w:sz w:val="24"/>
          <w:szCs w:val="24"/>
          <w:lang w:eastAsia="es-ES_tradnl"/>
        </w:rPr>
        <w:t xml:space="preserve"> de</w:t>
      </w:r>
      <w:r w:rsidRPr="005146EB">
        <w:rPr>
          <w:rFonts w:ascii="Arial" w:eastAsia="Calibri" w:hAnsi="Arial" w:cs="Arial"/>
          <w:bCs/>
          <w:sz w:val="24"/>
          <w:szCs w:val="24"/>
          <w:lang w:eastAsia="es-ES_tradnl"/>
        </w:rPr>
        <w:t xml:space="preserve"> la solicitud de medida </w:t>
      </w:r>
      <w:r>
        <w:rPr>
          <w:rFonts w:ascii="Arial" w:eastAsia="Calibri" w:hAnsi="Arial" w:cs="Arial"/>
          <w:bCs/>
          <w:sz w:val="24"/>
          <w:szCs w:val="24"/>
          <w:lang w:eastAsia="es-ES_tradnl"/>
        </w:rPr>
        <w:t>provisional, presentadas por Nelson Julián Valencia Zamora.</w:t>
      </w:r>
    </w:p>
    <w:p w14:paraId="3CC4B859" w14:textId="686852EB" w:rsidR="005146EB" w:rsidRPr="005146EB" w:rsidRDefault="005146EB" w:rsidP="005146EB">
      <w:pPr>
        <w:widowControl w:val="0"/>
        <w:tabs>
          <w:tab w:val="left" w:pos="1985"/>
        </w:tabs>
        <w:spacing w:before="240" w:after="240" w:line="240" w:lineRule="auto"/>
        <w:jc w:val="center"/>
        <w:rPr>
          <w:rFonts w:ascii="Arial" w:hAnsi="Arial" w:cs="Arial"/>
          <w:b/>
          <w:sz w:val="24"/>
          <w:szCs w:val="24"/>
        </w:rPr>
      </w:pPr>
      <w:r w:rsidRPr="005146EB">
        <w:rPr>
          <w:rFonts w:ascii="Arial" w:hAnsi="Arial" w:cs="Arial"/>
          <w:b/>
          <w:sz w:val="24"/>
          <w:szCs w:val="24"/>
        </w:rPr>
        <w:t>I. ANTECEDENTES</w:t>
      </w:r>
    </w:p>
    <w:p w14:paraId="4CB6DEF1" w14:textId="1A10FB2B" w:rsidR="005146EB" w:rsidRPr="005146EB" w:rsidRDefault="005146EB" w:rsidP="00A320DF">
      <w:pPr>
        <w:widowControl w:val="0"/>
        <w:tabs>
          <w:tab w:val="left" w:pos="1985"/>
        </w:tabs>
        <w:spacing w:before="240" w:after="240" w:line="240" w:lineRule="auto"/>
        <w:jc w:val="both"/>
        <w:rPr>
          <w:rFonts w:ascii="Arial" w:hAnsi="Arial" w:cs="Arial"/>
          <w:b/>
          <w:sz w:val="24"/>
          <w:szCs w:val="24"/>
        </w:rPr>
      </w:pPr>
      <w:r w:rsidRPr="005146EB">
        <w:rPr>
          <w:rFonts w:ascii="Arial" w:hAnsi="Arial" w:cs="Arial"/>
          <w:b/>
          <w:sz w:val="24"/>
          <w:szCs w:val="24"/>
        </w:rPr>
        <w:t>1.1. Solicitud de tutela</w:t>
      </w:r>
    </w:p>
    <w:p w14:paraId="290DBA6B" w14:textId="58BFC352" w:rsidR="00A320DF" w:rsidRDefault="00A320DF" w:rsidP="00A320DF">
      <w:pPr>
        <w:widowControl w:val="0"/>
        <w:tabs>
          <w:tab w:val="left" w:pos="1985"/>
        </w:tabs>
        <w:spacing w:before="240" w:after="240" w:line="240" w:lineRule="auto"/>
        <w:jc w:val="both"/>
        <w:rPr>
          <w:rFonts w:ascii="Arial" w:hAnsi="Arial" w:cs="Arial"/>
          <w:sz w:val="24"/>
          <w:szCs w:val="24"/>
        </w:rPr>
      </w:pPr>
      <w:r>
        <w:rPr>
          <w:rFonts w:ascii="Arial" w:hAnsi="Arial" w:cs="Arial"/>
          <w:bCs/>
          <w:sz w:val="24"/>
          <w:szCs w:val="24"/>
        </w:rPr>
        <w:t>Nelson Julián Valencia Zamora</w:t>
      </w:r>
      <w:r w:rsidRPr="00E77C3C">
        <w:rPr>
          <w:rFonts w:ascii="Arial" w:hAnsi="Arial" w:cs="Arial"/>
          <w:sz w:val="24"/>
          <w:szCs w:val="24"/>
        </w:rPr>
        <w:t>, actuando en nombre propio</w:t>
      </w:r>
      <w:r>
        <w:rPr>
          <w:rFonts w:ascii="Arial" w:hAnsi="Arial" w:cs="Arial"/>
          <w:sz w:val="24"/>
          <w:szCs w:val="24"/>
        </w:rPr>
        <w:t xml:space="preserve"> y en ejercicio de la acción de tutela, solicitó la protección de sus derechos fundamentales al debido proceso y a la igualdad que consideró vulnerados por el </w:t>
      </w:r>
      <w:r w:rsidRPr="00E77C3C">
        <w:rPr>
          <w:rFonts w:ascii="Arial" w:hAnsi="Arial" w:cs="Arial"/>
          <w:sz w:val="24"/>
          <w:szCs w:val="24"/>
        </w:rPr>
        <w:t xml:space="preserve">Consejo Superior de la Judicatura, </w:t>
      </w:r>
      <w:r w:rsidR="007338A1">
        <w:rPr>
          <w:rFonts w:ascii="Arial" w:hAnsi="Arial" w:cs="Arial"/>
          <w:sz w:val="24"/>
          <w:szCs w:val="24"/>
        </w:rPr>
        <w:t xml:space="preserve">en el marco de </w:t>
      </w:r>
      <w:r>
        <w:rPr>
          <w:rFonts w:ascii="Arial" w:hAnsi="Arial" w:cs="Arial"/>
          <w:sz w:val="24"/>
          <w:szCs w:val="24"/>
        </w:rPr>
        <w:t>la Convocatoria 27</w:t>
      </w:r>
      <w:r w:rsidR="007338A1">
        <w:rPr>
          <w:rFonts w:ascii="Arial" w:hAnsi="Arial" w:cs="Arial"/>
          <w:sz w:val="24"/>
          <w:szCs w:val="24"/>
        </w:rPr>
        <w:t>, para proveer</w:t>
      </w:r>
      <w:r>
        <w:rPr>
          <w:rFonts w:ascii="Arial" w:hAnsi="Arial" w:cs="Arial"/>
          <w:sz w:val="24"/>
          <w:szCs w:val="24"/>
        </w:rPr>
        <w:t xml:space="preserve"> cargos de funcionarios de la Rama Judicial</w:t>
      </w:r>
      <w:r w:rsidR="005851FD">
        <w:rPr>
          <w:rStyle w:val="Refdenotaalpie"/>
          <w:rFonts w:ascii="Arial" w:hAnsi="Arial" w:cs="Arial"/>
          <w:sz w:val="24"/>
          <w:szCs w:val="24"/>
        </w:rPr>
        <w:footnoteReference w:id="1"/>
      </w:r>
      <w:r>
        <w:rPr>
          <w:rFonts w:ascii="Arial" w:hAnsi="Arial" w:cs="Arial"/>
          <w:sz w:val="24"/>
          <w:szCs w:val="24"/>
        </w:rPr>
        <w:t>.</w:t>
      </w:r>
    </w:p>
    <w:p w14:paraId="4FB4F349" w14:textId="5334E6C4" w:rsidR="005146EB" w:rsidRDefault="005146EB" w:rsidP="00A320DF">
      <w:pPr>
        <w:widowControl w:val="0"/>
        <w:tabs>
          <w:tab w:val="left" w:pos="1985"/>
        </w:tabs>
        <w:spacing w:before="240" w:after="240" w:line="240" w:lineRule="auto"/>
        <w:jc w:val="both"/>
        <w:rPr>
          <w:rFonts w:ascii="Arial" w:hAnsi="Arial" w:cs="Arial"/>
          <w:sz w:val="24"/>
          <w:szCs w:val="24"/>
        </w:rPr>
      </w:pPr>
      <w:r>
        <w:rPr>
          <w:rFonts w:ascii="Arial" w:hAnsi="Arial" w:cs="Arial"/>
          <w:sz w:val="24"/>
          <w:szCs w:val="24"/>
        </w:rPr>
        <w:t xml:space="preserve">A juicio del señor Valencia Zamora, la prueba que </w:t>
      </w:r>
      <w:r w:rsidR="00950502">
        <w:rPr>
          <w:rFonts w:ascii="Arial" w:hAnsi="Arial" w:cs="Arial"/>
          <w:sz w:val="24"/>
          <w:szCs w:val="24"/>
        </w:rPr>
        <w:t>se realizó el 24 de julio de 2022 en el marco de dicho proceso de selección, contiene errores y por ese motivo, considera que el juez constitucional debe ordenar al Consejo Superior de la Judicatura, entre otras cosas, que repita la prueba de conocimientos, con el fin de garantizar los derechos invocados.</w:t>
      </w:r>
    </w:p>
    <w:p w14:paraId="0E3853FB" w14:textId="18B0FBFC" w:rsidR="005146EB" w:rsidRPr="005146EB" w:rsidRDefault="005146EB" w:rsidP="00A320DF">
      <w:pPr>
        <w:widowControl w:val="0"/>
        <w:tabs>
          <w:tab w:val="left" w:pos="1985"/>
        </w:tabs>
        <w:spacing w:before="240" w:after="240" w:line="240" w:lineRule="auto"/>
        <w:jc w:val="both"/>
        <w:rPr>
          <w:rFonts w:ascii="Arial" w:hAnsi="Arial" w:cs="Arial"/>
          <w:b/>
          <w:bCs/>
          <w:sz w:val="24"/>
          <w:szCs w:val="24"/>
        </w:rPr>
      </w:pPr>
      <w:r w:rsidRPr="005146EB">
        <w:rPr>
          <w:rFonts w:ascii="Arial" w:hAnsi="Arial" w:cs="Arial"/>
          <w:b/>
          <w:bCs/>
          <w:sz w:val="24"/>
          <w:szCs w:val="24"/>
        </w:rPr>
        <w:t>1.2. Solicitud de medida provisional</w:t>
      </w:r>
    </w:p>
    <w:p w14:paraId="0EB56461" w14:textId="5D32A9B7" w:rsidR="00A320DF" w:rsidRDefault="007338A1" w:rsidP="00A320DF">
      <w:pPr>
        <w:tabs>
          <w:tab w:val="left" w:pos="1985"/>
        </w:tabs>
        <w:spacing w:before="240" w:after="240" w:line="240" w:lineRule="auto"/>
        <w:jc w:val="both"/>
        <w:rPr>
          <w:rFonts w:ascii="Arial" w:hAnsi="Arial" w:cs="Arial"/>
          <w:sz w:val="24"/>
          <w:szCs w:val="24"/>
        </w:rPr>
      </w:pPr>
      <w:r>
        <w:rPr>
          <w:rFonts w:ascii="Arial" w:hAnsi="Arial" w:cs="Arial"/>
          <w:sz w:val="24"/>
          <w:szCs w:val="24"/>
        </w:rPr>
        <w:t>E</w:t>
      </w:r>
      <w:r w:rsidR="00950502">
        <w:rPr>
          <w:rFonts w:ascii="Arial" w:hAnsi="Arial" w:cs="Arial"/>
          <w:sz w:val="24"/>
          <w:szCs w:val="24"/>
        </w:rPr>
        <w:t xml:space="preserve">l señor Valencia Zamora </w:t>
      </w:r>
      <w:r>
        <w:rPr>
          <w:rFonts w:ascii="Arial" w:hAnsi="Arial" w:cs="Arial"/>
          <w:sz w:val="24"/>
          <w:szCs w:val="24"/>
        </w:rPr>
        <w:t xml:space="preserve">solicitó al juez constitucional que, a título de </w:t>
      </w:r>
      <w:r w:rsidRPr="005851FD">
        <w:rPr>
          <w:rFonts w:ascii="Arial" w:hAnsi="Arial" w:cs="Arial"/>
          <w:b/>
          <w:bCs/>
          <w:sz w:val="24"/>
          <w:szCs w:val="24"/>
        </w:rPr>
        <w:t>medida provisional</w:t>
      </w:r>
      <w:r>
        <w:rPr>
          <w:rFonts w:ascii="Arial" w:hAnsi="Arial" w:cs="Arial"/>
          <w:sz w:val="24"/>
          <w:szCs w:val="24"/>
        </w:rPr>
        <w:t>, ordene:</w:t>
      </w:r>
    </w:p>
    <w:p w14:paraId="5FD897FB" w14:textId="7BA5A6AC" w:rsidR="00A320DF" w:rsidRDefault="00A320DF" w:rsidP="007338A1">
      <w:pPr>
        <w:tabs>
          <w:tab w:val="left" w:pos="851"/>
        </w:tabs>
        <w:spacing w:before="240" w:after="240" w:line="240" w:lineRule="auto"/>
        <w:ind w:left="708" w:right="51"/>
        <w:jc w:val="both"/>
        <w:rPr>
          <w:rFonts w:ascii="Arial" w:hAnsi="Arial" w:cs="Arial"/>
        </w:rPr>
      </w:pPr>
      <w:r w:rsidRPr="007338A1">
        <w:rPr>
          <w:rFonts w:ascii="Arial" w:hAnsi="Arial" w:cs="Arial"/>
        </w:rPr>
        <w:t>“</w:t>
      </w:r>
      <w:r w:rsidR="007338A1" w:rsidRPr="007338A1">
        <w:rPr>
          <w:rFonts w:ascii="Arial" w:hAnsi="Arial" w:cs="Arial"/>
        </w:rPr>
        <w:t>(…) hasta tanto no resuelve de forma definitiva la petición de amparo que se demanda en el presente trámite, (…) a la Unidad de Carrera Judicial del Consejo Superior de la Judicatura que suspenda la notificación de la resolución mediante la cual se pública la relación de admitidos de la Convocatoria 27 que se tiene programada para el 8 de febrero de 2023</w:t>
      </w:r>
      <w:r w:rsidRPr="007338A1">
        <w:rPr>
          <w:rFonts w:ascii="Arial" w:hAnsi="Arial" w:cs="Arial"/>
        </w:rPr>
        <w:t>”</w:t>
      </w:r>
      <w:r w:rsidRPr="007338A1">
        <w:rPr>
          <w:rStyle w:val="Refdenotaalpie"/>
          <w:rFonts w:ascii="Arial" w:hAnsi="Arial" w:cs="Arial"/>
        </w:rPr>
        <w:footnoteReference w:id="2"/>
      </w:r>
      <w:r w:rsidRPr="007338A1">
        <w:rPr>
          <w:rFonts w:ascii="Arial" w:hAnsi="Arial" w:cs="Arial"/>
        </w:rPr>
        <w:t>.</w:t>
      </w:r>
    </w:p>
    <w:p w14:paraId="7BFD3E38" w14:textId="23E4BFFC" w:rsidR="00950502" w:rsidRDefault="00950502" w:rsidP="00950502">
      <w:pPr>
        <w:tabs>
          <w:tab w:val="left" w:pos="1985"/>
        </w:tabs>
        <w:spacing w:before="240" w:after="240" w:line="240" w:lineRule="auto"/>
        <w:jc w:val="both"/>
        <w:rPr>
          <w:rFonts w:ascii="Arial" w:hAnsi="Arial" w:cs="Arial"/>
          <w:sz w:val="24"/>
          <w:szCs w:val="24"/>
        </w:rPr>
      </w:pPr>
      <w:r>
        <w:rPr>
          <w:rFonts w:ascii="Arial" w:hAnsi="Arial" w:cs="Arial"/>
          <w:sz w:val="24"/>
          <w:szCs w:val="24"/>
        </w:rPr>
        <w:t xml:space="preserve">Lo anterior, en la medida en que, según afirmó, la prueba que fue realizada el 24 de julio de 2022, contiene errores que genera que las calificaciones y los puntajes asignados no correspondan a la realidad y, por ende, permitan incluir en dicha lista a participantes que no tengan derecho y excluir a otros que si lo tengan. </w:t>
      </w:r>
    </w:p>
    <w:p w14:paraId="1CF8027B" w14:textId="03F4E56F" w:rsidR="00950502" w:rsidRDefault="00950502" w:rsidP="00950502">
      <w:pPr>
        <w:keepNext/>
        <w:widowControl w:val="0"/>
        <w:tabs>
          <w:tab w:val="left" w:pos="851"/>
        </w:tabs>
        <w:spacing w:before="240" w:after="240" w:line="240" w:lineRule="auto"/>
        <w:ind w:right="51"/>
        <w:jc w:val="center"/>
        <w:rPr>
          <w:rFonts w:ascii="Arial" w:hAnsi="Arial" w:cs="Arial"/>
          <w:b/>
          <w:bCs/>
          <w:sz w:val="24"/>
          <w:szCs w:val="24"/>
        </w:rPr>
      </w:pPr>
      <w:r w:rsidRPr="00950502">
        <w:rPr>
          <w:rFonts w:ascii="Arial" w:hAnsi="Arial" w:cs="Arial"/>
          <w:b/>
          <w:bCs/>
          <w:sz w:val="24"/>
          <w:szCs w:val="24"/>
        </w:rPr>
        <w:t>II. CONSIDERACIONES</w:t>
      </w:r>
    </w:p>
    <w:p w14:paraId="3F970153" w14:textId="77777777" w:rsidR="00C70A5F" w:rsidRDefault="00950502" w:rsidP="00C70A5F">
      <w:pPr>
        <w:keepNext/>
        <w:widowControl w:val="0"/>
        <w:tabs>
          <w:tab w:val="left" w:pos="851"/>
        </w:tabs>
        <w:spacing w:before="240" w:after="240" w:line="240" w:lineRule="auto"/>
        <w:ind w:right="51"/>
        <w:jc w:val="both"/>
        <w:rPr>
          <w:rFonts w:ascii="Arial" w:hAnsi="Arial" w:cs="Arial"/>
          <w:b/>
          <w:bCs/>
          <w:sz w:val="24"/>
          <w:szCs w:val="24"/>
        </w:rPr>
      </w:pPr>
      <w:r w:rsidRPr="00950502">
        <w:rPr>
          <w:rFonts w:ascii="Arial" w:hAnsi="Arial" w:cs="Arial"/>
          <w:b/>
          <w:bCs/>
          <w:sz w:val="24"/>
          <w:szCs w:val="24"/>
        </w:rPr>
        <w:t>2.1. Medida provisional</w:t>
      </w:r>
    </w:p>
    <w:p w14:paraId="134B619C" w14:textId="63694287" w:rsidR="00A320DF" w:rsidRPr="00C70A5F" w:rsidRDefault="00C70A5F" w:rsidP="00C70A5F">
      <w:pPr>
        <w:keepNext/>
        <w:widowControl w:val="0"/>
        <w:tabs>
          <w:tab w:val="left" w:pos="851"/>
        </w:tabs>
        <w:spacing w:before="240" w:after="240" w:line="240" w:lineRule="auto"/>
        <w:ind w:right="51"/>
        <w:jc w:val="both"/>
        <w:rPr>
          <w:rFonts w:ascii="Arial" w:hAnsi="Arial" w:cs="Arial"/>
          <w:b/>
          <w:bCs/>
          <w:sz w:val="24"/>
          <w:szCs w:val="24"/>
        </w:rPr>
      </w:pPr>
      <w:r>
        <w:rPr>
          <w:rFonts w:ascii="Arial" w:hAnsi="Arial" w:cs="Arial"/>
          <w:sz w:val="24"/>
          <w:szCs w:val="24"/>
          <w:lang w:val="es-ES_tradnl"/>
        </w:rPr>
        <w:t xml:space="preserve">2.2.1. </w:t>
      </w:r>
      <w:r w:rsidR="00A320DF">
        <w:rPr>
          <w:rFonts w:ascii="Arial" w:hAnsi="Arial" w:cs="Arial"/>
          <w:sz w:val="24"/>
          <w:szCs w:val="24"/>
          <w:lang w:val="es-ES_tradnl"/>
        </w:rPr>
        <w:t>D</w:t>
      </w:r>
      <w:r>
        <w:rPr>
          <w:rFonts w:ascii="Arial" w:hAnsi="Arial" w:cs="Arial"/>
          <w:sz w:val="24"/>
          <w:szCs w:val="24"/>
          <w:lang w:val="es-ES_tradnl"/>
        </w:rPr>
        <w:t>e acuerdo con el artículo 7 del D</w:t>
      </w:r>
      <w:r w:rsidR="00A320DF">
        <w:rPr>
          <w:rFonts w:ascii="Arial" w:hAnsi="Arial" w:cs="Arial"/>
          <w:sz w:val="24"/>
          <w:szCs w:val="24"/>
          <w:lang w:val="es-ES_tradnl"/>
        </w:rPr>
        <w:t xml:space="preserve">ecreto 2591 de 1991, </w:t>
      </w:r>
      <w:r w:rsidR="00A320DF">
        <w:rPr>
          <w:rFonts w:ascii="Arial" w:hAnsi="Arial" w:cs="Arial"/>
          <w:sz w:val="24"/>
          <w:szCs w:val="24"/>
          <w:lang w:val="es-ES"/>
        </w:rPr>
        <w:t xml:space="preserve">reglamentario de la acción de tutela, el juez constitucional, cuando lo considere necesario y urgente, puede suspender la aplicación del acto concreto que amenace o vulnere el derecho. También </w:t>
      </w:r>
      <w:r w:rsidR="005851FD">
        <w:rPr>
          <w:rFonts w:ascii="Arial" w:hAnsi="Arial" w:cs="Arial"/>
          <w:sz w:val="24"/>
          <w:szCs w:val="24"/>
          <w:lang w:val="es-ES"/>
        </w:rPr>
        <w:t>dispone</w:t>
      </w:r>
      <w:r w:rsidR="00A320DF">
        <w:rPr>
          <w:rFonts w:ascii="Arial" w:hAnsi="Arial" w:cs="Arial"/>
          <w:sz w:val="24"/>
          <w:szCs w:val="24"/>
          <w:lang w:val="es-ES"/>
        </w:rPr>
        <w:t xml:space="preserve"> que, de oficio o a petición de parte, puede </w:t>
      </w:r>
      <w:r w:rsidR="005851FD">
        <w:rPr>
          <w:rFonts w:ascii="Arial" w:hAnsi="Arial" w:cs="Arial"/>
          <w:sz w:val="24"/>
          <w:szCs w:val="24"/>
          <w:lang w:val="es-ES"/>
        </w:rPr>
        <w:t>ordenar</w:t>
      </w:r>
      <w:r w:rsidR="00A320DF">
        <w:rPr>
          <w:rFonts w:ascii="Arial" w:hAnsi="Arial" w:cs="Arial"/>
          <w:sz w:val="24"/>
          <w:szCs w:val="24"/>
          <w:lang w:val="es-ES"/>
        </w:rPr>
        <w:t xml:space="preserve"> la ejecución o </w:t>
      </w:r>
      <w:r w:rsidR="00A320DF">
        <w:rPr>
          <w:rFonts w:ascii="Arial" w:hAnsi="Arial" w:cs="Arial"/>
          <w:sz w:val="24"/>
          <w:szCs w:val="24"/>
          <w:lang w:val="es-ES"/>
        </w:rPr>
        <w:lastRenderedPageBreak/>
        <w:t>la continuidad de la ejecución</w:t>
      </w:r>
      <w:r w:rsidR="005851FD">
        <w:rPr>
          <w:rFonts w:ascii="Arial" w:hAnsi="Arial" w:cs="Arial"/>
          <w:sz w:val="24"/>
          <w:szCs w:val="24"/>
          <w:lang w:val="es-ES"/>
        </w:rPr>
        <w:t>,</w:t>
      </w:r>
      <w:r w:rsidR="00A320DF">
        <w:rPr>
          <w:rFonts w:ascii="Arial" w:hAnsi="Arial" w:cs="Arial"/>
          <w:sz w:val="24"/>
          <w:szCs w:val="24"/>
          <w:lang w:val="es-ES"/>
        </w:rPr>
        <w:t xml:space="preserve"> para evitar perjuicios ciertos e inminentes al interés público o dictar cualquier medida de conservación o seguridad encaminada a proteger el derecho o a evitar que se produzcan otros daños. </w:t>
      </w:r>
    </w:p>
    <w:p w14:paraId="4DEC66F4" w14:textId="69716A03" w:rsidR="00A320DF" w:rsidRPr="0050229B" w:rsidRDefault="005851FD" w:rsidP="00A320DF">
      <w:pPr>
        <w:tabs>
          <w:tab w:val="left" w:pos="1985"/>
        </w:tabs>
        <w:spacing w:before="240" w:after="240" w:line="240" w:lineRule="auto"/>
        <w:jc w:val="both"/>
        <w:rPr>
          <w:rFonts w:ascii="Arial" w:hAnsi="Arial" w:cs="Arial"/>
          <w:sz w:val="24"/>
          <w:szCs w:val="24"/>
          <w:lang w:val="es-ES"/>
        </w:rPr>
      </w:pPr>
      <w:r>
        <w:rPr>
          <w:rFonts w:ascii="Arial" w:hAnsi="Arial" w:cs="Arial"/>
          <w:sz w:val="24"/>
          <w:szCs w:val="24"/>
          <w:lang w:val="es-ES"/>
        </w:rPr>
        <w:t>Con respecto a lo anterior, l</w:t>
      </w:r>
      <w:r w:rsidR="00A320DF">
        <w:rPr>
          <w:rFonts w:ascii="Arial" w:hAnsi="Arial" w:cs="Arial"/>
          <w:sz w:val="24"/>
          <w:szCs w:val="24"/>
          <w:lang w:val="es-ES"/>
        </w:rPr>
        <w:t xml:space="preserve">a Corte Constitucional ha considerado que las medidas provisionales tienen como finalidad: i) la protección de los demandantes con el fin de impedir que un eventual amparo se torne ilusorio; </w:t>
      </w:r>
      <w:proofErr w:type="spellStart"/>
      <w:r w:rsidR="00A320DF">
        <w:rPr>
          <w:rFonts w:ascii="Arial" w:hAnsi="Arial" w:cs="Arial"/>
          <w:sz w:val="24"/>
          <w:szCs w:val="24"/>
          <w:lang w:val="es-ES"/>
        </w:rPr>
        <w:t>ii</w:t>
      </w:r>
      <w:proofErr w:type="spellEnd"/>
      <w:r w:rsidR="00A320DF">
        <w:rPr>
          <w:rFonts w:ascii="Arial" w:hAnsi="Arial" w:cs="Arial"/>
          <w:sz w:val="24"/>
          <w:szCs w:val="24"/>
          <w:lang w:val="es-ES"/>
        </w:rPr>
        <w:t xml:space="preserve">) salvaguardar los derechos fundamentales que se encuentran en discusión o en amenaza de vulneración; y </w:t>
      </w:r>
      <w:proofErr w:type="spellStart"/>
      <w:r w:rsidR="00A320DF">
        <w:rPr>
          <w:rFonts w:ascii="Arial" w:hAnsi="Arial" w:cs="Arial"/>
          <w:sz w:val="24"/>
          <w:szCs w:val="24"/>
          <w:lang w:val="es-ES"/>
        </w:rPr>
        <w:t>iii</w:t>
      </w:r>
      <w:proofErr w:type="spellEnd"/>
      <w:r w:rsidR="00A320DF">
        <w:rPr>
          <w:rFonts w:ascii="Arial" w:hAnsi="Arial" w:cs="Arial"/>
          <w:sz w:val="24"/>
          <w:szCs w:val="24"/>
          <w:lang w:val="es-ES"/>
        </w:rPr>
        <w:t>) evitar que se produzcan otros daños como consecuencia de los hechos objeto de análisis en el proceso, perjuicios que no se circunscriben a los que pueda sufrir el demandante. En esta medida, la jurisprudencia constitucional ha definido que las medidas provisionales deben cumplir con tres exigencias</w:t>
      </w:r>
      <w:r w:rsidR="00A320DF">
        <w:rPr>
          <w:rStyle w:val="Refdenotaalpie"/>
          <w:rFonts w:ascii="Arial" w:hAnsi="Arial" w:cs="Arial"/>
          <w:sz w:val="24"/>
          <w:szCs w:val="24"/>
          <w:lang w:val="es-ES"/>
        </w:rPr>
        <w:footnoteReference w:id="3"/>
      </w:r>
      <w:r w:rsidR="00A320DF">
        <w:rPr>
          <w:rFonts w:ascii="Arial" w:hAnsi="Arial" w:cs="Arial"/>
          <w:sz w:val="24"/>
          <w:szCs w:val="24"/>
          <w:lang w:val="es-ES"/>
        </w:rPr>
        <w:t>, a saber: (i) “</w:t>
      </w:r>
      <w:r w:rsidR="00A320DF" w:rsidRPr="0050229B">
        <w:rPr>
          <w:rFonts w:ascii="Arial" w:hAnsi="Arial" w:cs="Arial"/>
          <w:sz w:val="24"/>
          <w:szCs w:val="24"/>
        </w:rPr>
        <w:t>vocación de viabilidad por estar respaldada en fundamentos fácticos y jurídicos razonables</w:t>
      </w:r>
      <w:r w:rsidR="00A320DF">
        <w:rPr>
          <w:rFonts w:ascii="Arial" w:hAnsi="Arial" w:cs="Arial"/>
          <w:sz w:val="24"/>
          <w:szCs w:val="24"/>
        </w:rPr>
        <w:t>”</w:t>
      </w:r>
      <w:r w:rsidR="00A320DF">
        <w:rPr>
          <w:rStyle w:val="Refdenotaalpie"/>
          <w:rFonts w:ascii="Arial" w:hAnsi="Arial" w:cs="Arial"/>
          <w:sz w:val="24"/>
          <w:szCs w:val="24"/>
        </w:rPr>
        <w:footnoteReference w:id="4"/>
      </w:r>
      <w:r w:rsidR="00A320DF">
        <w:rPr>
          <w:rFonts w:ascii="Arial" w:hAnsi="Arial" w:cs="Arial"/>
          <w:sz w:val="24"/>
          <w:szCs w:val="24"/>
          <w:lang w:val="es-ES"/>
        </w:rPr>
        <w:t xml:space="preserve">, para que “el juez pueda inferir, al menos, </w:t>
      </w:r>
      <w:r w:rsidR="00A320DF">
        <w:rPr>
          <w:rFonts w:ascii="Arial" w:hAnsi="Arial" w:cs="Arial"/>
          <w:i/>
          <w:iCs/>
          <w:sz w:val="24"/>
          <w:szCs w:val="24"/>
          <w:lang w:val="es-ES"/>
        </w:rPr>
        <w:t>prima facie</w:t>
      </w:r>
      <w:r w:rsidR="00A320DF">
        <w:rPr>
          <w:rFonts w:ascii="Arial" w:hAnsi="Arial" w:cs="Arial"/>
          <w:sz w:val="24"/>
          <w:szCs w:val="24"/>
          <w:lang w:val="es-ES"/>
        </w:rPr>
        <w:t>, algún grado de afectación del derecho”</w:t>
      </w:r>
      <w:r w:rsidR="00A320DF">
        <w:rPr>
          <w:rStyle w:val="Refdenotaalpie"/>
          <w:rFonts w:ascii="Arial" w:hAnsi="Arial" w:cs="Arial"/>
          <w:sz w:val="24"/>
          <w:szCs w:val="24"/>
          <w:lang w:val="es-ES"/>
        </w:rPr>
        <w:footnoteReference w:id="5"/>
      </w:r>
      <w:r w:rsidR="00A320DF">
        <w:rPr>
          <w:rFonts w:ascii="Arial" w:hAnsi="Arial" w:cs="Arial"/>
          <w:sz w:val="24"/>
          <w:szCs w:val="24"/>
          <w:lang w:val="es-ES"/>
        </w:rPr>
        <w:t>; (</w:t>
      </w:r>
      <w:proofErr w:type="spellStart"/>
      <w:r w:rsidR="00A320DF">
        <w:rPr>
          <w:rFonts w:ascii="Arial" w:hAnsi="Arial" w:cs="Arial"/>
          <w:sz w:val="24"/>
          <w:szCs w:val="24"/>
          <w:lang w:val="es-ES"/>
        </w:rPr>
        <w:t>ii</w:t>
      </w:r>
      <w:proofErr w:type="spellEnd"/>
      <w:r w:rsidR="00A320DF">
        <w:rPr>
          <w:rFonts w:ascii="Arial" w:hAnsi="Arial" w:cs="Arial"/>
          <w:sz w:val="24"/>
          <w:szCs w:val="24"/>
          <w:lang w:val="es-ES"/>
        </w:rPr>
        <w:t>) “</w:t>
      </w:r>
      <w:r w:rsidR="00A320DF" w:rsidRPr="0050229B">
        <w:rPr>
          <w:rFonts w:ascii="Arial" w:hAnsi="Arial" w:cs="Arial"/>
          <w:sz w:val="24"/>
          <w:szCs w:val="24"/>
        </w:rPr>
        <w:t>que exista un rie</w:t>
      </w:r>
      <w:r w:rsidR="00A320DF">
        <w:rPr>
          <w:rFonts w:ascii="Arial" w:hAnsi="Arial" w:cs="Arial"/>
          <w:sz w:val="24"/>
          <w:szCs w:val="24"/>
        </w:rPr>
        <w:t>s</w:t>
      </w:r>
      <w:r w:rsidR="00A320DF" w:rsidRPr="0050229B">
        <w:rPr>
          <w:rFonts w:ascii="Arial" w:hAnsi="Arial" w:cs="Arial"/>
          <w:sz w:val="24"/>
          <w:szCs w:val="24"/>
        </w:rPr>
        <w:t>go de afectación por la demora en el tiempo</w:t>
      </w:r>
      <w:r w:rsidR="00A320DF">
        <w:rPr>
          <w:rFonts w:ascii="Arial" w:hAnsi="Arial" w:cs="Arial"/>
          <w:sz w:val="24"/>
          <w:szCs w:val="24"/>
        </w:rPr>
        <w:t>”</w:t>
      </w:r>
      <w:r w:rsidR="00A320DF">
        <w:rPr>
          <w:rStyle w:val="Refdenotaalpie"/>
          <w:rFonts w:ascii="Arial" w:hAnsi="Arial" w:cs="Arial"/>
          <w:sz w:val="24"/>
          <w:szCs w:val="24"/>
        </w:rPr>
        <w:footnoteReference w:id="6"/>
      </w:r>
      <w:r w:rsidR="00A320DF">
        <w:rPr>
          <w:rFonts w:ascii="Arial" w:hAnsi="Arial" w:cs="Arial"/>
          <w:sz w:val="24"/>
          <w:szCs w:val="24"/>
        </w:rPr>
        <w:t>; y (</w:t>
      </w:r>
      <w:proofErr w:type="spellStart"/>
      <w:r w:rsidR="00A320DF">
        <w:rPr>
          <w:rFonts w:ascii="Arial" w:hAnsi="Arial" w:cs="Arial"/>
          <w:sz w:val="24"/>
          <w:szCs w:val="24"/>
        </w:rPr>
        <w:t>iii</w:t>
      </w:r>
      <w:proofErr w:type="spellEnd"/>
      <w:r w:rsidR="00A320DF">
        <w:rPr>
          <w:rFonts w:ascii="Arial" w:hAnsi="Arial" w:cs="Arial"/>
          <w:sz w:val="24"/>
          <w:szCs w:val="24"/>
        </w:rPr>
        <w:t>) “q</w:t>
      </w:r>
      <w:r w:rsidR="00A320DF" w:rsidRPr="0050229B">
        <w:rPr>
          <w:rFonts w:ascii="Arial" w:hAnsi="Arial" w:cs="Arial"/>
          <w:sz w:val="24"/>
          <w:szCs w:val="24"/>
        </w:rPr>
        <w:t>ue la medida provisional no genere un daño desproporcionado a quien afecta directamente</w:t>
      </w:r>
      <w:r w:rsidR="00A320DF">
        <w:rPr>
          <w:rFonts w:ascii="Arial" w:hAnsi="Arial" w:cs="Arial"/>
          <w:sz w:val="24"/>
          <w:szCs w:val="24"/>
        </w:rPr>
        <w:t>”</w:t>
      </w:r>
      <w:r w:rsidR="00A320DF">
        <w:rPr>
          <w:rStyle w:val="Refdenotaalpie"/>
          <w:rFonts w:ascii="Arial" w:hAnsi="Arial" w:cs="Arial"/>
          <w:sz w:val="24"/>
          <w:szCs w:val="24"/>
        </w:rPr>
        <w:footnoteReference w:id="7"/>
      </w:r>
      <w:r w:rsidR="00A320DF">
        <w:rPr>
          <w:rFonts w:ascii="Arial" w:hAnsi="Arial" w:cs="Arial"/>
          <w:sz w:val="24"/>
          <w:szCs w:val="24"/>
        </w:rPr>
        <w:t>.</w:t>
      </w:r>
    </w:p>
    <w:p w14:paraId="535FF73A" w14:textId="2B36CD6F" w:rsidR="005851FD" w:rsidRDefault="00C70A5F" w:rsidP="00A320DF">
      <w:pPr>
        <w:tabs>
          <w:tab w:val="left" w:pos="1985"/>
        </w:tabs>
        <w:spacing w:before="240" w:after="240" w:line="240" w:lineRule="auto"/>
        <w:jc w:val="both"/>
        <w:rPr>
          <w:rFonts w:ascii="Arial" w:hAnsi="Arial" w:cs="Arial"/>
          <w:sz w:val="24"/>
          <w:szCs w:val="24"/>
        </w:rPr>
      </w:pPr>
      <w:r>
        <w:rPr>
          <w:rFonts w:ascii="Arial" w:hAnsi="Arial" w:cs="Arial"/>
          <w:sz w:val="24"/>
          <w:szCs w:val="24"/>
        </w:rPr>
        <w:t xml:space="preserve">2.2.2. </w:t>
      </w:r>
      <w:r w:rsidR="00A320DF">
        <w:rPr>
          <w:rFonts w:ascii="Arial" w:hAnsi="Arial" w:cs="Arial"/>
          <w:sz w:val="24"/>
          <w:szCs w:val="24"/>
        </w:rPr>
        <w:t xml:space="preserve">En el caso concreto, </w:t>
      </w:r>
      <w:r w:rsidR="005851FD">
        <w:rPr>
          <w:rFonts w:ascii="Arial" w:hAnsi="Arial" w:cs="Arial"/>
          <w:sz w:val="24"/>
          <w:szCs w:val="24"/>
        </w:rPr>
        <w:t xml:space="preserve">el señor Valencia Zamora solicitó, como medida provisional, la suspensión de la notificación de la resolución en la que se publicará la lista de admitidos que, de acuerdo con el cronograma de la Convocatoria 27, será expedida el 8 y notificada el 9 de febrero del año en curso. </w:t>
      </w:r>
    </w:p>
    <w:p w14:paraId="73CC840C" w14:textId="1ED97C36" w:rsidR="00DA5949" w:rsidRDefault="005146EB" w:rsidP="00A320DF">
      <w:pPr>
        <w:tabs>
          <w:tab w:val="left" w:pos="1985"/>
        </w:tabs>
        <w:spacing w:before="240" w:after="240" w:line="240" w:lineRule="auto"/>
        <w:jc w:val="both"/>
        <w:rPr>
          <w:rFonts w:ascii="Arial" w:hAnsi="Arial" w:cs="Arial"/>
          <w:sz w:val="24"/>
          <w:szCs w:val="24"/>
        </w:rPr>
      </w:pPr>
      <w:r>
        <w:rPr>
          <w:rFonts w:ascii="Arial" w:hAnsi="Arial" w:cs="Arial"/>
          <w:sz w:val="24"/>
          <w:szCs w:val="24"/>
        </w:rPr>
        <w:t>Frente a lo anterior</w:t>
      </w:r>
      <w:r w:rsidR="00A320DF">
        <w:rPr>
          <w:rFonts w:ascii="Arial" w:hAnsi="Arial" w:cs="Arial"/>
          <w:sz w:val="24"/>
          <w:szCs w:val="24"/>
        </w:rPr>
        <w:t xml:space="preserve">, el </w:t>
      </w:r>
      <w:r>
        <w:rPr>
          <w:rFonts w:ascii="Arial" w:hAnsi="Arial" w:cs="Arial"/>
          <w:sz w:val="24"/>
          <w:szCs w:val="24"/>
        </w:rPr>
        <w:t>d</w:t>
      </w:r>
      <w:r w:rsidR="00A320DF">
        <w:rPr>
          <w:rFonts w:ascii="Arial" w:hAnsi="Arial" w:cs="Arial"/>
          <w:sz w:val="24"/>
          <w:szCs w:val="24"/>
        </w:rPr>
        <w:t>espacho encuentra que la petición no cumple con las tres exigencias</w:t>
      </w:r>
      <w:r>
        <w:rPr>
          <w:rFonts w:ascii="Arial" w:hAnsi="Arial" w:cs="Arial"/>
          <w:sz w:val="24"/>
          <w:szCs w:val="24"/>
        </w:rPr>
        <w:t xml:space="preserve"> antes</w:t>
      </w:r>
      <w:r w:rsidR="00A320DF">
        <w:rPr>
          <w:rFonts w:ascii="Arial" w:hAnsi="Arial" w:cs="Arial"/>
          <w:sz w:val="24"/>
          <w:szCs w:val="24"/>
        </w:rPr>
        <w:t xml:space="preserve"> mencionadas,</w:t>
      </w:r>
      <w:r>
        <w:rPr>
          <w:rFonts w:ascii="Arial" w:hAnsi="Arial" w:cs="Arial"/>
          <w:sz w:val="24"/>
          <w:szCs w:val="24"/>
        </w:rPr>
        <w:t xml:space="preserve"> pues el señor Valencia Zamora</w:t>
      </w:r>
      <w:r w:rsidR="00A320DF">
        <w:rPr>
          <w:rFonts w:ascii="Arial" w:hAnsi="Arial" w:cs="Arial"/>
          <w:sz w:val="24"/>
          <w:szCs w:val="24"/>
        </w:rPr>
        <w:t xml:space="preserve"> no </w:t>
      </w:r>
      <w:r w:rsidR="00C62E57">
        <w:rPr>
          <w:rFonts w:ascii="Arial" w:hAnsi="Arial" w:cs="Arial"/>
          <w:sz w:val="24"/>
          <w:szCs w:val="24"/>
        </w:rPr>
        <w:t>formuló</w:t>
      </w:r>
      <w:r w:rsidR="00A320DF">
        <w:rPr>
          <w:rFonts w:ascii="Arial" w:hAnsi="Arial" w:cs="Arial"/>
          <w:sz w:val="24"/>
          <w:szCs w:val="24"/>
        </w:rPr>
        <w:t xml:space="preserve"> </w:t>
      </w:r>
      <w:r w:rsidR="00C62E57">
        <w:rPr>
          <w:rFonts w:ascii="Arial" w:hAnsi="Arial" w:cs="Arial"/>
          <w:sz w:val="24"/>
          <w:szCs w:val="24"/>
        </w:rPr>
        <w:t>argumentos</w:t>
      </w:r>
      <w:r w:rsidR="00A320DF">
        <w:rPr>
          <w:rFonts w:ascii="Arial" w:hAnsi="Arial" w:cs="Arial"/>
          <w:sz w:val="24"/>
          <w:szCs w:val="24"/>
        </w:rPr>
        <w:t xml:space="preserve"> fácticos</w:t>
      </w:r>
      <w:r>
        <w:rPr>
          <w:rFonts w:ascii="Arial" w:hAnsi="Arial" w:cs="Arial"/>
          <w:sz w:val="24"/>
          <w:szCs w:val="24"/>
        </w:rPr>
        <w:t xml:space="preserve"> y jurídicos</w:t>
      </w:r>
      <w:r w:rsidR="00A320DF">
        <w:rPr>
          <w:rFonts w:ascii="Arial" w:hAnsi="Arial" w:cs="Arial"/>
          <w:sz w:val="24"/>
          <w:szCs w:val="24"/>
        </w:rPr>
        <w:t xml:space="preserve"> a partir de los </w:t>
      </w:r>
      <w:r w:rsidR="00C62E57">
        <w:rPr>
          <w:rFonts w:ascii="Arial" w:hAnsi="Arial" w:cs="Arial"/>
          <w:sz w:val="24"/>
          <w:szCs w:val="24"/>
        </w:rPr>
        <w:t>que</w:t>
      </w:r>
      <w:r w:rsidR="00A320DF">
        <w:rPr>
          <w:rFonts w:ascii="Arial" w:hAnsi="Arial" w:cs="Arial"/>
          <w:sz w:val="24"/>
          <w:szCs w:val="24"/>
        </w:rPr>
        <w:t xml:space="preserve"> se pueda inferir el grado de afectación </w:t>
      </w:r>
      <w:r w:rsidR="00C70A5F">
        <w:rPr>
          <w:rFonts w:ascii="Arial" w:hAnsi="Arial" w:cs="Arial"/>
          <w:sz w:val="24"/>
          <w:szCs w:val="24"/>
        </w:rPr>
        <w:t>de</w:t>
      </w:r>
      <w:r w:rsidR="00A320DF">
        <w:rPr>
          <w:rFonts w:ascii="Arial" w:hAnsi="Arial" w:cs="Arial"/>
          <w:sz w:val="24"/>
          <w:szCs w:val="24"/>
        </w:rPr>
        <w:t xml:space="preserve"> </w:t>
      </w:r>
      <w:r w:rsidR="00C70A5F">
        <w:rPr>
          <w:rFonts w:ascii="Arial" w:hAnsi="Arial" w:cs="Arial"/>
          <w:sz w:val="24"/>
          <w:szCs w:val="24"/>
        </w:rPr>
        <w:t xml:space="preserve">los </w:t>
      </w:r>
      <w:r w:rsidR="00A320DF">
        <w:rPr>
          <w:rFonts w:ascii="Arial" w:hAnsi="Arial" w:cs="Arial"/>
          <w:sz w:val="24"/>
          <w:szCs w:val="24"/>
        </w:rPr>
        <w:t>derecho</w:t>
      </w:r>
      <w:r w:rsidR="00C70A5F">
        <w:rPr>
          <w:rFonts w:ascii="Arial" w:hAnsi="Arial" w:cs="Arial"/>
          <w:sz w:val="24"/>
          <w:szCs w:val="24"/>
        </w:rPr>
        <w:t>s que invocó</w:t>
      </w:r>
      <w:r w:rsidR="00C62E57">
        <w:rPr>
          <w:rFonts w:ascii="Arial" w:hAnsi="Arial" w:cs="Arial"/>
          <w:sz w:val="24"/>
          <w:szCs w:val="24"/>
        </w:rPr>
        <w:t>. Esto es así, en la medida en que</w:t>
      </w:r>
      <w:r w:rsidR="00A320DF">
        <w:rPr>
          <w:rFonts w:ascii="Arial" w:hAnsi="Arial" w:cs="Arial"/>
          <w:sz w:val="24"/>
          <w:szCs w:val="24"/>
        </w:rPr>
        <w:t xml:space="preserve"> </w:t>
      </w:r>
      <w:r>
        <w:rPr>
          <w:rFonts w:ascii="Arial" w:hAnsi="Arial" w:cs="Arial"/>
          <w:sz w:val="24"/>
          <w:szCs w:val="24"/>
        </w:rPr>
        <w:t xml:space="preserve">no expuso </w:t>
      </w:r>
      <w:r w:rsidR="00C70A5F" w:rsidRPr="00C62E57">
        <w:rPr>
          <w:rFonts w:ascii="Arial" w:hAnsi="Arial" w:cs="Arial"/>
          <w:sz w:val="24"/>
          <w:szCs w:val="24"/>
        </w:rPr>
        <w:t>fundamento</w:t>
      </w:r>
      <w:r>
        <w:rPr>
          <w:rFonts w:ascii="Arial" w:hAnsi="Arial" w:cs="Arial"/>
          <w:sz w:val="24"/>
          <w:szCs w:val="24"/>
        </w:rPr>
        <w:t xml:space="preserve"> alguno que demuestre que la prueba realizada el 24 de julio de 2022, en el marco de la Convocatoria 27, presentó</w:t>
      </w:r>
      <w:r w:rsidR="00C70A5F">
        <w:rPr>
          <w:rFonts w:ascii="Arial" w:hAnsi="Arial" w:cs="Arial"/>
          <w:sz w:val="24"/>
          <w:szCs w:val="24"/>
        </w:rPr>
        <w:t xml:space="preserve"> “nuevamente”</w:t>
      </w:r>
      <w:r w:rsidR="00C62E57">
        <w:rPr>
          <w:rFonts w:ascii="Arial" w:hAnsi="Arial" w:cs="Arial"/>
          <w:sz w:val="24"/>
          <w:szCs w:val="24"/>
        </w:rPr>
        <w:t xml:space="preserve"> </w:t>
      </w:r>
      <w:r>
        <w:rPr>
          <w:rFonts w:ascii="Arial" w:hAnsi="Arial" w:cs="Arial"/>
          <w:sz w:val="24"/>
          <w:szCs w:val="24"/>
        </w:rPr>
        <w:t>errores que</w:t>
      </w:r>
      <w:r w:rsidR="00C62E57">
        <w:rPr>
          <w:rFonts w:ascii="Arial" w:hAnsi="Arial" w:cs="Arial"/>
          <w:sz w:val="24"/>
          <w:szCs w:val="24"/>
        </w:rPr>
        <w:t xml:space="preserve"> hayan generado</w:t>
      </w:r>
      <w:r>
        <w:rPr>
          <w:rFonts w:ascii="Arial" w:hAnsi="Arial" w:cs="Arial"/>
          <w:sz w:val="24"/>
          <w:szCs w:val="24"/>
        </w:rPr>
        <w:t xml:space="preserve"> que las calificaciones</w:t>
      </w:r>
      <w:r w:rsidR="00C62E57">
        <w:rPr>
          <w:rFonts w:ascii="Arial" w:hAnsi="Arial" w:cs="Arial"/>
          <w:sz w:val="24"/>
          <w:szCs w:val="24"/>
        </w:rPr>
        <w:t xml:space="preserve"> y puntajes asignados</w:t>
      </w:r>
      <w:r>
        <w:rPr>
          <w:rFonts w:ascii="Arial" w:hAnsi="Arial" w:cs="Arial"/>
          <w:sz w:val="24"/>
          <w:szCs w:val="24"/>
        </w:rPr>
        <w:t xml:space="preserve"> no obedezcan a la realidad y permitan incluir en dicha lista, a participantes que no tengan derecho</w:t>
      </w:r>
      <w:r w:rsidR="00C62E57">
        <w:rPr>
          <w:rFonts w:ascii="Arial" w:hAnsi="Arial" w:cs="Arial"/>
          <w:sz w:val="24"/>
          <w:szCs w:val="24"/>
        </w:rPr>
        <w:t>,</w:t>
      </w:r>
      <w:r>
        <w:rPr>
          <w:rFonts w:ascii="Arial" w:hAnsi="Arial" w:cs="Arial"/>
          <w:sz w:val="24"/>
          <w:szCs w:val="24"/>
        </w:rPr>
        <w:t xml:space="preserve"> y </w:t>
      </w:r>
      <w:r w:rsidR="005A4B5E">
        <w:rPr>
          <w:rFonts w:ascii="Arial" w:hAnsi="Arial" w:cs="Arial"/>
          <w:sz w:val="24"/>
          <w:szCs w:val="24"/>
        </w:rPr>
        <w:t xml:space="preserve">a </w:t>
      </w:r>
      <w:r>
        <w:rPr>
          <w:rFonts w:ascii="Arial" w:hAnsi="Arial" w:cs="Arial"/>
          <w:sz w:val="24"/>
          <w:szCs w:val="24"/>
        </w:rPr>
        <w:t>excluir a otros que si</w:t>
      </w:r>
      <w:r w:rsidR="00C70A5F">
        <w:rPr>
          <w:rFonts w:ascii="Arial" w:hAnsi="Arial" w:cs="Arial"/>
          <w:sz w:val="24"/>
          <w:szCs w:val="24"/>
        </w:rPr>
        <w:t xml:space="preserve"> lo</w:t>
      </w:r>
      <w:r>
        <w:rPr>
          <w:rFonts w:ascii="Arial" w:hAnsi="Arial" w:cs="Arial"/>
          <w:sz w:val="24"/>
          <w:szCs w:val="24"/>
        </w:rPr>
        <w:t xml:space="preserve"> tengan.</w:t>
      </w:r>
      <w:r w:rsidR="00C70A5F">
        <w:rPr>
          <w:rFonts w:ascii="Arial" w:hAnsi="Arial" w:cs="Arial"/>
          <w:sz w:val="24"/>
          <w:szCs w:val="24"/>
        </w:rPr>
        <w:t xml:space="preserve"> </w:t>
      </w:r>
    </w:p>
    <w:p w14:paraId="115CA283" w14:textId="1795FBCD" w:rsidR="005146EB" w:rsidRDefault="00C70A5F" w:rsidP="00DA5949">
      <w:pPr>
        <w:tabs>
          <w:tab w:val="left" w:pos="1985"/>
        </w:tabs>
        <w:spacing w:before="240" w:after="240" w:line="240" w:lineRule="auto"/>
        <w:jc w:val="both"/>
        <w:rPr>
          <w:rFonts w:ascii="Arial" w:hAnsi="Arial" w:cs="Arial"/>
          <w:sz w:val="24"/>
          <w:szCs w:val="24"/>
        </w:rPr>
      </w:pPr>
      <w:r>
        <w:rPr>
          <w:rFonts w:ascii="Arial" w:hAnsi="Arial" w:cs="Arial"/>
          <w:sz w:val="24"/>
          <w:szCs w:val="24"/>
        </w:rPr>
        <w:t xml:space="preserve">Por el contrario, su solicitud está basada en afirmaciones sin sustento, y </w:t>
      </w:r>
      <w:r w:rsidR="00DA5949">
        <w:rPr>
          <w:rFonts w:ascii="Arial" w:hAnsi="Arial" w:cs="Arial"/>
          <w:sz w:val="24"/>
          <w:szCs w:val="24"/>
        </w:rPr>
        <w:t>también e</w:t>
      </w:r>
      <w:r>
        <w:rPr>
          <w:rFonts w:ascii="Arial" w:hAnsi="Arial" w:cs="Arial"/>
          <w:sz w:val="24"/>
          <w:szCs w:val="24"/>
        </w:rPr>
        <w:t>n la creencia de que</w:t>
      </w:r>
      <w:r w:rsidR="00DA5949" w:rsidRPr="00DA5949">
        <w:rPr>
          <w:rFonts w:ascii="Arial" w:hAnsi="Arial" w:cs="Arial"/>
          <w:sz w:val="24"/>
          <w:szCs w:val="24"/>
        </w:rPr>
        <w:t xml:space="preserve"> </w:t>
      </w:r>
      <w:r w:rsidR="00DA5949">
        <w:rPr>
          <w:rFonts w:ascii="Arial" w:hAnsi="Arial" w:cs="Arial"/>
          <w:sz w:val="24"/>
          <w:szCs w:val="24"/>
        </w:rPr>
        <w:t>la prueba realizada el 24 de julio de 2022 contiene errores,</w:t>
      </w:r>
      <w:r w:rsidR="00DA5949" w:rsidRPr="00DA5949">
        <w:rPr>
          <w:rFonts w:ascii="Arial" w:hAnsi="Arial" w:cs="Arial"/>
          <w:sz w:val="24"/>
          <w:szCs w:val="24"/>
        </w:rPr>
        <w:t xml:space="preserve"> </w:t>
      </w:r>
      <w:r w:rsidR="009D0800">
        <w:rPr>
          <w:rFonts w:ascii="Arial" w:hAnsi="Arial" w:cs="Arial"/>
          <w:sz w:val="24"/>
          <w:szCs w:val="24"/>
        </w:rPr>
        <w:t xml:space="preserve">generados por </w:t>
      </w:r>
      <w:r w:rsidR="00DA5949">
        <w:rPr>
          <w:rFonts w:ascii="Arial" w:hAnsi="Arial" w:cs="Arial"/>
          <w:sz w:val="24"/>
          <w:szCs w:val="24"/>
        </w:rPr>
        <w:t>una situación anterior que llevó a</w:t>
      </w:r>
      <w:r w:rsidR="009D0800">
        <w:rPr>
          <w:rFonts w:ascii="Arial" w:hAnsi="Arial" w:cs="Arial"/>
          <w:sz w:val="24"/>
          <w:szCs w:val="24"/>
        </w:rPr>
        <w:t xml:space="preserve"> que e</w:t>
      </w:r>
      <w:r w:rsidR="00DA5949">
        <w:rPr>
          <w:rFonts w:ascii="Arial" w:hAnsi="Arial" w:cs="Arial"/>
          <w:sz w:val="24"/>
          <w:szCs w:val="24"/>
        </w:rPr>
        <w:t>l Consejo Superior de la Judicatura, en el mismo proceso de selección, rehiciera la prueba de conocimientos</w:t>
      </w:r>
      <w:r w:rsidR="005A4B5E">
        <w:rPr>
          <w:rFonts w:ascii="Arial" w:hAnsi="Arial" w:cs="Arial"/>
          <w:sz w:val="24"/>
          <w:szCs w:val="24"/>
        </w:rPr>
        <w:t xml:space="preserve">; circunstancia  que, a </w:t>
      </w:r>
      <w:r w:rsidR="00DA5949">
        <w:rPr>
          <w:rFonts w:ascii="Arial" w:hAnsi="Arial" w:cs="Arial"/>
          <w:sz w:val="24"/>
          <w:szCs w:val="24"/>
        </w:rPr>
        <w:t>su juicio, es suficiente para impedir</w:t>
      </w:r>
      <w:r>
        <w:rPr>
          <w:rFonts w:ascii="Arial" w:hAnsi="Arial" w:cs="Arial"/>
          <w:sz w:val="24"/>
          <w:szCs w:val="24"/>
        </w:rPr>
        <w:t xml:space="preserve"> que dicha autoridad expida y notifique el acto administrativo contentivo de la lista de admitidos en la fecha que tiene prevista para ello.</w:t>
      </w:r>
    </w:p>
    <w:p w14:paraId="6541AC59" w14:textId="7A70D455" w:rsidR="00A320DF" w:rsidRPr="00E01943" w:rsidRDefault="00A320DF" w:rsidP="00DA5949">
      <w:pPr>
        <w:widowControl w:val="0"/>
        <w:tabs>
          <w:tab w:val="left" w:pos="1985"/>
        </w:tabs>
        <w:spacing w:before="240" w:after="240" w:line="240" w:lineRule="auto"/>
        <w:jc w:val="both"/>
        <w:rPr>
          <w:rFonts w:ascii="Arial" w:hAnsi="Arial" w:cs="Arial"/>
          <w:sz w:val="24"/>
          <w:szCs w:val="24"/>
        </w:rPr>
      </w:pPr>
      <w:r w:rsidRPr="00E01943">
        <w:rPr>
          <w:rFonts w:ascii="Arial" w:hAnsi="Arial" w:cs="Arial"/>
          <w:sz w:val="24"/>
          <w:szCs w:val="24"/>
        </w:rPr>
        <w:t xml:space="preserve">Visto lo anterior, el </w:t>
      </w:r>
      <w:r w:rsidR="00C62E57">
        <w:rPr>
          <w:rFonts w:ascii="Arial" w:hAnsi="Arial" w:cs="Arial"/>
          <w:sz w:val="24"/>
          <w:szCs w:val="24"/>
        </w:rPr>
        <w:t>d</w:t>
      </w:r>
      <w:r w:rsidRPr="00E01943">
        <w:rPr>
          <w:rFonts w:ascii="Arial" w:hAnsi="Arial" w:cs="Arial"/>
          <w:sz w:val="24"/>
          <w:szCs w:val="24"/>
        </w:rPr>
        <w:t xml:space="preserve">espacho </w:t>
      </w:r>
      <w:r w:rsidR="00C62E57">
        <w:rPr>
          <w:rFonts w:ascii="Arial" w:hAnsi="Arial" w:cs="Arial"/>
          <w:sz w:val="24"/>
          <w:szCs w:val="24"/>
        </w:rPr>
        <w:t>considera</w:t>
      </w:r>
      <w:r w:rsidRPr="00E01943">
        <w:rPr>
          <w:rFonts w:ascii="Arial" w:hAnsi="Arial" w:cs="Arial"/>
          <w:sz w:val="24"/>
          <w:szCs w:val="24"/>
        </w:rPr>
        <w:t xml:space="preserve"> que </w:t>
      </w:r>
      <w:r w:rsidR="00C62E57">
        <w:rPr>
          <w:rFonts w:ascii="Arial" w:hAnsi="Arial" w:cs="Arial"/>
          <w:sz w:val="24"/>
          <w:szCs w:val="24"/>
        </w:rPr>
        <w:t>el actor</w:t>
      </w:r>
      <w:r w:rsidRPr="00E01943">
        <w:rPr>
          <w:rFonts w:ascii="Arial" w:hAnsi="Arial" w:cs="Arial"/>
          <w:sz w:val="24"/>
          <w:szCs w:val="24"/>
        </w:rPr>
        <w:t xml:space="preserve"> no </w:t>
      </w:r>
      <w:r>
        <w:rPr>
          <w:rFonts w:ascii="Arial" w:hAnsi="Arial" w:cs="Arial"/>
          <w:sz w:val="24"/>
          <w:szCs w:val="24"/>
        </w:rPr>
        <w:t>present</w:t>
      </w:r>
      <w:r w:rsidR="00C62E57">
        <w:rPr>
          <w:rFonts w:ascii="Arial" w:hAnsi="Arial" w:cs="Arial"/>
          <w:sz w:val="24"/>
          <w:szCs w:val="24"/>
        </w:rPr>
        <w:t>ó</w:t>
      </w:r>
      <w:r w:rsidRPr="00E01943">
        <w:rPr>
          <w:rFonts w:ascii="Arial" w:hAnsi="Arial" w:cs="Arial"/>
          <w:sz w:val="24"/>
          <w:szCs w:val="24"/>
        </w:rPr>
        <w:t xml:space="preserve"> argumentos que sustenten la medida </w:t>
      </w:r>
      <w:r w:rsidR="00C62E57">
        <w:rPr>
          <w:rFonts w:ascii="Arial" w:hAnsi="Arial" w:cs="Arial"/>
          <w:sz w:val="24"/>
          <w:szCs w:val="24"/>
        </w:rPr>
        <w:t>provisional</w:t>
      </w:r>
      <w:r w:rsidRPr="00E01943">
        <w:rPr>
          <w:rFonts w:ascii="Arial" w:hAnsi="Arial" w:cs="Arial"/>
          <w:sz w:val="24"/>
          <w:szCs w:val="24"/>
        </w:rPr>
        <w:t xml:space="preserve"> requerida, motivo por el que no resulta posible establecer una situación concreta que amenace </w:t>
      </w:r>
      <w:r>
        <w:rPr>
          <w:rFonts w:ascii="Arial" w:hAnsi="Arial" w:cs="Arial"/>
          <w:sz w:val="24"/>
          <w:szCs w:val="24"/>
        </w:rPr>
        <w:t>las</w:t>
      </w:r>
      <w:r w:rsidRPr="00E01943">
        <w:rPr>
          <w:rFonts w:ascii="Arial" w:hAnsi="Arial" w:cs="Arial"/>
          <w:sz w:val="24"/>
          <w:szCs w:val="24"/>
        </w:rPr>
        <w:t xml:space="preserve"> garantías constitucionales </w:t>
      </w:r>
      <w:r>
        <w:rPr>
          <w:rFonts w:ascii="Arial" w:hAnsi="Arial" w:cs="Arial"/>
          <w:sz w:val="24"/>
          <w:szCs w:val="24"/>
        </w:rPr>
        <w:t xml:space="preserve">invocadas </w:t>
      </w:r>
      <w:r w:rsidRPr="00E01943">
        <w:rPr>
          <w:rFonts w:ascii="Arial" w:hAnsi="Arial" w:cs="Arial"/>
          <w:sz w:val="24"/>
          <w:szCs w:val="24"/>
        </w:rPr>
        <w:t xml:space="preserve">y que, por ende, requiera de una actuación inmediata del juez constitucional. Esta </w:t>
      </w:r>
      <w:r w:rsidR="00C62E57">
        <w:rPr>
          <w:rFonts w:ascii="Arial" w:hAnsi="Arial" w:cs="Arial"/>
          <w:sz w:val="24"/>
          <w:szCs w:val="24"/>
        </w:rPr>
        <w:t>situación</w:t>
      </w:r>
      <w:r w:rsidRPr="00E01943">
        <w:rPr>
          <w:rFonts w:ascii="Arial" w:hAnsi="Arial" w:cs="Arial"/>
          <w:sz w:val="24"/>
          <w:szCs w:val="24"/>
        </w:rPr>
        <w:t>, además, impide inferir una razón de urgencia</w:t>
      </w:r>
      <w:r w:rsidR="00C62E57">
        <w:rPr>
          <w:rFonts w:ascii="Arial" w:hAnsi="Arial" w:cs="Arial"/>
          <w:sz w:val="24"/>
          <w:szCs w:val="24"/>
        </w:rPr>
        <w:t xml:space="preserve"> y advertir que, el</w:t>
      </w:r>
      <w:r w:rsidRPr="00E01943">
        <w:rPr>
          <w:rFonts w:ascii="Arial" w:hAnsi="Arial" w:cs="Arial"/>
          <w:sz w:val="24"/>
          <w:szCs w:val="24"/>
        </w:rPr>
        <w:t xml:space="preserve"> no adoptar la medida, haría ilusorios los efectos de una eventual orden de amparo. </w:t>
      </w:r>
    </w:p>
    <w:p w14:paraId="237DB49A" w14:textId="77777777" w:rsidR="00A320DF" w:rsidRPr="00E01943" w:rsidRDefault="00A320DF" w:rsidP="00DA5949">
      <w:pPr>
        <w:widowControl w:val="0"/>
        <w:tabs>
          <w:tab w:val="left" w:pos="1985"/>
        </w:tabs>
        <w:spacing w:before="240" w:after="240" w:line="240" w:lineRule="auto"/>
        <w:jc w:val="both"/>
        <w:rPr>
          <w:rFonts w:ascii="Arial" w:hAnsi="Arial" w:cs="Arial"/>
          <w:sz w:val="24"/>
          <w:szCs w:val="24"/>
          <w:lang w:val="es-ES"/>
        </w:rPr>
      </w:pPr>
      <w:r w:rsidRPr="00E01943">
        <w:rPr>
          <w:rFonts w:ascii="Arial" w:hAnsi="Arial" w:cs="Arial"/>
          <w:sz w:val="24"/>
          <w:szCs w:val="24"/>
          <w:lang w:val="es-ES"/>
        </w:rPr>
        <w:t xml:space="preserve">En todo caso, no se avista que, de estar configurada una posible lesión de los derechos fundamentales invocados, esta no pudiera evitarse con el fallo que corresponda proferir en virtud de este trámite constitucional, que tiene las características de ser un procedimiento preferente y sumario, conforme al artículo 1 del Decreto 2591 de 1991. Por lo tanto, se negará la medida provisional. </w:t>
      </w:r>
    </w:p>
    <w:p w14:paraId="28864712" w14:textId="77777777" w:rsidR="00A320DF" w:rsidRPr="00800E37" w:rsidRDefault="00A320DF" w:rsidP="00A320DF">
      <w:pPr>
        <w:pStyle w:val="Textoindependiente21"/>
        <w:widowControl w:val="0"/>
        <w:ind w:left="0"/>
        <w:jc w:val="both"/>
        <w:rPr>
          <w:rFonts w:cs="Arial"/>
          <w:sz w:val="24"/>
          <w:szCs w:val="24"/>
          <w:lang w:val="es-CO"/>
        </w:rPr>
      </w:pPr>
      <w:r w:rsidRPr="00800E37">
        <w:rPr>
          <w:rFonts w:cs="Arial"/>
          <w:sz w:val="24"/>
          <w:szCs w:val="24"/>
          <w:lang w:val="es-CO"/>
        </w:rPr>
        <w:lastRenderedPageBreak/>
        <w:t>El Despacho, al encontrar reunidos los requisitos previstos en el artículo 14 del Decreto 2591 de 1991 y por ser competente para conocer de la presente acción de conformidad con lo establecido en el artículo 86 de la Constitución Política, en el Decreto 2591 de 1991, en el Decreto 1069 de 2015, modificado por el Decreto 333 de 2021 y en el Acuerdo de Sala Plena del Consejo de Estado No. 080 de 12 de marzo de 2019,</w:t>
      </w:r>
    </w:p>
    <w:p w14:paraId="4261502F" w14:textId="77777777" w:rsidR="00A320DF" w:rsidRPr="00E77C3C" w:rsidRDefault="00A320DF" w:rsidP="00A320DF">
      <w:pPr>
        <w:pStyle w:val="Textoindependiente21"/>
        <w:widowControl w:val="0"/>
        <w:spacing w:before="240"/>
        <w:ind w:left="0"/>
        <w:jc w:val="center"/>
        <w:rPr>
          <w:rFonts w:cs="Arial"/>
          <w:b/>
          <w:sz w:val="24"/>
          <w:szCs w:val="24"/>
        </w:rPr>
      </w:pPr>
      <w:r w:rsidRPr="00E77C3C">
        <w:rPr>
          <w:rFonts w:cs="Arial"/>
          <w:b/>
          <w:sz w:val="24"/>
          <w:szCs w:val="24"/>
        </w:rPr>
        <w:t>RESUELVE</w:t>
      </w:r>
    </w:p>
    <w:p w14:paraId="2A4E0254" w14:textId="5EA9C08B" w:rsidR="00A320DF" w:rsidRPr="00E77C3C" w:rsidRDefault="00A320DF" w:rsidP="00A320DF">
      <w:pPr>
        <w:widowControl w:val="0"/>
        <w:spacing w:before="240" w:after="240" w:line="240" w:lineRule="auto"/>
        <w:ind w:right="51"/>
        <w:jc w:val="both"/>
        <w:rPr>
          <w:rFonts w:ascii="Arial" w:hAnsi="Arial" w:cs="Arial"/>
          <w:sz w:val="24"/>
          <w:szCs w:val="24"/>
        </w:rPr>
      </w:pPr>
      <w:r w:rsidRPr="00E77C3C">
        <w:rPr>
          <w:rFonts w:ascii="Arial" w:hAnsi="Arial" w:cs="Arial"/>
          <w:b/>
          <w:sz w:val="24"/>
          <w:szCs w:val="24"/>
        </w:rPr>
        <w:t>PRIMERO.</w:t>
      </w:r>
      <w:r w:rsidRPr="00E77C3C">
        <w:rPr>
          <w:rFonts w:ascii="Arial" w:hAnsi="Arial" w:cs="Arial"/>
          <w:sz w:val="24"/>
          <w:szCs w:val="24"/>
        </w:rPr>
        <w:t xml:space="preserve"> </w:t>
      </w:r>
      <w:r w:rsidRPr="00E77C3C">
        <w:rPr>
          <w:rFonts w:ascii="Arial" w:hAnsi="Arial" w:cs="Arial"/>
          <w:b/>
          <w:sz w:val="24"/>
          <w:szCs w:val="24"/>
        </w:rPr>
        <w:t>ADMITIR</w:t>
      </w:r>
      <w:r w:rsidRPr="00E77C3C">
        <w:rPr>
          <w:rFonts w:ascii="Arial" w:hAnsi="Arial" w:cs="Arial"/>
          <w:sz w:val="24"/>
          <w:szCs w:val="24"/>
        </w:rPr>
        <w:t xml:space="preserve"> la acción de tutela interpuesta por</w:t>
      </w:r>
      <w:r>
        <w:rPr>
          <w:rFonts w:ascii="Arial" w:hAnsi="Arial" w:cs="Arial"/>
          <w:sz w:val="24"/>
          <w:szCs w:val="24"/>
        </w:rPr>
        <w:t xml:space="preserve"> </w:t>
      </w:r>
      <w:r w:rsidR="00F21E57">
        <w:rPr>
          <w:rFonts w:ascii="Arial" w:hAnsi="Arial" w:cs="Arial"/>
          <w:bCs/>
          <w:sz w:val="24"/>
          <w:szCs w:val="24"/>
        </w:rPr>
        <w:t>Nelson Julián Valencia Zamora</w:t>
      </w:r>
      <w:r w:rsidR="00F21E57" w:rsidRPr="00E77C3C">
        <w:rPr>
          <w:rFonts w:ascii="Arial" w:hAnsi="Arial" w:cs="Arial"/>
          <w:bCs/>
          <w:sz w:val="24"/>
          <w:szCs w:val="24"/>
        </w:rPr>
        <w:t xml:space="preserve"> </w:t>
      </w:r>
      <w:r w:rsidRPr="00E77C3C">
        <w:rPr>
          <w:rFonts w:ascii="Arial" w:hAnsi="Arial" w:cs="Arial"/>
          <w:bCs/>
          <w:sz w:val="24"/>
          <w:szCs w:val="24"/>
        </w:rPr>
        <w:t>en contra del Consejo Superior de la Judicatura.</w:t>
      </w:r>
    </w:p>
    <w:p w14:paraId="0DBC0F89" w14:textId="77777777" w:rsidR="00A320DF" w:rsidRPr="00E77C3C" w:rsidRDefault="00A320DF" w:rsidP="00A320DF">
      <w:pPr>
        <w:keepNext/>
        <w:spacing w:after="240" w:line="240" w:lineRule="auto"/>
        <w:ind w:right="51"/>
        <w:jc w:val="both"/>
        <w:rPr>
          <w:rFonts w:ascii="Arial" w:hAnsi="Arial" w:cs="Arial"/>
          <w:bCs/>
          <w:sz w:val="24"/>
          <w:szCs w:val="24"/>
        </w:rPr>
      </w:pPr>
      <w:r w:rsidRPr="00E77C3C">
        <w:rPr>
          <w:rFonts w:ascii="Arial" w:hAnsi="Arial" w:cs="Arial"/>
          <w:b/>
          <w:bCs/>
          <w:sz w:val="24"/>
          <w:szCs w:val="24"/>
          <w:lang w:val="es-ES"/>
        </w:rPr>
        <w:t>SEGUNDO. </w:t>
      </w:r>
      <w:r w:rsidRPr="00E77C3C">
        <w:rPr>
          <w:rFonts w:ascii="Arial" w:hAnsi="Arial" w:cs="Arial"/>
          <w:b/>
          <w:sz w:val="24"/>
          <w:szCs w:val="24"/>
        </w:rPr>
        <w:t xml:space="preserve">ORDENAR </w:t>
      </w:r>
      <w:r w:rsidRPr="00E77C3C">
        <w:rPr>
          <w:rFonts w:ascii="Arial" w:hAnsi="Arial" w:cs="Arial"/>
          <w:bCs/>
          <w:sz w:val="24"/>
          <w:szCs w:val="24"/>
        </w:rPr>
        <w:t xml:space="preserve">que, por conducto de la Secretaría General de esta Corporación, se notifique el presente proveído a las partes de la forma más expedita posible. </w:t>
      </w:r>
    </w:p>
    <w:p w14:paraId="02ACA508" w14:textId="77777777" w:rsidR="00A320DF" w:rsidRPr="00E77C3C" w:rsidRDefault="00A320DF" w:rsidP="00A320DF">
      <w:pPr>
        <w:keepNext/>
        <w:spacing w:after="240" w:line="240" w:lineRule="auto"/>
        <w:ind w:right="51"/>
        <w:jc w:val="both"/>
        <w:rPr>
          <w:rFonts w:ascii="Arial" w:hAnsi="Arial" w:cs="Arial"/>
          <w:bCs/>
          <w:sz w:val="24"/>
          <w:szCs w:val="24"/>
        </w:rPr>
      </w:pPr>
      <w:r w:rsidRPr="00E77C3C">
        <w:rPr>
          <w:rFonts w:ascii="Arial" w:hAnsi="Arial" w:cs="Arial"/>
          <w:bCs/>
          <w:sz w:val="24"/>
          <w:szCs w:val="24"/>
          <w:lang w:val="es-ES"/>
        </w:rPr>
        <w:t xml:space="preserve">La Secretaría General </w:t>
      </w:r>
      <w:r w:rsidRPr="00E77C3C">
        <w:rPr>
          <w:rFonts w:ascii="Arial" w:hAnsi="Arial" w:cs="Arial"/>
          <w:b/>
          <w:sz w:val="24"/>
          <w:szCs w:val="24"/>
          <w:lang w:val="es-ES"/>
        </w:rPr>
        <w:t>solamente devolverá</w:t>
      </w:r>
      <w:r w:rsidRPr="00E77C3C">
        <w:rPr>
          <w:rFonts w:ascii="Arial" w:hAnsi="Arial" w:cs="Arial"/>
          <w:bCs/>
          <w:sz w:val="24"/>
          <w:szCs w:val="24"/>
          <w:lang w:val="es-ES"/>
        </w:rPr>
        <w:t> el expediente al Despacho una vez se hayan notificado efectivamente a los sujetos procesales.</w:t>
      </w:r>
      <w:r w:rsidRPr="00E77C3C">
        <w:rPr>
          <w:rFonts w:ascii="Arial" w:hAnsi="Arial" w:cs="Arial"/>
          <w:bCs/>
          <w:sz w:val="24"/>
          <w:szCs w:val="24"/>
        </w:rPr>
        <w:t> </w:t>
      </w:r>
    </w:p>
    <w:p w14:paraId="64880CF1" w14:textId="0B657730" w:rsidR="00F21E57" w:rsidRDefault="00A320DF" w:rsidP="00F21E57">
      <w:pPr>
        <w:spacing w:after="240" w:line="240" w:lineRule="auto"/>
        <w:jc w:val="both"/>
        <w:rPr>
          <w:rFonts w:ascii="Arial" w:hAnsi="Arial" w:cs="Arial"/>
          <w:color w:val="000000"/>
          <w:sz w:val="24"/>
          <w:szCs w:val="24"/>
        </w:rPr>
      </w:pPr>
      <w:r w:rsidRPr="00E77C3C">
        <w:rPr>
          <w:rFonts w:ascii="Arial" w:hAnsi="Arial" w:cs="Arial"/>
          <w:b/>
          <w:color w:val="000000"/>
          <w:sz w:val="24"/>
          <w:szCs w:val="24"/>
        </w:rPr>
        <w:t>TERCERO.</w:t>
      </w:r>
      <w:r w:rsidRPr="00E77C3C">
        <w:rPr>
          <w:rFonts w:ascii="Arial" w:hAnsi="Arial" w:cs="Arial"/>
          <w:b/>
          <w:sz w:val="24"/>
          <w:szCs w:val="24"/>
        </w:rPr>
        <w:t xml:space="preserve"> </w:t>
      </w:r>
      <w:r w:rsidR="00F21E57" w:rsidRPr="00E77C3C">
        <w:rPr>
          <w:rFonts w:ascii="Arial" w:hAnsi="Arial" w:cs="Arial"/>
          <w:b/>
          <w:color w:val="000000"/>
          <w:sz w:val="24"/>
          <w:szCs w:val="24"/>
        </w:rPr>
        <w:t>COMUNICAR</w:t>
      </w:r>
      <w:r w:rsidR="00F21E57" w:rsidRPr="00E77C3C">
        <w:rPr>
          <w:rFonts w:ascii="Arial" w:hAnsi="Arial" w:cs="Arial"/>
          <w:color w:val="000000"/>
          <w:sz w:val="24"/>
          <w:szCs w:val="24"/>
        </w:rPr>
        <w:t xml:space="preserve"> a la parte accionada que podrá presentar informes sobre los hechos en que se sustenta la presente acción, </w:t>
      </w:r>
      <w:r w:rsidR="00F21E57" w:rsidRPr="00E77C3C">
        <w:rPr>
          <w:rFonts w:ascii="Arial" w:hAnsi="Arial" w:cs="Arial"/>
          <w:sz w:val="24"/>
          <w:szCs w:val="24"/>
        </w:rPr>
        <w:t>en el término de tres (3) días contados a partir del recibo de la notificación.</w:t>
      </w:r>
      <w:r w:rsidR="00F21E57" w:rsidRPr="00E77C3C">
        <w:rPr>
          <w:rFonts w:ascii="Arial" w:hAnsi="Arial" w:cs="Arial"/>
          <w:color w:val="000000"/>
          <w:sz w:val="24"/>
          <w:szCs w:val="24"/>
        </w:rPr>
        <w:t xml:space="preserve"> Estos se considerarán rendidos bajo juramento (artículos 19 y 20 del Decreto 2591 de 1991).</w:t>
      </w:r>
    </w:p>
    <w:p w14:paraId="4E9A2A41" w14:textId="3447FFE8" w:rsidR="00F21E57" w:rsidRPr="00F21E57" w:rsidRDefault="00F21E57" w:rsidP="00F21E57">
      <w:pPr>
        <w:spacing w:after="240" w:line="240" w:lineRule="auto"/>
        <w:jc w:val="both"/>
        <w:rPr>
          <w:rStyle w:val="normaltextrun"/>
          <w:rFonts w:ascii="Arial" w:eastAsia="Times New Roman" w:hAnsi="Arial" w:cs="Arial"/>
          <w:bCs/>
          <w:color w:val="000000"/>
          <w:sz w:val="24"/>
          <w:szCs w:val="24"/>
          <w:shd w:val="clear" w:color="auto" w:fill="FFFFFF"/>
        </w:rPr>
      </w:pPr>
      <w:r w:rsidRPr="00F21E57">
        <w:rPr>
          <w:rFonts w:ascii="Arial" w:hAnsi="Arial" w:cs="Arial"/>
          <w:b/>
          <w:color w:val="000000"/>
          <w:sz w:val="24"/>
          <w:szCs w:val="24"/>
        </w:rPr>
        <w:t>CUARTO.</w:t>
      </w:r>
      <w:r>
        <w:rPr>
          <w:rFonts w:ascii="Arial" w:hAnsi="Arial" w:cs="Arial"/>
          <w:b/>
          <w:color w:val="000000"/>
          <w:sz w:val="24"/>
          <w:szCs w:val="24"/>
        </w:rPr>
        <w:t xml:space="preserve"> </w:t>
      </w:r>
      <w:r w:rsidRPr="00F21E57">
        <w:rPr>
          <w:rFonts w:ascii="Arial" w:hAnsi="Arial" w:cs="Arial"/>
          <w:b/>
          <w:color w:val="000000"/>
          <w:sz w:val="24"/>
          <w:szCs w:val="24"/>
        </w:rPr>
        <w:t>VINCULAR</w:t>
      </w:r>
      <w:r>
        <w:rPr>
          <w:rFonts w:ascii="Arial" w:hAnsi="Arial" w:cs="Arial"/>
          <w:bCs/>
          <w:color w:val="000000"/>
          <w:sz w:val="24"/>
          <w:szCs w:val="24"/>
        </w:rPr>
        <w:t xml:space="preserve"> al presente trámite, como tercera con interés, a la Universidad Nacional de Colombia, para que, si lo considera necesario, rinda informe sobre los hechos en que se sustentó la acción de tutela.</w:t>
      </w:r>
    </w:p>
    <w:p w14:paraId="1D6B4D97" w14:textId="6DE104DA" w:rsidR="00F21E57" w:rsidRPr="00F21E57" w:rsidRDefault="00F21E57" w:rsidP="00A320DF">
      <w:pPr>
        <w:pStyle w:val="Textoindependiente21"/>
        <w:ind w:left="0"/>
        <w:jc w:val="both"/>
        <w:rPr>
          <w:rFonts w:cs="Arial"/>
          <w:bCs/>
          <w:color w:val="000000"/>
          <w:sz w:val="24"/>
          <w:szCs w:val="24"/>
        </w:rPr>
      </w:pPr>
      <w:r w:rsidRPr="00E77C3C">
        <w:rPr>
          <w:rFonts w:cs="Arial"/>
          <w:b/>
          <w:color w:val="000000"/>
          <w:sz w:val="24"/>
          <w:szCs w:val="24"/>
        </w:rPr>
        <w:t>QUINTO.</w:t>
      </w:r>
      <w:r w:rsidRPr="00E77C3C">
        <w:rPr>
          <w:rFonts w:cs="Arial"/>
          <w:b/>
          <w:sz w:val="24"/>
          <w:szCs w:val="24"/>
        </w:rPr>
        <w:t xml:space="preserve"> </w:t>
      </w:r>
      <w:r>
        <w:rPr>
          <w:rFonts w:cs="Arial"/>
          <w:b/>
          <w:color w:val="000000"/>
          <w:sz w:val="24"/>
          <w:szCs w:val="24"/>
        </w:rPr>
        <w:t xml:space="preserve">SOLICITAR </w:t>
      </w:r>
      <w:r>
        <w:rPr>
          <w:rFonts w:cs="Arial"/>
          <w:bCs/>
          <w:color w:val="000000"/>
          <w:sz w:val="24"/>
          <w:szCs w:val="24"/>
        </w:rPr>
        <w:t xml:space="preserve">al Consejo Superior de la Judicatura que informe los nombres de las personas que </w:t>
      </w:r>
      <w:r>
        <w:rPr>
          <w:rFonts w:cs="Arial"/>
          <w:bCs/>
          <w:sz w:val="24"/>
          <w:szCs w:val="24"/>
        </w:rPr>
        <w:t xml:space="preserve">se encuentran inscritas en la Convocatoria 27, para optar por el cargo de Juez Promiscuo Municipal, para efectos de que, una vez se obtenga dicha información, la </w:t>
      </w:r>
      <w:r w:rsidRPr="00E77C3C">
        <w:rPr>
          <w:rFonts w:cs="Arial"/>
          <w:bCs/>
          <w:sz w:val="24"/>
          <w:szCs w:val="24"/>
        </w:rPr>
        <w:t>Secretaría General de esta Corporación</w:t>
      </w:r>
      <w:r>
        <w:rPr>
          <w:rFonts w:cs="Arial"/>
          <w:bCs/>
          <w:sz w:val="24"/>
          <w:szCs w:val="24"/>
        </w:rPr>
        <w:t xml:space="preserve"> proceda a comunicarles la presente acción de tutela.</w:t>
      </w:r>
    </w:p>
    <w:p w14:paraId="2C39FECA" w14:textId="3FFE6BBC" w:rsidR="00A320DF" w:rsidRDefault="00F21E57" w:rsidP="00A320DF">
      <w:pPr>
        <w:pStyle w:val="Textoindependiente21"/>
        <w:ind w:left="0"/>
        <w:jc w:val="both"/>
        <w:rPr>
          <w:rFonts w:cs="Arial"/>
          <w:color w:val="000000"/>
          <w:sz w:val="24"/>
          <w:szCs w:val="24"/>
        </w:rPr>
      </w:pPr>
      <w:r>
        <w:rPr>
          <w:rFonts w:cs="Arial"/>
          <w:b/>
          <w:sz w:val="24"/>
          <w:szCs w:val="24"/>
        </w:rPr>
        <w:t xml:space="preserve">SEXTO. </w:t>
      </w:r>
      <w:r w:rsidR="00A320DF" w:rsidRPr="00E77C3C">
        <w:rPr>
          <w:rFonts w:cs="Arial"/>
          <w:b/>
          <w:color w:val="000000"/>
          <w:sz w:val="24"/>
          <w:szCs w:val="24"/>
        </w:rPr>
        <w:t xml:space="preserve">TENER </w:t>
      </w:r>
      <w:r w:rsidR="00A320DF" w:rsidRPr="00E77C3C">
        <w:rPr>
          <w:rFonts w:cs="Arial"/>
          <w:color w:val="000000"/>
          <w:sz w:val="24"/>
          <w:szCs w:val="24"/>
        </w:rPr>
        <w:t>como pruebas los documentos aportados con el escrito de tutela.</w:t>
      </w:r>
    </w:p>
    <w:p w14:paraId="319ACDAE" w14:textId="72F5DC8A" w:rsidR="00F21E57" w:rsidRPr="00F21E57" w:rsidRDefault="00F21E57" w:rsidP="00F21E57">
      <w:pPr>
        <w:pStyle w:val="Textoindependiente21"/>
        <w:spacing w:before="240"/>
        <w:ind w:left="0"/>
        <w:jc w:val="both"/>
        <w:rPr>
          <w:rFonts w:cs="Arial"/>
          <w:bCs/>
          <w:sz w:val="24"/>
          <w:szCs w:val="24"/>
        </w:rPr>
      </w:pPr>
      <w:r>
        <w:rPr>
          <w:rFonts w:cs="Arial"/>
          <w:b/>
          <w:sz w:val="24"/>
          <w:szCs w:val="24"/>
        </w:rPr>
        <w:t xml:space="preserve">SÉPTIMO. </w:t>
      </w:r>
      <w:r>
        <w:rPr>
          <w:rFonts w:cs="Arial"/>
          <w:b/>
          <w:bCs/>
          <w:sz w:val="24"/>
          <w:szCs w:val="24"/>
          <w:lang w:val="es-ES"/>
        </w:rPr>
        <w:t xml:space="preserve">NEGAR </w:t>
      </w:r>
      <w:r>
        <w:rPr>
          <w:rFonts w:cs="Arial"/>
          <w:sz w:val="24"/>
          <w:szCs w:val="24"/>
          <w:lang w:val="es-ES"/>
        </w:rPr>
        <w:t>la medida provisional solicitada por</w:t>
      </w:r>
      <w:r>
        <w:rPr>
          <w:rFonts w:cs="Arial"/>
          <w:b/>
          <w:bCs/>
          <w:sz w:val="24"/>
          <w:szCs w:val="24"/>
          <w:lang w:val="es-ES"/>
        </w:rPr>
        <w:t xml:space="preserve"> </w:t>
      </w:r>
      <w:r>
        <w:rPr>
          <w:rFonts w:cs="Arial"/>
          <w:bCs/>
          <w:sz w:val="24"/>
          <w:szCs w:val="24"/>
        </w:rPr>
        <w:t>Nelson Julián Valencia Zamora en su escrito de tutela, por las razones expuestas en esta providencia.</w:t>
      </w:r>
    </w:p>
    <w:p w14:paraId="47F068E5" w14:textId="2982B35C" w:rsidR="00A320DF" w:rsidRPr="00B55F1B" w:rsidRDefault="00F21E57" w:rsidP="00A320DF">
      <w:pPr>
        <w:pStyle w:val="Textoindependiente21"/>
        <w:spacing w:before="240"/>
        <w:ind w:left="0"/>
        <w:jc w:val="both"/>
        <w:rPr>
          <w:rFonts w:cs="Arial"/>
          <w:color w:val="000000"/>
          <w:sz w:val="24"/>
          <w:szCs w:val="24"/>
        </w:rPr>
      </w:pPr>
      <w:r>
        <w:rPr>
          <w:rFonts w:cs="Arial"/>
          <w:b/>
          <w:sz w:val="24"/>
          <w:szCs w:val="24"/>
        </w:rPr>
        <w:t xml:space="preserve">OCTAVO. </w:t>
      </w:r>
      <w:r w:rsidR="00A320DF" w:rsidRPr="00E77C3C">
        <w:rPr>
          <w:rFonts w:cs="Arial"/>
          <w:b/>
          <w:sz w:val="24"/>
          <w:szCs w:val="24"/>
        </w:rPr>
        <w:t>SUSPENDER</w:t>
      </w:r>
      <w:r w:rsidR="00A320DF" w:rsidRPr="00E77C3C">
        <w:rPr>
          <w:rFonts w:cs="Arial"/>
          <w:sz w:val="24"/>
          <w:szCs w:val="24"/>
        </w:rPr>
        <w:t xml:space="preserve"> </w:t>
      </w:r>
      <w:r w:rsidR="00A320DF" w:rsidRPr="00E77C3C">
        <w:rPr>
          <w:rFonts w:cs="Arial"/>
          <w:sz w:val="24"/>
          <w:szCs w:val="24"/>
          <w:lang w:val="es-ES"/>
        </w:rPr>
        <w:t>los términos de la presente acción constitucional hasta tanto se dé cumplimiento a las órdenes impartidas en esta providencia y el expediente regrese al Despacho desde la Secretaría General.</w:t>
      </w:r>
    </w:p>
    <w:p w14:paraId="6CF4E70A" w14:textId="77777777" w:rsidR="00A320DF" w:rsidRPr="00E77C3C" w:rsidRDefault="00A320DF" w:rsidP="00A320DF">
      <w:pPr>
        <w:pStyle w:val="Textoindependiente21"/>
        <w:spacing w:before="240" w:after="0"/>
        <w:ind w:left="0"/>
        <w:jc w:val="both"/>
        <w:rPr>
          <w:rFonts w:cs="Arial"/>
          <w:sz w:val="24"/>
          <w:szCs w:val="24"/>
        </w:rPr>
      </w:pPr>
      <w:r w:rsidRPr="00E77C3C">
        <w:rPr>
          <w:rFonts w:cs="Arial"/>
          <w:b/>
          <w:sz w:val="24"/>
          <w:szCs w:val="24"/>
        </w:rPr>
        <w:t>Notifíquese y Cúmplase</w:t>
      </w:r>
      <w:r w:rsidRPr="00F21E57">
        <w:rPr>
          <w:rFonts w:cs="Arial"/>
          <w:b/>
          <w:bCs/>
          <w:sz w:val="24"/>
          <w:szCs w:val="24"/>
        </w:rPr>
        <w:t>,</w:t>
      </w:r>
    </w:p>
    <w:p w14:paraId="0A506046" w14:textId="77777777" w:rsidR="00A320DF" w:rsidRPr="00E77C3C" w:rsidRDefault="00A320DF" w:rsidP="00A320DF">
      <w:pPr>
        <w:pStyle w:val="Textoindependiente21"/>
        <w:spacing w:after="0"/>
        <w:ind w:left="0"/>
        <w:jc w:val="both"/>
        <w:rPr>
          <w:rFonts w:cs="Arial"/>
          <w:sz w:val="24"/>
          <w:szCs w:val="24"/>
        </w:rPr>
      </w:pPr>
    </w:p>
    <w:p w14:paraId="488A17CC" w14:textId="77777777" w:rsidR="00A320DF" w:rsidRPr="00E77C3C" w:rsidRDefault="00A320DF" w:rsidP="00A320DF">
      <w:pPr>
        <w:pStyle w:val="Textoindependiente21"/>
        <w:spacing w:after="0"/>
        <w:ind w:left="0"/>
        <w:jc w:val="both"/>
        <w:rPr>
          <w:rFonts w:cs="Arial"/>
          <w:sz w:val="24"/>
          <w:szCs w:val="24"/>
        </w:rPr>
      </w:pPr>
    </w:p>
    <w:p w14:paraId="74BFDA0D" w14:textId="77777777" w:rsidR="00A320DF" w:rsidRPr="00E77C3C" w:rsidRDefault="00A320DF" w:rsidP="00A320DF">
      <w:pPr>
        <w:pStyle w:val="Textoindependiente21"/>
        <w:spacing w:after="0"/>
        <w:ind w:left="0"/>
        <w:jc w:val="both"/>
        <w:rPr>
          <w:rFonts w:cs="Arial"/>
          <w:sz w:val="24"/>
          <w:szCs w:val="24"/>
        </w:rPr>
      </w:pPr>
    </w:p>
    <w:p w14:paraId="7F1D28F8" w14:textId="77777777" w:rsidR="00A320DF" w:rsidRPr="00E77C3C" w:rsidRDefault="00A320DF" w:rsidP="00A320DF">
      <w:pPr>
        <w:pStyle w:val="Textoindependiente21"/>
        <w:spacing w:after="0"/>
        <w:ind w:left="0"/>
        <w:jc w:val="center"/>
        <w:rPr>
          <w:rFonts w:cs="Arial"/>
          <w:sz w:val="24"/>
          <w:szCs w:val="24"/>
        </w:rPr>
      </w:pPr>
    </w:p>
    <w:p w14:paraId="1CB9A2DD" w14:textId="77777777" w:rsidR="00A320DF" w:rsidRPr="00E77C3C" w:rsidRDefault="00A320DF" w:rsidP="00A320DF">
      <w:pPr>
        <w:pStyle w:val="Textoindependiente21"/>
        <w:spacing w:after="0"/>
        <w:ind w:left="0"/>
        <w:jc w:val="center"/>
        <w:rPr>
          <w:rFonts w:cs="Arial"/>
          <w:b/>
          <w:sz w:val="24"/>
          <w:szCs w:val="24"/>
        </w:rPr>
      </w:pPr>
      <w:r w:rsidRPr="00E77C3C">
        <w:rPr>
          <w:rFonts w:cs="Arial"/>
          <w:b/>
          <w:sz w:val="24"/>
          <w:szCs w:val="24"/>
        </w:rPr>
        <w:t>JAIME ENRIQUE RODRÍGUEZ NAVAS</w:t>
      </w:r>
    </w:p>
    <w:p w14:paraId="18A9BA00" w14:textId="77777777" w:rsidR="00A320DF" w:rsidRPr="00E77C3C" w:rsidRDefault="00A320DF" w:rsidP="00A320DF">
      <w:pPr>
        <w:pStyle w:val="Textoindependiente21"/>
        <w:spacing w:after="0"/>
        <w:ind w:left="0"/>
        <w:jc w:val="center"/>
        <w:rPr>
          <w:rFonts w:cs="Arial"/>
          <w:sz w:val="24"/>
          <w:szCs w:val="24"/>
        </w:rPr>
      </w:pPr>
      <w:r w:rsidRPr="00E77C3C">
        <w:rPr>
          <w:rFonts w:cs="Arial"/>
          <w:b/>
          <w:sz w:val="24"/>
          <w:szCs w:val="24"/>
        </w:rPr>
        <w:t>Magistrado</w:t>
      </w:r>
    </w:p>
    <w:sectPr w:rsidR="00A320DF" w:rsidRPr="00E77C3C" w:rsidSect="00F21E57">
      <w:headerReference w:type="default" r:id="rId7"/>
      <w:footerReference w:type="default" r:id="rId8"/>
      <w:headerReference w:type="first" r:id="rId9"/>
      <w:footerReference w:type="first" r:id="rId10"/>
      <w:pgSz w:w="12240" w:h="20160" w:code="5"/>
      <w:pgMar w:top="1418" w:right="1701" w:bottom="1418"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F200" w14:textId="77777777" w:rsidR="00B812A3" w:rsidRDefault="00B812A3" w:rsidP="00A320DF">
      <w:pPr>
        <w:spacing w:after="0" w:line="240" w:lineRule="auto"/>
      </w:pPr>
      <w:r>
        <w:separator/>
      </w:r>
    </w:p>
  </w:endnote>
  <w:endnote w:type="continuationSeparator" w:id="0">
    <w:p w14:paraId="021AC6DC" w14:textId="77777777" w:rsidR="00B812A3" w:rsidRDefault="00B812A3" w:rsidP="00A3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14:paraId="4B279174" w14:textId="77777777" w:rsidTr="00B82AE5">
      <w:trPr>
        <w:jc w:val="right"/>
      </w:trPr>
      <w:tc>
        <w:tcPr>
          <w:tcW w:w="4795" w:type="dxa"/>
          <w:vAlign w:val="center"/>
        </w:tcPr>
        <w:p w14:paraId="4C5A68B0" w14:textId="77777777" w:rsidR="00C53B7C" w:rsidRDefault="005A4B5E" w:rsidP="00C53B7C">
          <w:pPr>
            <w:pStyle w:val="Encabezado"/>
            <w:jc w:val="center"/>
            <w:rPr>
              <w:color w:val="767171"/>
              <w:sz w:val="20"/>
              <w:szCs w:val="20"/>
            </w:rPr>
          </w:pPr>
          <w:r w:rsidRPr="00A21194">
            <w:rPr>
              <w:color w:val="767171"/>
              <w:sz w:val="20"/>
              <w:szCs w:val="20"/>
            </w:rPr>
            <w:t>Calle 12 No. 7-65 – Tel: (57-1) 350-6700 – Bogotá D.C. – Colombia</w:t>
          </w:r>
        </w:p>
        <w:p w14:paraId="436F0B25" w14:textId="77777777" w:rsidR="00C53B7C" w:rsidRPr="00A21194" w:rsidRDefault="005A4B5E"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160B50CD" w14:textId="77777777" w:rsidR="00C53B7C" w:rsidRPr="00B6429B" w:rsidRDefault="005A4B5E" w:rsidP="00C53B7C">
          <w:pPr>
            <w:pStyle w:val="Piedepgina"/>
            <w:jc w:val="center"/>
          </w:pPr>
          <w:r w:rsidRPr="00B6429B">
            <w:fldChar w:fldCharType="begin"/>
          </w:r>
          <w:r w:rsidRPr="00B6429B">
            <w:instrText>PAGE   \* MERGEFORMAT</w:instrText>
          </w:r>
          <w:r w:rsidRPr="00B6429B">
            <w:fldChar w:fldCharType="separate"/>
          </w:r>
          <w:r w:rsidRPr="006A6B54">
            <w:rPr>
              <w:noProof/>
              <w:lang w:val="es-ES"/>
            </w:rPr>
            <w:t>2</w:t>
          </w:r>
          <w:r w:rsidRPr="00B6429B">
            <w:fldChar w:fldCharType="end"/>
          </w:r>
        </w:p>
      </w:tc>
    </w:tr>
  </w:tbl>
  <w:p w14:paraId="4803E5D5" w14:textId="77777777" w:rsidR="00EC38ED" w:rsidRPr="00C53B7C" w:rsidRDefault="00000000" w:rsidP="00C53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14:paraId="70F00C4A" w14:textId="77777777" w:rsidTr="00B82AE5">
      <w:trPr>
        <w:jc w:val="right"/>
      </w:trPr>
      <w:tc>
        <w:tcPr>
          <w:tcW w:w="4795" w:type="dxa"/>
          <w:vAlign w:val="center"/>
        </w:tcPr>
        <w:p w14:paraId="6A559344" w14:textId="77777777" w:rsidR="00C53B7C" w:rsidRDefault="005A4B5E" w:rsidP="00C53B7C">
          <w:pPr>
            <w:pStyle w:val="Encabezado"/>
            <w:jc w:val="center"/>
            <w:rPr>
              <w:color w:val="767171"/>
              <w:sz w:val="20"/>
              <w:szCs w:val="20"/>
            </w:rPr>
          </w:pPr>
          <w:r w:rsidRPr="00A21194">
            <w:rPr>
              <w:color w:val="767171"/>
              <w:sz w:val="20"/>
              <w:szCs w:val="20"/>
            </w:rPr>
            <w:t>Calle 12 No. 7-65 – Tel: (57-1) 350-6700 – Bogotá D.C. – Colombia</w:t>
          </w:r>
        </w:p>
        <w:p w14:paraId="6FFF8086" w14:textId="77777777" w:rsidR="00C53B7C" w:rsidRPr="00A21194" w:rsidRDefault="005A4B5E"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37F2994E" w14:textId="77777777" w:rsidR="00C53B7C" w:rsidRPr="00B6429B" w:rsidRDefault="005A4B5E" w:rsidP="00C53B7C">
          <w:pPr>
            <w:pStyle w:val="Piedepgina"/>
            <w:jc w:val="center"/>
          </w:pPr>
          <w:r w:rsidRPr="00B6429B">
            <w:fldChar w:fldCharType="begin"/>
          </w:r>
          <w:r w:rsidRPr="00B6429B">
            <w:instrText>PAGE   \* MERGEFORMAT</w:instrText>
          </w:r>
          <w:r w:rsidRPr="00B6429B">
            <w:fldChar w:fldCharType="separate"/>
          </w:r>
          <w:r w:rsidRPr="006A6B54">
            <w:rPr>
              <w:noProof/>
              <w:lang w:val="es-ES"/>
            </w:rPr>
            <w:t>1</w:t>
          </w:r>
          <w:r w:rsidRPr="00B6429B">
            <w:fldChar w:fldCharType="end"/>
          </w:r>
        </w:p>
      </w:tc>
    </w:tr>
  </w:tbl>
  <w:p w14:paraId="4414739C" w14:textId="77777777" w:rsidR="00F91B32" w:rsidRPr="00C53B7C" w:rsidRDefault="00000000" w:rsidP="00C53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839F" w14:textId="77777777" w:rsidR="00B812A3" w:rsidRDefault="00B812A3" w:rsidP="00A320DF">
      <w:pPr>
        <w:spacing w:after="0" w:line="240" w:lineRule="auto"/>
      </w:pPr>
      <w:r>
        <w:separator/>
      </w:r>
    </w:p>
  </w:footnote>
  <w:footnote w:type="continuationSeparator" w:id="0">
    <w:p w14:paraId="09E0FA02" w14:textId="77777777" w:rsidR="00B812A3" w:rsidRDefault="00B812A3" w:rsidP="00A320DF">
      <w:pPr>
        <w:spacing w:after="0" w:line="240" w:lineRule="auto"/>
      </w:pPr>
      <w:r>
        <w:continuationSeparator/>
      </w:r>
    </w:p>
  </w:footnote>
  <w:footnote w:id="1">
    <w:p w14:paraId="6861B53B" w14:textId="7400FFE2" w:rsidR="005851FD" w:rsidRDefault="005851FD">
      <w:pPr>
        <w:pStyle w:val="Textonotapie"/>
      </w:pPr>
      <w:r>
        <w:rPr>
          <w:rStyle w:val="Refdenotaalpie"/>
        </w:rPr>
        <w:footnoteRef/>
      </w:r>
      <w:r>
        <w:t xml:space="preserve"> Archivo electrónico identificado con certificado </w:t>
      </w:r>
      <w:r w:rsidRPr="005851FD">
        <w:t>A9226CFF6311626D 9D673A63D803B236 44A92996D54F02A5 42CDA1EECF2F8A0C</w:t>
      </w:r>
      <w:r>
        <w:t>, ubicado en el índice 4 del expediente digital.</w:t>
      </w:r>
    </w:p>
  </w:footnote>
  <w:footnote w:id="2">
    <w:p w14:paraId="0269DFA7" w14:textId="77777777" w:rsidR="00A320DF" w:rsidRPr="00A320DF" w:rsidRDefault="00A320DF" w:rsidP="00A320DF">
      <w:pPr>
        <w:pStyle w:val="Textonotapie"/>
        <w:rPr>
          <w:lang w:val="es-MX"/>
        </w:rPr>
      </w:pPr>
      <w:r w:rsidRPr="00A320DF">
        <w:rPr>
          <w:rStyle w:val="Refdenotaalpie"/>
        </w:rPr>
        <w:footnoteRef/>
      </w:r>
      <w:r w:rsidRPr="00A320DF">
        <w:t xml:space="preserve"> </w:t>
      </w:r>
      <w:r w:rsidRPr="00A320DF">
        <w:rPr>
          <w:lang w:val="es-MX"/>
        </w:rPr>
        <w:t>Ibidem.</w:t>
      </w:r>
    </w:p>
  </w:footnote>
  <w:footnote w:id="3">
    <w:p w14:paraId="32B5BD38" w14:textId="77777777" w:rsidR="00A320DF" w:rsidRPr="00A320DF" w:rsidRDefault="00A320DF" w:rsidP="00A320DF">
      <w:pPr>
        <w:pStyle w:val="Textonotapie"/>
        <w:rPr>
          <w:lang w:val="es-MX"/>
        </w:rPr>
      </w:pPr>
      <w:r w:rsidRPr="00A320DF">
        <w:rPr>
          <w:rStyle w:val="Refdenotaalpie"/>
        </w:rPr>
        <w:footnoteRef/>
      </w:r>
      <w:r w:rsidRPr="00A320DF">
        <w:t xml:space="preserve"> Cfr. Corte Constitucional, Autos 262 de 2019, 680 de 2018 y 312 de 2018.</w:t>
      </w:r>
    </w:p>
  </w:footnote>
  <w:footnote w:id="4">
    <w:p w14:paraId="0128E5FE" w14:textId="77777777" w:rsidR="00A320DF" w:rsidRPr="00A320DF" w:rsidRDefault="00A320DF" w:rsidP="00A320DF">
      <w:pPr>
        <w:pStyle w:val="Textonotapie"/>
        <w:rPr>
          <w:lang w:val="es-MX"/>
        </w:rPr>
      </w:pPr>
      <w:r w:rsidRPr="00A320DF">
        <w:rPr>
          <w:rStyle w:val="Refdenotaalpie"/>
        </w:rPr>
        <w:footnoteRef/>
      </w:r>
      <w:r w:rsidRPr="00A320DF">
        <w:t xml:space="preserve"> </w:t>
      </w:r>
      <w:r w:rsidRPr="00A320DF">
        <w:rPr>
          <w:lang w:val="es-MX"/>
        </w:rPr>
        <w:t>Corte Constitucional, Auto 311 de 2019.</w:t>
      </w:r>
    </w:p>
  </w:footnote>
  <w:footnote w:id="5">
    <w:p w14:paraId="190BE0D2" w14:textId="77777777" w:rsidR="00A320DF" w:rsidRPr="00A320DF" w:rsidRDefault="00A320DF" w:rsidP="00A320DF">
      <w:pPr>
        <w:pStyle w:val="Textonotapie"/>
        <w:rPr>
          <w:lang w:val="es-MX"/>
        </w:rPr>
      </w:pPr>
      <w:r w:rsidRPr="00A320DF">
        <w:rPr>
          <w:rStyle w:val="Refdenotaalpie"/>
        </w:rPr>
        <w:footnoteRef/>
      </w:r>
      <w:r w:rsidRPr="00A320DF">
        <w:t xml:space="preserve"> </w:t>
      </w:r>
      <w:r w:rsidRPr="00A320DF">
        <w:rPr>
          <w:lang w:val="es-MX"/>
        </w:rPr>
        <w:t>Corte Constitucional, Auto 555 de 2021.</w:t>
      </w:r>
    </w:p>
  </w:footnote>
  <w:footnote w:id="6">
    <w:p w14:paraId="77BC9DD2" w14:textId="558EBC49" w:rsidR="00A320DF" w:rsidRPr="00A320DF" w:rsidRDefault="00A320DF" w:rsidP="00A320DF">
      <w:pPr>
        <w:pStyle w:val="Textonotapie"/>
        <w:rPr>
          <w:lang w:val="es-MX"/>
        </w:rPr>
      </w:pPr>
      <w:r w:rsidRPr="00A320DF">
        <w:rPr>
          <w:rStyle w:val="Refdenotaalpie"/>
        </w:rPr>
        <w:footnoteRef/>
      </w:r>
      <w:r w:rsidRPr="00A320DF">
        <w:t xml:space="preserve"> </w:t>
      </w:r>
      <w:r w:rsidRPr="00A320DF">
        <w:rPr>
          <w:lang w:val="es-MX"/>
        </w:rPr>
        <w:t>Corte Constitucional, Auto 311 de 2019</w:t>
      </w:r>
      <w:r w:rsidR="005A4B5E">
        <w:rPr>
          <w:lang w:val="es-MX"/>
        </w:rPr>
        <w:t>.</w:t>
      </w:r>
    </w:p>
  </w:footnote>
  <w:footnote w:id="7">
    <w:p w14:paraId="19FF7C36" w14:textId="77777777" w:rsidR="00A320DF" w:rsidRPr="00A320DF" w:rsidRDefault="00A320DF" w:rsidP="00A320DF">
      <w:pPr>
        <w:pStyle w:val="Textonotapie"/>
        <w:rPr>
          <w:lang w:val="es-MX"/>
        </w:rPr>
      </w:pPr>
      <w:r w:rsidRPr="00A320DF">
        <w:rPr>
          <w:rStyle w:val="Refdenotaalpie"/>
        </w:rPr>
        <w:footnoteRef/>
      </w:r>
      <w:r w:rsidRPr="00A320DF">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0896" w14:textId="234CE7E0" w:rsidR="00117091" w:rsidRPr="00A15ACE" w:rsidRDefault="005A4B5E">
    <w:pPr>
      <w:pStyle w:val="Encabezado"/>
    </w:pPr>
    <w:r>
      <w:rPr>
        <w:noProof/>
      </w:rPr>
      <w:drawing>
        <wp:anchor distT="0" distB="0" distL="114300" distR="114300" simplePos="0" relativeHeight="251660288" behindDoc="0" locked="0" layoutInCell="1" allowOverlap="1" wp14:anchorId="3236CC20" wp14:editId="76588B45">
          <wp:simplePos x="0" y="0"/>
          <wp:positionH relativeFrom="column">
            <wp:posOffset>-470535</wp:posOffset>
          </wp:positionH>
          <wp:positionV relativeFrom="paragraph">
            <wp:posOffset>-297815</wp:posOffset>
          </wp:positionV>
          <wp:extent cx="1038225" cy="965835"/>
          <wp:effectExtent l="0" t="0" r="0" b="5715"/>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23E">
      <w:rPr>
        <w:noProof/>
        <w:sz w:val="20"/>
        <w:szCs w:val="20"/>
        <w:lang w:eastAsia="es-ES"/>
      </w:rPr>
      <mc:AlternateContent>
        <mc:Choice Requires="wps">
          <w:drawing>
            <wp:anchor distT="0" distB="0" distL="114300" distR="114300" simplePos="0" relativeHeight="251659264" behindDoc="0" locked="0" layoutInCell="1" allowOverlap="1" wp14:anchorId="2212A1A6" wp14:editId="3FD02B75">
              <wp:simplePos x="0" y="0"/>
              <wp:positionH relativeFrom="column">
                <wp:posOffset>1379855</wp:posOffset>
              </wp:positionH>
              <wp:positionV relativeFrom="paragraph">
                <wp:posOffset>60325</wp:posOffset>
              </wp:positionV>
              <wp:extent cx="5400040" cy="0"/>
              <wp:effectExtent l="17780" t="22225" r="20955" b="158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D812FB" id="_x0000_t32" coordsize="21600,21600" o:spt="32" o:oned="t" path="m,l21600,21600e" filled="f">
              <v:path arrowok="t" fillok="f" o:connecttype="none"/>
              <o:lock v:ext="edit" shapetype="t"/>
            </v:shapetype>
            <v:shape id="Conector recto de flecha 2" o:spid="_x0000_s1026" type="#_x0000_t3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" strokeweight="2.25pt">
              <v:shadow color="#1f3763" opacity=".5" offset="1pt"/>
            </v:shape>
          </w:pict>
        </mc:Fallback>
      </mc:AlternateContent>
    </w:r>
  </w:p>
  <w:p w14:paraId="0DB11EA1" w14:textId="41551D1E" w:rsidR="00A320DF" w:rsidRPr="00A320DF" w:rsidRDefault="00A320DF" w:rsidP="00A320DF">
    <w:pPr>
      <w:pStyle w:val="Encabezado"/>
      <w:jc w:val="right"/>
      <w:rPr>
        <w:i/>
        <w:iCs/>
        <w:color w:val="767171"/>
        <w:sz w:val="20"/>
        <w:szCs w:val="20"/>
      </w:rPr>
    </w:pPr>
    <w:r w:rsidRPr="00A320DF">
      <w:rPr>
        <w:i/>
        <w:iCs/>
        <w:color w:val="767171"/>
        <w:sz w:val="20"/>
        <w:szCs w:val="20"/>
      </w:rPr>
      <w:t xml:space="preserve">Radicado: </w:t>
    </w:r>
    <w:r w:rsidR="005A4B5E" w:rsidRPr="005A4B5E">
      <w:rPr>
        <w:bCs/>
        <w:i/>
        <w:iCs/>
        <w:color w:val="767171"/>
        <w:sz w:val="20"/>
        <w:szCs w:val="20"/>
      </w:rPr>
      <w:t>11001-03-15-000-2023-00276-00</w:t>
    </w:r>
  </w:p>
  <w:p w14:paraId="7E355751" w14:textId="280ED764" w:rsidR="00A320DF" w:rsidRPr="00A320DF" w:rsidRDefault="00A320DF" w:rsidP="00A320DF">
    <w:pPr>
      <w:pStyle w:val="Encabezado"/>
      <w:spacing w:after="240"/>
      <w:jc w:val="right"/>
      <w:rPr>
        <w:bCs/>
        <w:i/>
        <w:iCs/>
        <w:color w:val="767171"/>
        <w:sz w:val="20"/>
        <w:szCs w:val="20"/>
      </w:rPr>
    </w:pPr>
    <w:r w:rsidRPr="00A320DF">
      <w:rPr>
        <w:i/>
        <w:iCs/>
        <w:color w:val="767171"/>
        <w:sz w:val="20"/>
        <w:szCs w:val="20"/>
      </w:rPr>
      <w:tab/>
    </w:r>
    <w:r w:rsidRPr="00A320DF">
      <w:rPr>
        <w:i/>
        <w:iCs/>
        <w:color w:val="767171"/>
        <w:sz w:val="20"/>
        <w:szCs w:val="20"/>
      </w:rPr>
      <w:tab/>
      <w:t>Accionante:</w:t>
    </w:r>
    <w:r w:rsidRPr="00A320DF">
      <w:rPr>
        <w:rFonts w:eastAsiaTheme="minorHAnsi"/>
        <w:bCs/>
        <w:i/>
        <w:iCs/>
        <w:sz w:val="24"/>
        <w:szCs w:val="24"/>
        <w:lang w:eastAsia="en-US"/>
      </w:rPr>
      <w:t xml:space="preserve"> </w:t>
    </w:r>
    <w:r w:rsidRPr="00A320DF">
      <w:rPr>
        <w:bCs/>
        <w:i/>
        <w:iCs/>
        <w:color w:val="767171"/>
        <w:sz w:val="20"/>
        <w:szCs w:val="20"/>
      </w:rPr>
      <w:t>Nelson Julián Valencia Zamora</w:t>
    </w:r>
  </w:p>
  <w:p w14:paraId="38E0C3D3" w14:textId="77777777" w:rsidR="0067208B" w:rsidRDefault="0067208B" w:rsidP="00A320DF">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F310" w14:textId="481379CD" w:rsidR="00A320DF" w:rsidRPr="00A15ACE" w:rsidRDefault="00A320DF" w:rsidP="00A320DF">
    <w:pPr>
      <w:pStyle w:val="Encabezado"/>
    </w:pPr>
    <w:r w:rsidRPr="00A320DF">
      <w:rPr>
        <w:b/>
        <w:bCs/>
        <w:noProof/>
        <w:sz w:val="24"/>
        <w:szCs w:val="24"/>
      </w:rPr>
      <w:drawing>
        <wp:anchor distT="0" distB="0" distL="114300" distR="114300" simplePos="0" relativeHeight="251661312" behindDoc="0" locked="0" layoutInCell="1" allowOverlap="1" wp14:anchorId="301FEC4A" wp14:editId="01601D2F">
          <wp:simplePos x="0" y="0"/>
          <wp:positionH relativeFrom="column">
            <wp:posOffset>-474980</wp:posOffset>
          </wp:positionH>
          <wp:positionV relativeFrom="paragraph">
            <wp:posOffset>220345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07B44" w14:textId="310C833D" w:rsidR="00A320DF" w:rsidRPr="00A15ACE" w:rsidRDefault="00A320DF" w:rsidP="00A320DF">
    <w:pPr>
      <w:pStyle w:val="Encabezado"/>
    </w:pPr>
    <w:r w:rsidRPr="0070023E">
      <w:rPr>
        <w:noProof/>
        <w:sz w:val="20"/>
        <w:szCs w:val="20"/>
        <w:lang w:eastAsia="es-ES"/>
      </w:rPr>
      <mc:AlternateContent>
        <mc:Choice Requires="wps">
          <w:drawing>
            <wp:anchor distT="0" distB="0" distL="114300" distR="114300" simplePos="0" relativeHeight="251663360" behindDoc="0" locked="0" layoutInCell="1" allowOverlap="1" wp14:anchorId="21A7B60B" wp14:editId="39FF8DF3">
              <wp:simplePos x="0" y="0"/>
              <wp:positionH relativeFrom="column">
                <wp:posOffset>1379855</wp:posOffset>
              </wp:positionH>
              <wp:positionV relativeFrom="paragraph">
                <wp:posOffset>60325</wp:posOffset>
              </wp:positionV>
              <wp:extent cx="5400040" cy="0"/>
              <wp:effectExtent l="17780" t="22225" r="20955" b="1587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B84B40" id="_x0000_t32" coordsize="21600,21600" o:spt="32" o:oned="t" path="m,l21600,21600e" filled="f">
              <v:path arrowok="t" fillok="f" o:connecttype="none"/>
              <o:lock v:ext="edit" shapetype="t"/>
            </v:shapetype>
            <v:shape id="Conector recto de flecha 4"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" strokeweight="2.25pt">
              <v:shadow color="#1f3763" opacity=".5" offset="1pt"/>
            </v:shape>
          </w:pict>
        </mc:Fallback>
      </mc:AlternateContent>
    </w:r>
  </w:p>
  <w:p w14:paraId="2DF59A00" w14:textId="6DE53F9D" w:rsidR="00A320DF" w:rsidRPr="00A320DF" w:rsidRDefault="00A320DF" w:rsidP="00A320DF">
    <w:pPr>
      <w:pStyle w:val="Encabezado"/>
      <w:jc w:val="right"/>
      <w:rPr>
        <w:i/>
        <w:iCs/>
        <w:color w:val="767171"/>
        <w:sz w:val="20"/>
        <w:szCs w:val="20"/>
      </w:rPr>
    </w:pPr>
    <w:r w:rsidRPr="00A320DF">
      <w:rPr>
        <w:i/>
        <w:iCs/>
        <w:color w:val="767171"/>
        <w:sz w:val="20"/>
        <w:szCs w:val="20"/>
      </w:rPr>
      <w:t xml:space="preserve">Radicado: </w:t>
    </w:r>
    <w:r w:rsidR="005A4B5E" w:rsidRPr="005A4B5E">
      <w:rPr>
        <w:bCs/>
        <w:i/>
        <w:iCs/>
        <w:color w:val="767171"/>
        <w:sz w:val="20"/>
        <w:szCs w:val="20"/>
      </w:rPr>
      <w:t>11001-03-15-000-2023-00276-00</w:t>
    </w:r>
  </w:p>
  <w:p w14:paraId="4221B19D" w14:textId="598D33CF" w:rsidR="00A320DF" w:rsidRPr="00A320DF" w:rsidRDefault="00A320DF" w:rsidP="00A320DF">
    <w:pPr>
      <w:pStyle w:val="Encabezado"/>
      <w:spacing w:after="240"/>
      <w:jc w:val="right"/>
      <w:rPr>
        <w:i/>
        <w:iCs/>
        <w:color w:val="767171"/>
        <w:sz w:val="20"/>
        <w:szCs w:val="20"/>
      </w:rPr>
    </w:pPr>
    <w:r w:rsidRPr="00A320DF">
      <w:rPr>
        <w:i/>
        <w:iCs/>
        <w:color w:val="767171"/>
        <w:sz w:val="20"/>
        <w:szCs w:val="20"/>
      </w:rPr>
      <w:tab/>
    </w:r>
    <w:r w:rsidRPr="00A320DF">
      <w:rPr>
        <w:i/>
        <w:iCs/>
        <w:color w:val="767171"/>
        <w:sz w:val="20"/>
        <w:szCs w:val="20"/>
      </w:rPr>
      <w:tab/>
      <w:t>Accionante:</w:t>
    </w:r>
    <w:r w:rsidRPr="00A320DF">
      <w:rPr>
        <w:rFonts w:eastAsiaTheme="minorHAnsi"/>
        <w:bCs/>
        <w:i/>
        <w:iCs/>
        <w:sz w:val="24"/>
        <w:szCs w:val="24"/>
        <w:lang w:eastAsia="en-US"/>
      </w:rPr>
      <w:t xml:space="preserve"> </w:t>
    </w:r>
    <w:r w:rsidRPr="00A320DF">
      <w:rPr>
        <w:bCs/>
        <w:i/>
        <w:iCs/>
        <w:color w:val="767171"/>
        <w:sz w:val="20"/>
        <w:szCs w:val="20"/>
      </w:rPr>
      <w:t>Nelson Julián Valencia Zamora</w:t>
    </w:r>
  </w:p>
  <w:p w14:paraId="0CBF2B1F" w14:textId="03C7B5C6" w:rsidR="0074235D" w:rsidRPr="00A320DF" w:rsidRDefault="005A4B5E" w:rsidP="00A320DF">
    <w:pPr>
      <w:pStyle w:val="Encabezado"/>
      <w:jc w:val="center"/>
      <w:rPr>
        <w:b/>
        <w:bCs/>
        <w:sz w:val="24"/>
        <w:szCs w:val="24"/>
      </w:rPr>
    </w:pPr>
    <w:r w:rsidRPr="00A320DF">
      <w:rPr>
        <w:b/>
        <w:bCs/>
        <w:sz w:val="24"/>
        <w:szCs w:val="24"/>
      </w:rPr>
      <w:t>CONSEJO DE ESTADO</w:t>
    </w:r>
  </w:p>
  <w:p w14:paraId="1CE5FF4F" w14:textId="77777777" w:rsidR="0074235D" w:rsidRPr="007F276C" w:rsidRDefault="005A4B5E" w:rsidP="00E77C3C">
    <w:pPr>
      <w:pStyle w:val="Sinespaciado"/>
      <w:spacing w:after="0"/>
    </w:pPr>
    <w:r w:rsidRPr="007F276C">
      <w:t>SALA DE LO CONTENCIOSO ADMINISTRATIVO</w:t>
    </w:r>
  </w:p>
  <w:p w14:paraId="66392141" w14:textId="77777777" w:rsidR="00A320DF" w:rsidRDefault="005A4B5E" w:rsidP="00E77C3C">
    <w:pPr>
      <w:pStyle w:val="Sinespaciado"/>
      <w:spacing w:after="0"/>
    </w:pPr>
    <w:r w:rsidRPr="007F276C">
      <w:t xml:space="preserve">SECCIÓN TERCERA </w:t>
    </w:r>
  </w:p>
  <w:p w14:paraId="3E803245" w14:textId="45C65F0C" w:rsidR="0074235D" w:rsidRPr="007F276C" w:rsidRDefault="005A4B5E" w:rsidP="00E77C3C">
    <w:pPr>
      <w:pStyle w:val="Sinespaciado"/>
      <w:spacing w:after="0"/>
    </w:pPr>
    <w:r w:rsidRPr="007F276C">
      <w:t>SUBSECCIÓN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DF"/>
    <w:rsid w:val="00475155"/>
    <w:rsid w:val="005146EB"/>
    <w:rsid w:val="005851FD"/>
    <w:rsid w:val="005A4B5E"/>
    <w:rsid w:val="0067208B"/>
    <w:rsid w:val="007338A1"/>
    <w:rsid w:val="00882EE4"/>
    <w:rsid w:val="00950502"/>
    <w:rsid w:val="009D0800"/>
    <w:rsid w:val="00A320DF"/>
    <w:rsid w:val="00B812A3"/>
    <w:rsid w:val="00C62E57"/>
    <w:rsid w:val="00C70A5F"/>
    <w:rsid w:val="00DA5949"/>
    <w:rsid w:val="00E65892"/>
    <w:rsid w:val="00F21E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35B39"/>
  <w15:chartTrackingRefBased/>
  <w15:docId w15:val="{A83FE113-D1E5-48C0-B79D-C1B81401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5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20DF"/>
    <w:pPr>
      <w:tabs>
        <w:tab w:val="center" w:pos="4252"/>
        <w:tab w:val="right" w:pos="8504"/>
      </w:tabs>
      <w:spacing w:after="0" w:line="240" w:lineRule="auto"/>
      <w:jc w:val="both"/>
    </w:pPr>
    <w:rPr>
      <w:rFonts w:ascii="Arial" w:eastAsia="Calibri" w:hAnsi="Arial" w:cs="Arial"/>
      <w:sz w:val="16"/>
      <w:szCs w:val="16"/>
      <w:lang w:eastAsia="es-ES_tradnl"/>
    </w:rPr>
  </w:style>
  <w:style w:type="character" w:customStyle="1" w:styleId="EncabezadoCar">
    <w:name w:val="Encabezado Car"/>
    <w:basedOn w:val="Fuentedeprrafopredeter"/>
    <w:link w:val="Encabezado"/>
    <w:uiPriority w:val="99"/>
    <w:rsid w:val="00A320DF"/>
    <w:rPr>
      <w:rFonts w:ascii="Arial" w:eastAsia="Calibri" w:hAnsi="Arial" w:cs="Arial"/>
      <w:sz w:val="16"/>
      <w:szCs w:val="16"/>
      <w:lang w:eastAsia="es-ES_tradnl"/>
    </w:rPr>
  </w:style>
  <w:style w:type="paragraph" w:styleId="Piedepgina">
    <w:name w:val="footer"/>
    <w:basedOn w:val="Normal"/>
    <w:link w:val="PiedepginaCar"/>
    <w:uiPriority w:val="99"/>
    <w:unhideWhenUsed/>
    <w:rsid w:val="00A320DF"/>
    <w:pPr>
      <w:tabs>
        <w:tab w:val="center" w:pos="4252"/>
        <w:tab w:val="right" w:pos="8504"/>
      </w:tabs>
      <w:spacing w:after="0" w:line="240" w:lineRule="auto"/>
      <w:jc w:val="both"/>
    </w:pPr>
    <w:rPr>
      <w:rFonts w:ascii="Arial" w:eastAsia="Calibri" w:hAnsi="Arial" w:cs="Arial"/>
      <w:sz w:val="16"/>
      <w:szCs w:val="16"/>
      <w:lang w:eastAsia="es-ES_tradnl"/>
    </w:rPr>
  </w:style>
  <w:style w:type="character" w:customStyle="1" w:styleId="PiedepginaCar">
    <w:name w:val="Pie de página Car"/>
    <w:basedOn w:val="Fuentedeprrafopredeter"/>
    <w:link w:val="Piedepgina"/>
    <w:uiPriority w:val="99"/>
    <w:rsid w:val="00A320DF"/>
    <w:rPr>
      <w:rFonts w:ascii="Arial" w:eastAsia="Calibri" w:hAnsi="Arial" w:cs="Arial"/>
      <w:sz w:val="16"/>
      <w:szCs w:val="16"/>
      <w:lang w:eastAsia="es-ES_tradnl"/>
    </w:rPr>
  </w:style>
  <w:style w:type="paragraph" w:customStyle="1" w:styleId="Textoindependiente21">
    <w:name w:val="Texto independiente 21"/>
    <w:basedOn w:val="Normal"/>
    <w:qFormat/>
    <w:rsid w:val="00A320DF"/>
    <w:pPr>
      <w:overflowPunct w:val="0"/>
      <w:autoSpaceDE w:val="0"/>
      <w:autoSpaceDN w:val="0"/>
      <w:adjustRightInd w:val="0"/>
      <w:spacing w:after="120" w:line="240" w:lineRule="auto"/>
      <w:ind w:left="283"/>
    </w:pPr>
    <w:rPr>
      <w:rFonts w:ascii="Arial" w:eastAsia="Times New Roman" w:hAnsi="Arial" w:cs="Times New Roman"/>
      <w:sz w:val="16"/>
      <w:szCs w:val="20"/>
      <w:lang w:val="es-ES_tradnl" w:eastAsia="es-ES"/>
    </w:rPr>
  </w:style>
  <w:style w:type="paragraph" w:styleId="Sinespaciado">
    <w:name w:val="No Spacing"/>
    <w:aliases w:val="Encabezado1"/>
    <w:link w:val="SinespaciadoCar"/>
    <w:autoRedefine/>
    <w:uiPriority w:val="1"/>
    <w:qFormat/>
    <w:rsid w:val="00A320DF"/>
    <w:pPr>
      <w:spacing w:after="240" w:line="240" w:lineRule="auto"/>
      <w:jc w:val="center"/>
    </w:pPr>
    <w:rPr>
      <w:rFonts w:ascii="Arial" w:eastAsia="Calibri" w:hAnsi="Arial" w:cs="Arial"/>
      <w:b/>
      <w:caps/>
      <w:color w:val="000000"/>
      <w:sz w:val="24"/>
      <w:szCs w:val="16"/>
      <w:lang w:eastAsia="es-ES_tradnl"/>
    </w:rPr>
  </w:style>
  <w:style w:type="character" w:customStyle="1" w:styleId="SinespaciadoCar">
    <w:name w:val="Sin espaciado Car"/>
    <w:aliases w:val="Encabezado1 Car"/>
    <w:link w:val="Sinespaciado"/>
    <w:uiPriority w:val="1"/>
    <w:rsid w:val="00A320DF"/>
    <w:rPr>
      <w:rFonts w:ascii="Arial" w:eastAsia="Calibri" w:hAnsi="Arial" w:cs="Arial"/>
      <w:b/>
      <w:caps/>
      <w:color w:val="000000"/>
      <w:sz w:val="24"/>
      <w:szCs w:val="16"/>
      <w:lang w:eastAsia="es-ES_tradnl"/>
    </w:rPr>
  </w:style>
  <w:style w:type="character" w:customStyle="1" w:styleId="normaltextrun">
    <w:name w:val="normaltextrun"/>
    <w:rsid w:val="00A320DF"/>
  </w:style>
  <w:style w:type="paragraph" w:styleId="Textonotapie">
    <w:name w:val="footnote text"/>
    <w:basedOn w:val="Normal"/>
    <w:link w:val="TextonotapieCar"/>
    <w:uiPriority w:val="99"/>
    <w:semiHidden/>
    <w:unhideWhenUsed/>
    <w:qFormat/>
    <w:rsid w:val="00A320DF"/>
    <w:pPr>
      <w:spacing w:after="0" w:line="240" w:lineRule="auto"/>
      <w:jc w:val="both"/>
    </w:pPr>
    <w:rPr>
      <w:rFonts w:ascii="Arial" w:eastAsia="Calibri" w:hAnsi="Arial" w:cs="Arial"/>
      <w:sz w:val="20"/>
      <w:szCs w:val="20"/>
      <w:lang w:eastAsia="es-ES_tradnl"/>
    </w:rPr>
  </w:style>
  <w:style w:type="character" w:customStyle="1" w:styleId="TextonotapieCar">
    <w:name w:val="Texto nota pie Car"/>
    <w:basedOn w:val="Fuentedeprrafopredeter"/>
    <w:link w:val="Textonotapie"/>
    <w:uiPriority w:val="99"/>
    <w:semiHidden/>
    <w:rsid w:val="00A320DF"/>
    <w:rPr>
      <w:rFonts w:ascii="Arial" w:eastAsia="Calibri" w:hAnsi="Arial" w:cs="Arial"/>
      <w:sz w:val="20"/>
      <w:szCs w:val="20"/>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basedOn w:val="Fuentedeprrafopredeter"/>
    <w:uiPriority w:val="99"/>
    <w:unhideWhenUsed/>
    <w:qFormat/>
    <w:rsid w:val="00A320DF"/>
    <w:rPr>
      <w:vertAlign w:val="superscript"/>
    </w:rPr>
  </w:style>
  <w:style w:type="character" w:styleId="Hipervnculo">
    <w:name w:val="Hyperlink"/>
    <w:basedOn w:val="Fuentedeprrafopredeter"/>
    <w:uiPriority w:val="99"/>
    <w:unhideWhenUsed/>
    <w:rsid w:val="00A320DF"/>
    <w:rPr>
      <w:color w:val="0563C1" w:themeColor="hyperlink"/>
      <w:u w:val="single"/>
    </w:rPr>
  </w:style>
  <w:style w:type="paragraph" w:styleId="Prrafodelista">
    <w:name w:val="List Paragraph"/>
    <w:basedOn w:val="Normal"/>
    <w:uiPriority w:val="34"/>
    <w:qFormat/>
    <w:rsid w:val="00514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200837">
      <w:bodyDiv w:val="1"/>
      <w:marLeft w:val="0"/>
      <w:marRight w:val="0"/>
      <w:marTop w:val="0"/>
      <w:marBottom w:val="0"/>
      <w:divBdr>
        <w:top w:val="none" w:sz="0" w:space="0" w:color="auto"/>
        <w:left w:val="none" w:sz="0" w:space="0" w:color="auto"/>
        <w:bottom w:val="none" w:sz="0" w:space="0" w:color="auto"/>
        <w:right w:val="none" w:sz="0" w:space="0" w:color="auto"/>
      </w:divBdr>
    </w:div>
    <w:div w:id="11461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E6CB1-E6C5-4A12-AB9B-99A96B3E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1268</Words>
  <Characters>6978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Mar Otero González</dc:creator>
  <cp:keywords/>
  <dc:description/>
  <cp:lastModifiedBy>Amanda Ceron</cp:lastModifiedBy>
  <cp:revision>2</cp:revision>
  <dcterms:created xsi:type="dcterms:W3CDTF">2023-01-31T20:53:00Z</dcterms:created>
  <dcterms:modified xsi:type="dcterms:W3CDTF">2023-01-31T20:53:00Z</dcterms:modified>
</cp:coreProperties>
</file>