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0D" w:rsidRDefault="00A9240D" w:rsidP="000674F0">
      <w:pPr>
        <w:shd w:val="clear" w:color="auto" w:fill="FFFFFF"/>
        <w:jc w:val="both"/>
        <w:rPr>
          <w:rFonts w:ascii="Arial" w:eastAsia="Times New Roman" w:hAnsi="Arial" w:cs="Arial"/>
          <w:color w:val="000000"/>
          <w:sz w:val="24"/>
          <w:szCs w:val="24"/>
          <w:lang w:eastAsia="es-CO"/>
        </w:rPr>
      </w:pPr>
    </w:p>
    <w:p w:rsidR="00521F7A" w:rsidRPr="00116C71" w:rsidRDefault="00521F7A" w:rsidP="00521F7A">
      <w:pPr>
        <w:jc w:val="center"/>
        <w:rPr>
          <w:rFonts w:ascii="Arial" w:hAnsi="Arial" w:cs="Arial"/>
          <w:b/>
          <w:sz w:val="28"/>
          <w:szCs w:val="28"/>
        </w:rPr>
      </w:pPr>
      <w:r w:rsidRPr="00116C71">
        <w:rPr>
          <w:rFonts w:ascii="Arial" w:hAnsi="Arial" w:cs="Arial"/>
          <w:b/>
          <w:sz w:val="28"/>
          <w:szCs w:val="28"/>
        </w:rPr>
        <w:t>Relatoría</w:t>
      </w:r>
    </w:p>
    <w:p w:rsidR="00521F7A" w:rsidRPr="00116C71" w:rsidRDefault="00521F7A" w:rsidP="00521F7A">
      <w:pPr>
        <w:jc w:val="center"/>
        <w:rPr>
          <w:rFonts w:ascii="Arial" w:hAnsi="Arial" w:cs="Arial"/>
          <w:b/>
          <w:sz w:val="28"/>
          <w:szCs w:val="28"/>
        </w:rPr>
      </w:pPr>
      <w:r w:rsidRPr="00116C71">
        <w:rPr>
          <w:rFonts w:ascii="Arial" w:hAnsi="Arial" w:cs="Arial"/>
          <w:b/>
          <w:sz w:val="28"/>
          <w:szCs w:val="28"/>
        </w:rPr>
        <w:t xml:space="preserve">Sala de </w:t>
      </w:r>
      <w:r>
        <w:rPr>
          <w:rFonts w:ascii="Arial" w:hAnsi="Arial" w:cs="Arial"/>
          <w:b/>
          <w:sz w:val="28"/>
          <w:szCs w:val="28"/>
        </w:rPr>
        <w:t>Justicia y</w:t>
      </w:r>
      <w:r w:rsidRPr="00116C71">
        <w:rPr>
          <w:rFonts w:ascii="Arial" w:hAnsi="Arial" w:cs="Arial"/>
          <w:b/>
          <w:sz w:val="28"/>
          <w:szCs w:val="28"/>
        </w:rPr>
        <w:t xml:space="preserve"> Paz</w:t>
      </w:r>
    </w:p>
    <w:p w:rsidR="00521F7A" w:rsidRPr="00116C71" w:rsidRDefault="00521F7A" w:rsidP="00521F7A">
      <w:pPr>
        <w:jc w:val="center"/>
        <w:rPr>
          <w:rFonts w:ascii="Arial" w:hAnsi="Arial" w:cs="Arial"/>
          <w:b/>
          <w:sz w:val="28"/>
          <w:szCs w:val="28"/>
        </w:rPr>
      </w:pPr>
      <w:r w:rsidRPr="00116C71">
        <w:rPr>
          <w:rFonts w:ascii="Arial" w:hAnsi="Arial" w:cs="Arial"/>
          <w:b/>
          <w:sz w:val="28"/>
          <w:szCs w:val="28"/>
        </w:rPr>
        <w:t xml:space="preserve">Tribunal </w:t>
      </w:r>
      <w:r>
        <w:rPr>
          <w:rFonts w:ascii="Arial" w:hAnsi="Arial" w:cs="Arial"/>
          <w:b/>
          <w:sz w:val="28"/>
          <w:szCs w:val="28"/>
        </w:rPr>
        <w:t>Superior d</w:t>
      </w:r>
      <w:r w:rsidRPr="00116C71">
        <w:rPr>
          <w:rFonts w:ascii="Arial" w:hAnsi="Arial" w:cs="Arial"/>
          <w:b/>
          <w:sz w:val="28"/>
          <w:szCs w:val="28"/>
        </w:rPr>
        <w:t>e Bogotá</w:t>
      </w:r>
    </w:p>
    <w:p w:rsidR="00521F7A" w:rsidRDefault="00521F7A" w:rsidP="00521F7A">
      <w:pPr>
        <w:jc w:val="center"/>
        <w:rPr>
          <w:rFonts w:ascii="Arial" w:hAnsi="Arial" w:cs="Arial"/>
          <w:b/>
          <w:sz w:val="24"/>
          <w:szCs w:val="24"/>
        </w:rPr>
      </w:pPr>
    </w:p>
    <w:p w:rsidR="00521F7A" w:rsidRDefault="00521F7A" w:rsidP="00521F7A">
      <w:pPr>
        <w:jc w:val="center"/>
        <w:rPr>
          <w:rFonts w:ascii="Arial" w:hAnsi="Arial" w:cs="Arial"/>
          <w:b/>
          <w:sz w:val="24"/>
          <w:szCs w:val="24"/>
        </w:rPr>
      </w:pPr>
    </w:p>
    <w:p w:rsidR="00521F7A" w:rsidRPr="00653522" w:rsidRDefault="00C266E7" w:rsidP="00521F7A">
      <w:pPr>
        <w:jc w:val="center"/>
        <w:rPr>
          <w:rFonts w:ascii="Arial" w:hAnsi="Arial" w:cs="Arial"/>
          <w:b/>
          <w:sz w:val="24"/>
          <w:szCs w:val="24"/>
        </w:rPr>
      </w:pPr>
      <w:r>
        <w:rPr>
          <w:rFonts w:ascii="Arial" w:hAnsi="Arial" w:cs="Arial"/>
          <w:b/>
          <w:sz w:val="24"/>
          <w:szCs w:val="24"/>
        </w:rPr>
        <w:t xml:space="preserve">Ficha </w:t>
      </w:r>
      <w:r w:rsidR="00521F7A">
        <w:rPr>
          <w:rFonts w:ascii="Arial" w:hAnsi="Arial" w:cs="Arial"/>
          <w:b/>
          <w:sz w:val="24"/>
          <w:szCs w:val="24"/>
        </w:rPr>
        <w:t>Recursos</w:t>
      </w:r>
      <w:r>
        <w:rPr>
          <w:rFonts w:ascii="Arial" w:hAnsi="Arial" w:cs="Arial"/>
          <w:b/>
          <w:sz w:val="24"/>
          <w:szCs w:val="24"/>
        </w:rPr>
        <w:t xml:space="preserve">: </w:t>
      </w:r>
    </w:p>
    <w:p w:rsidR="00A9240D" w:rsidRPr="00FC4086" w:rsidRDefault="00A9240D" w:rsidP="000674F0">
      <w:pPr>
        <w:shd w:val="clear" w:color="auto" w:fill="FFFFFF"/>
        <w:jc w:val="both"/>
        <w:rPr>
          <w:rFonts w:ascii="Arial" w:eastAsia="Times New Roman" w:hAnsi="Arial" w:cs="Arial"/>
          <w:color w:val="000000"/>
          <w:sz w:val="24"/>
          <w:szCs w:val="24"/>
          <w:lang w:eastAsia="es-CO"/>
        </w:rPr>
      </w:pPr>
      <w:bookmarkStart w:id="0" w:name="_GoBack"/>
    </w:p>
    <w:tbl>
      <w:tblPr>
        <w:tblStyle w:val="Tablaconcuadrcula"/>
        <w:tblW w:w="0" w:type="auto"/>
        <w:tblLook w:val="04A0" w:firstRow="1" w:lastRow="0" w:firstColumn="1" w:lastColumn="0" w:noHBand="0" w:noVBand="1"/>
      </w:tblPr>
      <w:tblGrid>
        <w:gridCol w:w="8830"/>
      </w:tblGrid>
      <w:tr w:rsidR="000674F0" w:rsidRPr="00CA762F" w:rsidTr="00F74F56">
        <w:trPr>
          <w:trHeight w:val="1965"/>
        </w:trPr>
        <w:tc>
          <w:tcPr>
            <w:tcW w:w="8830" w:type="dxa"/>
          </w:tcPr>
          <w:p w:rsidR="000674F0" w:rsidRPr="00FC4086" w:rsidRDefault="000674F0" w:rsidP="00F74F56">
            <w:pPr>
              <w:shd w:val="clear" w:color="auto" w:fill="FFFFFF"/>
              <w:jc w:val="both"/>
              <w:rPr>
                <w:rFonts w:ascii="Arial" w:eastAsia="Times New Roman" w:hAnsi="Arial" w:cs="Arial"/>
                <w:color w:val="000000"/>
                <w:sz w:val="24"/>
                <w:szCs w:val="24"/>
                <w:lang w:eastAsia="es-CO"/>
              </w:rPr>
            </w:pPr>
            <w:r w:rsidRPr="00AA6773">
              <w:rPr>
                <w:rFonts w:ascii="Arial" w:eastAsia="Times New Roman" w:hAnsi="Arial" w:cs="Arial"/>
                <w:b/>
                <w:bCs/>
                <w:color w:val="006FC9"/>
                <w:sz w:val="24"/>
                <w:szCs w:val="24"/>
                <w:lang w:eastAsia="es-CO"/>
              </w:rPr>
              <w:t xml:space="preserve">1. </w:t>
            </w:r>
            <w:r w:rsidRPr="00FC4086">
              <w:rPr>
                <w:rFonts w:ascii="Arial" w:eastAsia="Times New Roman" w:hAnsi="Arial" w:cs="Arial"/>
                <w:b/>
                <w:bCs/>
                <w:color w:val="006FC9"/>
                <w:sz w:val="24"/>
                <w:szCs w:val="24"/>
                <w:lang w:eastAsia="es-CO"/>
              </w:rPr>
              <w:t>Radicado: </w:t>
            </w:r>
            <w:r w:rsidRPr="00AA6773">
              <w:rPr>
                <w:rFonts w:ascii="Arial" w:eastAsia="Times New Roman" w:hAnsi="Arial" w:cs="Arial"/>
                <w:b/>
                <w:bCs/>
                <w:color w:val="006FC9"/>
                <w:sz w:val="24"/>
                <w:szCs w:val="24"/>
                <w:lang w:eastAsia="es-CO"/>
              </w:rPr>
              <w:t>201</w:t>
            </w:r>
            <w:r>
              <w:rPr>
                <w:rFonts w:ascii="Arial" w:eastAsia="Times New Roman" w:hAnsi="Arial" w:cs="Arial"/>
                <w:b/>
                <w:bCs/>
                <w:color w:val="006FC9"/>
                <w:sz w:val="24"/>
                <w:szCs w:val="24"/>
                <w:lang w:eastAsia="es-CO"/>
              </w:rPr>
              <w:t>9-00051</w:t>
            </w:r>
            <w:r w:rsidR="0080777C">
              <w:rPr>
                <w:rFonts w:ascii="Arial" w:eastAsia="Times New Roman" w:hAnsi="Arial" w:cs="Arial"/>
                <w:b/>
                <w:bCs/>
                <w:color w:val="006FC9"/>
                <w:sz w:val="24"/>
                <w:szCs w:val="24"/>
                <w:lang w:eastAsia="es-CO"/>
              </w:rPr>
              <w:t xml:space="preserve"> Segunda instancia. </w:t>
            </w:r>
          </w:p>
          <w:p w:rsidR="00C87340" w:rsidRDefault="000674F0" w:rsidP="00F74F56">
            <w:pPr>
              <w:shd w:val="clear" w:color="auto" w:fill="FFFFFF"/>
              <w:jc w:val="both"/>
              <w:rPr>
                <w:rFonts w:ascii="Arial" w:eastAsia="Times New Roman" w:hAnsi="Arial" w:cs="Arial"/>
                <w:color w:val="000000"/>
                <w:sz w:val="24"/>
                <w:szCs w:val="24"/>
                <w:lang w:eastAsia="es-CO"/>
              </w:rPr>
            </w:pPr>
            <w:r w:rsidRPr="00AA6773">
              <w:rPr>
                <w:rFonts w:ascii="Arial" w:eastAsia="Times New Roman" w:hAnsi="Arial" w:cs="Arial"/>
                <w:color w:val="000000"/>
                <w:sz w:val="24"/>
                <w:szCs w:val="24"/>
                <w:lang w:eastAsia="es-CO"/>
              </w:rPr>
              <w:t>Clase de actuación</w:t>
            </w:r>
            <w:r w:rsidRPr="00FC4086">
              <w:rPr>
                <w:rFonts w:ascii="Arial" w:eastAsia="Times New Roman" w:hAnsi="Arial" w:cs="Arial"/>
                <w:color w:val="000000"/>
                <w:sz w:val="24"/>
                <w:szCs w:val="24"/>
                <w:lang w:eastAsia="es-CO"/>
              </w:rPr>
              <w:t>: </w:t>
            </w:r>
            <w:r>
              <w:rPr>
                <w:rFonts w:ascii="Arial" w:eastAsia="Times New Roman" w:hAnsi="Arial" w:cs="Arial"/>
                <w:color w:val="000000"/>
                <w:sz w:val="24"/>
                <w:szCs w:val="24"/>
                <w:lang w:eastAsia="es-CO"/>
              </w:rPr>
              <w:t xml:space="preserve">recurso de apelación </w:t>
            </w:r>
            <w:r w:rsidR="00666FCB">
              <w:rPr>
                <w:rFonts w:ascii="Arial" w:eastAsia="Times New Roman" w:hAnsi="Arial" w:cs="Arial"/>
                <w:color w:val="000000"/>
                <w:sz w:val="24"/>
                <w:szCs w:val="24"/>
                <w:lang w:eastAsia="es-CO"/>
              </w:rPr>
              <w:t>contra decisión proferida en audiencia (21-08-218) por medio del cual el Juzgado Penal del Circuito con Función de</w:t>
            </w:r>
            <w:r w:rsidR="00A41E93">
              <w:rPr>
                <w:rFonts w:ascii="Arial" w:eastAsia="Times New Roman" w:hAnsi="Arial" w:cs="Arial"/>
                <w:color w:val="000000"/>
                <w:sz w:val="24"/>
                <w:szCs w:val="24"/>
                <w:lang w:eastAsia="es-CO"/>
              </w:rPr>
              <w:t xml:space="preserve"> Ejecución de </w:t>
            </w:r>
            <w:r w:rsidR="00666FCB">
              <w:rPr>
                <w:rFonts w:ascii="Arial" w:eastAsia="Times New Roman" w:hAnsi="Arial" w:cs="Arial"/>
                <w:color w:val="000000"/>
                <w:sz w:val="24"/>
                <w:szCs w:val="24"/>
                <w:lang w:eastAsia="es-CO"/>
              </w:rPr>
              <w:t xml:space="preserve"> Sentencias </w:t>
            </w:r>
            <w:r w:rsidR="00C87340" w:rsidRPr="00A41E93">
              <w:rPr>
                <w:rFonts w:ascii="Arial" w:eastAsia="Times New Roman" w:hAnsi="Arial" w:cs="Arial"/>
                <w:color w:val="000000"/>
                <w:sz w:val="24"/>
                <w:szCs w:val="24"/>
                <w:u w:val="single"/>
                <w:lang w:eastAsia="es-CO"/>
              </w:rPr>
              <w:t>declara cump</w:t>
            </w:r>
            <w:r w:rsidR="009E325D" w:rsidRPr="00A41E93">
              <w:rPr>
                <w:rFonts w:ascii="Arial" w:eastAsia="Times New Roman" w:hAnsi="Arial" w:cs="Arial"/>
                <w:color w:val="000000"/>
                <w:sz w:val="24"/>
                <w:szCs w:val="24"/>
                <w:u w:val="single"/>
                <w:lang w:eastAsia="es-CO"/>
              </w:rPr>
              <w:t xml:space="preserve">lida medida a cargo de la </w:t>
            </w:r>
            <w:proofErr w:type="spellStart"/>
            <w:r w:rsidR="009E325D" w:rsidRPr="00A41E93">
              <w:rPr>
                <w:rFonts w:ascii="Arial" w:eastAsia="Times New Roman" w:hAnsi="Arial" w:cs="Arial"/>
                <w:color w:val="000000"/>
                <w:sz w:val="24"/>
                <w:szCs w:val="24"/>
                <w:u w:val="single"/>
                <w:lang w:eastAsia="es-CO"/>
              </w:rPr>
              <w:t>UARIV</w:t>
            </w:r>
            <w:proofErr w:type="spellEnd"/>
          </w:p>
          <w:p w:rsidR="000674F0" w:rsidRPr="00FC4086" w:rsidRDefault="00C87340" w:rsidP="00F74F56">
            <w:pPr>
              <w:shd w:val="clear" w:color="auto" w:fill="FFFFFF"/>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Estructura: Bloque Tolima - AUC</w:t>
            </w:r>
          </w:p>
          <w:p w:rsidR="000674F0" w:rsidRPr="00FC4086" w:rsidRDefault="000674F0" w:rsidP="00F74F56">
            <w:pPr>
              <w:shd w:val="clear" w:color="auto" w:fill="FFFFFF"/>
              <w:jc w:val="both"/>
              <w:rPr>
                <w:rFonts w:ascii="Arial" w:eastAsia="Times New Roman" w:hAnsi="Arial" w:cs="Arial"/>
                <w:color w:val="000000"/>
                <w:sz w:val="24"/>
                <w:szCs w:val="24"/>
                <w:lang w:eastAsia="es-CO"/>
              </w:rPr>
            </w:pPr>
            <w:r w:rsidRPr="00FC4086">
              <w:rPr>
                <w:rFonts w:ascii="Arial" w:eastAsia="Times New Roman" w:hAnsi="Arial" w:cs="Arial"/>
                <w:color w:val="000000"/>
                <w:sz w:val="24"/>
                <w:szCs w:val="24"/>
                <w:lang w:eastAsia="es-CO"/>
              </w:rPr>
              <w:t>Fecha: </w:t>
            </w:r>
            <w:r w:rsidR="00C87340">
              <w:rPr>
                <w:rFonts w:ascii="Arial" w:eastAsia="Times New Roman" w:hAnsi="Arial" w:cs="Arial"/>
                <w:color w:val="000000"/>
                <w:sz w:val="24"/>
                <w:szCs w:val="24"/>
                <w:lang w:eastAsia="es-CO"/>
              </w:rPr>
              <w:t>04-07-2019</w:t>
            </w:r>
          </w:p>
          <w:p w:rsidR="000674F0" w:rsidRPr="00FC4086" w:rsidRDefault="000674F0" w:rsidP="00F74F56">
            <w:pPr>
              <w:shd w:val="clear" w:color="auto" w:fill="FFFFFF"/>
              <w:jc w:val="both"/>
              <w:rPr>
                <w:rFonts w:ascii="Arial" w:eastAsia="Times New Roman" w:hAnsi="Arial" w:cs="Arial"/>
                <w:color w:val="000000"/>
                <w:sz w:val="24"/>
                <w:szCs w:val="24"/>
                <w:lang w:eastAsia="es-CO"/>
              </w:rPr>
            </w:pPr>
            <w:proofErr w:type="spellStart"/>
            <w:r w:rsidRPr="00FC4086">
              <w:rPr>
                <w:rFonts w:ascii="Arial" w:eastAsia="Times New Roman" w:hAnsi="Arial" w:cs="Arial"/>
                <w:color w:val="000000"/>
                <w:sz w:val="24"/>
                <w:szCs w:val="24"/>
                <w:lang w:eastAsia="es-CO"/>
              </w:rPr>
              <w:t>M.P</w:t>
            </w:r>
            <w:proofErr w:type="spellEnd"/>
            <w:r w:rsidRPr="00FC4086">
              <w:rPr>
                <w:rFonts w:ascii="Arial" w:eastAsia="Times New Roman" w:hAnsi="Arial" w:cs="Arial"/>
                <w:color w:val="000000"/>
                <w:sz w:val="24"/>
                <w:szCs w:val="24"/>
                <w:lang w:eastAsia="es-CO"/>
              </w:rPr>
              <w:t>. </w:t>
            </w:r>
            <w:r>
              <w:rPr>
                <w:rFonts w:ascii="Arial" w:eastAsia="Times New Roman" w:hAnsi="Arial" w:cs="Arial"/>
                <w:color w:val="000000"/>
                <w:sz w:val="24"/>
                <w:szCs w:val="24"/>
                <w:lang w:eastAsia="es-CO"/>
              </w:rPr>
              <w:t>Álvaro Fernando Moncayo Guzmán</w:t>
            </w:r>
          </w:p>
          <w:p w:rsidR="000674F0" w:rsidRPr="004C305C" w:rsidRDefault="000674F0" w:rsidP="00F74F56">
            <w:pPr>
              <w:shd w:val="clear" w:color="auto" w:fill="FFFFFF"/>
              <w:jc w:val="both"/>
              <w:rPr>
                <w:rFonts w:ascii="Arial" w:eastAsia="Times New Roman" w:hAnsi="Arial" w:cs="Arial"/>
                <w:color w:val="000000"/>
                <w:sz w:val="24"/>
                <w:szCs w:val="24"/>
                <w:lang w:eastAsia="es-CO"/>
              </w:rPr>
            </w:pPr>
            <w:r w:rsidRPr="00FC4086">
              <w:rPr>
                <w:rFonts w:ascii="Arial" w:eastAsia="Times New Roman" w:hAnsi="Arial" w:cs="Arial"/>
                <w:color w:val="000000"/>
                <w:sz w:val="24"/>
                <w:szCs w:val="24"/>
                <w:lang w:eastAsia="es-CO"/>
              </w:rPr>
              <w:t>Decisión: </w:t>
            </w:r>
            <w:r w:rsidR="00D07DB5">
              <w:rPr>
                <w:rFonts w:ascii="Arial" w:eastAsia="Times New Roman" w:hAnsi="Arial" w:cs="Arial"/>
                <w:color w:val="000000"/>
                <w:sz w:val="24"/>
                <w:szCs w:val="24"/>
                <w:lang w:eastAsia="es-CO"/>
              </w:rPr>
              <w:t xml:space="preserve">Confirma. </w:t>
            </w:r>
          </w:p>
        </w:tc>
      </w:tr>
      <w:tr w:rsidR="000674F0" w:rsidRPr="00CA762F" w:rsidTr="00F74F56">
        <w:trPr>
          <w:trHeight w:val="623"/>
        </w:trPr>
        <w:tc>
          <w:tcPr>
            <w:tcW w:w="8830" w:type="dxa"/>
          </w:tcPr>
          <w:p w:rsidR="00B756B8" w:rsidRDefault="00B756B8" w:rsidP="00F74F56">
            <w:pPr>
              <w:jc w:val="both"/>
              <w:rPr>
                <w:rFonts w:ascii="Arial" w:hAnsi="Arial" w:cs="Arial"/>
                <w:b/>
                <w:sz w:val="24"/>
                <w:szCs w:val="24"/>
              </w:rPr>
            </w:pPr>
          </w:p>
          <w:p w:rsidR="000674F0" w:rsidRDefault="000674F0" w:rsidP="00F74F56">
            <w:pPr>
              <w:jc w:val="both"/>
              <w:rPr>
                <w:rFonts w:ascii="Arial" w:hAnsi="Arial" w:cs="Arial"/>
                <w:b/>
                <w:sz w:val="24"/>
                <w:szCs w:val="24"/>
              </w:rPr>
            </w:pPr>
            <w:r w:rsidRPr="00E37DDE">
              <w:rPr>
                <w:rFonts w:ascii="Arial" w:hAnsi="Arial" w:cs="Arial"/>
                <w:b/>
                <w:sz w:val="24"/>
                <w:szCs w:val="24"/>
              </w:rPr>
              <w:t>TESIS</w:t>
            </w:r>
            <w:r w:rsidR="00E84B7A">
              <w:rPr>
                <w:rFonts w:ascii="Arial" w:hAnsi="Arial" w:cs="Arial"/>
                <w:b/>
                <w:sz w:val="24"/>
                <w:szCs w:val="24"/>
              </w:rPr>
              <w:t xml:space="preserve"> 1</w:t>
            </w:r>
            <w:r w:rsidRPr="00E37DDE">
              <w:rPr>
                <w:rFonts w:ascii="Arial" w:hAnsi="Arial" w:cs="Arial"/>
                <w:b/>
                <w:sz w:val="24"/>
                <w:szCs w:val="24"/>
              </w:rPr>
              <w:t>:</w:t>
            </w:r>
            <w:r>
              <w:rPr>
                <w:rFonts w:ascii="Arial" w:hAnsi="Arial" w:cs="Arial"/>
                <w:sz w:val="24"/>
                <w:szCs w:val="24"/>
              </w:rPr>
              <w:t xml:space="preserve"> «</w:t>
            </w:r>
            <w:r w:rsidR="00106783">
              <w:rPr>
                <w:rFonts w:ascii="Arial" w:hAnsi="Arial" w:cs="Arial"/>
                <w:sz w:val="24"/>
                <w:szCs w:val="24"/>
              </w:rPr>
              <w:t xml:space="preserve"> </w:t>
            </w:r>
            <w:r>
              <w:rPr>
                <w:rFonts w:ascii="Arial" w:hAnsi="Arial" w:cs="Arial"/>
                <w:sz w:val="24"/>
                <w:szCs w:val="24"/>
              </w:rPr>
              <w:t xml:space="preserve">[...] </w:t>
            </w:r>
            <w:r w:rsidR="00175FEF">
              <w:rPr>
                <w:rFonts w:ascii="Arial" w:hAnsi="Arial" w:cs="Arial"/>
                <w:sz w:val="24"/>
                <w:szCs w:val="24"/>
              </w:rPr>
              <w:t>Como factor transversal a las medidas</w:t>
            </w:r>
            <w:r w:rsidR="006D1092">
              <w:rPr>
                <w:rFonts w:ascii="Arial" w:hAnsi="Arial" w:cs="Arial"/>
                <w:sz w:val="24"/>
                <w:szCs w:val="24"/>
              </w:rPr>
              <w:t xml:space="preserve"> que se vigilan, para encontrar insatisfecho un exhorto u orden el Juzgado de Ejecución de Penas deberá tener elementos de juicio suficientes para determinar que hubo incumplimiento voluntario por </w:t>
            </w:r>
            <w:r w:rsidR="00E84B7A">
              <w:rPr>
                <w:rFonts w:ascii="Arial" w:hAnsi="Arial" w:cs="Arial"/>
                <w:sz w:val="24"/>
                <w:szCs w:val="24"/>
              </w:rPr>
              <w:t>parte</w:t>
            </w:r>
            <w:r w:rsidR="006D1092">
              <w:rPr>
                <w:rFonts w:ascii="Arial" w:hAnsi="Arial" w:cs="Arial"/>
                <w:sz w:val="24"/>
                <w:szCs w:val="24"/>
              </w:rPr>
              <w:t xml:space="preserve"> de las entidades responsables, debiendo revisar que en cada caso particular </w:t>
            </w:r>
            <w:r w:rsidR="00E84B7A">
              <w:rPr>
                <w:rFonts w:ascii="Arial" w:hAnsi="Arial" w:cs="Arial"/>
                <w:sz w:val="24"/>
                <w:szCs w:val="24"/>
              </w:rPr>
              <w:t>y de acuerdo a la magnitud de lo que se vigila, el tiempo razonable para su cabal satisfacción (...)</w:t>
            </w:r>
            <w:r w:rsidR="00600D00">
              <w:rPr>
                <w:rFonts w:ascii="Arial" w:hAnsi="Arial" w:cs="Arial"/>
                <w:sz w:val="24"/>
                <w:szCs w:val="24"/>
              </w:rPr>
              <w:t xml:space="preserve"> </w:t>
            </w:r>
            <w:r>
              <w:rPr>
                <w:rFonts w:ascii="Arial" w:hAnsi="Arial" w:cs="Arial"/>
                <w:sz w:val="24"/>
                <w:szCs w:val="24"/>
              </w:rPr>
              <w:t>»</w:t>
            </w:r>
            <w:r w:rsidR="00E84B7A">
              <w:rPr>
                <w:rFonts w:ascii="Arial" w:hAnsi="Arial" w:cs="Arial"/>
                <w:sz w:val="24"/>
                <w:szCs w:val="24"/>
              </w:rPr>
              <w:t xml:space="preserve"> </w:t>
            </w:r>
            <w:r w:rsidR="00E84B7A" w:rsidRPr="00A95895">
              <w:rPr>
                <w:rFonts w:ascii="Arial" w:hAnsi="Arial" w:cs="Arial"/>
                <w:b/>
                <w:sz w:val="24"/>
                <w:szCs w:val="24"/>
              </w:rPr>
              <w:t xml:space="preserve">Reitera </w:t>
            </w:r>
            <w:r w:rsidR="00A95895">
              <w:rPr>
                <w:rFonts w:ascii="Arial" w:hAnsi="Arial" w:cs="Arial"/>
                <w:b/>
                <w:sz w:val="24"/>
                <w:szCs w:val="24"/>
              </w:rPr>
              <w:t>d</w:t>
            </w:r>
            <w:r w:rsidR="00A95895" w:rsidRPr="00A95895">
              <w:rPr>
                <w:rFonts w:ascii="Arial" w:hAnsi="Arial" w:cs="Arial"/>
                <w:b/>
                <w:sz w:val="24"/>
                <w:szCs w:val="24"/>
              </w:rPr>
              <w:t>ecisión de la Sala proferida el 28 de septiembre de 2017 (Rad. 2017-00179)</w:t>
            </w:r>
            <w:r w:rsidR="00A95895">
              <w:rPr>
                <w:rFonts w:ascii="Arial" w:hAnsi="Arial" w:cs="Arial"/>
                <w:b/>
                <w:sz w:val="24"/>
                <w:szCs w:val="24"/>
              </w:rPr>
              <w:t>.</w:t>
            </w:r>
          </w:p>
          <w:p w:rsidR="00A95895" w:rsidRDefault="00A95895" w:rsidP="00F74F56">
            <w:pPr>
              <w:jc w:val="both"/>
              <w:rPr>
                <w:rFonts w:ascii="Arial" w:hAnsi="Arial" w:cs="Arial"/>
                <w:b/>
                <w:sz w:val="24"/>
                <w:szCs w:val="24"/>
              </w:rPr>
            </w:pPr>
          </w:p>
          <w:p w:rsidR="00A95895" w:rsidRDefault="00A95895" w:rsidP="00F74F56">
            <w:pPr>
              <w:jc w:val="both"/>
              <w:rPr>
                <w:rFonts w:ascii="Arial" w:hAnsi="Arial" w:cs="Arial"/>
                <w:sz w:val="24"/>
                <w:szCs w:val="24"/>
              </w:rPr>
            </w:pPr>
            <w:r>
              <w:rPr>
                <w:rFonts w:ascii="Arial" w:hAnsi="Arial" w:cs="Arial"/>
                <w:b/>
                <w:sz w:val="24"/>
                <w:szCs w:val="24"/>
              </w:rPr>
              <w:t>TESIS 2</w:t>
            </w:r>
            <w:r w:rsidRPr="00A95895">
              <w:rPr>
                <w:rFonts w:ascii="Arial" w:hAnsi="Arial" w:cs="Arial"/>
                <w:b/>
                <w:sz w:val="24"/>
                <w:szCs w:val="24"/>
              </w:rPr>
              <w:t xml:space="preserve">: </w:t>
            </w:r>
            <w:r w:rsidRPr="00D777D3">
              <w:rPr>
                <w:rFonts w:ascii="Arial" w:hAnsi="Arial" w:cs="Arial"/>
                <w:sz w:val="24"/>
                <w:szCs w:val="24"/>
              </w:rPr>
              <w:t>« [...]</w:t>
            </w:r>
            <w:r w:rsidR="00D777D3">
              <w:rPr>
                <w:rFonts w:ascii="Arial" w:hAnsi="Arial" w:cs="Arial"/>
                <w:sz w:val="24"/>
                <w:szCs w:val="24"/>
              </w:rPr>
              <w:t xml:space="preserve"> </w:t>
            </w:r>
            <w:r w:rsidR="00D12E48">
              <w:rPr>
                <w:rFonts w:ascii="Arial" w:hAnsi="Arial" w:cs="Arial"/>
                <w:sz w:val="24"/>
                <w:szCs w:val="24"/>
              </w:rPr>
              <w:t xml:space="preserve">Los pagos realizados por la </w:t>
            </w:r>
            <w:proofErr w:type="spellStart"/>
            <w:r w:rsidR="00D12E48">
              <w:rPr>
                <w:rFonts w:ascii="Arial" w:hAnsi="Arial" w:cs="Arial"/>
                <w:sz w:val="24"/>
                <w:szCs w:val="24"/>
              </w:rPr>
              <w:t>UARIV</w:t>
            </w:r>
            <w:proofErr w:type="spellEnd"/>
            <w:r w:rsidR="00D12E48">
              <w:rPr>
                <w:rFonts w:ascii="Arial" w:hAnsi="Arial" w:cs="Arial"/>
                <w:sz w:val="24"/>
                <w:szCs w:val="24"/>
              </w:rPr>
              <w:t xml:space="preserve"> se </w:t>
            </w:r>
            <w:r w:rsidR="00916A2A">
              <w:rPr>
                <w:rFonts w:ascii="Arial" w:hAnsi="Arial" w:cs="Arial"/>
                <w:sz w:val="24"/>
                <w:szCs w:val="24"/>
              </w:rPr>
              <w:t>efectúan</w:t>
            </w:r>
            <w:r w:rsidR="00D12E48">
              <w:rPr>
                <w:rFonts w:ascii="Arial" w:hAnsi="Arial" w:cs="Arial"/>
                <w:sz w:val="24"/>
                <w:szCs w:val="24"/>
              </w:rPr>
              <w:t xml:space="preserve"> respecto de las indemnizaciones decretadas en la sentencia, y no respecto de los proyectos productivos</w:t>
            </w:r>
            <w:r w:rsidR="00916A2A">
              <w:rPr>
                <w:rFonts w:ascii="Arial" w:hAnsi="Arial" w:cs="Arial"/>
                <w:sz w:val="24"/>
                <w:szCs w:val="24"/>
              </w:rPr>
              <w:t xml:space="preserve">. </w:t>
            </w:r>
            <w:r w:rsidR="00916A2A" w:rsidRPr="00916A2A">
              <w:rPr>
                <w:rFonts w:ascii="Arial" w:hAnsi="Arial" w:cs="Arial"/>
                <w:sz w:val="24"/>
                <w:szCs w:val="24"/>
              </w:rPr>
              <w:t>(...) »</w:t>
            </w:r>
          </w:p>
          <w:p w:rsidR="00916A2A" w:rsidRPr="00D777D3" w:rsidRDefault="00916A2A" w:rsidP="00F74F56">
            <w:pPr>
              <w:jc w:val="both"/>
              <w:rPr>
                <w:rFonts w:ascii="Arial" w:hAnsi="Arial" w:cs="Arial"/>
                <w:sz w:val="24"/>
                <w:szCs w:val="24"/>
              </w:rPr>
            </w:pPr>
          </w:p>
          <w:p w:rsidR="000674F0" w:rsidRPr="00711822" w:rsidRDefault="00916A2A" w:rsidP="00916A2A">
            <w:pPr>
              <w:tabs>
                <w:tab w:val="left" w:pos="1635"/>
              </w:tabs>
              <w:jc w:val="both"/>
            </w:pPr>
            <w:r w:rsidRPr="00711822">
              <w:rPr>
                <w:rFonts w:ascii="Arial" w:hAnsi="Arial" w:cs="Arial"/>
                <w:b/>
                <w:sz w:val="24"/>
                <w:szCs w:val="24"/>
              </w:rPr>
              <w:t>TESIS 3</w:t>
            </w:r>
            <w:r w:rsidRPr="00711822">
              <w:rPr>
                <w:rFonts w:ascii="Arial" w:hAnsi="Arial" w:cs="Arial"/>
                <w:b/>
                <w:sz w:val="24"/>
                <w:szCs w:val="24"/>
              </w:rPr>
              <w:t>:</w:t>
            </w:r>
            <w:r w:rsidRPr="00711822">
              <w:rPr>
                <w:rFonts w:ascii="Arial" w:hAnsi="Arial" w:cs="Arial"/>
                <w:b/>
                <w:sz w:val="24"/>
                <w:szCs w:val="24"/>
              </w:rPr>
              <w:t xml:space="preserve"> </w:t>
            </w:r>
            <w:r w:rsidRPr="00711822">
              <w:rPr>
                <w:rFonts w:ascii="Arial" w:hAnsi="Arial" w:cs="Arial"/>
                <w:sz w:val="24"/>
                <w:szCs w:val="24"/>
              </w:rPr>
              <w:t>« [...]</w:t>
            </w:r>
            <w:r w:rsidRPr="00711822">
              <w:rPr>
                <w:rFonts w:ascii="Arial" w:hAnsi="Arial" w:cs="Arial"/>
                <w:sz w:val="24"/>
                <w:szCs w:val="24"/>
              </w:rPr>
              <w:t xml:space="preserve"> </w:t>
            </w:r>
            <w:r w:rsidR="00475ABC" w:rsidRPr="00711822">
              <w:rPr>
                <w:rFonts w:ascii="Arial" w:hAnsi="Arial" w:cs="Arial"/>
                <w:sz w:val="24"/>
                <w:szCs w:val="24"/>
              </w:rPr>
              <w:t xml:space="preserve">En las sentencias proferidas en el proceso de Justicia y Paz, el Estado </w:t>
            </w:r>
            <w:r w:rsidR="00475ABC" w:rsidRPr="00711822">
              <w:rPr>
                <w:rFonts w:ascii="Arial" w:hAnsi="Arial" w:cs="Arial"/>
                <w:b/>
                <w:sz w:val="24"/>
                <w:szCs w:val="24"/>
              </w:rPr>
              <w:t>solo</w:t>
            </w:r>
            <w:r w:rsidR="00475ABC" w:rsidRPr="00711822">
              <w:rPr>
                <w:rFonts w:ascii="Arial" w:hAnsi="Arial" w:cs="Arial"/>
                <w:sz w:val="24"/>
                <w:szCs w:val="24"/>
              </w:rPr>
              <w:t xml:space="preserve"> responderá </w:t>
            </w:r>
            <w:r w:rsidR="00783D18" w:rsidRPr="00711822">
              <w:rPr>
                <w:rFonts w:ascii="Arial" w:hAnsi="Arial" w:cs="Arial"/>
                <w:sz w:val="24"/>
                <w:szCs w:val="24"/>
              </w:rPr>
              <w:t>de manera subsidiaria</w:t>
            </w:r>
            <w:r w:rsidR="00E42EDB" w:rsidRPr="00711822">
              <w:rPr>
                <w:rFonts w:ascii="Arial" w:hAnsi="Arial" w:cs="Arial"/>
                <w:sz w:val="24"/>
                <w:szCs w:val="24"/>
              </w:rPr>
              <w:t>, por ello</w:t>
            </w:r>
            <w:r w:rsidR="00A356B5" w:rsidRPr="00711822">
              <w:rPr>
                <w:rFonts w:ascii="Arial" w:hAnsi="Arial" w:cs="Arial"/>
                <w:sz w:val="24"/>
                <w:szCs w:val="24"/>
              </w:rPr>
              <w:t>, su responsabilidad</w:t>
            </w:r>
            <w:r w:rsidR="00D3221B" w:rsidRPr="00711822">
              <w:rPr>
                <w:rFonts w:ascii="Arial" w:hAnsi="Arial" w:cs="Arial"/>
                <w:sz w:val="24"/>
                <w:szCs w:val="24"/>
              </w:rPr>
              <w:t xml:space="preserve"> no</w:t>
            </w:r>
            <w:r w:rsidR="00A356B5" w:rsidRPr="00711822">
              <w:rPr>
                <w:rFonts w:ascii="Arial" w:hAnsi="Arial" w:cs="Arial"/>
                <w:sz w:val="24"/>
                <w:szCs w:val="24"/>
              </w:rPr>
              <w:t xml:space="preserve"> es solidaria</w:t>
            </w:r>
            <w:r w:rsidR="00475ABC" w:rsidRPr="00711822">
              <w:rPr>
                <w:rFonts w:ascii="Arial" w:hAnsi="Arial" w:cs="Arial"/>
                <w:sz w:val="24"/>
                <w:szCs w:val="24"/>
              </w:rPr>
              <w:t xml:space="preserve">. </w:t>
            </w:r>
            <w:r w:rsidR="00783D18" w:rsidRPr="00711822">
              <w:rPr>
                <w:rFonts w:ascii="Arial" w:hAnsi="Arial" w:cs="Arial"/>
                <w:sz w:val="24"/>
                <w:szCs w:val="24"/>
              </w:rPr>
              <w:t>(...) »</w:t>
            </w:r>
            <w:r w:rsidR="00783D18" w:rsidRPr="00711822">
              <w:t xml:space="preserve"> </w:t>
            </w:r>
            <w:r w:rsidR="00783D18" w:rsidRPr="00711822">
              <w:rPr>
                <w:rFonts w:ascii="Arial" w:hAnsi="Arial" w:cs="Arial"/>
                <w:b/>
                <w:sz w:val="24"/>
                <w:szCs w:val="24"/>
              </w:rPr>
              <w:t>Reitera decisión de la Sala proferida el 28 de febrero de 2019 (Rad. 2019-00039).</w:t>
            </w:r>
          </w:p>
          <w:p w:rsidR="00916A2A" w:rsidRPr="004C305C" w:rsidRDefault="00916A2A" w:rsidP="00F74F56">
            <w:pPr>
              <w:jc w:val="both"/>
              <w:rPr>
                <w:rFonts w:ascii="Arial" w:hAnsi="Arial" w:cs="Arial"/>
                <w:sz w:val="24"/>
                <w:szCs w:val="24"/>
              </w:rPr>
            </w:pPr>
          </w:p>
        </w:tc>
      </w:tr>
      <w:tr w:rsidR="000674F0" w:rsidRPr="00CA762F" w:rsidTr="00F74F56">
        <w:tc>
          <w:tcPr>
            <w:tcW w:w="8830" w:type="dxa"/>
          </w:tcPr>
          <w:p w:rsidR="000674F0" w:rsidRDefault="000674F0" w:rsidP="00F74F56">
            <w:pPr>
              <w:jc w:val="both"/>
              <w:rPr>
                <w:rFonts w:ascii="Arial" w:hAnsi="Arial" w:cs="Arial"/>
                <w:b/>
                <w:sz w:val="24"/>
                <w:szCs w:val="24"/>
              </w:rPr>
            </w:pPr>
            <w:r>
              <w:rPr>
                <w:rFonts w:ascii="Arial" w:hAnsi="Arial" w:cs="Arial"/>
                <w:b/>
                <w:sz w:val="24"/>
                <w:szCs w:val="24"/>
              </w:rPr>
              <w:t>TEMAS</w:t>
            </w:r>
            <w:r w:rsidR="000C0046">
              <w:rPr>
                <w:rFonts w:ascii="Arial" w:hAnsi="Arial" w:cs="Arial"/>
                <w:b/>
                <w:sz w:val="24"/>
                <w:szCs w:val="24"/>
              </w:rPr>
              <w:t>:</w:t>
            </w:r>
          </w:p>
          <w:p w:rsidR="000674F0" w:rsidRDefault="000674F0" w:rsidP="00F74F56">
            <w:pPr>
              <w:jc w:val="both"/>
              <w:rPr>
                <w:rFonts w:ascii="Arial" w:eastAsia="Times New Roman" w:hAnsi="Arial" w:cs="Arial"/>
                <w:b/>
                <w:bCs/>
                <w:color w:val="000000"/>
                <w:sz w:val="24"/>
                <w:szCs w:val="24"/>
                <w:lang w:eastAsia="es-CO"/>
              </w:rPr>
            </w:pPr>
          </w:p>
          <w:p w:rsidR="000674F0" w:rsidRDefault="0031192E" w:rsidP="0031192E">
            <w:pPr>
              <w:jc w:val="both"/>
              <w:rPr>
                <w:rFonts w:ascii="Arial" w:eastAsia="Times New Roman" w:hAnsi="Arial" w:cs="Arial"/>
                <w:bCs/>
                <w:sz w:val="24"/>
                <w:szCs w:val="24"/>
                <w:lang w:eastAsia="es-CO"/>
              </w:rPr>
            </w:pPr>
            <w:r w:rsidRPr="0031192E">
              <w:rPr>
                <w:rFonts w:ascii="Arial" w:eastAsia="Times New Roman" w:hAnsi="Arial" w:cs="Arial"/>
                <w:b/>
                <w:bCs/>
                <w:sz w:val="24"/>
                <w:szCs w:val="24"/>
                <w:lang w:eastAsia="es-CO"/>
              </w:rPr>
              <w:t xml:space="preserve">PROCESO DE JUSTICIA Y PAZ Y LAS MEDIDAS CONTEMPLADAS EN LAS SENTENCIAS: </w:t>
            </w:r>
            <w:r w:rsidR="00750475" w:rsidRPr="00750475">
              <w:rPr>
                <w:rFonts w:ascii="Arial" w:eastAsia="Times New Roman" w:hAnsi="Arial" w:cs="Arial"/>
                <w:bCs/>
                <w:sz w:val="24"/>
                <w:szCs w:val="24"/>
                <w:lang w:eastAsia="es-CO"/>
              </w:rPr>
              <w:t xml:space="preserve">Esta especialidad profiere sentencias en la que, no solo se sancionan las conductas de los responsables agrupadas en patrones de macrocriminalidad, sino que también, dado que las víctimas son el eje del proceso, contempla medidas especiales de reparación para resarcir el daño que sufrieron. </w:t>
            </w:r>
            <w:r w:rsidR="00F40D8F">
              <w:rPr>
                <w:rFonts w:ascii="Arial" w:eastAsia="Times New Roman" w:hAnsi="Arial" w:cs="Arial"/>
                <w:bCs/>
                <w:sz w:val="24"/>
                <w:szCs w:val="24"/>
                <w:lang w:eastAsia="es-CO"/>
              </w:rPr>
              <w:t xml:space="preserve">Sin embargo, para ese efecto el punto de partida es la premisa de que el daño debe repararse por quien lo causa y en ese orden de ideas las víctimas de los delitos deben ser plenamente reparadas por los autores de estos y en forma subsidiaria por el Estado; “(...) bajo la </w:t>
            </w:r>
            <w:r w:rsidR="004A45B2">
              <w:rPr>
                <w:rFonts w:ascii="Arial" w:eastAsia="Times New Roman" w:hAnsi="Arial" w:cs="Arial"/>
                <w:bCs/>
                <w:sz w:val="24"/>
                <w:szCs w:val="24"/>
                <w:lang w:eastAsia="es-CO"/>
              </w:rPr>
              <w:t xml:space="preserve">consideración de haber sido incapaz de brindar la protección necesaria para evitar la comisión de tales acciones. </w:t>
            </w:r>
          </w:p>
          <w:p w:rsidR="00200DF9" w:rsidRDefault="00200DF9" w:rsidP="0031192E">
            <w:pPr>
              <w:jc w:val="both"/>
              <w:rPr>
                <w:rFonts w:ascii="Arial" w:eastAsia="Times New Roman" w:hAnsi="Arial" w:cs="Arial"/>
                <w:bCs/>
                <w:sz w:val="24"/>
                <w:szCs w:val="24"/>
                <w:lang w:eastAsia="es-CO"/>
              </w:rPr>
            </w:pPr>
          </w:p>
          <w:p w:rsidR="00D20E04" w:rsidRDefault="00C27D16" w:rsidP="0031192E">
            <w:pPr>
              <w:jc w:val="both"/>
              <w:rPr>
                <w:rFonts w:ascii="Arial" w:eastAsia="Times New Roman" w:hAnsi="Arial" w:cs="Arial"/>
                <w:bCs/>
                <w:sz w:val="24"/>
                <w:szCs w:val="24"/>
                <w:lang w:eastAsia="es-CO"/>
              </w:rPr>
            </w:pPr>
            <w:r>
              <w:rPr>
                <w:rFonts w:ascii="Arial" w:eastAsia="Times New Roman" w:hAnsi="Arial" w:cs="Arial"/>
                <w:b/>
                <w:bCs/>
                <w:sz w:val="24"/>
                <w:szCs w:val="24"/>
                <w:lang w:eastAsia="es-CO"/>
              </w:rPr>
              <w:t xml:space="preserve">LAS MEDIDAS QUE SE IMPONEN EN LAS SENTENCIAS </w:t>
            </w:r>
            <w:r w:rsidR="000530F9">
              <w:rPr>
                <w:rFonts w:ascii="Arial" w:eastAsia="Times New Roman" w:hAnsi="Arial" w:cs="Arial"/>
                <w:b/>
                <w:bCs/>
                <w:sz w:val="24"/>
                <w:szCs w:val="24"/>
                <w:lang w:eastAsia="es-CO"/>
              </w:rPr>
              <w:t xml:space="preserve">– EL EXHORTO </w:t>
            </w:r>
            <w:r>
              <w:rPr>
                <w:rFonts w:ascii="Arial" w:eastAsia="Times New Roman" w:hAnsi="Arial" w:cs="Arial"/>
                <w:b/>
                <w:bCs/>
                <w:sz w:val="24"/>
                <w:szCs w:val="24"/>
                <w:lang w:eastAsia="es-CO"/>
              </w:rPr>
              <w:t>Y SU CLASIFICACIÓN- POSTURA DE LA SALA Y LA CORTE SUPREMA DE JUSTICIA</w:t>
            </w:r>
            <w:r w:rsidR="000929EA">
              <w:rPr>
                <w:rFonts w:ascii="Arial" w:eastAsia="Times New Roman" w:hAnsi="Arial" w:cs="Arial"/>
                <w:bCs/>
                <w:sz w:val="24"/>
                <w:szCs w:val="24"/>
                <w:lang w:eastAsia="es-CO"/>
              </w:rPr>
              <w:t xml:space="preserve">: </w:t>
            </w:r>
            <w:r w:rsidR="000929EA" w:rsidRPr="00BD5AB1">
              <w:rPr>
                <w:rFonts w:ascii="Arial" w:eastAsia="Times New Roman" w:hAnsi="Arial" w:cs="Arial"/>
                <w:b/>
                <w:bCs/>
                <w:sz w:val="24"/>
                <w:szCs w:val="24"/>
                <w:lang w:eastAsia="es-CO"/>
              </w:rPr>
              <w:t>El</w:t>
            </w:r>
            <w:r w:rsidR="00FB0890" w:rsidRPr="00BD5AB1">
              <w:rPr>
                <w:rFonts w:ascii="Arial" w:eastAsia="Times New Roman" w:hAnsi="Arial" w:cs="Arial"/>
                <w:b/>
                <w:bCs/>
                <w:sz w:val="24"/>
                <w:szCs w:val="24"/>
                <w:lang w:eastAsia="es-CO"/>
              </w:rPr>
              <w:t xml:space="preserve"> Tribunal</w:t>
            </w:r>
            <w:r w:rsidR="00FB0890">
              <w:rPr>
                <w:rFonts w:ascii="Arial" w:eastAsia="Times New Roman" w:hAnsi="Arial" w:cs="Arial"/>
                <w:bCs/>
                <w:sz w:val="24"/>
                <w:szCs w:val="24"/>
                <w:lang w:eastAsia="es-CO"/>
              </w:rPr>
              <w:t xml:space="preserve"> hizo una aclaración en relación a las medidas que dispone en sus sentencias en el siguiente sentido: (</w:t>
            </w:r>
            <w:r w:rsidR="003B075E">
              <w:rPr>
                <w:rFonts w:ascii="Arial" w:eastAsia="Times New Roman" w:hAnsi="Arial" w:cs="Arial"/>
                <w:bCs/>
                <w:sz w:val="24"/>
                <w:szCs w:val="24"/>
                <w:lang w:eastAsia="es-CO"/>
              </w:rPr>
              <w:t xml:space="preserve">...) </w:t>
            </w:r>
            <w:r w:rsidR="003B075E" w:rsidRPr="00483454">
              <w:rPr>
                <w:rFonts w:ascii="Arial" w:eastAsia="Times New Roman" w:hAnsi="Arial" w:cs="Arial"/>
                <w:bCs/>
                <w:i/>
                <w:sz w:val="24"/>
                <w:szCs w:val="24"/>
                <w:lang w:eastAsia="es-CO"/>
              </w:rPr>
              <w:t>No son órdenes, sino que tienen una connotación de exhortos, lo que indica que se catalogan como una e</w:t>
            </w:r>
            <w:r w:rsidR="0097075E" w:rsidRPr="00483454">
              <w:rPr>
                <w:rFonts w:ascii="Arial" w:eastAsia="Times New Roman" w:hAnsi="Arial" w:cs="Arial"/>
                <w:bCs/>
                <w:i/>
                <w:sz w:val="24"/>
                <w:szCs w:val="24"/>
                <w:lang w:eastAsia="es-CO"/>
              </w:rPr>
              <w:t>xposición motivada de actos provenientes a distintas entidades gubernamentales para materializar los derechos de las víctimas</w:t>
            </w:r>
            <w:r w:rsidR="0097075E">
              <w:rPr>
                <w:rFonts w:ascii="Arial" w:eastAsia="Times New Roman" w:hAnsi="Arial" w:cs="Arial"/>
                <w:bCs/>
                <w:sz w:val="24"/>
                <w:szCs w:val="24"/>
                <w:lang w:eastAsia="es-CO"/>
              </w:rPr>
              <w:t xml:space="preserve"> (...)</w:t>
            </w:r>
            <w:r w:rsidR="00D43189">
              <w:rPr>
                <w:rFonts w:ascii="Arial" w:eastAsia="Times New Roman" w:hAnsi="Arial" w:cs="Arial"/>
                <w:bCs/>
                <w:sz w:val="24"/>
                <w:szCs w:val="24"/>
                <w:lang w:eastAsia="es-CO"/>
              </w:rPr>
              <w:t xml:space="preserve">. </w:t>
            </w:r>
            <w:r w:rsidR="000929EA">
              <w:rPr>
                <w:rFonts w:ascii="Arial" w:eastAsia="Times New Roman" w:hAnsi="Arial" w:cs="Arial"/>
                <w:bCs/>
                <w:sz w:val="24"/>
                <w:szCs w:val="24"/>
                <w:lang w:eastAsia="es-CO"/>
              </w:rPr>
              <w:t xml:space="preserve">En concordancia con lo anterior, la </w:t>
            </w:r>
            <w:r w:rsidR="000929EA" w:rsidRPr="0008648F">
              <w:rPr>
                <w:rFonts w:ascii="Arial" w:eastAsia="Times New Roman" w:hAnsi="Arial" w:cs="Arial"/>
                <w:b/>
                <w:bCs/>
                <w:sz w:val="24"/>
                <w:szCs w:val="24"/>
                <w:lang w:eastAsia="es-CO"/>
              </w:rPr>
              <w:lastRenderedPageBreak/>
              <w:t xml:space="preserve">Corte Suprema de Justicia </w:t>
            </w:r>
            <w:r w:rsidR="000929EA" w:rsidRPr="0008648F">
              <w:rPr>
                <w:rFonts w:ascii="Arial" w:eastAsia="Times New Roman" w:hAnsi="Arial" w:cs="Arial"/>
                <w:bCs/>
                <w:sz w:val="24"/>
                <w:szCs w:val="24"/>
                <w:lang w:eastAsia="es-CO"/>
              </w:rPr>
              <w:t xml:space="preserve">diferenció </w:t>
            </w:r>
            <w:r w:rsidR="00D43189">
              <w:rPr>
                <w:rFonts w:ascii="Arial" w:eastAsia="Times New Roman" w:hAnsi="Arial" w:cs="Arial"/>
                <w:bCs/>
                <w:sz w:val="24"/>
                <w:szCs w:val="24"/>
                <w:lang w:eastAsia="es-CO"/>
              </w:rPr>
              <w:t xml:space="preserve">de manera clara las órdenes de los exhortos respecto de a quien están dirigidas y a quienes involucran así: </w:t>
            </w:r>
            <w:r w:rsidR="00483454">
              <w:rPr>
                <w:rFonts w:ascii="Arial" w:eastAsia="Times New Roman" w:hAnsi="Arial" w:cs="Arial"/>
                <w:bCs/>
                <w:sz w:val="24"/>
                <w:szCs w:val="24"/>
                <w:lang w:eastAsia="es-CO"/>
              </w:rPr>
              <w:t>“</w:t>
            </w:r>
            <w:r w:rsidR="0089648E" w:rsidRPr="00C27D16">
              <w:rPr>
                <w:rFonts w:ascii="Arial" w:eastAsia="Times New Roman" w:hAnsi="Arial" w:cs="Arial"/>
                <w:bCs/>
                <w:i/>
                <w:sz w:val="24"/>
                <w:szCs w:val="24"/>
                <w:lang w:eastAsia="es-CO"/>
              </w:rPr>
              <w:t xml:space="preserve">De esta manera, al dictar sentencia la magistratura transicional ostenta la potestad de decretar </w:t>
            </w:r>
            <w:r w:rsidR="0038484B" w:rsidRPr="00C27D16">
              <w:rPr>
                <w:rFonts w:ascii="Arial" w:eastAsia="Times New Roman" w:hAnsi="Arial" w:cs="Arial"/>
                <w:bCs/>
                <w:i/>
                <w:sz w:val="24"/>
                <w:szCs w:val="24"/>
                <w:lang w:eastAsia="es-CO"/>
              </w:rPr>
              <w:t>todas la medidas dirigidas a la reparación de las víctimas, con la salvedad que cuando en su materialización involucran a otras entidades estatales, su formulación debe hacerse por la vía del exhorto, como forma de respetar la independencia que debe existir entre los poderes públicos.</w:t>
            </w:r>
            <w:r w:rsidR="0038484B">
              <w:rPr>
                <w:rFonts w:ascii="Arial" w:eastAsia="Times New Roman" w:hAnsi="Arial" w:cs="Arial"/>
                <w:bCs/>
                <w:sz w:val="24"/>
                <w:szCs w:val="24"/>
                <w:lang w:eastAsia="es-CO"/>
              </w:rPr>
              <w:t xml:space="preserve"> </w:t>
            </w:r>
          </w:p>
          <w:p w:rsidR="00D20E04" w:rsidRDefault="00D20E04" w:rsidP="0031192E">
            <w:pPr>
              <w:jc w:val="both"/>
              <w:rPr>
                <w:rFonts w:ascii="Arial" w:eastAsia="Times New Roman" w:hAnsi="Arial" w:cs="Arial"/>
                <w:bCs/>
                <w:sz w:val="24"/>
                <w:szCs w:val="24"/>
                <w:lang w:eastAsia="es-CO"/>
              </w:rPr>
            </w:pPr>
          </w:p>
          <w:p w:rsidR="00FA31DC" w:rsidRDefault="00200DF9" w:rsidP="0031192E">
            <w:pPr>
              <w:jc w:val="both"/>
              <w:rPr>
                <w:rFonts w:ascii="Arial" w:eastAsia="Times New Roman" w:hAnsi="Arial" w:cs="Arial"/>
                <w:bCs/>
                <w:sz w:val="24"/>
                <w:szCs w:val="24"/>
                <w:lang w:eastAsia="es-CO"/>
              </w:rPr>
            </w:pPr>
            <w:r w:rsidRPr="009A0860">
              <w:rPr>
                <w:rFonts w:ascii="Arial" w:eastAsia="Times New Roman" w:hAnsi="Arial" w:cs="Arial"/>
                <w:b/>
                <w:bCs/>
                <w:sz w:val="24"/>
                <w:szCs w:val="24"/>
                <w:lang w:eastAsia="es-CO"/>
              </w:rPr>
              <w:t xml:space="preserve">MEDIDAS ALUDIDAS EN LA LEY 1448 </w:t>
            </w:r>
            <w:r w:rsidR="005D1D8D" w:rsidRPr="009A0860">
              <w:rPr>
                <w:rFonts w:ascii="Arial" w:eastAsia="Times New Roman" w:hAnsi="Arial" w:cs="Arial"/>
                <w:b/>
                <w:bCs/>
                <w:sz w:val="24"/>
                <w:szCs w:val="24"/>
                <w:lang w:eastAsia="es-CO"/>
              </w:rPr>
              <w:t>DE 2011</w:t>
            </w:r>
            <w:r w:rsidR="00B62CF7" w:rsidRPr="009A0860">
              <w:rPr>
                <w:rFonts w:ascii="Arial" w:eastAsia="Times New Roman" w:hAnsi="Arial" w:cs="Arial"/>
                <w:b/>
                <w:bCs/>
                <w:sz w:val="24"/>
                <w:szCs w:val="24"/>
                <w:lang w:eastAsia="es-CO"/>
              </w:rPr>
              <w:t xml:space="preserve"> D</w:t>
            </w:r>
            <w:r w:rsidR="009A0860">
              <w:rPr>
                <w:rFonts w:ascii="Arial" w:eastAsia="Times New Roman" w:hAnsi="Arial" w:cs="Arial"/>
                <w:b/>
                <w:bCs/>
                <w:sz w:val="24"/>
                <w:szCs w:val="24"/>
                <w:lang w:eastAsia="es-CO"/>
              </w:rPr>
              <w:t xml:space="preserve">IRIGIDAS AL GOBIERNO NACIONAL - </w:t>
            </w:r>
            <w:r w:rsidR="009A0860" w:rsidRPr="009A0860">
              <w:rPr>
                <w:rFonts w:ascii="Arial" w:eastAsia="Times New Roman" w:hAnsi="Arial" w:cs="Arial"/>
                <w:b/>
                <w:bCs/>
                <w:sz w:val="24"/>
                <w:szCs w:val="24"/>
                <w:lang w:eastAsia="es-CO"/>
              </w:rPr>
              <w:t xml:space="preserve">UNIDAD ADMINISTRATIVA PARA </w:t>
            </w:r>
            <w:r w:rsidR="00B62CF7" w:rsidRPr="009A0860">
              <w:rPr>
                <w:rFonts w:ascii="Arial" w:eastAsia="Times New Roman" w:hAnsi="Arial" w:cs="Arial"/>
                <w:b/>
                <w:bCs/>
                <w:sz w:val="24"/>
                <w:szCs w:val="24"/>
                <w:lang w:eastAsia="es-CO"/>
              </w:rPr>
              <w:t>LA ATENCIÓN Y REPARACIÓN INTEGRAL DE LAS VÍCTIMAS</w:t>
            </w:r>
            <w:r w:rsidR="009A0860">
              <w:rPr>
                <w:rFonts w:ascii="Arial" w:eastAsia="Times New Roman" w:hAnsi="Arial" w:cs="Arial"/>
                <w:bCs/>
                <w:sz w:val="24"/>
                <w:szCs w:val="24"/>
                <w:lang w:eastAsia="es-CO"/>
              </w:rPr>
              <w:t xml:space="preserve">: En relación con las medidas aludidas, la Ley 1448 establece que el Gobierno Nacional, a </w:t>
            </w:r>
            <w:r w:rsidR="00D71A68">
              <w:rPr>
                <w:rFonts w:ascii="Arial" w:eastAsia="Times New Roman" w:hAnsi="Arial" w:cs="Arial"/>
                <w:bCs/>
                <w:sz w:val="24"/>
                <w:szCs w:val="24"/>
                <w:lang w:eastAsia="es-CO"/>
              </w:rPr>
              <w:t xml:space="preserve">través de la Unidad Administrativa Para la Atención y Reparación Integral de las Víctimas, implementará un programa de acompañamiento </w:t>
            </w:r>
            <w:r w:rsidR="007A5C83">
              <w:rPr>
                <w:rFonts w:ascii="Arial" w:eastAsia="Times New Roman" w:hAnsi="Arial" w:cs="Arial"/>
                <w:bCs/>
                <w:sz w:val="24"/>
                <w:szCs w:val="24"/>
                <w:lang w:eastAsia="es-CO"/>
              </w:rPr>
              <w:t xml:space="preserve">para promover una inversión adecuada de recursos que la víctima reciba a </w:t>
            </w:r>
            <w:r w:rsidR="00A97C9F">
              <w:rPr>
                <w:rFonts w:ascii="Arial" w:eastAsia="Times New Roman" w:hAnsi="Arial" w:cs="Arial"/>
                <w:bCs/>
                <w:sz w:val="24"/>
                <w:szCs w:val="24"/>
                <w:lang w:eastAsia="es-CO"/>
              </w:rPr>
              <w:t>título</w:t>
            </w:r>
            <w:r w:rsidR="007A5C83">
              <w:rPr>
                <w:rFonts w:ascii="Arial" w:eastAsia="Times New Roman" w:hAnsi="Arial" w:cs="Arial"/>
                <w:bCs/>
                <w:sz w:val="24"/>
                <w:szCs w:val="24"/>
                <w:lang w:eastAsia="es-CO"/>
              </w:rPr>
              <w:t xml:space="preserve"> de indemni</w:t>
            </w:r>
            <w:r w:rsidR="00A97C9F">
              <w:rPr>
                <w:rFonts w:ascii="Arial" w:eastAsia="Times New Roman" w:hAnsi="Arial" w:cs="Arial"/>
                <w:bCs/>
                <w:sz w:val="24"/>
                <w:szCs w:val="24"/>
                <w:lang w:eastAsia="es-CO"/>
              </w:rPr>
              <w:t xml:space="preserve">zación administrativa a fin de reconstruir su proyecto de vida orientado, entre otras cosas, a la creación o fortalecimiento de empresas productivas o activos productivos. </w:t>
            </w:r>
          </w:p>
          <w:p w:rsidR="009254BB" w:rsidRDefault="009254BB" w:rsidP="0031192E">
            <w:pPr>
              <w:jc w:val="both"/>
              <w:rPr>
                <w:rFonts w:ascii="Arial" w:eastAsia="Times New Roman" w:hAnsi="Arial" w:cs="Arial"/>
                <w:bCs/>
                <w:sz w:val="24"/>
                <w:szCs w:val="24"/>
                <w:lang w:eastAsia="es-CO"/>
              </w:rPr>
            </w:pPr>
          </w:p>
          <w:p w:rsidR="009254BB" w:rsidRDefault="00E536A1" w:rsidP="0031192E">
            <w:pPr>
              <w:jc w:val="both"/>
              <w:rPr>
                <w:rFonts w:ascii="Arial" w:eastAsia="Times New Roman" w:hAnsi="Arial" w:cs="Arial"/>
                <w:bCs/>
                <w:sz w:val="24"/>
                <w:szCs w:val="24"/>
                <w:lang w:eastAsia="es-CO"/>
              </w:rPr>
            </w:pPr>
            <w:r w:rsidRPr="00E536A1">
              <w:rPr>
                <w:rFonts w:ascii="Arial" w:eastAsia="Times New Roman" w:hAnsi="Arial" w:cs="Arial"/>
                <w:b/>
                <w:bCs/>
                <w:sz w:val="24"/>
                <w:szCs w:val="24"/>
                <w:lang w:eastAsia="es-CO"/>
              </w:rPr>
              <w:t>COMPETENCIA PARA VIGILAR EL CUMPLIMIENTO DE LAS MEDIDAS DISPUESTAS EN LAS SENTENCIAS – EVOLUCIÓN NORMATIVA</w:t>
            </w:r>
            <w:r w:rsidR="00D20E04">
              <w:rPr>
                <w:rFonts w:ascii="Arial" w:eastAsia="Times New Roman" w:hAnsi="Arial" w:cs="Arial"/>
                <w:bCs/>
                <w:sz w:val="24"/>
                <w:szCs w:val="24"/>
                <w:lang w:eastAsia="es-CO"/>
              </w:rPr>
              <w:t xml:space="preserve">: </w:t>
            </w:r>
            <w:r w:rsidR="005474A9">
              <w:rPr>
                <w:rFonts w:ascii="Arial" w:eastAsia="Times New Roman" w:hAnsi="Arial" w:cs="Arial"/>
                <w:bCs/>
                <w:sz w:val="24"/>
                <w:szCs w:val="24"/>
                <w:lang w:eastAsia="es-CO"/>
              </w:rPr>
              <w:t>Respecto la competencia para vigilar el cumplimiento de las medidas dispuestas en las sentencias, en principio la Ley 975 de 2005 no asignó esa ocupaci</w:t>
            </w:r>
            <w:r w:rsidR="00024561">
              <w:rPr>
                <w:rFonts w:ascii="Arial" w:eastAsia="Times New Roman" w:hAnsi="Arial" w:cs="Arial"/>
                <w:bCs/>
                <w:sz w:val="24"/>
                <w:szCs w:val="24"/>
                <w:lang w:eastAsia="es-CO"/>
              </w:rPr>
              <w:t xml:space="preserve">ón a un funcionario específico para garantizar su cumplimiento. No obstante, la modificación que dispuso la Ley 1592 de 2012, </w:t>
            </w:r>
            <w:r w:rsidR="00D82EEA">
              <w:rPr>
                <w:rFonts w:ascii="Arial" w:eastAsia="Times New Roman" w:hAnsi="Arial" w:cs="Arial"/>
                <w:bCs/>
                <w:sz w:val="24"/>
                <w:szCs w:val="24"/>
                <w:lang w:eastAsia="es-CO"/>
              </w:rPr>
              <w:t>específicamente</w:t>
            </w:r>
            <w:r w:rsidR="00024561">
              <w:rPr>
                <w:rFonts w:ascii="Arial" w:eastAsia="Times New Roman" w:hAnsi="Arial" w:cs="Arial"/>
                <w:bCs/>
                <w:sz w:val="24"/>
                <w:szCs w:val="24"/>
                <w:lang w:eastAsia="es-CO"/>
              </w:rPr>
              <w:t xml:space="preserve"> en el numeral 3º del artículo 28</w:t>
            </w:r>
            <w:r w:rsidR="00D82EEA">
              <w:rPr>
                <w:rFonts w:ascii="Arial" w:eastAsia="Times New Roman" w:hAnsi="Arial" w:cs="Arial"/>
                <w:bCs/>
                <w:sz w:val="24"/>
                <w:szCs w:val="24"/>
                <w:lang w:eastAsia="es-CO"/>
              </w:rPr>
              <w:t>, determinó que ese ejercicio en cabeza de los jueces con funciones de ejecución de sentencias de las sala de Justicia y Paz del territorio nacional.</w:t>
            </w:r>
          </w:p>
          <w:p w:rsidR="00D82EEA" w:rsidRDefault="00D82EEA" w:rsidP="0031192E">
            <w:pPr>
              <w:jc w:val="both"/>
              <w:rPr>
                <w:rFonts w:ascii="Arial" w:eastAsia="Times New Roman" w:hAnsi="Arial" w:cs="Arial"/>
                <w:bCs/>
                <w:sz w:val="24"/>
                <w:szCs w:val="24"/>
                <w:lang w:eastAsia="es-CO"/>
              </w:rPr>
            </w:pPr>
          </w:p>
          <w:p w:rsidR="00D82EEA" w:rsidRPr="002E586D" w:rsidRDefault="00A47F92" w:rsidP="0031192E">
            <w:pPr>
              <w:jc w:val="both"/>
              <w:rPr>
                <w:rFonts w:ascii="Arial" w:eastAsia="Times New Roman" w:hAnsi="Arial" w:cs="Arial"/>
                <w:bCs/>
                <w:sz w:val="24"/>
                <w:szCs w:val="24"/>
                <w:lang w:eastAsia="es-CO"/>
              </w:rPr>
            </w:pPr>
            <w:r w:rsidRPr="00A47F92">
              <w:rPr>
                <w:rFonts w:ascii="Arial" w:eastAsia="Times New Roman" w:hAnsi="Arial" w:cs="Arial"/>
                <w:b/>
                <w:bCs/>
                <w:sz w:val="24"/>
                <w:szCs w:val="24"/>
                <w:lang w:eastAsia="es-CO"/>
              </w:rPr>
              <w:t>FUNCIONES DE LA UNIDAD ADMINISTRATIVA PARA LA ATENCIÓN Y REPARACIÓN INTEGRAL DE LAS VÍCTIMAS</w:t>
            </w:r>
            <w:r w:rsidR="000C0046">
              <w:rPr>
                <w:rFonts w:ascii="Arial" w:eastAsia="Times New Roman" w:hAnsi="Arial" w:cs="Arial"/>
                <w:bCs/>
                <w:sz w:val="24"/>
                <w:szCs w:val="24"/>
                <w:lang w:eastAsia="es-CO"/>
              </w:rPr>
              <w:t xml:space="preserve">: </w:t>
            </w:r>
            <w:r w:rsidR="00D603F5">
              <w:rPr>
                <w:rFonts w:ascii="Arial" w:eastAsia="Times New Roman" w:hAnsi="Arial" w:cs="Arial"/>
                <w:bCs/>
                <w:sz w:val="24"/>
                <w:szCs w:val="24"/>
                <w:lang w:eastAsia="es-CO"/>
              </w:rPr>
              <w:t>La funci</w:t>
            </w:r>
            <w:r w:rsidR="00FE41F8">
              <w:rPr>
                <w:rFonts w:ascii="Arial" w:eastAsia="Times New Roman" w:hAnsi="Arial" w:cs="Arial"/>
                <w:bCs/>
                <w:sz w:val="24"/>
                <w:szCs w:val="24"/>
                <w:lang w:eastAsia="es-CO"/>
              </w:rPr>
              <w:t xml:space="preserve">ón </w:t>
            </w:r>
            <w:r w:rsidR="002903CE">
              <w:rPr>
                <w:rFonts w:ascii="Arial" w:eastAsia="Times New Roman" w:hAnsi="Arial" w:cs="Arial"/>
                <w:bCs/>
                <w:sz w:val="24"/>
                <w:szCs w:val="24"/>
                <w:lang w:eastAsia="es-CO"/>
              </w:rPr>
              <w:t xml:space="preserve">de esta entidad es la de </w:t>
            </w:r>
            <w:r w:rsidR="002903CE" w:rsidRPr="002903CE">
              <w:rPr>
                <w:rFonts w:ascii="Arial" w:eastAsia="Times New Roman" w:hAnsi="Arial" w:cs="Arial"/>
                <w:bCs/>
                <w:sz w:val="24"/>
                <w:szCs w:val="24"/>
                <w:u w:val="single"/>
                <w:lang w:eastAsia="es-CO"/>
              </w:rPr>
              <w:t>coordinar</w:t>
            </w:r>
            <w:r w:rsidR="002903CE" w:rsidRPr="002903CE">
              <w:rPr>
                <w:rFonts w:ascii="Arial" w:eastAsia="Times New Roman" w:hAnsi="Arial" w:cs="Arial"/>
                <w:bCs/>
                <w:sz w:val="24"/>
                <w:szCs w:val="24"/>
                <w:lang w:eastAsia="es-CO"/>
              </w:rPr>
              <w:t xml:space="preserve"> l</w:t>
            </w:r>
            <w:r w:rsidR="002903CE" w:rsidRPr="002E586D">
              <w:rPr>
                <w:rFonts w:ascii="Arial" w:eastAsia="Times New Roman" w:hAnsi="Arial" w:cs="Arial"/>
                <w:bCs/>
                <w:sz w:val="24"/>
                <w:szCs w:val="24"/>
                <w:lang w:eastAsia="es-CO"/>
              </w:rPr>
              <w:t xml:space="preserve">a </w:t>
            </w:r>
            <w:r w:rsidR="002E586D" w:rsidRPr="002E586D">
              <w:rPr>
                <w:rFonts w:ascii="Arial" w:eastAsia="Times New Roman" w:hAnsi="Arial" w:cs="Arial"/>
                <w:bCs/>
                <w:sz w:val="24"/>
                <w:szCs w:val="24"/>
                <w:lang w:eastAsia="es-CO"/>
              </w:rPr>
              <w:t>polí</w:t>
            </w:r>
            <w:r w:rsidR="002E586D">
              <w:rPr>
                <w:rFonts w:ascii="Arial" w:eastAsia="Times New Roman" w:hAnsi="Arial" w:cs="Arial"/>
                <w:bCs/>
                <w:sz w:val="24"/>
                <w:szCs w:val="24"/>
                <w:lang w:eastAsia="es-CO"/>
              </w:rPr>
              <w:t xml:space="preserve">tica pública de reparación a las víctimas, mas no desarrollar directamente programas de </w:t>
            </w:r>
            <w:r w:rsidR="003764C5">
              <w:rPr>
                <w:rFonts w:ascii="Arial" w:eastAsia="Times New Roman" w:hAnsi="Arial" w:cs="Arial"/>
                <w:bCs/>
                <w:sz w:val="24"/>
                <w:szCs w:val="24"/>
                <w:lang w:eastAsia="es-CO"/>
              </w:rPr>
              <w:t xml:space="preserve">proyectos productivos, dado que no cuenta con disponibilidad presupuestal específica para ello. </w:t>
            </w:r>
            <w:r w:rsidR="002E586D">
              <w:rPr>
                <w:rFonts w:ascii="Arial" w:eastAsia="Times New Roman" w:hAnsi="Arial" w:cs="Arial"/>
                <w:bCs/>
                <w:sz w:val="24"/>
                <w:szCs w:val="24"/>
                <w:lang w:eastAsia="es-CO"/>
              </w:rPr>
              <w:t xml:space="preserve">  </w:t>
            </w:r>
          </w:p>
          <w:p w:rsidR="00FA31DC" w:rsidRDefault="00FA31DC" w:rsidP="0031192E">
            <w:pPr>
              <w:jc w:val="both"/>
              <w:rPr>
                <w:rFonts w:ascii="Arial" w:hAnsi="Arial" w:cs="Arial"/>
                <w:sz w:val="24"/>
                <w:szCs w:val="24"/>
              </w:rPr>
            </w:pPr>
          </w:p>
          <w:p w:rsidR="00046BA7" w:rsidRPr="0031192E" w:rsidRDefault="00D67E0C" w:rsidP="002820AE">
            <w:pPr>
              <w:jc w:val="both"/>
              <w:rPr>
                <w:rFonts w:ascii="Arial" w:hAnsi="Arial" w:cs="Arial"/>
                <w:sz w:val="24"/>
                <w:szCs w:val="24"/>
              </w:rPr>
            </w:pPr>
            <w:r>
              <w:rPr>
                <w:rFonts w:ascii="Arial" w:hAnsi="Arial" w:cs="Arial"/>
                <w:b/>
                <w:sz w:val="24"/>
                <w:szCs w:val="24"/>
              </w:rPr>
              <w:t>LA</w:t>
            </w:r>
            <w:r w:rsidR="00597130">
              <w:rPr>
                <w:rFonts w:ascii="Arial" w:hAnsi="Arial" w:cs="Arial"/>
                <w:b/>
                <w:sz w:val="24"/>
                <w:szCs w:val="24"/>
              </w:rPr>
              <w:t xml:space="preserve"> RESPONSABILIDAD </w:t>
            </w:r>
            <w:r w:rsidR="00DF0EBA">
              <w:rPr>
                <w:rFonts w:ascii="Arial" w:hAnsi="Arial" w:cs="Arial"/>
                <w:b/>
                <w:sz w:val="24"/>
                <w:szCs w:val="24"/>
              </w:rPr>
              <w:t xml:space="preserve">SUBSIDIARIA </w:t>
            </w:r>
            <w:r w:rsidR="00597130">
              <w:rPr>
                <w:rFonts w:ascii="Arial" w:hAnsi="Arial" w:cs="Arial"/>
                <w:b/>
                <w:sz w:val="24"/>
                <w:szCs w:val="24"/>
              </w:rPr>
              <w:t xml:space="preserve">DEL ESTADO </w:t>
            </w:r>
            <w:r w:rsidR="00597130" w:rsidRPr="00597130">
              <w:rPr>
                <w:rFonts w:ascii="Arial" w:hAnsi="Arial" w:cs="Arial"/>
                <w:b/>
                <w:sz w:val="24"/>
                <w:szCs w:val="24"/>
              </w:rPr>
              <w:t>EN LAS SENTENCIAS PROFERIDAS EN EL PROCESO DE JUSTICIA</w:t>
            </w:r>
            <w:r w:rsidR="00DF0EBA">
              <w:rPr>
                <w:rFonts w:ascii="Arial" w:hAnsi="Arial" w:cs="Arial"/>
                <w:b/>
                <w:sz w:val="24"/>
                <w:szCs w:val="24"/>
              </w:rPr>
              <w:t xml:space="preserve"> Y PAZ</w:t>
            </w:r>
            <w:r w:rsidR="00597130" w:rsidRPr="00597130">
              <w:rPr>
                <w:rFonts w:ascii="Arial" w:hAnsi="Arial" w:cs="Arial"/>
                <w:b/>
                <w:sz w:val="24"/>
                <w:szCs w:val="24"/>
              </w:rPr>
              <w:t xml:space="preserve"> </w:t>
            </w:r>
            <w:r w:rsidR="002820AE">
              <w:rPr>
                <w:rFonts w:ascii="Arial" w:hAnsi="Arial" w:cs="Arial"/>
                <w:b/>
                <w:sz w:val="24"/>
                <w:szCs w:val="24"/>
              </w:rPr>
              <w:t>–</w:t>
            </w:r>
            <w:r>
              <w:rPr>
                <w:rFonts w:ascii="Arial" w:hAnsi="Arial" w:cs="Arial"/>
                <w:b/>
                <w:sz w:val="24"/>
                <w:szCs w:val="24"/>
              </w:rPr>
              <w:t xml:space="preserve"> </w:t>
            </w:r>
            <w:r w:rsidR="00614933">
              <w:rPr>
                <w:rFonts w:ascii="Arial" w:hAnsi="Arial" w:cs="Arial"/>
                <w:b/>
                <w:sz w:val="24"/>
                <w:szCs w:val="24"/>
              </w:rPr>
              <w:t>DIFERENCIA</w:t>
            </w:r>
            <w:r w:rsidR="002820AE">
              <w:rPr>
                <w:rFonts w:ascii="Arial" w:hAnsi="Arial" w:cs="Arial"/>
                <w:b/>
                <w:sz w:val="24"/>
                <w:szCs w:val="24"/>
              </w:rPr>
              <w:t xml:space="preserve"> ENTRE SOLIDARIDAD Y </w:t>
            </w:r>
            <w:r w:rsidR="00BC1A31">
              <w:rPr>
                <w:rFonts w:ascii="Arial" w:hAnsi="Arial" w:cs="Arial"/>
                <w:b/>
                <w:sz w:val="24"/>
                <w:szCs w:val="24"/>
              </w:rPr>
              <w:t xml:space="preserve">SUBSIDIARIEDAD </w:t>
            </w:r>
            <w:r w:rsidR="00046BA7">
              <w:rPr>
                <w:rFonts w:ascii="Arial" w:hAnsi="Arial" w:cs="Arial"/>
                <w:sz w:val="24"/>
                <w:szCs w:val="24"/>
              </w:rPr>
              <w:t xml:space="preserve">: </w:t>
            </w:r>
            <w:r w:rsidR="008B6190" w:rsidRPr="008B6190">
              <w:rPr>
                <w:rFonts w:ascii="Arial" w:hAnsi="Arial" w:cs="Arial"/>
                <w:sz w:val="24"/>
                <w:szCs w:val="24"/>
              </w:rPr>
              <w:t>[...] La solidaridad y la subsidiariedad son principios del derecho, el primero encuentra su desarrollo en el capítulo X del Código Civil Colombiano, la principal característica de ese tipo de obligación es la facultad de pedir el cumplimiento por parte del acreedor a cualquiera de los deudores; o viceversa puede el deudor pagarle a cualquiera de los acreedores según sea el caso. Por su parte la subsidiariedad se contrapone a la solidaridad, en cuanto se establece un orden de prelación de alternativas, de manera que una de ellas solo se podrá exigir el cumplimiento de una obligación en defecto de la otra</w:t>
            </w:r>
            <w:r w:rsidR="008B6190">
              <w:rPr>
                <w:rFonts w:ascii="Arial" w:hAnsi="Arial" w:cs="Arial"/>
                <w:sz w:val="24"/>
                <w:szCs w:val="24"/>
              </w:rPr>
              <w:t>.</w:t>
            </w:r>
          </w:p>
        </w:tc>
      </w:tr>
      <w:bookmarkEnd w:id="0"/>
      <w:tr w:rsidR="000674F0" w:rsidRPr="00CA762F" w:rsidTr="00F74F56">
        <w:trPr>
          <w:trHeight w:val="379"/>
        </w:trPr>
        <w:tc>
          <w:tcPr>
            <w:tcW w:w="8830" w:type="dxa"/>
          </w:tcPr>
          <w:p w:rsidR="000674F0" w:rsidRPr="00D30965" w:rsidRDefault="000674F0" w:rsidP="002D231F">
            <w:pPr>
              <w:jc w:val="both"/>
              <w:rPr>
                <w:rFonts w:ascii="Arial" w:eastAsia="Times New Roman" w:hAnsi="Arial" w:cs="Arial"/>
                <w:color w:val="000000"/>
                <w:sz w:val="24"/>
                <w:szCs w:val="24"/>
                <w:lang w:eastAsia="es-CO"/>
              </w:rPr>
            </w:pPr>
            <w:r w:rsidRPr="007B5B30">
              <w:rPr>
                <w:rFonts w:ascii="Arial" w:eastAsia="Times New Roman" w:hAnsi="Arial" w:cs="Arial"/>
                <w:b/>
                <w:color w:val="000000"/>
                <w:sz w:val="24"/>
                <w:szCs w:val="24"/>
                <w:lang w:eastAsia="es-CO"/>
              </w:rPr>
              <w:t>FUENTE FORMAL:</w:t>
            </w:r>
            <w:r>
              <w:rPr>
                <w:rFonts w:ascii="Arial" w:eastAsia="Times New Roman" w:hAnsi="Arial" w:cs="Arial"/>
                <w:color w:val="000000"/>
                <w:sz w:val="24"/>
                <w:szCs w:val="24"/>
                <w:lang w:eastAsia="es-CO"/>
              </w:rPr>
              <w:t xml:space="preserve"> Ley 975 de 2005 / Ley 1592 de 2012 / </w:t>
            </w:r>
            <w:r w:rsidR="00A97C9F">
              <w:rPr>
                <w:rFonts w:ascii="Arial" w:eastAsia="Times New Roman" w:hAnsi="Arial" w:cs="Arial"/>
                <w:color w:val="000000"/>
                <w:sz w:val="24"/>
                <w:szCs w:val="24"/>
                <w:lang w:eastAsia="es-CO"/>
              </w:rPr>
              <w:t xml:space="preserve">Ley 1148 de 2011 Art. 134 / </w:t>
            </w:r>
            <w:r w:rsidR="00006BF3">
              <w:rPr>
                <w:rFonts w:ascii="Arial" w:eastAsia="Times New Roman" w:hAnsi="Arial" w:cs="Arial"/>
                <w:color w:val="000000"/>
                <w:sz w:val="24"/>
                <w:szCs w:val="24"/>
                <w:lang w:eastAsia="es-CO"/>
              </w:rPr>
              <w:t>Decreto 3011 de 2013 Art. 32</w:t>
            </w:r>
            <w:r w:rsidR="00175FEF">
              <w:rPr>
                <w:rFonts w:ascii="Arial" w:eastAsia="Times New Roman" w:hAnsi="Arial" w:cs="Arial"/>
                <w:color w:val="000000"/>
                <w:sz w:val="24"/>
                <w:szCs w:val="24"/>
                <w:lang w:eastAsia="es-CO"/>
              </w:rPr>
              <w:t xml:space="preserve"> </w:t>
            </w:r>
            <w:r w:rsidR="00CF5F77">
              <w:rPr>
                <w:rFonts w:ascii="Arial" w:eastAsia="Times New Roman" w:hAnsi="Arial" w:cs="Arial"/>
                <w:color w:val="000000"/>
                <w:sz w:val="24"/>
                <w:szCs w:val="24"/>
                <w:lang w:eastAsia="es-CO"/>
              </w:rPr>
              <w:t xml:space="preserve">/ Decreto 4802 de 2011 Art. </w:t>
            </w:r>
            <w:proofErr w:type="gramStart"/>
            <w:r w:rsidR="00CF5F77">
              <w:rPr>
                <w:rFonts w:ascii="Arial" w:eastAsia="Times New Roman" w:hAnsi="Arial" w:cs="Arial"/>
                <w:color w:val="000000"/>
                <w:sz w:val="24"/>
                <w:szCs w:val="24"/>
                <w:lang w:eastAsia="es-CO"/>
              </w:rPr>
              <w:t>3 .</w:t>
            </w:r>
            <w:proofErr w:type="gramEnd"/>
          </w:p>
        </w:tc>
      </w:tr>
    </w:tbl>
    <w:p w:rsidR="000674F0" w:rsidRDefault="000674F0" w:rsidP="000674F0">
      <w:pPr>
        <w:jc w:val="both"/>
        <w:rPr>
          <w:rFonts w:ascii="Arial" w:hAnsi="Arial" w:cs="Arial"/>
          <w:sz w:val="24"/>
          <w:szCs w:val="24"/>
        </w:rPr>
      </w:pPr>
    </w:p>
    <w:p w:rsidR="000674F0" w:rsidRDefault="000674F0" w:rsidP="000674F0">
      <w:pPr>
        <w:jc w:val="both"/>
        <w:rPr>
          <w:rFonts w:ascii="Arial" w:hAnsi="Arial" w:cs="Arial"/>
          <w:sz w:val="24"/>
          <w:szCs w:val="24"/>
        </w:rPr>
      </w:pPr>
    </w:p>
    <w:p w:rsidR="004C305C" w:rsidRDefault="004C305C" w:rsidP="00CA249C">
      <w:pPr>
        <w:jc w:val="both"/>
        <w:rPr>
          <w:rFonts w:ascii="Arial" w:hAnsi="Arial" w:cs="Arial"/>
          <w:sz w:val="24"/>
          <w:szCs w:val="24"/>
        </w:rPr>
      </w:pPr>
    </w:p>
    <w:p w:rsidR="008234CD" w:rsidRDefault="008234CD" w:rsidP="00CA249C">
      <w:pPr>
        <w:jc w:val="both"/>
        <w:rPr>
          <w:rFonts w:ascii="Arial" w:hAnsi="Arial" w:cs="Arial"/>
          <w:sz w:val="24"/>
          <w:szCs w:val="24"/>
        </w:rPr>
      </w:pPr>
    </w:p>
    <w:p w:rsidR="008234CD" w:rsidRDefault="008234CD" w:rsidP="00CA249C">
      <w:pPr>
        <w:jc w:val="both"/>
        <w:rPr>
          <w:rFonts w:ascii="Arial" w:hAnsi="Arial" w:cs="Arial"/>
          <w:sz w:val="24"/>
          <w:szCs w:val="24"/>
        </w:rPr>
      </w:pPr>
    </w:p>
    <w:p w:rsidR="008234CD" w:rsidRDefault="008234CD" w:rsidP="00CA249C">
      <w:pPr>
        <w:jc w:val="both"/>
        <w:rPr>
          <w:rFonts w:ascii="Arial" w:hAnsi="Arial" w:cs="Arial"/>
          <w:sz w:val="24"/>
          <w:szCs w:val="24"/>
        </w:rPr>
      </w:pPr>
    </w:p>
    <w:p w:rsidR="008234CD" w:rsidRDefault="008234CD" w:rsidP="00CA249C">
      <w:pPr>
        <w:jc w:val="both"/>
        <w:rPr>
          <w:rFonts w:ascii="Arial" w:hAnsi="Arial" w:cs="Arial"/>
          <w:sz w:val="24"/>
          <w:szCs w:val="24"/>
        </w:rPr>
      </w:pPr>
    </w:p>
    <w:p w:rsidR="008234CD" w:rsidRPr="00AA6773" w:rsidRDefault="008234CD" w:rsidP="00CA249C">
      <w:pPr>
        <w:jc w:val="both"/>
        <w:rPr>
          <w:rFonts w:ascii="Arial" w:hAnsi="Arial" w:cs="Arial"/>
          <w:sz w:val="24"/>
          <w:szCs w:val="24"/>
        </w:rPr>
      </w:pPr>
    </w:p>
    <w:sectPr w:rsidR="008234CD" w:rsidRPr="00AA6773" w:rsidSect="00F90F43">
      <w:headerReference w:type="default" r:id="rId6"/>
      <w:footerReference w:type="default" r:id="rId7"/>
      <w:pgSz w:w="12242" w:h="18722" w:code="1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464" w:rsidRDefault="00154464" w:rsidP="00116C71">
      <w:r>
        <w:separator/>
      </w:r>
    </w:p>
  </w:endnote>
  <w:endnote w:type="continuationSeparator" w:id="0">
    <w:p w:rsidR="00154464" w:rsidRDefault="00154464" w:rsidP="0011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140851"/>
      <w:docPartObj>
        <w:docPartGallery w:val="Page Numbers (Bottom of Page)"/>
        <w:docPartUnique/>
      </w:docPartObj>
    </w:sdtPr>
    <w:sdtEndPr/>
    <w:sdtContent>
      <w:sdt>
        <w:sdtPr>
          <w:id w:val="-1769616900"/>
          <w:docPartObj>
            <w:docPartGallery w:val="Page Numbers (Top of Page)"/>
            <w:docPartUnique/>
          </w:docPartObj>
        </w:sdtPr>
        <w:sdtEndPr/>
        <w:sdtContent>
          <w:p w:rsidR="00116C71" w:rsidRPr="007F0C6B" w:rsidRDefault="00116C71">
            <w:pPr>
              <w:pStyle w:val="Piedepgina"/>
              <w:jc w:val="right"/>
            </w:pPr>
            <w:r w:rsidRPr="007F0C6B">
              <w:rPr>
                <w:lang w:val="es-ES"/>
              </w:rPr>
              <w:t xml:space="preserve">Página </w:t>
            </w:r>
            <w:r w:rsidRPr="007F0C6B">
              <w:rPr>
                <w:bCs/>
                <w:sz w:val="24"/>
                <w:szCs w:val="24"/>
              </w:rPr>
              <w:fldChar w:fldCharType="begin"/>
            </w:r>
            <w:r w:rsidRPr="007F0C6B">
              <w:rPr>
                <w:bCs/>
              </w:rPr>
              <w:instrText>PAGE</w:instrText>
            </w:r>
            <w:r w:rsidRPr="007F0C6B">
              <w:rPr>
                <w:bCs/>
                <w:sz w:val="24"/>
                <w:szCs w:val="24"/>
              </w:rPr>
              <w:fldChar w:fldCharType="separate"/>
            </w:r>
            <w:r w:rsidR="001644B4">
              <w:rPr>
                <w:bCs/>
                <w:noProof/>
              </w:rPr>
              <w:t>1</w:t>
            </w:r>
            <w:r w:rsidRPr="007F0C6B">
              <w:rPr>
                <w:bCs/>
                <w:sz w:val="24"/>
                <w:szCs w:val="24"/>
              </w:rPr>
              <w:fldChar w:fldCharType="end"/>
            </w:r>
            <w:r w:rsidRPr="007F0C6B">
              <w:rPr>
                <w:lang w:val="es-ES"/>
              </w:rPr>
              <w:t xml:space="preserve"> de </w:t>
            </w:r>
            <w:r w:rsidRPr="007F0C6B">
              <w:rPr>
                <w:bCs/>
                <w:sz w:val="24"/>
                <w:szCs w:val="24"/>
              </w:rPr>
              <w:fldChar w:fldCharType="begin"/>
            </w:r>
            <w:r w:rsidRPr="007F0C6B">
              <w:rPr>
                <w:bCs/>
              </w:rPr>
              <w:instrText>NUMPAGES</w:instrText>
            </w:r>
            <w:r w:rsidRPr="007F0C6B">
              <w:rPr>
                <w:bCs/>
                <w:sz w:val="24"/>
                <w:szCs w:val="24"/>
              </w:rPr>
              <w:fldChar w:fldCharType="separate"/>
            </w:r>
            <w:r w:rsidR="001644B4">
              <w:rPr>
                <w:bCs/>
                <w:noProof/>
              </w:rPr>
              <w:t>2</w:t>
            </w:r>
            <w:r w:rsidRPr="007F0C6B">
              <w:rPr>
                <w:bCs/>
                <w:sz w:val="24"/>
                <w:szCs w:val="24"/>
              </w:rPr>
              <w:fldChar w:fldCharType="end"/>
            </w:r>
          </w:p>
        </w:sdtContent>
      </w:sdt>
    </w:sdtContent>
  </w:sdt>
  <w:p w:rsidR="00116C71" w:rsidRDefault="00116C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464" w:rsidRDefault="00154464" w:rsidP="00116C71">
      <w:r>
        <w:separator/>
      </w:r>
    </w:p>
  </w:footnote>
  <w:footnote w:type="continuationSeparator" w:id="0">
    <w:p w:rsidR="00154464" w:rsidRDefault="00154464" w:rsidP="00116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71" w:rsidRDefault="00116C71">
    <w:pPr>
      <w:pStyle w:val="Encabezado"/>
    </w:pPr>
  </w:p>
  <w:p w:rsidR="00116C71" w:rsidRDefault="00116C71" w:rsidP="00116C71">
    <w:pPr>
      <w:pStyle w:val="Encabezado"/>
      <w:jc w:val="right"/>
    </w:pPr>
    <w:r>
      <w:t>Relatoría Sala de Justicia y Paz</w:t>
    </w:r>
  </w:p>
  <w:p w:rsidR="00DA4EC3" w:rsidRDefault="00DA4EC3" w:rsidP="00116C71">
    <w:pPr>
      <w:pStyle w:val="Encabezado"/>
      <w:jc w:val="right"/>
    </w:pPr>
    <w:r>
      <w:t>Tribunal Superior de Bogotá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9D"/>
    <w:rsid w:val="00006BF3"/>
    <w:rsid w:val="00024561"/>
    <w:rsid w:val="00030E7F"/>
    <w:rsid w:val="00046BA7"/>
    <w:rsid w:val="000530F9"/>
    <w:rsid w:val="000551FE"/>
    <w:rsid w:val="00065768"/>
    <w:rsid w:val="000674F0"/>
    <w:rsid w:val="0008648F"/>
    <w:rsid w:val="000929EA"/>
    <w:rsid w:val="000C0046"/>
    <w:rsid w:val="00106783"/>
    <w:rsid w:val="00116C71"/>
    <w:rsid w:val="00130D27"/>
    <w:rsid w:val="00147AC0"/>
    <w:rsid w:val="00151D7B"/>
    <w:rsid w:val="00154464"/>
    <w:rsid w:val="001644B4"/>
    <w:rsid w:val="00175FEF"/>
    <w:rsid w:val="00192A9E"/>
    <w:rsid w:val="001A4F83"/>
    <w:rsid w:val="001E4096"/>
    <w:rsid w:val="001F3FEE"/>
    <w:rsid w:val="00200DF9"/>
    <w:rsid w:val="00204681"/>
    <w:rsid w:val="00267892"/>
    <w:rsid w:val="0028080C"/>
    <w:rsid w:val="00281145"/>
    <w:rsid w:val="002820AE"/>
    <w:rsid w:val="00286C13"/>
    <w:rsid w:val="002903CE"/>
    <w:rsid w:val="00296473"/>
    <w:rsid w:val="002B47FC"/>
    <w:rsid w:val="002D231F"/>
    <w:rsid w:val="002D335D"/>
    <w:rsid w:val="002D3FAD"/>
    <w:rsid w:val="002E586D"/>
    <w:rsid w:val="0031192E"/>
    <w:rsid w:val="003318E3"/>
    <w:rsid w:val="00336270"/>
    <w:rsid w:val="00346120"/>
    <w:rsid w:val="00346303"/>
    <w:rsid w:val="00347996"/>
    <w:rsid w:val="00350D92"/>
    <w:rsid w:val="00357AAA"/>
    <w:rsid w:val="0036629D"/>
    <w:rsid w:val="003764C5"/>
    <w:rsid w:val="00381BDD"/>
    <w:rsid w:val="0038484B"/>
    <w:rsid w:val="003924A0"/>
    <w:rsid w:val="003A2D92"/>
    <w:rsid w:val="003A7473"/>
    <w:rsid w:val="003B075E"/>
    <w:rsid w:val="003B5C7B"/>
    <w:rsid w:val="003C28F7"/>
    <w:rsid w:val="003E6E0F"/>
    <w:rsid w:val="003F2ED6"/>
    <w:rsid w:val="003F4FC3"/>
    <w:rsid w:val="00434821"/>
    <w:rsid w:val="00435BB8"/>
    <w:rsid w:val="00443EF6"/>
    <w:rsid w:val="00454B4E"/>
    <w:rsid w:val="00461A85"/>
    <w:rsid w:val="00475ABC"/>
    <w:rsid w:val="00483454"/>
    <w:rsid w:val="004A1D82"/>
    <w:rsid w:val="004A221F"/>
    <w:rsid w:val="004A45B2"/>
    <w:rsid w:val="004C305C"/>
    <w:rsid w:val="00505E49"/>
    <w:rsid w:val="005146EC"/>
    <w:rsid w:val="00521F7A"/>
    <w:rsid w:val="00545253"/>
    <w:rsid w:val="0054606A"/>
    <w:rsid w:val="005474A9"/>
    <w:rsid w:val="0056236E"/>
    <w:rsid w:val="005670CD"/>
    <w:rsid w:val="0057455E"/>
    <w:rsid w:val="00575080"/>
    <w:rsid w:val="00597130"/>
    <w:rsid w:val="005B1AAC"/>
    <w:rsid w:val="005B53B6"/>
    <w:rsid w:val="005B77D3"/>
    <w:rsid w:val="005D1D8D"/>
    <w:rsid w:val="005E772F"/>
    <w:rsid w:val="00600924"/>
    <w:rsid w:val="00600D00"/>
    <w:rsid w:val="00607C10"/>
    <w:rsid w:val="00614933"/>
    <w:rsid w:val="0061754D"/>
    <w:rsid w:val="00652B58"/>
    <w:rsid w:val="00653522"/>
    <w:rsid w:val="00666FCB"/>
    <w:rsid w:val="0069520B"/>
    <w:rsid w:val="006B576D"/>
    <w:rsid w:val="006D1092"/>
    <w:rsid w:val="006D6E7A"/>
    <w:rsid w:val="0070167E"/>
    <w:rsid w:val="00711822"/>
    <w:rsid w:val="00724DE3"/>
    <w:rsid w:val="00750475"/>
    <w:rsid w:val="00783D18"/>
    <w:rsid w:val="007A5A1A"/>
    <w:rsid w:val="007A5C83"/>
    <w:rsid w:val="007B2C63"/>
    <w:rsid w:val="007B5B30"/>
    <w:rsid w:val="007E627A"/>
    <w:rsid w:val="007F0C6B"/>
    <w:rsid w:val="0080777C"/>
    <w:rsid w:val="00814C8F"/>
    <w:rsid w:val="00817359"/>
    <w:rsid w:val="008234CD"/>
    <w:rsid w:val="00831F52"/>
    <w:rsid w:val="008453C2"/>
    <w:rsid w:val="00845E19"/>
    <w:rsid w:val="0089648E"/>
    <w:rsid w:val="008B6190"/>
    <w:rsid w:val="008E7414"/>
    <w:rsid w:val="00904E35"/>
    <w:rsid w:val="00910DD6"/>
    <w:rsid w:val="009154DA"/>
    <w:rsid w:val="00916A2A"/>
    <w:rsid w:val="009254BB"/>
    <w:rsid w:val="009346EB"/>
    <w:rsid w:val="009357EF"/>
    <w:rsid w:val="0097075E"/>
    <w:rsid w:val="009A0860"/>
    <w:rsid w:val="009B310F"/>
    <w:rsid w:val="009E325D"/>
    <w:rsid w:val="009E5409"/>
    <w:rsid w:val="00A059BD"/>
    <w:rsid w:val="00A105BB"/>
    <w:rsid w:val="00A12A8D"/>
    <w:rsid w:val="00A356B5"/>
    <w:rsid w:val="00A400A4"/>
    <w:rsid w:val="00A41E93"/>
    <w:rsid w:val="00A47F92"/>
    <w:rsid w:val="00A51099"/>
    <w:rsid w:val="00A84F37"/>
    <w:rsid w:val="00A9240D"/>
    <w:rsid w:val="00A95895"/>
    <w:rsid w:val="00A97C9F"/>
    <w:rsid w:val="00AA6773"/>
    <w:rsid w:val="00AB4780"/>
    <w:rsid w:val="00AB64DF"/>
    <w:rsid w:val="00AD48CE"/>
    <w:rsid w:val="00B12CDE"/>
    <w:rsid w:val="00B50DD9"/>
    <w:rsid w:val="00B62CF7"/>
    <w:rsid w:val="00B756B8"/>
    <w:rsid w:val="00B851CE"/>
    <w:rsid w:val="00BA0FDA"/>
    <w:rsid w:val="00BA65E3"/>
    <w:rsid w:val="00BB2AEA"/>
    <w:rsid w:val="00BC1A31"/>
    <w:rsid w:val="00BD5AB1"/>
    <w:rsid w:val="00BE0225"/>
    <w:rsid w:val="00BE1572"/>
    <w:rsid w:val="00C033BA"/>
    <w:rsid w:val="00C03DFA"/>
    <w:rsid w:val="00C03E81"/>
    <w:rsid w:val="00C24A3D"/>
    <w:rsid w:val="00C266E7"/>
    <w:rsid w:val="00C27D16"/>
    <w:rsid w:val="00C31ABB"/>
    <w:rsid w:val="00C4466D"/>
    <w:rsid w:val="00C87340"/>
    <w:rsid w:val="00CA249C"/>
    <w:rsid w:val="00CB0633"/>
    <w:rsid w:val="00CB1972"/>
    <w:rsid w:val="00CC2603"/>
    <w:rsid w:val="00CD502D"/>
    <w:rsid w:val="00CF5F77"/>
    <w:rsid w:val="00D07DB5"/>
    <w:rsid w:val="00D12E48"/>
    <w:rsid w:val="00D13FF4"/>
    <w:rsid w:val="00D20E04"/>
    <w:rsid w:val="00D30965"/>
    <w:rsid w:val="00D3221B"/>
    <w:rsid w:val="00D43189"/>
    <w:rsid w:val="00D50DB9"/>
    <w:rsid w:val="00D603F5"/>
    <w:rsid w:val="00D633AD"/>
    <w:rsid w:val="00D67E0C"/>
    <w:rsid w:val="00D71A68"/>
    <w:rsid w:val="00D777D3"/>
    <w:rsid w:val="00D77A9F"/>
    <w:rsid w:val="00D82EEA"/>
    <w:rsid w:val="00D85BDE"/>
    <w:rsid w:val="00D9727B"/>
    <w:rsid w:val="00DA4EC3"/>
    <w:rsid w:val="00DC1DD0"/>
    <w:rsid w:val="00DE3DB6"/>
    <w:rsid w:val="00DF0EBA"/>
    <w:rsid w:val="00DF6F93"/>
    <w:rsid w:val="00E02FB0"/>
    <w:rsid w:val="00E065C1"/>
    <w:rsid w:val="00E35243"/>
    <w:rsid w:val="00E37DDE"/>
    <w:rsid w:val="00E42EDB"/>
    <w:rsid w:val="00E536A1"/>
    <w:rsid w:val="00E54C40"/>
    <w:rsid w:val="00E7015B"/>
    <w:rsid w:val="00E71DDD"/>
    <w:rsid w:val="00E84B7A"/>
    <w:rsid w:val="00E95EE5"/>
    <w:rsid w:val="00EB604F"/>
    <w:rsid w:val="00EC0BAF"/>
    <w:rsid w:val="00ED6287"/>
    <w:rsid w:val="00F038FA"/>
    <w:rsid w:val="00F31D35"/>
    <w:rsid w:val="00F40D8F"/>
    <w:rsid w:val="00F66499"/>
    <w:rsid w:val="00F90F43"/>
    <w:rsid w:val="00FA31DC"/>
    <w:rsid w:val="00FB0890"/>
    <w:rsid w:val="00FC4086"/>
    <w:rsid w:val="00FE41F8"/>
    <w:rsid w:val="00FE6C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BFC01-99C1-4E9A-BF12-33017B7E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29D"/>
    <w:pPr>
      <w:ind w:left="720"/>
      <w:contextualSpacing/>
    </w:pPr>
  </w:style>
  <w:style w:type="paragraph" w:styleId="Encabezado">
    <w:name w:val="header"/>
    <w:basedOn w:val="Normal"/>
    <w:link w:val="EncabezadoCar"/>
    <w:uiPriority w:val="99"/>
    <w:unhideWhenUsed/>
    <w:rsid w:val="00116C71"/>
    <w:pPr>
      <w:tabs>
        <w:tab w:val="center" w:pos="4419"/>
        <w:tab w:val="right" w:pos="8838"/>
      </w:tabs>
    </w:pPr>
  </w:style>
  <w:style w:type="character" w:customStyle="1" w:styleId="EncabezadoCar">
    <w:name w:val="Encabezado Car"/>
    <w:basedOn w:val="Fuentedeprrafopredeter"/>
    <w:link w:val="Encabezado"/>
    <w:uiPriority w:val="99"/>
    <w:rsid w:val="00116C71"/>
  </w:style>
  <w:style w:type="paragraph" w:styleId="Piedepgina">
    <w:name w:val="footer"/>
    <w:basedOn w:val="Normal"/>
    <w:link w:val="PiedepginaCar"/>
    <w:uiPriority w:val="99"/>
    <w:unhideWhenUsed/>
    <w:rsid w:val="00116C71"/>
    <w:pPr>
      <w:tabs>
        <w:tab w:val="center" w:pos="4419"/>
        <w:tab w:val="right" w:pos="8838"/>
      </w:tabs>
    </w:pPr>
  </w:style>
  <w:style w:type="character" w:customStyle="1" w:styleId="PiedepginaCar">
    <w:name w:val="Pie de página Car"/>
    <w:basedOn w:val="Fuentedeprrafopredeter"/>
    <w:link w:val="Piedepgina"/>
    <w:uiPriority w:val="99"/>
    <w:rsid w:val="00116C71"/>
  </w:style>
  <w:style w:type="table" w:styleId="Tablaconcuadrcula">
    <w:name w:val="Table Grid"/>
    <w:basedOn w:val="Tablanormal"/>
    <w:uiPriority w:val="39"/>
    <w:rsid w:val="004C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47474">
      <w:bodyDiv w:val="1"/>
      <w:marLeft w:val="0"/>
      <w:marRight w:val="0"/>
      <w:marTop w:val="0"/>
      <w:marBottom w:val="0"/>
      <w:divBdr>
        <w:top w:val="none" w:sz="0" w:space="0" w:color="auto"/>
        <w:left w:val="none" w:sz="0" w:space="0" w:color="auto"/>
        <w:bottom w:val="none" w:sz="0" w:space="0" w:color="auto"/>
        <w:right w:val="none" w:sz="0" w:space="0" w:color="auto"/>
      </w:divBdr>
      <w:divsChild>
        <w:div w:id="701592436">
          <w:marLeft w:val="0"/>
          <w:marRight w:val="0"/>
          <w:marTop w:val="0"/>
          <w:marBottom w:val="0"/>
          <w:divBdr>
            <w:top w:val="none" w:sz="0" w:space="0" w:color="auto"/>
            <w:left w:val="none" w:sz="0" w:space="0" w:color="auto"/>
            <w:bottom w:val="none" w:sz="0" w:space="0" w:color="auto"/>
            <w:right w:val="none" w:sz="0" w:space="0" w:color="auto"/>
          </w:divBdr>
        </w:div>
        <w:div w:id="1572695475">
          <w:marLeft w:val="0"/>
          <w:marRight w:val="0"/>
          <w:marTop w:val="0"/>
          <w:marBottom w:val="0"/>
          <w:divBdr>
            <w:top w:val="none" w:sz="0" w:space="0" w:color="auto"/>
            <w:left w:val="none" w:sz="0" w:space="0" w:color="auto"/>
            <w:bottom w:val="none" w:sz="0" w:space="0" w:color="auto"/>
            <w:right w:val="none" w:sz="0" w:space="0" w:color="auto"/>
          </w:divBdr>
        </w:div>
        <w:div w:id="443422872">
          <w:marLeft w:val="0"/>
          <w:marRight w:val="0"/>
          <w:marTop w:val="0"/>
          <w:marBottom w:val="0"/>
          <w:divBdr>
            <w:top w:val="none" w:sz="0" w:space="0" w:color="auto"/>
            <w:left w:val="none" w:sz="0" w:space="0" w:color="auto"/>
            <w:bottom w:val="none" w:sz="0" w:space="0" w:color="auto"/>
            <w:right w:val="none" w:sz="0" w:space="0" w:color="auto"/>
          </w:divBdr>
        </w:div>
        <w:div w:id="91051763">
          <w:marLeft w:val="0"/>
          <w:marRight w:val="0"/>
          <w:marTop w:val="0"/>
          <w:marBottom w:val="0"/>
          <w:divBdr>
            <w:top w:val="none" w:sz="0" w:space="0" w:color="auto"/>
            <w:left w:val="none" w:sz="0" w:space="0" w:color="auto"/>
            <w:bottom w:val="none" w:sz="0" w:space="0" w:color="auto"/>
            <w:right w:val="none" w:sz="0" w:space="0" w:color="auto"/>
          </w:divBdr>
        </w:div>
        <w:div w:id="1252159803">
          <w:marLeft w:val="0"/>
          <w:marRight w:val="0"/>
          <w:marTop w:val="0"/>
          <w:marBottom w:val="0"/>
          <w:divBdr>
            <w:top w:val="none" w:sz="0" w:space="0" w:color="auto"/>
            <w:left w:val="none" w:sz="0" w:space="0" w:color="auto"/>
            <w:bottom w:val="none" w:sz="0" w:space="0" w:color="auto"/>
            <w:right w:val="none" w:sz="0" w:space="0" w:color="auto"/>
          </w:divBdr>
        </w:div>
        <w:div w:id="208349542">
          <w:marLeft w:val="0"/>
          <w:marRight w:val="0"/>
          <w:marTop w:val="0"/>
          <w:marBottom w:val="0"/>
          <w:divBdr>
            <w:top w:val="none" w:sz="0" w:space="0" w:color="auto"/>
            <w:left w:val="none" w:sz="0" w:space="0" w:color="auto"/>
            <w:bottom w:val="none" w:sz="0" w:space="0" w:color="auto"/>
            <w:right w:val="none" w:sz="0" w:space="0" w:color="auto"/>
          </w:divBdr>
        </w:div>
        <w:div w:id="1292052109">
          <w:marLeft w:val="0"/>
          <w:marRight w:val="0"/>
          <w:marTop w:val="0"/>
          <w:marBottom w:val="0"/>
          <w:divBdr>
            <w:top w:val="none" w:sz="0" w:space="0" w:color="auto"/>
            <w:left w:val="none" w:sz="0" w:space="0" w:color="auto"/>
            <w:bottom w:val="none" w:sz="0" w:space="0" w:color="auto"/>
            <w:right w:val="none" w:sz="0" w:space="0" w:color="auto"/>
          </w:divBdr>
        </w:div>
        <w:div w:id="62534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Cañas Polo</dc:creator>
  <cp:keywords/>
  <dc:description/>
  <cp:lastModifiedBy>Fabiola Cañas Polo</cp:lastModifiedBy>
  <cp:revision>4</cp:revision>
  <cp:lastPrinted>2019-09-12T19:25:00Z</cp:lastPrinted>
  <dcterms:created xsi:type="dcterms:W3CDTF">2019-09-12T19:20:00Z</dcterms:created>
  <dcterms:modified xsi:type="dcterms:W3CDTF">2019-09-12T19:27:00Z</dcterms:modified>
</cp:coreProperties>
</file>