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7C" w:rsidRPr="00EE44ED" w:rsidRDefault="00AD777C" w:rsidP="00AD777C">
      <w:pPr>
        <w:pStyle w:val="Puesto"/>
        <w:rPr>
          <w:rFonts w:ascii="Bookman Old Style" w:hAnsi="Bookman Old Style"/>
          <w:szCs w:val="28"/>
        </w:rPr>
      </w:pPr>
      <w:bookmarkStart w:id="0" w:name="_GoBack"/>
      <w:bookmarkEnd w:id="0"/>
      <w:r w:rsidRPr="00EE44ED">
        <w:rPr>
          <w:rFonts w:ascii="Bookman Old Style" w:hAnsi="Bookman Old Style"/>
          <w:szCs w:val="28"/>
        </w:rPr>
        <w:t>CORTE SUPREMA DE JUSTICIA</w:t>
      </w:r>
    </w:p>
    <w:p w:rsidR="00AD777C" w:rsidRPr="00EE44ED" w:rsidRDefault="00AD777C" w:rsidP="00AD777C">
      <w:pPr>
        <w:pStyle w:val="Puesto"/>
        <w:rPr>
          <w:rFonts w:ascii="Bookman Old Style" w:hAnsi="Bookman Old Style"/>
          <w:szCs w:val="28"/>
        </w:rPr>
      </w:pPr>
      <w:r w:rsidRPr="00EE44ED">
        <w:rPr>
          <w:rFonts w:ascii="Bookman Old Style" w:hAnsi="Bookman Old Style"/>
          <w:szCs w:val="28"/>
        </w:rPr>
        <w:t>SALA DE CASACIÓN PENAL</w:t>
      </w:r>
    </w:p>
    <w:p w:rsidR="00AD777C" w:rsidRPr="00EE44ED" w:rsidRDefault="00AD777C" w:rsidP="00AD777C">
      <w:pPr>
        <w:spacing w:line="360" w:lineRule="auto"/>
        <w:jc w:val="center"/>
        <w:rPr>
          <w:rFonts w:ascii="Bookman Old Style" w:hAnsi="Bookman Old Style" w:cs="Arial"/>
          <w:b/>
          <w:sz w:val="28"/>
          <w:szCs w:val="28"/>
        </w:rPr>
      </w:pPr>
    </w:p>
    <w:p w:rsidR="00AD777C" w:rsidRPr="00EE44ED" w:rsidRDefault="00AD777C" w:rsidP="00AD777C">
      <w:pPr>
        <w:spacing w:line="360" w:lineRule="auto"/>
        <w:jc w:val="center"/>
        <w:rPr>
          <w:rFonts w:ascii="Bookman Old Style" w:hAnsi="Bookman Old Style" w:cs="Arial"/>
          <w:b/>
          <w:sz w:val="28"/>
          <w:szCs w:val="28"/>
        </w:rPr>
      </w:pPr>
    </w:p>
    <w:p w:rsidR="00AD777C" w:rsidRPr="00EE44ED" w:rsidRDefault="00AD777C" w:rsidP="00AD777C">
      <w:pPr>
        <w:spacing w:line="360" w:lineRule="auto"/>
        <w:jc w:val="center"/>
        <w:rPr>
          <w:rFonts w:ascii="Bookman Old Style" w:hAnsi="Bookman Old Style" w:cs="Arial"/>
          <w:b/>
          <w:sz w:val="28"/>
          <w:szCs w:val="28"/>
        </w:rPr>
      </w:pPr>
      <w:r w:rsidRPr="00EE44ED">
        <w:rPr>
          <w:rFonts w:ascii="Bookman Old Style" w:hAnsi="Bookman Old Style" w:cs="Arial"/>
          <w:b/>
          <w:sz w:val="28"/>
          <w:szCs w:val="28"/>
        </w:rPr>
        <w:t>PATRICIA SALAZAR CUÉLLAR</w:t>
      </w:r>
    </w:p>
    <w:p w:rsidR="00AD777C" w:rsidRPr="00EE44ED" w:rsidRDefault="00AD777C" w:rsidP="00AD777C">
      <w:pPr>
        <w:spacing w:line="360" w:lineRule="auto"/>
        <w:jc w:val="center"/>
        <w:rPr>
          <w:rFonts w:ascii="Bookman Old Style" w:hAnsi="Bookman Old Style" w:cs="Arial"/>
          <w:b/>
          <w:sz w:val="28"/>
          <w:szCs w:val="28"/>
        </w:rPr>
      </w:pPr>
      <w:r w:rsidRPr="00EE44ED">
        <w:rPr>
          <w:rFonts w:ascii="Bookman Old Style" w:hAnsi="Bookman Old Style" w:cs="Arial"/>
          <w:b/>
          <w:sz w:val="28"/>
          <w:szCs w:val="28"/>
        </w:rPr>
        <w:t>Magistrada ponente</w:t>
      </w:r>
    </w:p>
    <w:p w:rsidR="00AD777C" w:rsidRPr="00EE44ED" w:rsidRDefault="00AD777C" w:rsidP="00AD777C">
      <w:pPr>
        <w:spacing w:line="360" w:lineRule="auto"/>
        <w:jc w:val="center"/>
        <w:rPr>
          <w:rFonts w:ascii="Bookman Old Style" w:hAnsi="Bookman Old Style" w:cs="Arial"/>
          <w:b/>
          <w:sz w:val="28"/>
          <w:szCs w:val="28"/>
        </w:rPr>
      </w:pPr>
    </w:p>
    <w:p w:rsidR="00AD777C" w:rsidRPr="00EE44ED" w:rsidRDefault="00AD777C" w:rsidP="00AD777C">
      <w:pPr>
        <w:spacing w:line="360" w:lineRule="auto"/>
        <w:jc w:val="center"/>
        <w:rPr>
          <w:rFonts w:ascii="Bookman Old Style" w:hAnsi="Bookman Old Style" w:cs="Arial"/>
          <w:b/>
          <w:sz w:val="28"/>
          <w:szCs w:val="28"/>
        </w:rPr>
      </w:pPr>
    </w:p>
    <w:p w:rsidR="00AD777C" w:rsidRPr="00EE44ED" w:rsidRDefault="00AD777C" w:rsidP="00AD777C">
      <w:pPr>
        <w:spacing w:line="360" w:lineRule="auto"/>
        <w:jc w:val="center"/>
        <w:rPr>
          <w:rFonts w:ascii="Bookman Old Style" w:hAnsi="Bookman Old Style" w:cs="Arial"/>
          <w:b/>
          <w:sz w:val="28"/>
          <w:szCs w:val="28"/>
        </w:rPr>
      </w:pPr>
      <w:r w:rsidRPr="00EB3930">
        <w:rPr>
          <w:rFonts w:ascii="Bookman Old Style" w:hAnsi="Bookman Old Style" w:cs="Arial"/>
          <w:b/>
          <w:sz w:val="28"/>
          <w:szCs w:val="28"/>
        </w:rPr>
        <w:t>SP7609-2015</w:t>
      </w:r>
    </w:p>
    <w:p w:rsidR="00AD777C" w:rsidRPr="00EE44ED" w:rsidRDefault="00AD777C" w:rsidP="00AD777C">
      <w:pPr>
        <w:spacing w:line="360" w:lineRule="auto"/>
        <w:jc w:val="center"/>
        <w:rPr>
          <w:rFonts w:ascii="Bookman Old Style" w:hAnsi="Bookman Old Style" w:cs="Arial"/>
          <w:b/>
          <w:sz w:val="28"/>
          <w:szCs w:val="28"/>
        </w:rPr>
      </w:pPr>
      <w:r w:rsidRPr="00EE44ED">
        <w:rPr>
          <w:rFonts w:ascii="Bookman Old Style" w:hAnsi="Bookman Old Style" w:cs="Arial"/>
          <w:b/>
          <w:sz w:val="28"/>
          <w:szCs w:val="28"/>
        </w:rPr>
        <w:t>Radicación n° 4</w:t>
      </w:r>
      <w:r>
        <w:rPr>
          <w:rFonts w:ascii="Bookman Old Style" w:hAnsi="Bookman Old Style" w:cs="Arial"/>
          <w:b/>
          <w:sz w:val="28"/>
          <w:szCs w:val="28"/>
        </w:rPr>
        <w:t>3195</w:t>
      </w:r>
    </w:p>
    <w:p w:rsidR="00AD777C" w:rsidRPr="00EE44ED" w:rsidRDefault="00AD777C" w:rsidP="00AD777C">
      <w:pPr>
        <w:spacing w:line="360" w:lineRule="auto"/>
        <w:jc w:val="center"/>
        <w:rPr>
          <w:rFonts w:ascii="Bookman Old Style" w:hAnsi="Bookman Old Style"/>
          <w:sz w:val="28"/>
          <w:szCs w:val="28"/>
        </w:rPr>
      </w:pPr>
      <w:r w:rsidRPr="00EE44ED">
        <w:rPr>
          <w:rFonts w:ascii="Bookman Old Style" w:hAnsi="Bookman Old Style"/>
          <w:sz w:val="28"/>
          <w:szCs w:val="28"/>
        </w:rPr>
        <w:t>(</w:t>
      </w:r>
      <w:r>
        <w:rPr>
          <w:rFonts w:ascii="Bookman Old Style" w:hAnsi="Bookman Old Style" w:cs="Arial"/>
          <w:sz w:val="28"/>
          <w:szCs w:val="28"/>
        </w:rPr>
        <w:t>Aprobado Acta n.° 212</w:t>
      </w:r>
      <w:r w:rsidRPr="00EE44ED">
        <w:rPr>
          <w:rFonts w:ascii="Bookman Old Style" w:hAnsi="Bookman Old Style"/>
          <w:sz w:val="28"/>
          <w:szCs w:val="28"/>
        </w:rPr>
        <w:t>)</w:t>
      </w:r>
    </w:p>
    <w:p w:rsidR="00AD777C" w:rsidRPr="00EE44ED" w:rsidRDefault="00AD777C" w:rsidP="00AD777C">
      <w:pPr>
        <w:spacing w:line="360" w:lineRule="auto"/>
        <w:jc w:val="center"/>
        <w:rPr>
          <w:rFonts w:ascii="Bookman Old Style" w:hAnsi="Bookman Old Style" w:cs="Arial"/>
          <w:b/>
          <w:sz w:val="28"/>
          <w:szCs w:val="28"/>
        </w:rPr>
      </w:pPr>
    </w:p>
    <w:p w:rsidR="00AD777C" w:rsidRPr="00EE44ED" w:rsidRDefault="00AD777C" w:rsidP="00AD777C">
      <w:pPr>
        <w:spacing w:line="360" w:lineRule="auto"/>
        <w:ind w:firstLine="709"/>
        <w:jc w:val="both"/>
        <w:rPr>
          <w:rFonts w:ascii="Bookman Old Style" w:hAnsi="Bookman Old Style"/>
          <w:sz w:val="28"/>
          <w:szCs w:val="28"/>
        </w:rPr>
      </w:pPr>
      <w:r w:rsidRPr="00EE44ED">
        <w:rPr>
          <w:rFonts w:ascii="Bookman Old Style" w:hAnsi="Bookman Old Style"/>
          <w:sz w:val="28"/>
          <w:szCs w:val="28"/>
        </w:rPr>
        <w:t xml:space="preserve">Bogotá D.C., </w:t>
      </w:r>
      <w:r>
        <w:rPr>
          <w:rFonts w:ascii="Bookman Old Style" w:hAnsi="Bookman Old Style"/>
          <w:sz w:val="28"/>
          <w:szCs w:val="28"/>
        </w:rPr>
        <w:t>diecisiete (17) de junio de dos mil quince (2015)</w:t>
      </w:r>
    </w:p>
    <w:p w:rsidR="00AD777C" w:rsidRPr="00EE44ED" w:rsidRDefault="00AD777C" w:rsidP="00AD777C">
      <w:pPr>
        <w:spacing w:line="360" w:lineRule="auto"/>
        <w:jc w:val="both"/>
        <w:rPr>
          <w:rFonts w:ascii="Bookman Old Style" w:hAnsi="Bookman Old Style" w:cs="Arial"/>
          <w:b/>
          <w:sz w:val="28"/>
          <w:szCs w:val="28"/>
          <w:lang w:val="es-ES_tradnl"/>
        </w:rPr>
      </w:pPr>
    </w:p>
    <w:p w:rsidR="00AD777C" w:rsidRPr="00EE44ED" w:rsidRDefault="00AD777C" w:rsidP="00AD777C">
      <w:pPr>
        <w:spacing w:line="360" w:lineRule="auto"/>
        <w:jc w:val="center"/>
        <w:rPr>
          <w:rFonts w:ascii="Bookman Old Style" w:hAnsi="Bookman Old Style"/>
          <w:b/>
          <w:sz w:val="28"/>
          <w:szCs w:val="28"/>
        </w:rPr>
      </w:pPr>
      <w:r w:rsidRPr="00EE44ED">
        <w:rPr>
          <w:rFonts w:ascii="Bookman Old Style" w:hAnsi="Bookman Old Style"/>
          <w:b/>
          <w:sz w:val="28"/>
          <w:szCs w:val="28"/>
        </w:rPr>
        <w:t>ASUNTO</w:t>
      </w:r>
    </w:p>
    <w:p w:rsidR="00AD777C" w:rsidRPr="00EE44ED" w:rsidRDefault="00AD777C" w:rsidP="00AD777C">
      <w:pPr>
        <w:spacing w:line="360" w:lineRule="auto"/>
        <w:jc w:val="both"/>
        <w:rPr>
          <w:rFonts w:ascii="Bookman Old Style" w:hAnsi="Bookman Old Style" w:cs="Arial"/>
          <w:b/>
          <w:sz w:val="28"/>
          <w:szCs w:val="28"/>
          <w:lang w:val="es-ES_tradnl"/>
        </w:rPr>
      </w:pPr>
    </w:p>
    <w:p w:rsidR="00AD777C" w:rsidRPr="00EE44ED" w:rsidRDefault="00AD777C" w:rsidP="00AD777C">
      <w:pPr>
        <w:pStyle w:val="Encabezado"/>
        <w:tabs>
          <w:tab w:val="clear" w:pos="4252"/>
          <w:tab w:val="clear" w:pos="8504"/>
        </w:tabs>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La Sala de Casación Penal de la Corte Suprema de Justicia entra a resolver </w:t>
      </w:r>
      <w:r w:rsidRPr="00EE44ED">
        <w:rPr>
          <w:rFonts w:ascii="Bookman Old Style" w:hAnsi="Bookman Old Style" w:cs="Arial"/>
          <w:sz w:val="28"/>
          <w:szCs w:val="28"/>
        </w:rPr>
        <w:t>el recurso de apelación interpuesto</w:t>
      </w:r>
      <w:r>
        <w:rPr>
          <w:rFonts w:ascii="Bookman Old Style" w:hAnsi="Bookman Old Style" w:cs="Arial"/>
          <w:sz w:val="28"/>
          <w:szCs w:val="28"/>
        </w:rPr>
        <w:t xml:space="preserve"> y  sustentado oportunamente</w:t>
      </w:r>
      <w:r w:rsidRPr="00EE44ED">
        <w:rPr>
          <w:rFonts w:ascii="Bookman Old Style" w:hAnsi="Bookman Old Style" w:cs="Arial"/>
          <w:sz w:val="28"/>
          <w:szCs w:val="28"/>
        </w:rPr>
        <w:t xml:space="preserve"> por </w:t>
      </w:r>
      <w:r>
        <w:rPr>
          <w:rFonts w:ascii="Bookman Old Style" w:hAnsi="Bookman Old Style" w:cs="Arial"/>
          <w:sz w:val="28"/>
          <w:szCs w:val="28"/>
        </w:rPr>
        <w:t xml:space="preserve">el Fiscal Delegado, la Procuradora Judicial Penal II, </w:t>
      </w:r>
      <w:r w:rsidRPr="00EE44ED">
        <w:rPr>
          <w:rFonts w:ascii="Bookman Old Style" w:hAnsi="Bookman Old Style" w:cs="Arial"/>
          <w:sz w:val="28"/>
          <w:szCs w:val="28"/>
        </w:rPr>
        <w:t>los representantes de las víctimas</w:t>
      </w:r>
      <w:r>
        <w:rPr>
          <w:rStyle w:val="Refdenotaalpie"/>
          <w:rFonts w:ascii="Bookman Old Style" w:hAnsi="Bookman Old Style" w:cs="Arial"/>
          <w:sz w:val="28"/>
          <w:szCs w:val="28"/>
        </w:rPr>
        <w:footnoteReference w:id="1"/>
      </w:r>
      <w:r>
        <w:rPr>
          <w:rFonts w:ascii="Bookman Old Style" w:hAnsi="Bookman Old Style" w:cs="Arial"/>
          <w:sz w:val="28"/>
          <w:szCs w:val="28"/>
        </w:rPr>
        <w:t xml:space="preserve"> y el defensor de los postulados JOSÉ BALDOMERO </w:t>
      </w:r>
      <w:r>
        <w:rPr>
          <w:rFonts w:ascii="Bookman Old Style" w:hAnsi="Bookman Old Style" w:cs="Arial"/>
          <w:sz w:val="28"/>
          <w:szCs w:val="28"/>
        </w:rPr>
        <w:lastRenderedPageBreak/>
        <w:t>LINARES MORENO</w:t>
      </w:r>
      <w:r>
        <w:rPr>
          <w:rStyle w:val="Refdenotaalpie"/>
          <w:rFonts w:ascii="Bookman Old Style" w:hAnsi="Bookman Old Style"/>
          <w:sz w:val="28"/>
          <w:szCs w:val="28"/>
        </w:rPr>
        <w:footnoteReference w:id="2"/>
      </w:r>
      <w:r>
        <w:rPr>
          <w:rFonts w:ascii="Bookman Old Style" w:hAnsi="Bookman Old Style" w:cs="Arial"/>
          <w:sz w:val="28"/>
          <w:szCs w:val="28"/>
        </w:rPr>
        <w:t>,</w:t>
      </w:r>
      <w:r w:rsidRPr="00ED3598">
        <w:rPr>
          <w:rFonts w:ascii="Bookman Old Style" w:hAnsi="Bookman Old Style" w:cs="Arial"/>
          <w:sz w:val="28"/>
          <w:szCs w:val="28"/>
        </w:rPr>
        <w:t xml:space="preserve"> </w:t>
      </w:r>
      <w:r>
        <w:rPr>
          <w:rFonts w:ascii="Bookman Old Style" w:hAnsi="Bookman Old Style" w:cs="Arial"/>
          <w:sz w:val="28"/>
          <w:szCs w:val="28"/>
        </w:rPr>
        <w:t>RAFAEL SALGADO MERCHÁN</w:t>
      </w:r>
      <w:r>
        <w:rPr>
          <w:rStyle w:val="Refdenotaalpie"/>
          <w:rFonts w:ascii="Bookman Old Style" w:hAnsi="Bookman Old Style"/>
          <w:sz w:val="28"/>
          <w:szCs w:val="28"/>
        </w:rPr>
        <w:footnoteReference w:id="3"/>
      </w:r>
      <w:r>
        <w:rPr>
          <w:rFonts w:ascii="Bookman Old Style" w:hAnsi="Bookman Old Style" w:cs="Arial"/>
          <w:sz w:val="28"/>
          <w:szCs w:val="28"/>
        </w:rPr>
        <w:t>, JOSÉ DELFÍN VILLALOBOS JIMÉNEZ</w:t>
      </w:r>
      <w:r>
        <w:rPr>
          <w:rStyle w:val="Refdenotaalpie"/>
          <w:rFonts w:ascii="Bookman Old Style" w:hAnsi="Bookman Old Style"/>
          <w:sz w:val="28"/>
          <w:szCs w:val="28"/>
        </w:rPr>
        <w:footnoteReference w:id="4"/>
      </w:r>
      <w:r>
        <w:rPr>
          <w:rFonts w:ascii="Bookman Old Style" w:hAnsi="Bookman Old Style" w:cs="Arial"/>
          <w:sz w:val="28"/>
          <w:szCs w:val="28"/>
        </w:rPr>
        <w:t xml:space="preserve"> y MIGUEL ANGEL ACHURY PEÑUELA</w:t>
      </w:r>
      <w:r>
        <w:rPr>
          <w:rStyle w:val="Refdenotaalpie"/>
          <w:rFonts w:ascii="Bookman Old Style" w:hAnsi="Bookman Old Style"/>
          <w:sz w:val="28"/>
          <w:szCs w:val="28"/>
        </w:rPr>
        <w:footnoteReference w:id="5"/>
      </w:r>
      <w:r>
        <w:rPr>
          <w:rFonts w:ascii="Bookman Old Style" w:hAnsi="Bookman Old Style" w:cs="Arial"/>
          <w:sz w:val="28"/>
          <w:szCs w:val="28"/>
        </w:rPr>
        <w:t>, contra la sentencia del</w:t>
      </w:r>
      <w:r w:rsidRPr="00EE44ED">
        <w:rPr>
          <w:rFonts w:ascii="Bookman Old Style" w:hAnsi="Bookman Old Style" w:cs="Arial"/>
          <w:sz w:val="28"/>
          <w:szCs w:val="28"/>
        </w:rPr>
        <w:t xml:space="preserve"> </w:t>
      </w:r>
      <w:r>
        <w:rPr>
          <w:rFonts w:ascii="Bookman Old Style" w:hAnsi="Bookman Old Style" w:cs="Arial"/>
          <w:sz w:val="28"/>
          <w:szCs w:val="28"/>
        </w:rPr>
        <w:t>6 de diciembre</w:t>
      </w:r>
      <w:r w:rsidRPr="00EE44ED">
        <w:rPr>
          <w:rFonts w:ascii="Bookman Old Style" w:hAnsi="Bookman Old Style" w:cs="Arial"/>
          <w:sz w:val="28"/>
          <w:szCs w:val="28"/>
        </w:rPr>
        <w:t xml:space="preserve"> de 2013, mediante la cual </w:t>
      </w:r>
      <w:smartTag w:uri="urn:schemas-microsoft-com:office:smarttags" w:element="PersonName">
        <w:smartTagPr>
          <w:attr w:name="ProductID" w:val="la Sala"/>
        </w:smartTagPr>
        <w:r w:rsidRPr="00EE44ED">
          <w:rPr>
            <w:rFonts w:ascii="Bookman Old Style" w:hAnsi="Bookman Old Style" w:cs="Arial"/>
            <w:sz w:val="28"/>
            <w:szCs w:val="28"/>
          </w:rPr>
          <w:t>la Sala</w:t>
        </w:r>
      </w:smartTag>
      <w:r w:rsidRPr="00EE44ED">
        <w:rPr>
          <w:rFonts w:ascii="Bookman Old Style" w:hAnsi="Bookman Old Style" w:cs="Arial"/>
          <w:sz w:val="28"/>
          <w:szCs w:val="28"/>
        </w:rPr>
        <w:t xml:space="preserve"> de Justicia y Paz del Tribunal Superior del Distrito Judicial de Bogotá, declaró a</w:t>
      </w:r>
      <w:r>
        <w:rPr>
          <w:rFonts w:ascii="Bookman Old Style" w:hAnsi="Bookman Old Style" w:cs="Arial"/>
          <w:sz w:val="28"/>
          <w:szCs w:val="28"/>
        </w:rPr>
        <w:t xml:space="preserve"> los citados </w:t>
      </w:r>
      <w:r w:rsidRPr="00EE44ED">
        <w:rPr>
          <w:rFonts w:ascii="Bookman Old Style" w:hAnsi="Bookman Old Style" w:cs="Arial"/>
          <w:sz w:val="28"/>
          <w:szCs w:val="28"/>
        </w:rPr>
        <w:t>comandante</w:t>
      </w:r>
      <w:r>
        <w:rPr>
          <w:rFonts w:ascii="Bookman Old Style" w:hAnsi="Bookman Old Style" w:cs="Arial"/>
          <w:sz w:val="28"/>
          <w:szCs w:val="28"/>
        </w:rPr>
        <w:t>s</w:t>
      </w:r>
      <w:r w:rsidRPr="00EE44ED">
        <w:rPr>
          <w:rFonts w:ascii="Bookman Old Style" w:hAnsi="Bookman Old Style" w:cs="Arial"/>
          <w:sz w:val="28"/>
          <w:szCs w:val="28"/>
        </w:rPr>
        <w:t xml:space="preserve"> de</w:t>
      </w:r>
      <w:r>
        <w:rPr>
          <w:rFonts w:ascii="Bookman Old Style" w:hAnsi="Bookman Old Style" w:cs="Arial"/>
          <w:sz w:val="28"/>
          <w:szCs w:val="28"/>
        </w:rPr>
        <w:t xml:space="preserve">smovilizados de </w:t>
      </w:r>
      <w:r w:rsidRPr="00EE44ED">
        <w:rPr>
          <w:rFonts w:ascii="Bookman Old Style" w:hAnsi="Bookman Old Style" w:cs="Arial"/>
          <w:sz w:val="28"/>
          <w:szCs w:val="28"/>
        </w:rPr>
        <w:t>l</w:t>
      </w:r>
      <w:r>
        <w:rPr>
          <w:rFonts w:ascii="Bookman Old Style" w:hAnsi="Bookman Old Style" w:cs="Arial"/>
          <w:sz w:val="28"/>
          <w:szCs w:val="28"/>
        </w:rPr>
        <w:t>as Autodefensas Campesinas del Meta y Vichada,</w:t>
      </w:r>
      <w:r w:rsidRPr="00EE44ED">
        <w:rPr>
          <w:rFonts w:ascii="Bookman Old Style" w:hAnsi="Bookman Old Style" w:cs="Arial"/>
          <w:sz w:val="28"/>
          <w:szCs w:val="28"/>
        </w:rPr>
        <w:t xml:space="preserve"> responsable</w:t>
      </w:r>
      <w:r>
        <w:rPr>
          <w:rFonts w:ascii="Bookman Old Style" w:hAnsi="Bookman Old Style" w:cs="Arial"/>
          <w:sz w:val="28"/>
          <w:szCs w:val="28"/>
        </w:rPr>
        <w:t>s</w:t>
      </w:r>
      <w:r w:rsidRPr="00EE44ED">
        <w:rPr>
          <w:rFonts w:ascii="Bookman Old Style" w:hAnsi="Bookman Old Style" w:cs="Arial"/>
          <w:sz w:val="28"/>
          <w:szCs w:val="28"/>
        </w:rPr>
        <w:t xml:space="preserve"> de un concurso de conductas punibles cometidas durante y con ocasión de su perte</w:t>
      </w:r>
      <w:r>
        <w:rPr>
          <w:rFonts w:ascii="Bookman Old Style" w:hAnsi="Bookman Old Style" w:cs="Arial"/>
          <w:sz w:val="28"/>
          <w:szCs w:val="28"/>
        </w:rPr>
        <w:t>nencia a esa organización</w:t>
      </w:r>
      <w:r w:rsidRPr="00EE44ED">
        <w:rPr>
          <w:rFonts w:ascii="Bookman Old Style" w:hAnsi="Bookman Old Style" w:cs="Arial"/>
          <w:sz w:val="28"/>
          <w:szCs w:val="28"/>
        </w:rPr>
        <w:t xml:space="preserve"> armada</w:t>
      </w:r>
      <w:r>
        <w:rPr>
          <w:rFonts w:ascii="Bookman Old Style" w:hAnsi="Bookman Old Style" w:cs="Arial"/>
          <w:sz w:val="28"/>
          <w:szCs w:val="28"/>
        </w:rPr>
        <w:t xml:space="preserve"> ilegal</w:t>
      </w:r>
      <w:r w:rsidRPr="00EE44ED">
        <w:rPr>
          <w:rFonts w:ascii="Bookman Old Style" w:hAnsi="Bookman Old Style" w:cs="Arial"/>
          <w:sz w:val="28"/>
          <w:szCs w:val="28"/>
        </w:rPr>
        <w:t>.</w:t>
      </w:r>
    </w:p>
    <w:p w:rsidR="00AD777C" w:rsidRPr="00EE44ED" w:rsidRDefault="00AD777C" w:rsidP="00AD777C">
      <w:pPr>
        <w:pStyle w:val="Encabezado"/>
        <w:tabs>
          <w:tab w:val="clear" w:pos="4252"/>
          <w:tab w:val="clear" w:pos="8504"/>
        </w:tabs>
        <w:spacing w:line="360" w:lineRule="auto"/>
        <w:jc w:val="both"/>
        <w:rPr>
          <w:rFonts w:ascii="Bookman Old Style" w:hAnsi="Bookman Old Style" w:cs="Arial"/>
          <w:sz w:val="28"/>
          <w:szCs w:val="28"/>
        </w:rPr>
      </w:pPr>
    </w:p>
    <w:p w:rsidR="00AD777C" w:rsidRPr="00EE44ED" w:rsidRDefault="00AD777C" w:rsidP="00AD777C">
      <w:pPr>
        <w:pStyle w:val="Textoindependiente"/>
        <w:jc w:val="center"/>
        <w:rPr>
          <w:rFonts w:ascii="Bookman Old Style" w:hAnsi="Bookman Old Style"/>
          <w:b/>
          <w:spacing w:val="-3"/>
          <w:sz w:val="28"/>
          <w:szCs w:val="28"/>
          <w:lang w:val="es-CO"/>
        </w:rPr>
      </w:pPr>
      <w:r w:rsidRPr="00EE44ED">
        <w:rPr>
          <w:rFonts w:ascii="Bookman Old Style" w:hAnsi="Bookman Old Style"/>
          <w:b/>
          <w:spacing w:val="-3"/>
          <w:sz w:val="28"/>
          <w:szCs w:val="28"/>
          <w:lang w:val="es-CO"/>
        </w:rPr>
        <w:t>ANTECEDENTES</w:t>
      </w:r>
    </w:p>
    <w:p w:rsidR="00AD777C" w:rsidRPr="004F33E7" w:rsidRDefault="00AD777C" w:rsidP="00AD777C">
      <w:pPr>
        <w:pStyle w:val="Textoindependiente"/>
        <w:ind w:firstLine="708"/>
        <w:rPr>
          <w:rFonts w:ascii="Bookman Old Style" w:hAnsi="Bookman Old Style"/>
          <w:b/>
          <w:spacing w:val="-3"/>
          <w:szCs w:val="24"/>
          <w:lang w:val="es-CO"/>
        </w:rPr>
      </w:pPr>
    </w:p>
    <w:p w:rsidR="00AD777C" w:rsidRPr="00626E42" w:rsidRDefault="00AD777C" w:rsidP="00AD777C">
      <w:pPr>
        <w:numPr>
          <w:ilvl w:val="0"/>
          <w:numId w:val="20"/>
        </w:numPr>
        <w:spacing w:line="360" w:lineRule="auto"/>
        <w:ind w:right="-187"/>
        <w:jc w:val="both"/>
        <w:rPr>
          <w:rFonts w:ascii="Bookman Old Style" w:hAnsi="Bookman Old Style"/>
          <w:b/>
          <w:sz w:val="28"/>
          <w:szCs w:val="28"/>
        </w:rPr>
      </w:pPr>
      <w:r w:rsidRPr="00626E42">
        <w:rPr>
          <w:rFonts w:ascii="Bookman Old Style" w:hAnsi="Bookman Old Style"/>
          <w:b/>
          <w:sz w:val="28"/>
          <w:szCs w:val="28"/>
        </w:rPr>
        <w:t>Históricos.</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DA5C92">
        <w:rPr>
          <w:rFonts w:ascii="Bookman Old Style" w:hAnsi="Bookman Old Style"/>
          <w:b/>
          <w:sz w:val="28"/>
          <w:szCs w:val="28"/>
        </w:rPr>
        <w:t xml:space="preserve">1.1. </w:t>
      </w:r>
      <w:r>
        <w:rPr>
          <w:rFonts w:ascii="Bookman Old Style" w:hAnsi="Bookman Old Style"/>
          <w:sz w:val="28"/>
          <w:szCs w:val="28"/>
        </w:rPr>
        <w:t>La sentencia de primera instancia ilustra con suficiencia los antecedentes históricos del conflicto armado interno en el país y el surgimiento de las llamadas Autodefensas Unidas de Colombia (en adelante AUC), sin que tal aspecto haya sido cuestionado por los sujetos procesales, razón por la cual la Sala se remite a lo allí declarado, destacando, para lo que interesa al recurso interpuesto, los antecedentes que rodean la creación y consolidación de la estructura ilegal denominada “Los Carranceros” o Autodefensas Campesinas del Meta y Vichada, de la cual se desmovilizaron los aquí condenados, con ocasión de los acuerdos de paz suscritos con esa organización armada ilegal.</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DA5C92">
        <w:rPr>
          <w:rFonts w:ascii="Bookman Old Style" w:hAnsi="Bookman Old Style"/>
          <w:b/>
          <w:sz w:val="28"/>
          <w:szCs w:val="28"/>
        </w:rPr>
        <w:t xml:space="preserve">1.2. </w:t>
      </w:r>
      <w:r>
        <w:rPr>
          <w:rFonts w:ascii="Bookman Old Style" w:hAnsi="Bookman Old Style"/>
          <w:sz w:val="28"/>
          <w:szCs w:val="28"/>
        </w:rPr>
        <w:t>En ese sentido, en el proceso se acreditó que JOSÉ BALDOMERO LINARES conformó el 18 de noviembre de 1994 el grupo denominado Autodefensas de Oriente</w:t>
      </w:r>
      <w:r>
        <w:rPr>
          <w:rStyle w:val="Refdenotaalpie"/>
          <w:rFonts w:ascii="Bookman Old Style" w:hAnsi="Bookman Old Style"/>
          <w:sz w:val="28"/>
          <w:szCs w:val="28"/>
        </w:rPr>
        <w:footnoteReference w:id="6"/>
      </w:r>
      <w:r>
        <w:rPr>
          <w:rFonts w:ascii="Bookman Old Style" w:hAnsi="Bookman Old Style"/>
          <w:sz w:val="28"/>
          <w:szCs w:val="28"/>
        </w:rPr>
        <w:t xml:space="preserve">, cuyo nombre cambió a partir del año 2000 al de Autodefensas Campesinas de Meta y Vichada </w:t>
      </w:r>
      <w:r>
        <w:rPr>
          <w:rFonts w:ascii="Bookman Old Style" w:hAnsi="Bookman Old Style" w:cs="Arial"/>
          <w:sz w:val="28"/>
          <w:szCs w:val="28"/>
        </w:rPr>
        <w:t>(en adelante ACMV).</w:t>
      </w:r>
      <w:r>
        <w:rPr>
          <w:rFonts w:ascii="Bookman Old Style" w:hAnsi="Bookman Old Style"/>
          <w:sz w:val="28"/>
          <w:szCs w:val="28"/>
        </w:rPr>
        <w:t xml:space="preserve"> </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El grupo constituido como una organización antisubversiva, se autoproclamó defensor de los bienes y la honra </w:t>
      </w:r>
      <w:r w:rsidRPr="00020A14">
        <w:rPr>
          <w:rFonts w:ascii="Bookman Old Style" w:hAnsi="Bookman Old Style"/>
          <w:i/>
          <w:sz w:val="24"/>
          <w:szCs w:val="24"/>
        </w:rPr>
        <w:t>«de las personas de bien»</w:t>
      </w:r>
      <w:r>
        <w:rPr>
          <w:rFonts w:ascii="Bookman Old Style" w:hAnsi="Bookman Old Style"/>
          <w:i/>
          <w:sz w:val="24"/>
          <w:szCs w:val="24"/>
        </w:rPr>
        <w:t>,</w:t>
      </w:r>
      <w:r w:rsidRPr="00EF2EE3">
        <w:rPr>
          <w:rFonts w:ascii="Bookman Old Style" w:hAnsi="Bookman Old Style"/>
          <w:i/>
          <w:sz w:val="28"/>
          <w:szCs w:val="28"/>
        </w:rPr>
        <w:t xml:space="preserve"> </w:t>
      </w:r>
      <w:r w:rsidRPr="00EF2EE3">
        <w:rPr>
          <w:rFonts w:ascii="Bookman Old Style" w:hAnsi="Bookman Old Style"/>
          <w:sz w:val="28"/>
          <w:szCs w:val="28"/>
        </w:rPr>
        <w:t>a través de una estructura político-militar armada</w:t>
      </w:r>
      <w:r>
        <w:rPr>
          <w:rFonts w:ascii="Bookman Old Style" w:hAnsi="Bookman Old Style"/>
          <w:sz w:val="28"/>
          <w:szCs w:val="28"/>
        </w:rPr>
        <w:t xml:space="preserve"> que prometió ejercer el control general en zonas rurales y urbanas de la región que históricamente se identificaban como territorios usados por la guerrilla de las FARC para guarecerse de las acciones estatales ante la falta de presencia institucional.</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Pr="009415AA" w:rsidRDefault="00AD777C" w:rsidP="00AD777C">
      <w:pPr>
        <w:spacing w:line="360" w:lineRule="auto"/>
        <w:ind w:right="-187" w:firstLine="708"/>
        <w:jc w:val="both"/>
        <w:rPr>
          <w:rFonts w:ascii="Bookman Old Style" w:hAnsi="Bookman Old Style"/>
          <w:sz w:val="28"/>
          <w:szCs w:val="28"/>
        </w:rPr>
      </w:pPr>
      <w:r w:rsidRPr="00DA5C92">
        <w:rPr>
          <w:rFonts w:ascii="Bookman Old Style" w:hAnsi="Bookman Old Style"/>
          <w:b/>
          <w:sz w:val="28"/>
          <w:szCs w:val="28"/>
        </w:rPr>
        <w:t xml:space="preserve">1.3. </w:t>
      </w:r>
      <w:r>
        <w:rPr>
          <w:rFonts w:ascii="Bookman Old Style" w:hAnsi="Bookman Old Style"/>
          <w:sz w:val="28"/>
          <w:szCs w:val="28"/>
        </w:rPr>
        <w:t>A finales del año 1997, ya las ACMV realizaban operaciones conjuntas con el grupo conocido como Los ‘</w:t>
      </w:r>
      <w:r w:rsidRPr="00C46CD0">
        <w:rPr>
          <w:rFonts w:ascii="Bookman Old Style" w:hAnsi="Bookman Old Style"/>
          <w:i/>
          <w:sz w:val="28"/>
          <w:szCs w:val="28"/>
        </w:rPr>
        <w:t>Buitrag</w:t>
      </w:r>
      <w:r>
        <w:rPr>
          <w:rFonts w:ascii="Bookman Old Style" w:hAnsi="Bookman Old Style"/>
          <w:i/>
          <w:sz w:val="28"/>
          <w:szCs w:val="28"/>
        </w:rPr>
        <w:t>ueños</w:t>
      </w:r>
      <w:r w:rsidRPr="00C46CD0">
        <w:rPr>
          <w:rFonts w:ascii="Bookman Old Style" w:hAnsi="Bookman Old Style"/>
          <w:i/>
          <w:sz w:val="28"/>
          <w:szCs w:val="28"/>
        </w:rPr>
        <w:t>’</w:t>
      </w:r>
      <w:r>
        <w:rPr>
          <w:rStyle w:val="Refdenotaalpie"/>
          <w:rFonts w:ascii="Bookman Old Style" w:hAnsi="Bookman Old Style"/>
          <w:i/>
          <w:sz w:val="28"/>
          <w:szCs w:val="28"/>
        </w:rPr>
        <w:footnoteReference w:id="7"/>
      </w:r>
      <w:r>
        <w:rPr>
          <w:rFonts w:ascii="Bookman Old Style" w:hAnsi="Bookman Old Style"/>
          <w:i/>
          <w:sz w:val="28"/>
          <w:szCs w:val="28"/>
        </w:rPr>
        <w:t>,</w:t>
      </w:r>
      <w:r w:rsidRPr="009415AA">
        <w:rPr>
          <w:rFonts w:ascii="Bookman Old Style" w:hAnsi="Bookman Old Style"/>
          <w:sz w:val="28"/>
          <w:szCs w:val="28"/>
        </w:rPr>
        <w:t xml:space="preserve"> lo cual aumentó su </w:t>
      </w:r>
      <w:r>
        <w:rPr>
          <w:rFonts w:ascii="Bookman Old Style" w:hAnsi="Bookman Old Style"/>
          <w:sz w:val="28"/>
          <w:szCs w:val="28"/>
        </w:rPr>
        <w:t>capacidad de ataque no sólo contra las FARC sino contra la población civil que era catalogada como colaboradora de ese grupo guerrillero.</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Simultáneamente, irrumpe el grupo conocido como los </w:t>
      </w:r>
      <w:r>
        <w:rPr>
          <w:rFonts w:ascii="Bookman Old Style" w:hAnsi="Bookman Old Style"/>
          <w:i/>
          <w:sz w:val="28"/>
          <w:szCs w:val="28"/>
        </w:rPr>
        <w:t>‘</w:t>
      </w:r>
      <w:r w:rsidRPr="00703A3F">
        <w:rPr>
          <w:rFonts w:ascii="Bookman Old Style" w:hAnsi="Bookman Old Style"/>
          <w:i/>
          <w:sz w:val="28"/>
          <w:szCs w:val="28"/>
        </w:rPr>
        <w:t>Urabeños</w:t>
      </w:r>
      <w:r>
        <w:rPr>
          <w:rFonts w:ascii="Bookman Old Style" w:hAnsi="Bookman Old Style"/>
          <w:i/>
          <w:sz w:val="28"/>
          <w:szCs w:val="28"/>
        </w:rPr>
        <w:t>’</w:t>
      </w:r>
      <w:r>
        <w:rPr>
          <w:rFonts w:ascii="Bookman Old Style" w:hAnsi="Bookman Old Style"/>
          <w:sz w:val="28"/>
          <w:szCs w:val="28"/>
        </w:rPr>
        <w:t>, enviado por Carlos Castaño ante la resistencia de BALDOMERO LINARES a someterse a las órdenes de aquél, lo cual agravó la situación de violencia en la región.</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DA5C92">
        <w:rPr>
          <w:rFonts w:ascii="Bookman Old Style" w:hAnsi="Bookman Old Style"/>
          <w:b/>
          <w:sz w:val="28"/>
          <w:szCs w:val="28"/>
        </w:rPr>
        <w:t xml:space="preserve">1.4. </w:t>
      </w:r>
      <w:r>
        <w:rPr>
          <w:rFonts w:ascii="Bookman Old Style" w:hAnsi="Bookman Old Style"/>
          <w:sz w:val="28"/>
          <w:szCs w:val="28"/>
        </w:rPr>
        <w:t>En el año 1998 BALDOMERO LINARES conformó una estructura en Puerto López (Meta), situando al mando de ella a MIGUEL ÁNGEL ACHURY PEÑUELA, quien había ingresado a la organización pocos meses atrás.</w:t>
      </w:r>
    </w:p>
    <w:p w:rsidR="00AD777C" w:rsidRDefault="00AD777C" w:rsidP="00AD777C">
      <w:pPr>
        <w:spacing w:line="360" w:lineRule="auto"/>
        <w:ind w:right="-187" w:firstLine="708"/>
        <w:jc w:val="both"/>
        <w:rPr>
          <w:rFonts w:ascii="Bookman Old Style" w:hAnsi="Bookman Old Style"/>
          <w:sz w:val="28"/>
          <w:szCs w:val="28"/>
        </w:rPr>
      </w:pPr>
      <w:r w:rsidRPr="00DA5C92">
        <w:rPr>
          <w:rFonts w:ascii="Bookman Old Style" w:hAnsi="Bookman Old Style"/>
          <w:b/>
          <w:sz w:val="28"/>
          <w:szCs w:val="28"/>
        </w:rPr>
        <w:t xml:space="preserve">1.5. </w:t>
      </w:r>
      <w:r>
        <w:rPr>
          <w:rFonts w:ascii="Bookman Old Style" w:hAnsi="Bookman Old Style"/>
          <w:sz w:val="28"/>
          <w:szCs w:val="28"/>
        </w:rPr>
        <w:t>La estructura jerarquizada de la organización armada ilegal para el año 2000, estaba compuesta de la siguiente manera: BALDOMERO LINARES, comandante general; JOSÉ DELFÍN VILLALOBOS, comandante militar; RAFAEL SALGADO MERCHÁN, comandante operativo y MIGUEL ÁNGEL ACHURY PEÑUELA, comandante de un grupo urbano.</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El accionar delictivo del grupo se enmarcó en el poder autoritario que ejercieron en los departamentos del Meta y Vichada desde el año 1998 hasta el 6 de agosto de 2005, fecha de la desmovilización del grupo</w:t>
      </w:r>
      <w:r>
        <w:rPr>
          <w:rStyle w:val="Refdenotaalpie"/>
          <w:rFonts w:ascii="Bookman Old Style" w:hAnsi="Bookman Old Style"/>
          <w:sz w:val="28"/>
          <w:szCs w:val="28"/>
        </w:rPr>
        <w:footnoteReference w:id="8"/>
      </w:r>
      <w:r>
        <w:rPr>
          <w:rFonts w:ascii="Bookman Old Style" w:hAnsi="Bookman Old Style"/>
          <w:sz w:val="28"/>
          <w:szCs w:val="28"/>
        </w:rPr>
        <w:t xml:space="preserve">. </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DA5C92">
        <w:rPr>
          <w:rFonts w:ascii="Bookman Old Style" w:hAnsi="Bookman Old Style"/>
          <w:b/>
          <w:sz w:val="28"/>
          <w:szCs w:val="28"/>
        </w:rPr>
        <w:t xml:space="preserve">1.6. </w:t>
      </w:r>
      <w:r>
        <w:rPr>
          <w:rFonts w:ascii="Bookman Old Style" w:hAnsi="Bookman Old Style"/>
          <w:sz w:val="28"/>
          <w:szCs w:val="28"/>
        </w:rPr>
        <w:t>En general, la sentencia de primera instancia ilustra cómo durante el tiempo en que operaron las ACMV, se reportaron ataques criminales, sistemáticos y generalizados en los mencionados departamentos, los cuales respondieron a una política devastadora dirigida, en la mayoría de los casos, contra miembros de la población civil, señalados, sin fórmula de juicio, como militantes o auxiliadores de la guerrilla de las FARC.</w:t>
      </w:r>
    </w:p>
    <w:p w:rsidR="00AD777C" w:rsidRPr="004F33E7" w:rsidRDefault="00AD777C" w:rsidP="00AD777C">
      <w:pPr>
        <w:spacing w:line="360" w:lineRule="auto"/>
        <w:ind w:right="-187" w:firstLine="708"/>
        <w:jc w:val="both"/>
        <w:rPr>
          <w:rFonts w:ascii="Bookman Old Style" w:hAnsi="Bookman Old Style"/>
          <w:b/>
          <w:sz w:val="24"/>
          <w:szCs w:val="24"/>
        </w:rPr>
      </w:pPr>
    </w:p>
    <w:p w:rsidR="00AD777C" w:rsidRPr="00794075" w:rsidRDefault="00AD777C" w:rsidP="00AD777C">
      <w:pPr>
        <w:numPr>
          <w:ilvl w:val="0"/>
          <w:numId w:val="20"/>
        </w:numPr>
        <w:spacing w:line="360" w:lineRule="auto"/>
        <w:ind w:right="-187"/>
        <w:jc w:val="both"/>
        <w:rPr>
          <w:rFonts w:ascii="Bookman Old Style" w:hAnsi="Bookman Old Style"/>
          <w:b/>
          <w:sz w:val="28"/>
          <w:szCs w:val="28"/>
        </w:rPr>
      </w:pPr>
      <w:r w:rsidRPr="00794075">
        <w:rPr>
          <w:rFonts w:ascii="Bookman Old Style" w:hAnsi="Bookman Old Style"/>
          <w:b/>
          <w:sz w:val="28"/>
          <w:szCs w:val="28"/>
        </w:rPr>
        <w:t>Procesales.</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i/>
          <w:sz w:val="28"/>
          <w:szCs w:val="28"/>
        </w:rPr>
      </w:pPr>
      <w:r w:rsidRPr="00CB2E2D">
        <w:rPr>
          <w:rFonts w:ascii="Bookman Old Style" w:hAnsi="Bookman Old Style"/>
          <w:b/>
          <w:sz w:val="28"/>
          <w:szCs w:val="28"/>
        </w:rPr>
        <w:t>2.1.</w:t>
      </w:r>
      <w:r>
        <w:rPr>
          <w:rFonts w:ascii="Bookman Old Style" w:hAnsi="Bookman Old Style"/>
          <w:sz w:val="28"/>
          <w:szCs w:val="28"/>
        </w:rPr>
        <w:t xml:space="preserve"> Mediante Resolución 091 de 2004, el señor Presidente de la República y sus Ministros del Interior y de Justicia y de Defensa Nacional, en ejercicio de las atribuciones conferidas por la Ley 418 de 1997, prorrogada y modificada por la Ley 548 de 1999 y por la Ley 782 de 2002, y considerando que se encontraban dadas las condiciones para ello, declararon </w:t>
      </w:r>
      <w:r w:rsidRPr="002E7223">
        <w:rPr>
          <w:rFonts w:ascii="Bookman Old Style" w:hAnsi="Bookman Old Style"/>
          <w:i/>
          <w:sz w:val="28"/>
          <w:szCs w:val="28"/>
        </w:rPr>
        <w:t>“abierto el proceso de diálogo, negociación y firma de acuerdos con las A</w:t>
      </w:r>
      <w:r>
        <w:rPr>
          <w:rFonts w:ascii="Bookman Old Style" w:hAnsi="Bookman Old Style"/>
          <w:i/>
          <w:sz w:val="28"/>
          <w:szCs w:val="28"/>
        </w:rPr>
        <w:t>u</w:t>
      </w:r>
      <w:r w:rsidRPr="002E7223">
        <w:rPr>
          <w:rFonts w:ascii="Bookman Old Style" w:hAnsi="Bookman Old Style"/>
          <w:i/>
          <w:sz w:val="28"/>
          <w:szCs w:val="28"/>
        </w:rPr>
        <w:t>todefensas Unidas de Colombia, AUC de que trata el artículo 3 de la Ley 782 de 2002”</w:t>
      </w:r>
      <w:r>
        <w:rPr>
          <w:rStyle w:val="Refdenotaalpie"/>
          <w:rFonts w:ascii="Bookman Old Style" w:hAnsi="Bookman Old Style"/>
          <w:i/>
          <w:sz w:val="28"/>
          <w:szCs w:val="28"/>
        </w:rPr>
        <w:footnoteReference w:id="9"/>
      </w:r>
      <w:r>
        <w:rPr>
          <w:rFonts w:ascii="Bookman Old Style" w:hAnsi="Bookman Old Style"/>
          <w:i/>
          <w:sz w:val="28"/>
          <w:szCs w:val="28"/>
        </w:rPr>
        <w:t>.</w:t>
      </w:r>
    </w:p>
    <w:p w:rsidR="00AD777C" w:rsidRPr="004F33E7" w:rsidRDefault="00AD777C" w:rsidP="00AD777C">
      <w:pPr>
        <w:spacing w:line="360" w:lineRule="auto"/>
        <w:ind w:right="-187" w:firstLine="708"/>
        <w:jc w:val="both"/>
        <w:rPr>
          <w:rFonts w:ascii="Bookman Old Style" w:hAnsi="Bookman Old Style"/>
          <w:i/>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CB2E2D">
        <w:rPr>
          <w:rFonts w:ascii="Bookman Old Style" w:hAnsi="Bookman Old Style"/>
          <w:b/>
          <w:sz w:val="28"/>
          <w:szCs w:val="28"/>
        </w:rPr>
        <w:t>2.2.</w:t>
      </w:r>
      <w:r>
        <w:rPr>
          <w:rFonts w:ascii="Bookman Old Style" w:hAnsi="Bookman Old Style"/>
          <w:b/>
          <w:sz w:val="28"/>
          <w:szCs w:val="28"/>
        </w:rPr>
        <w:t xml:space="preserve"> </w:t>
      </w:r>
      <w:r>
        <w:rPr>
          <w:rFonts w:ascii="Bookman Old Style" w:hAnsi="Bookman Old Style"/>
          <w:b/>
          <w:sz w:val="28"/>
          <w:szCs w:val="28"/>
        </w:rPr>
        <w:tab/>
      </w:r>
      <w:r w:rsidRPr="00CB2E2D">
        <w:rPr>
          <w:rFonts w:ascii="Bookman Old Style" w:hAnsi="Bookman Old Style"/>
          <w:sz w:val="28"/>
          <w:szCs w:val="28"/>
        </w:rPr>
        <w:t>Para efectos de la coordinación de las desmovilizaciones</w:t>
      </w:r>
      <w:r>
        <w:rPr>
          <w:rFonts w:ascii="Bookman Old Style" w:hAnsi="Bookman Old Style"/>
          <w:b/>
          <w:sz w:val="28"/>
          <w:szCs w:val="28"/>
        </w:rPr>
        <w:t xml:space="preserve"> </w:t>
      </w:r>
      <w:r>
        <w:rPr>
          <w:rFonts w:ascii="Bookman Old Style" w:hAnsi="Bookman Old Style"/>
          <w:sz w:val="28"/>
          <w:szCs w:val="28"/>
        </w:rPr>
        <w:t>acordadas, la Presidencia de la República emitió la Resolución No. 157 del 1º de julio de 2005, reconociendo como miembro representante de las AUC a JOSÉ BALDOMERO LINARES MORENO, para efectos de cumplir funciones relacionadas con la reincorporación de los miembr</w:t>
      </w:r>
      <w:r w:rsidRPr="00CB2E2D">
        <w:rPr>
          <w:rFonts w:ascii="Bookman Old Style" w:hAnsi="Bookman Old Style"/>
          <w:sz w:val="28"/>
          <w:szCs w:val="28"/>
        </w:rPr>
        <w:t>os desmovilizados del grupo que operaba bajo su mando.</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8D5603">
        <w:rPr>
          <w:rFonts w:ascii="Bookman Old Style" w:hAnsi="Bookman Old Style"/>
          <w:b/>
          <w:sz w:val="28"/>
          <w:szCs w:val="28"/>
        </w:rPr>
        <w:t>2.3.</w:t>
      </w:r>
      <w:r>
        <w:rPr>
          <w:rFonts w:ascii="Bookman Old Style" w:hAnsi="Bookman Old Style"/>
          <w:sz w:val="28"/>
          <w:szCs w:val="28"/>
        </w:rPr>
        <w:t xml:space="preserve"> </w:t>
      </w:r>
      <w:r>
        <w:rPr>
          <w:rFonts w:ascii="Bookman Old Style" w:hAnsi="Bookman Old Style"/>
          <w:sz w:val="28"/>
          <w:szCs w:val="28"/>
        </w:rPr>
        <w:tab/>
        <w:t>A su vez, mediante Resolución No. 174 del 8 de julio de 2005, emanada de la misma Presidencia, se estableció como zona de ubicación temporal (dos meses) la finca “La María”, situada en la vereda San Miguel, jurisdicción del municipio Puerto Gaitán (Meta) para la concentración y desmovilización de los miembros de las ACMV.</w:t>
      </w:r>
    </w:p>
    <w:p w:rsidR="00AD777C" w:rsidRPr="004F33E7" w:rsidRDefault="00AD777C" w:rsidP="00AD777C">
      <w:pPr>
        <w:spacing w:line="360" w:lineRule="auto"/>
        <w:ind w:right="-187" w:firstLine="708"/>
        <w:jc w:val="both"/>
        <w:rPr>
          <w:rFonts w:ascii="Bookman Old Style" w:hAnsi="Bookman Old Style"/>
          <w:sz w:val="24"/>
          <w:szCs w:val="24"/>
        </w:rPr>
      </w:pPr>
    </w:p>
    <w:p w:rsidR="00AD777C" w:rsidRDefault="00AD777C" w:rsidP="00AD777C">
      <w:pPr>
        <w:spacing w:line="360" w:lineRule="auto"/>
        <w:ind w:right="-187" w:firstLine="708"/>
        <w:jc w:val="both"/>
        <w:rPr>
          <w:rFonts w:ascii="Bookman Old Style" w:hAnsi="Bookman Old Style"/>
          <w:sz w:val="28"/>
          <w:szCs w:val="28"/>
        </w:rPr>
      </w:pPr>
      <w:r w:rsidRPr="008D5603">
        <w:rPr>
          <w:rFonts w:ascii="Bookman Old Style" w:hAnsi="Bookman Old Style"/>
          <w:b/>
          <w:sz w:val="28"/>
          <w:szCs w:val="28"/>
        </w:rPr>
        <w:t>2.4.</w:t>
      </w:r>
      <w:r>
        <w:rPr>
          <w:rFonts w:ascii="Bookman Old Style" w:hAnsi="Bookman Old Style"/>
          <w:sz w:val="28"/>
          <w:szCs w:val="28"/>
        </w:rPr>
        <w:t xml:space="preserve"> </w:t>
      </w:r>
      <w:r>
        <w:rPr>
          <w:rFonts w:ascii="Bookman Old Style" w:hAnsi="Bookman Old Style"/>
          <w:sz w:val="28"/>
          <w:szCs w:val="28"/>
        </w:rPr>
        <w:tab/>
        <w:t>El 6 de agosto de 2005, en dicho lugar se materializó la desmovilización colectiva de 209 integrantes.</w:t>
      </w:r>
    </w:p>
    <w:p w:rsidR="00AD777C" w:rsidRPr="004F33E7" w:rsidRDefault="00AD777C" w:rsidP="00AD777C">
      <w:pPr>
        <w:spacing w:line="360" w:lineRule="auto"/>
        <w:ind w:right="-187" w:firstLine="708"/>
        <w:jc w:val="both"/>
        <w:rPr>
          <w:rFonts w:ascii="Bookman Old Style" w:hAnsi="Bookman Old Style"/>
          <w:sz w:val="24"/>
          <w:szCs w:val="24"/>
        </w:rPr>
      </w:pPr>
      <w:r>
        <w:rPr>
          <w:rFonts w:ascii="Bookman Old Style" w:hAnsi="Bookman Old Style"/>
          <w:sz w:val="28"/>
          <w:szCs w:val="28"/>
        </w:rPr>
        <w:t xml:space="preserve"> </w:t>
      </w:r>
    </w:p>
    <w:p w:rsidR="00AD777C" w:rsidRDefault="00AD777C" w:rsidP="00AD777C">
      <w:pPr>
        <w:spacing w:line="360" w:lineRule="auto"/>
        <w:ind w:right="-187" w:firstLine="708"/>
        <w:jc w:val="both"/>
        <w:rPr>
          <w:rFonts w:ascii="Bookman Old Style" w:hAnsi="Bookman Old Style"/>
          <w:sz w:val="28"/>
          <w:szCs w:val="28"/>
        </w:rPr>
      </w:pPr>
      <w:r w:rsidRPr="008D5603">
        <w:rPr>
          <w:rFonts w:ascii="Bookman Old Style" w:hAnsi="Bookman Old Style"/>
          <w:b/>
          <w:sz w:val="28"/>
          <w:szCs w:val="28"/>
        </w:rPr>
        <w:t>2.5.</w:t>
      </w:r>
      <w:r>
        <w:rPr>
          <w:rFonts w:ascii="Bookman Old Style" w:hAnsi="Bookman Old Style"/>
          <w:sz w:val="28"/>
          <w:szCs w:val="28"/>
        </w:rPr>
        <w:tab/>
        <w:t>La lista de personas postuladas, dentro de la que se encuentran JOSÉ BALDOMERO LINARES MORENO, JOSÉ DELFÍN VILLALOBOS JIMÉNEZ, MIGUEL ÁNGEL ACHURY PEÑUELA y RAFAEL SALGADO MERCHÁN, fue remitida por el Ministerio del Interior y de Justicia a la Fiscalía General de la Nación, mediante comunicación del 16 de agosto de 2006.</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DB546B">
        <w:rPr>
          <w:rFonts w:ascii="Bookman Old Style" w:hAnsi="Bookman Old Style"/>
          <w:b/>
          <w:sz w:val="28"/>
          <w:szCs w:val="28"/>
        </w:rPr>
        <w:t>2.6.</w:t>
      </w:r>
      <w:r>
        <w:rPr>
          <w:rFonts w:ascii="Bookman Old Style" w:hAnsi="Bookman Old Style"/>
          <w:sz w:val="28"/>
          <w:szCs w:val="28"/>
        </w:rPr>
        <w:tab/>
        <w:t>Una vez los postulados ratificaron su voluntad de someterse al trámite de la Ley 975 de 2005 mediante memorial dirigido a la Unidad de Justicia y Paz de la Fiscalía General de la Nación, el asunto fue repartido al Fiscal 29 de la Unidad Nacional de Justicia y Paz y posteriormente reasignado a la Fiscalía 59, despacho que continuó a cargo hasta el proferimiento de la sentencia.</w:t>
      </w:r>
    </w:p>
    <w:p w:rsidR="00AD777C" w:rsidRPr="00DB546B"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sz w:val="28"/>
          <w:szCs w:val="28"/>
        </w:rPr>
        <w:t xml:space="preserve"> </w:t>
      </w:r>
    </w:p>
    <w:p w:rsidR="00AD777C" w:rsidRDefault="00AD777C" w:rsidP="00AD777C">
      <w:pPr>
        <w:spacing w:line="360" w:lineRule="auto"/>
        <w:ind w:right="-187" w:firstLine="708"/>
        <w:jc w:val="both"/>
        <w:rPr>
          <w:rFonts w:ascii="Bookman Old Style" w:hAnsi="Bookman Old Style"/>
          <w:sz w:val="28"/>
          <w:szCs w:val="28"/>
        </w:rPr>
      </w:pPr>
      <w:r w:rsidRPr="00DB546B">
        <w:rPr>
          <w:rFonts w:ascii="Bookman Old Style" w:hAnsi="Bookman Old Style"/>
          <w:b/>
          <w:sz w:val="28"/>
          <w:szCs w:val="28"/>
        </w:rPr>
        <w:t>2.7.</w:t>
      </w:r>
      <w:r>
        <w:rPr>
          <w:rFonts w:ascii="Bookman Old Style" w:hAnsi="Bookman Old Style"/>
          <w:sz w:val="28"/>
          <w:szCs w:val="28"/>
        </w:rPr>
        <w:t xml:space="preserve"> </w:t>
      </w:r>
      <w:r>
        <w:rPr>
          <w:rFonts w:ascii="Bookman Old Style" w:hAnsi="Bookman Old Style"/>
          <w:sz w:val="28"/>
          <w:szCs w:val="28"/>
        </w:rPr>
        <w:tab/>
        <w:t xml:space="preserve">Los días 12 de febrero y 18 de diciembre de 2006 y 12 de febrero y 13 de noviembre de 2007, </w:t>
      </w:r>
      <w:r w:rsidRPr="00804C2C">
        <w:rPr>
          <w:rFonts w:ascii="Bookman Old Style" w:hAnsi="Bookman Old Style"/>
          <w:sz w:val="28"/>
          <w:szCs w:val="28"/>
        </w:rPr>
        <w:t>se fij</w:t>
      </w:r>
      <w:r>
        <w:rPr>
          <w:rFonts w:ascii="Bookman Old Style" w:hAnsi="Bookman Old Style"/>
          <w:sz w:val="28"/>
          <w:szCs w:val="28"/>
        </w:rPr>
        <w:t>aron los</w:t>
      </w:r>
      <w:r w:rsidRPr="00804C2C">
        <w:rPr>
          <w:rFonts w:ascii="Bookman Old Style" w:hAnsi="Bookman Old Style"/>
          <w:sz w:val="28"/>
          <w:szCs w:val="28"/>
        </w:rPr>
        <w:t xml:space="preserve"> edicto</w:t>
      </w:r>
      <w:r>
        <w:rPr>
          <w:rFonts w:ascii="Bookman Old Style" w:hAnsi="Bookman Old Style"/>
          <w:sz w:val="28"/>
          <w:szCs w:val="28"/>
        </w:rPr>
        <w:t>s</w:t>
      </w:r>
      <w:r w:rsidRPr="00804C2C">
        <w:rPr>
          <w:rFonts w:ascii="Bookman Old Style" w:hAnsi="Bookman Old Style"/>
          <w:sz w:val="28"/>
          <w:szCs w:val="28"/>
        </w:rPr>
        <w:t xml:space="preserve"> emplazatorio</w:t>
      </w:r>
      <w:r>
        <w:rPr>
          <w:rFonts w:ascii="Bookman Old Style" w:hAnsi="Bookman Old Style"/>
          <w:sz w:val="28"/>
          <w:szCs w:val="28"/>
        </w:rPr>
        <w:t>s</w:t>
      </w:r>
      <w:r w:rsidRPr="00804C2C">
        <w:rPr>
          <w:rFonts w:ascii="Bookman Old Style" w:hAnsi="Bookman Old Style"/>
          <w:sz w:val="28"/>
          <w:szCs w:val="28"/>
        </w:rPr>
        <w:t xml:space="preserve"> con los cuales se convocó a las víctimas de los postulado</w:t>
      </w:r>
      <w:r>
        <w:rPr>
          <w:rFonts w:ascii="Bookman Old Style" w:hAnsi="Bookman Old Style"/>
          <w:sz w:val="28"/>
          <w:szCs w:val="28"/>
        </w:rPr>
        <w:t>s</w:t>
      </w:r>
      <w:r w:rsidRPr="00804C2C">
        <w:rPr>
          <w:rFonts w:ascii="Bookman Old Style" w:hAnsi="Bookman Old Style"/>
          <w:sz w:val="28"/>
          <w:szCs w:val="28"/>
        </w:rPr>
        <w:t xml:space="preserve"> y del grupo armado al margen de la ley ACMV, para que asistieran a las diferentes versiones libres que se adelantaron</w:t>
      </w:r>
      <w:r>
        <w:rPr>
          <w:rFonts w:ascii="Bookman Old Style" w:hAnsi="Bookman Old Style"/>
          <w:sz w:val="28"/>
          <w:szCs w:val="28"/>
        </w:rPr>
        <w:t xml:space="preserve"> dentro de cuatro indagaciones preliminares,</w:t>
      </w:r>
      <w:r w:rsidRPr="00804C2C">
        <w:rPr>
          <w:rFonts w:ascii="Bookman Old Style" w:hAnsi="Bookman Old Style"/>
          <w:sz w:val="28"/>
          <w:szCs w:val="28"/>
        </w:rPr>
        <w:t xml:space="preserve"> así:</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JOSÉ BALDOMERO LINARES MORENO, 41 sesiones</w:t>
      </w:r>
      <w:r>
        <w:rPr>
          <w:rStyle w:val="Refdenotaalpie"/>
          <w:rFonts w:ascii="Bookman Old Style" w:hAnsi="Bookman Old Style"/>
          <w:sz w:val="28"/>
          <w:szCs w:val="28"/>
        </w:rPr>
        <w:footnoteReference w:id="10"/>
      </w:r>
      <w:r>
        <w:rPr>
          <w:rFonts w:ascii="Bookman Old Style" w:hAnsi="Bookman Old Style"/>
          <w:sz w:val="28"/>
          <w:szCs w:val="28"/>
        </w:rPr>
        <w:t xml:space="preserve"> realizadas entre el 1 de febrero de 2008 y el 15 de abril de 2010.</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RAFAEL SALGADO MERCHÁN, 27 sesiones</w:t>
      </w:r>
      <w:r>
        <w:rPr>
          <w:rStyle w:val="Refdenotaalpie"/>
          <w:rFonts w:ascii="Bookman Old Style" w:hAnsi="Bookman Old Style"/>
          <w:sz w:val="28"/>
          <w:szCs w:val="28"/>
        </w:rPr>
        <w:footnoteReference w:id="11"/>
      </w:r>
      <w:r>
        <w:rPr>
          <w:rFonts w:ascii="Bookman Old Style" w:hAnsi="Bookman Old Style"/>
          <w:sz w:val="28"/>
          <w:szCs w:val="28"/>
        </w:rPr>
        <w:t xml:space="preserve"> celebradas entre el 11 de septiembre de 2008 y el 15 de abril de 2010.</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JOSÉ DELFÍN VILLALOBOS JIMÉNEZ, 27 sesiones</w:t>
      </w:r>
      <w:r>
        <w:rPr>
          <w:rStyle w:val="Refdenotaalpie"/>
          <w:rFonts w:ascii="Bookman Old Style" w:hAnsi="Bookman Old Style"/>
          <w:sz w:val="28"/>
          <w:szCs w:val="28"/>
        </w:rPr>
        <w:footnoteReference w:id="12"/>
      </w:r>
      <w:r>
        <w:rPr>
          <w:rFonts w:ascii="Bookman Old Style" w:hAnsi="Bookman Old Style"/>
          <w:sz w:val="28"/>
          <w:szCs w:val="28"/>
        </w:rPr>
        <w:t xml:space="preserve"> efectuadas entre el 9 de septiembre de 2008 y el 15 de abril de 2010.</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MIGUEL ÁNGEL ACHURY PEÑUELA, 18 sesiones</w:t>
      </w:r>
      <w:r>
        <w:rPr>
          <w:rStyle w:val="Refdenotaalpie"/>
          <w:rFonts w:ascii="Bookman Old Style" w:hAnsi="Bookman Old Style"/>
          <w:sz w:val="28"/>
          <w:szCs w:val="28"/>
        </w:rPr>
        <w:footnoteReference w:id="13"/>
      </w:r>
      <w:r>
        <w:rPr>
          <w:rFonts w:ascii="Bookman Old Style" w:hAnsi="Bookman Old Style"/>
          <w:sz w:val="28"/>
          <w:szCs w:val="28"/>
        </w:rPr>
        <w:t xml:space="preserve"> realizadas entre el 25 de enero y el 15 de abril de 2010.</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 </w:t>
      </w:r>
      <w:r w:rsidRPr="00DB546B">
        <w:rPr>
          <w:rFonts w:ascii="Bookman Old Style" w:hAnsi="Bookman Old Style"/>
          <w:b/>
          <w:sz w:val="28"/>
          <w:szCs w:val="28"/>
        </w:rPr>
        <w:t>2.8.</w:t>
      </w:r>
      <w:r>
        <w:rPr>
          <w:rFonts w:ascii="Bookman Old Style" w:hAnsi="Bookman Old Style"/>
          <w:sz w:val="28"/>
          <w:szCs w:val="28"/>
        </w:rPr>
        <w:tab/>
        <w:t>Acorde con esos antecedentes, el Fiscal 29 solicitó ante un Magistrado de Control de Garantías de la Sala de Justicia y Paz de Bogotá, la realización de las audiencias de formulación de imputación, diligencias que se llevaron a cabo durante los días 12 y 17 de febrero, 3 de abril de 2009 y 3, 4, 5, 6, 7, 10 y 11 de mayo de 2010, en las cuales se les endilgó la participación en 119 hechos en los que se ejecutaron múltiples delitos descritos en la Ley 100 de 1980: homicidio simple y agravado (arts. 323 y 324); constreñimiento ilegal (art. 276); constreñimiento para delinquir (art. 277); tortura (art. 279); hurto calificado y agravado (arts. 349 y 351); terrorismo (art. 187); incendio (art. 189); y otros cometidos en vigencia de la Ley 599 de 2000: fabricación, tráfico o porte de armas de fuego o municiones (art. 365); fabricación, tráfico o porte de armas y municiones de uso privativo de las fuerzas armadas y explosivos (art. 366); homicidio simple y agravado (arts. 103 y 104); homicidio en persona protegida (art. 135); utilización ilegal de uniformes e insignias (art. 346); exacciones o contribuciones arbitrarias (art. 163); secuestro agravado (art. 170); desaparición forzada (art. 165); deportación, expulsión, traslado o desplazamiento forzado de población civil (art. 159); desplazamiento forzado (art. 180); reclutamiento ilícito (art. 162); detención ilegal y privación del debido proceso (art. 149); represalias (art. 158); tortura en persona protegida (art. 137);  violación de habitación ajena (art. 189); destrucción y apropiación de bienes protegidos (art. 154) y despojo en el campo de batalla (art. 151).</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sidRPr="00FC36D9">
        <w:rPr>
          <w:rFonts w:ascii="Bookman Old Style" w:hAnsi="Bookman Old Style"/>
          <w:b/>
          <w:sz w:val="28"/>
          <w:szCs w:val="28"/>
        </w:rPr>
        <w:t xml:space="preserve">2.9 </w:t>
      </w:r>
      <w:r w:rsidRPr="00FC36D9">
        <w:rPr>
          <w:rFonts w:ascii="Bookman Old Style" w:hAnsi="Bookman Old Style"/>
          <w:sz w:val="28"/>
          <w:szCs w:val="28"/>
        </w:rPr>
        <w:t>En el curso de las diligencias se verificaron los elementos de juicio sobre la plena identidad de</w:t>
      </w:r>
      <w:r>
        <w:rPr>
          <w:rFonts w:ascii="Bookman Old Style" w:hAnsi="Bookman Old Style"/>
          <w:sz w:val="28"/>
          <w:szCs w:val="28"/>
        </w:rPr>
        <w:t xml:space="preserve"> </w:t>
      </w:r>
      <w:r w:rsidRPr="00FC36D9">
        <w:rPr>
          <w:rFonts w:ascii="Bookman Old Style" w:hAnsi="Bookman Old Style"/>
          <w:sz w:val="28"/>
          <w:szCs w:val="28"/>
        </w:rPr>
        <w:t>l</w:t>
      </w:r>
      <w:r>
        <w:rPr>
          <w:rFonts w:ascii="Bookman Old Style" w:hAnsi="Bookman Old Style"/>
          <w:sz w:val="28"/>
          <w:szCs w:val="28"/>
        </w:rPr>
        <w:t>os</w:t>
      </w:r>
      <w:r w:rsidRPr="00FC36D9">
        <w:rPr>
          <w:rFonts w:ascii="Bookman Old Style" w:hAnsi="Bookman Old Style"/>
          <w:sz w:val="28"/>
          <w:szCs w:val="28"/>
        </w:rPr>
        <w:t xml:space="preserve"> postulado</w:t>
      </w:r>
      <w:r>
        <w:rPr>
          <w:rFonts w:ascii="Bookman Old Style" w:hAnsi="Bookman Old Style"/>
          <w:sz w:val="28"/>
          <w:szCs w:val="28"/>
        </w:rPr>
        <w:t>s, de quienes se conocieron los siguientes datos:</w:t>
      </w:r>
    </w:p>
    <w:p w:rsidR="00AD777C" w:rsidRDefault="00AD777C" w:rsidP="00AD777C">
      <w:pPr>
        <w:spacing w:line="360" w:lineRule="auto"/>
        <w:ind w:right="-187" w:firstLine="709"/>
        <w:jc w:val="both"/>
        <w:rPr>
          <w:rFonts w:ascii="Bookman Old Style" w:hAnsi="Bookman Old Style"/>
          <w:sz w:val="28"/>
          <w:szCs w:val="28"/>
        </w:rPr>
      </w:pPr>
    </w:p>
    <w:p w:rsidR="00AD777C" w:rsidRPr="00ED261C" w:rsidRDefault="00AD777C" w:rsidP="00AD777C">
      <w:pPr>
        <w:spacing w:line="360" w:lineRule="auto"/>
        <w:ind w:right="-187" w:firstLine="709"/>
        <w:jc w:val="both"/>
        <w:rPr>
          <w:rFonts w:ascii="Bookman Old Style" w:hAnsi="Bookman Old Style"/>
          <w:sz w:val="28"/>
          <w:szCs w:val="28"/>
        </w:rPr>
      </w:pPr>
      <w:r w:rsidRPr="00ED261C">
        <w:rPr>
          <w:rFonts w:ascii="Bookman Old Style" w:hAnsi="Bookman Old Style"/>
          <w:sz w:val="28"/>
          <w:szCs w:val="28"/>
        </w:rPr>
        <w:t xml:space="preserve">JOSÉ BALDOMERO LINARES MORENO, conocido con los alias de </w:t>
      </w:r>
      <w:r w:rsidRPr="00ED261C">
        <w:rPr>
          <w:rFonts w:ascii="Bookman Old Style" w:hAnsi="Bookman Old Style"/>
          <w:i/>
          <w:sz w:val="28"/>
          <w:szCs w:val="28"/>
        </w:rPr>
        <w:t>“Guillermo Torres”</w:t>
      </w:r>
      <w:r w:rsidRPr="00ED261C">
        <w:rPr>
          <w:rFonts w:ascii="Bookman Old Style" w:hAnsi="Bookman Old Style"/>
          <w:sz w:val="28"/>
          <w:szCs w:val="28"/>
        </w:rPr>
        <w:t xml:space="preserve">, </w:t>
      </w:r>
      <w:r w:rsidRPr="00ED261C">
        <w:rPr>
          <w:rFonts w:ascii="Bookman Old Style" w:hAnsi="Bookman Old Style"/>
          <w:i/>
          <w:sz w:val="28"/>
          <w:szCs w:val="28"/>
        </w:rPr>
        <w:t>“el Colorado”</w:t>
      </w:r>
      <w:r w:rsidRPr="00ED261C">
        <w:rPr>
          <w:rFonts w:ascii="Bookman Old Style" w:hAnsi="Bookman Old Style"/>
          <w:sz w:val="28"/>
          <w:szCs w:val="28"/>
        </w:rPr>
        <w:t xml:space="preserve"> o </w:t>
      </w:r>
      <w:r w:rsidRPr="00ED261C">
        <w:rPr>
          <w:rFonts w:ascii="Bookman Old Style" w:hAnsi="Bookman Old Style"/>
          <w:i/>
          <w:sz w:val="28"/>
          <w:szCs w:val="28"/>
        </w:rPr>
        <w:t>“Porra de León”</w:t>
      </w:r>
      <w:r w:rsidRPr="00ED261C">
        <w:rPr>
          <w:rFonts w:ascii="Bookman Old Style" w:hAnsi="Bookman Old Style"/>
          <w:sz w:val="28"/>
          <w:szCs w:val="28"/>
        </w:rPr>
        <w:t xml:space="preserve">, es hijo de María Odilia y José Baldomero, nació el 28 de febrero de 1955 en Samaná (Caldas) y se identifica con la cédula de ciudadanía n.º 17’351.691 expedida en San Martín (Meta). </w:t>
      </w:r>
    </w:p>
    <w:p w:rsidR="00AD777C" w:rsidRPr="00ED261C" w:rsidRDefault="00AD777C" w:rsidP="00AD777C">
      <w:pPr>
        <w:spacing w:line="360" w:lineRule="auto"/>
        <w:ind w:right="-187" w:firstLine="709"/>
        <w:jc w:val="both"/>
        <w:rPr>
          <w:rFonts w:ascii="Bookman Old Style" w:hAnsi="Bookman Old Style"/>
          <w:sz w:val="28"/>
          <w:szCs w:val="28"/>
        </w:rPr>
      </w:pPr>
    </w:p>
    <w:p w:rsidR="00AD777C" w:rsidRPr="00ED261C" w:rsidRDefault="00AD777C" w:rsidP="00AD777C">
      <w:pPr>
        <w:spacing w:line="360" w:lineRule="auto"/>
        <w:ind w:right="-187" w:firstLine="709"/>
        <w:jc w:val="both"/>
        <w:rPr>
          <w:rFonts w:ascii="Bookman Old Style" w:hAnsi="Bookman Old Style"/>
          <w:sz w:val="28"/>
          <w:szCs w:val="28"/>
        </w:rPr>
      </w:pPr>
      <w:r w:rsidRPr="00ED261C">
        <w:rPr>
          <w:rFonts w:ascii="Bookman Old Style" w:hAnsi="Bookman Old Style"/>
          <w:sz w:val="28"/>
          <w:szCs w:val="28"/>
        </w:rPr>
        <w:t>RAFAEL</w:t>
      </w:r>
      <w:r>
        <w:rPr>
          <w:rFonts w:ascii="Bookman Old Style" w:hAnsi="Bookman Old Style"/>
          <w:sz w:val="28"/>
          <w:szCs w:val="28"/>
        </w:rPr>
        <w:t xml:space="preserve"> SALGADO MERCHÁN, conocido con </w:t>
      </w:r>
      <w:r w:rsidRPr="00ED261C">
        <w:rPr>
          <w:rFonts w:ascii="Bookman Old Style" w:hAnsi="Bookman Old Style"/>
          <w:sz w:val="28"/>
          <w:szCs w:val="28"/>
        </w:rPr>
        <w:t>l</w:t>
      </w:r>
      <w:r>
        <w:rPr>
          <w:rFonts w:ascii="Bookman Old Style" w:hAnsi="Bookman Old Style"/>
          <w:sz w:val="28"/>
          <w:szCs w:val="28"/>
        </w:rPr>
        <w:t>os</w:t>
      </w:r>
      <w:r w:rsidRPr="00ED261C">
        <w:rPr>
          <w:rFonts w:ascii="Bookman Old Style" w:hAnsi="Bookman Old Style"/>
          <w:sz w:val="28"/>
          <w:szCs w:val="28"/>
        </w:rPr>
        <w:t xml:space="preserve"> alias de </w:t>
      </w:r>
      <w:r w:rsidRPr="00ED261C">
        <w:rPr>
          <w:rFonts w:ascii="Bookman Old Style" w:hAnsi="Bookman Old Style"/>
          <w:i/>
          <w:sz w:val="28"/>
          <w:szCs w:val="28"/>
        </w:rPr>
        <w:t>“el Águila”</w:t>
      </w:r>
      <w:r w:rsidRPr="00ED261C">
        <w:rPr>
          <w:rFonts w:ascii="Bookman Old Style" w:hAnsi="Bookman Old Style"/>
          <w:sz w:val="28"/>
          <w:szCs w:val="28"/>
        </w:rPr>
        <w:t xml:space="preserve"> o </w:t>
      </w:r>
      <w:r w:rsidRPr="00ED261C">
        <w:rPr>
          <w:rFonts w:ascii="Bookman Old Style" w:hAnsi="Bookman Old Style"/>
          <w:i/>
          <w:sz w:val="28"/>
          <w:szCs w:val="28"/>
        </w:rPr>
        <w:t>“Juan David”,</w:t>
      </w:r>
      <w:r w:rsidRPr="00ED261C">
        <w:rPr>
          <w:rFonts w:ascii="Bookman Old Style" w:hAnsi="Bookman Old Style"/>
          <w:sz w:val="28"/>
          <w:szCs w:val="28"/>
        </w:rPr>
        <w:t xml:space="preserve"> </w:t>
      </w:r>
      <w:r>
        <w:rPr>
          <w:rFonts w:ascii="Bookman Old Style" w:hAnsi="Bookman Old Style"/>
          <w:sz w:val="28"/>
          <w:szCs w:val="28"/>
        </w:rPr>
        <w:t xml:space="preserve">es </w:t>
      </w:r>
      <w:r w:rsidRPr="00ED261C">
        <w:rPr>
          <w:rFonts w:ascii="Bookman Old Style" w:hAnsi="Bookman Old Style"/>
          <w:sz w:val="28"/>
          <w:szCs w:val="28"/>
        </w:rPr>
        <w:t>hijo de Georgina y Teotimo, nació el 25 de mayo de 1967 en Puerto López (Meta) y se identifica</w:t>
      </w:r>
      <w:r>
        <w:rPr>
          <w:rFonts w:ascii="Bookman Old Style" w:hAnsi="Bookman Old Style"/>
          <w:sz w:val="28"/>
          <w:szCs w:val="28"/>
        </w:rPr>
        <w:t xml:space="preserve"> con la cédula de ciudadanía No.</w:t>
      </w:r>
      <w:r w:rsidRPr="00ED261C">
        <w:rPr>
          <w:rFonts w:ascii="Bookman Old Style" w:hAnsi="Bookman Old Style"/>
          <w:sz w:val="28"/>
          <w:szCs w:val="28"/>
        </w:rPr>
        <w:t xml:space="preserve"> 17’387.622 expedida en Puerto Gaitán (Meta).</w:t>
      </w:r>
    </w:p>
    <w:p w:rsidR="00AD777C" w:rsidRPr="00ED261C" w:rsidRDefault="00AD777C" w:rsidP="00AD777C">
      <w:pPr>
        <w:spacing w:line="360" w:lineRule="auto"/>
        <w:ind w:right="-187" w:firstLine="709"/>
        <w:jc w:val="both"/>
        <w:rPr>
          <w:rFonts w:ascii="Bookman Old Style" w:hAnsi="Bookman Old Style"/>
          <w:sz w:val="28"/>
          <w:szCs w:val="28"/>
        </w:rPr>
      </w:pPr>
    </w:p>
    <w:p w:rsidR="00AD777C" w:rsidRPr="00ED261C" w:rsidRDefault="00AD777C" w:rsidP="00AD777C">
      <w:pPr>
        <w:spacing w:line="360" w:lineRule="auto"/>
        <w:ind w:right="-187" w:firstLine="709"/>
        <w:jc w:val="both"/>
        <w:rPr>
          <w:rFonts w:ascii="Bookman Old Style" w:hAnsi="Bookman Old Style"/>
          <w:sz w:val="28"/>
          <w:szCs w:val="28"/>
        </w:rPr>
      </w:pPr>
      <w:r w:rsidRPr="00ED261C">
        <w:rPr>
          <w:rFonts w:ascii="Bookman Old Style" w:hAnsi="Bookman Old Style"/>
          <w:sz w:val="28"/>
          <w:szCs w:val="28"/>
        </w:rPr>
        <w:t xml:space="preserve">JOSÉ DELFÍN VILLALOBOS JIMÉNEZ, conocido con el alias de </w:t>
      </w:r>
      <w:r w:rsidRPr="00ED261C">
        <w:rPr>
          <w:rFonts w:ascii="Bookman Old Style" w:hAnsi="Bookman Old Style"/>
          <w:i/>
          <w:sz w:val="28"/>
          <w:szCs w:val="28"/>
        </w:rPr>
        <w:t>“Alfa Uno”</w:t>
      </w:r>
      <w:r w:rsidRPr="00ED261C">
        <w:rPr>
          <w:rFonts w:ascii="Bookman Old Style" w:hAnsi="Bookman Old Style"/>
          <w:sz w:val="28"/>
          <w:szCs w:val="28"/>
        </w:rPr>
        <w:t>, hijo de Carmen Julia y Delfín, nacido el 26 de septiembre de 1978 en Puerto Gaitán (Meta) y se identifica con la cédula de ciudadanía 97’611.705 expedida en San José del Guaviare.</w:t>
      </w:r>
    </w:p>
    <w:p w:rsidR="00AD777C" w:rsidRPr="00ED261C" w:rsidRDefault="00AD777C" w:rsidP="00AD777C">
      <w:pPr>
        <w:spacing w:line="360" w:lineRule="auto"/>
        <w:ind w:right="-187" w:firstLine="709"/>
        <w:jc w:val="both"/>
        <w:rPr>
          <w:rFonts w:ascii="Bookman Old Style" w:hAnsi="Bookman Old Style"/>
          <w:sz w:val="28"/>
          <w:szCs w:val="28"/>
        </w:rPr>
      </w:pPr>
    </w:p>
    <w:p w:rsidR="00AD777C" w:rsidRPr="00ED261C" w:rsidRDefault="00AD777C" w:rsidP="00AD777C">
      <w:pPr>
        <w:spacing w:line="360" w:lineRule="auto"/>
        <w:ind w:right="-187" w:firstLine="709"/>
        <w:jc w:val="both"/>
        <w:rPr>
          <w:rFonts w:ascii="Bookman Old Style" w:hAnsi="Bookman Old Style"/>
          <w:b/>
          <w:sz w:val="28"/>
          <w:szCs w:val="28"/>
        </w:rPr>
      </w:pPr>
      <w:r w:rsidRPr="00ED261C">
        <w:rPr>
          <w:rFonts w:ascii="Bookman Old Style" w:hAnsi="Bookman Old Style"/>
          <w:sz w:val="28"/>
          <w:szCs w:val="28"/>
        </w:rPr>
        <w:t xml:space="preserve">MIGUEL ÁNGEL ACHURY PEÑUELA, conocido con el alias de </w:t>
      </w:r>
      <w:r w:rsidRPr="00ED261C">
        <w:rPr>
          <w:rFonts w:ascii="Bookman Old Style" w:hAnsi="Bookman Old Style"/>
          <w:i/>
          <w:sz w:val="28"/>
          <w:szCs w:val="28"/>
        </w:rPr>
        <w:t>“Miguelito”,</w:t>
      </w:r>
      <w:r w:rsidRPr="00ED261C">
        <w:rPr>
          <w:rFonts w:ascii="Bookman Old Style" w:hAnsi="Bookman Old Style"/>
          <w:sz w:val="28"/>
          <w:szCs w:val="28"/>
        </w:rPr>
        <w:t xml:space="preserve"> hijo de Uvaldina y Guillermo, nacido el 1 de junio de 1968 en Sasaima (Cundinamarca) y se identifica</w:t>
      </w:r>
      <w:r>
        <w:rPr>
          <w:rFonts w:ascii="Bookman Old Style" w:hAnsi="Bookman Old Style"/>
          <w:sz w:val="28"/>
          <w:szCs w:val="28"/>
        </w:rPr>
        <w:t xml:space="preserve"> con la cédula de ciudadanía No.</w:t>
      </w:r>
      <w:r w:rsidRPr="00ED261C">
        <w:rPr>
          <w:rFonts w:ascii="Bookman Old Style" w:hAnsi="Bookman Old Style"/>
          <w:sz w:val="28"/>
          <w:szCs w:val="28"/>
        </w:rPr>
        <w:t xml:space="preserve"> 3’166.241 expedida en Sasaima (Cundinamarca).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b/>
          <w:sz w:val="28"/>
          <w:szCs w:val="28"/>
        </w:rPr>
        <w:t>2.10</w:t>
      </w:r>
      <w:r w:rsidRPr="00082DBA">
        <w:rPr>
          <w:rFonts w:ascii="Bookman Old Style" w:hAnsi="Bookman Old Style"/>
          <w:b/>
          <w:sz w:val="28"/>
          <w:szCs w:val="28"/>
        </w:rPr>
        <w:t>.</w:t>
      </w:r>
      <w:r>
        <w:rPr>
          <w:rFonts w:ascii="Bookman Old Style" w:hAnsi="Bookman Old Style"/>
          <w:sz w:val="28"/>
          <w:szCs w:val="28"/>
        </w:rPr>
        <w:t xml:space="preserve"> A solicitud de la Fiscalía, se les impuso medida de aseguramiento privativa de la libertad en establecimiento carcelario, por los mencionados delitos.</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b/>
          <w:sz w:val="28"/>
          <w:szCs w:val="28"/>
        </w:rPr>
        <w:t>2.11.</w:t>
      </w:r>
      <w:r>
        <w:rPr>
          <w:rFonts w:ascii="Bookman Old Style" w:hAnsi="Bookman Old Style"/>
          <w:sz w:val="28"/>
          <w:szCs w:val="28"/>
        </w:rPr>
        <w:t xml:space="preserve"> Imputados y formulados los cargos, se convocó a la audiencia para realizar el control formal y material de las acusaciones, la cual se adelantó en 27 sesiones</w:t>
      </w:r>
      <w:r>
        <w:rPr>
          <w:rStyle w:val="Refdenotaalpie"/>
          <w:rFonts w:ascii="Bookman Old Style" w:hAnsi="Bookman Old Style"/>
          <w:sz w:val="28"/>
          <w:szCs w:val="28"/>
        </w:rPr>
        <w:footnoteReference w:id="14"/>
      </w:r>
      <w:r>
        <w:rPr>
          <w:rFonts w:ascii="Bookman Old Style" w:hAnsi="Bookman Old Style"/>
          <w:sz w:val="28"/>
          <w:szCs w:val="28"/>
        </w:rPr>
        <w:t xml:space="preserve"> entre el 24 de enero y el 12 de mayo del año 2011, cuando se presentaron los alegatos de conclusión.  En la última fecha la magistratura dispuso la suspensión de la misma con miras al estudio de la correspondiente decisión.</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DD6D51">
        <w:rPr>
          <w:rFonts w:ascii="Bookman Old Style" w:hAnsi="Bookman Old Style"/>
          <w:b/>
          <w:sz w:val="28"/>
          <w:szCs w:val="28"/>
        </w:rPr>
        <w:t>2.1</w:t>
      </w:r>
      <w:r>
        <w:rPr>
          <w:rFonts w:ascii="Bookman Old Style" w:hAnsi="Bookman Old Style"/>
          <w:b/>
          <w:sz w:val="28"/>
          <w:szCs w:val="28"/>
        </w:rPr>
        <w:t>2.</w:t>
      </w:r>
      <w:r>
        <w:rPr>
          <w:rFonts w:ascii="Bookman Old Style" w:hAnsi="Bookman Old Style"/>
          <w:sz w:val="28"/>
          <w:szCs w:val="28"/>
        </w:rPr>
        <w:t xml:space="preserve"> Con ocasión de la expedición de la Ley 1592 de 2012, la Sala de Conocimiento de Justicia y Paz del Tribunal Superior de Bogotá dispuso</w:t>
      </w:r>
      <w:r>
        <w:rPr>
          <w:rStyle w:val="Refdenotaalpie"/>
          <w:rFonts w:ascii="Bookman Old Style" w:hAnsi="Bookman Old Style"/>
          <w:sz w:val="28"/>
          <w:szCs w:val="28"/>
        </w:rPr>
        <w:footnoteReference w:id="15"/>
      </w:r>
      <w:r>
        <w:rPr>
          <w:rFonts w:ascii="Bookman Old Style" w:hAnsi="Bookman Old Style"/>
          <w:sz w:val="28"/>
          <w:szCs w:val="28"/>
        </w:rPr>
        <w:t xml:space="preserve"> la iniciación de la audiencia de acreditación de víctimas e identificación de afectaciones, adelantada durante los días 11, 12, 16, 17 18, 19 y 20 de septiembre de 2013.</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   </w:t>
      </w:r>
      <w:r w:rsidRPr="00ED261C">
        <w:rPr>
          <w:rFonts w:ascii="Bookman Old Style" w:hAnsi="Bookman Old Style"/>
          <w:b/>
          <w:sz w:val="28"/>
          <w:szCs w:val="28"/>
        </w:rPr>
        <w:t>2.13.</w:t>
      </w:r>
      <w:r>
        <w:rPr>
          <w:rFonts w:ascii="Bookman Old Style" w:hAnsi="Bookman Old Style"/>
          <w:sz w:val="28"/>
          <w:szCs w:val="28"/>
        </w:rPr>
        <w:t xml:space="preserve"> El 6 de diciembre de 2013, a través de la sentencia recurrida, el Tribunal se pronunció sobre los requisitos de</w:t>
      </w:r>
      <w:r w:rsidRPr="00DA4FC7">
        <w:rPr>
          <w:rFonts w:ascii="Bookman Old Style" w:hAnsi="Bookman Old Style"/>
          <w:sz w:val="28"/>
          <w:szCs w:val="28"/>
        </w:rPr>
        <w:t xml:space="preserve"> elegibilidad de</w:t>
      </w:r>
      <w:r>
        <w:rPr>
          <w:rFonts w:ascii="Bookman Old Style" w:hAnsi="Bookman Old Style"/>
          <w:sz w:val="28"/>
          <w:szCs w:val="28"/>
        </w:rPr>
        <w:t xml:space="preserve"> </w:t>
      </w:r>
      <w:r w:rsidRPr="00B65E06">
        <w:rPr>
          <w:rFonts w:ascii="Bookman Old Style" w:hAnsi="Bookman Old Style"/>
          <w:sz w:val="28"/>
          <w:szCs w:val="28"/>
        </w:rPr>
        <w:t xml:space="preserve">JOSÉ BALDOMERO LINARES, RAFAEL SALGADO MERCHÁN, JOSÉ DELFÍN VILLALOBOS y MIGUEL </w:t>
      </w:r>
      <w:r>
        <w:rPr>
          <w:rFonts w:ascii="Bookman Old Style" w:hAnsi="Bookman Old Style"/>
          <w:sz w:val="28"/>
          <w:szCs w:val="28"/>
        </w:rPr>
        <w:t>ÁNGEL ACHU</w:t>
      </w:r>
      <w:r w:rsidRPr="00B65E06">
        <w:rPr>
          <w:rFonts w:ascii="Bookman Old Style" w:hAnsi="Bookman Old Style"/>
          <w:sz w:val="28"/>
          <w:szCs w:val="28"/>
        </w:rPr>
        <w:t>RY</w:t>
      </w:r>
      <w:r>
        <w:rPr>
          <w:rFonts w:ascii="Bookman Old Style" w:hAnsi="Bookman Old Style"/>
          <w:sz w:val="28"/>
          <w:szCs w:val="28"/>
        </w:rPr>
        <w:t xml:space="preserve"> PEÑUELA como destinatarios de los beneficios de la L</w:t>
      </w:r>
      <w:r w:rsidRPr="00BC393F">
        <w:rPr>
          <w:rFonts w:ascii="Bookman Old Style" w:hAnsi="Bookman Old Style"/>
          <w:sz w:val="28"/>
          <w:szCs w:val="28"/>
        </w:rPr>
        <w:t xml:space="preserve">ey de Justicia y Paz; </w:t>
      </w:r>
      <w:r>
        <w:rPr>
          <w:rFonts w:ascii="Bookman Old Style" w:hAnsi="Bookman Old Style"/>
          <w:sz w:val="28"/>
          <w:szCs w:val="28"/>
        </w:rPr>
        <w:t xml:space="preserve">sobre </w:t>
      </w:r>
      <w:r w:rsidRPr="00BC393F">
        <w:rPr>
          <w:rFonts w:ascii="Bookman Old Style" w:hAnsi="Bookman Old Style"/>
          <w:sz w:val="28"/>
          <w:szCs w:val="28"/>
        </w:rPr>
        <w:t>la legalización de los cargos</w:t>
      </w:r>
      <w:r>
        <w:rPr>
          <w:rFonts w:ascii="Bookman Old Style" w:hAnsi="Bookman Old Style"/>
          <w:sz w:val="28"/>
          <w:szCs w:val="28"/>
        </w:rPr>
        <w:t xml:space="preserve"> y</w:t>
      </w:r>
      <w:r w:rsidRPr="00BC393F">
        <w:rPr>
          <w:rFonts w:ascii="Bookman Old Style" w:hAnsi="Bookman Old Style"/>
          <w:sz w:val="28"/>
          <w:szCs w:val="28"/>
        </w:rPr>
        <w:t xml:space="preserve"> la pena alter</w:t>
      </w:r>
      <w:r>
        <w:rPr>
          <w:rFonts w:ascii="Bookman Old Style" w:hAnsi="Bookman Old Style"/>
          <w:sz w:val="28"/>
          <w:szCs w:val="28"/>
        </w:rPr>
        <w:t>nativa. También resolvió</w:t>
      </w:r>
      <w:r w:rsidRPr="00BC393F">
        <w:rPr>
          <w:rFonts w:ascii="Bookman Old Style" w:hAnsi="Bookman Old Style"/>
          <w:sz w:val="28"/>
          <w:szCs w:val="28"/>
        </w:rPr>
        <w:t xml:space="preserve"> la</w:t>
      </w:r>
      <w:r>
        <w:rPr>
          <w:rFonts w:ascii="Bookman Old Style" w:hAnsi="Bookman Old Style"/>
          <w:sz w:val="28"/>
          <w:szCs w:val="28"/>
        </w:rPr>
        <w:t>s</w:t>
      </w:r>
      <w:r w:rsidRPr="00BC393F">
        <w:rPr>
          <w:rFonts w:ascii="Bookman Old Style" w:hAnsi="Bookman Old Style"/>
          <w:sz w:val="28"/>
          <w:szCs w:val="28"/>
        </w:rPr>
        <w:t xml:space="preserve"> solicitud</w:t>
      </w:r>
      <w:r>
        <w:rPr>
          <w:rFonts w:ascii="Bookman Old Style" w:hAnsi="Bookman Old Style"/>
          <w:sz w:val="28"/>
          <w:szCs w:val="28"/>
        </w:rPr>
        <w:t>es</w:t>
      </w:r>
      <w:r w:rsidRPr="00BC393F">
        <w:rPr>
          <w:rFonts w:ascii="Bookman Old Style" w:hAnsi="Bookman Old Style"/>
          <w:sz w:val="28"/>
          <w:szCs w:val="28"/>
        </w:rPr>
        <w:t xml:space="preserve"> de nulidad y de control constitucional por vía de excepción incoadas por</w:t>
      </w:r>
      <w:r>
        <w:rPr>
          <w:rFonts w:ascii="Bookman Old Style" w:hAnsi="Bookman Old Style"/>
          <w:sz w:val="28"/>
          <w:szCs w:val="28"/>
        </w:rPr>
        <w:t xml:space="preserve"> los apoderados de las víctimas. Se pronunció sobre</w:t>
      </w:r>
      <w:r w:rsidRPr="00BC393F">
        <w:rPr>
          <w:rFonts w:ascii="Bookman Old Style" w:hAnsi="Bookman Old Style"/>
          <w:sz w:val="28"/>
          <w:szCs w:val="28"/>
        </w:rPr>
        <w:t xml:space="preserve"> la identificación de las víctimas y de las afectaciones causadas</w:t>
      </w:r>
      <w:r>
        <w:rPr>
          <w:rFonts w:ascii="Bookman Old Style" w:hAnsi="Bookman Old Style"/>
          <w:sz w:val="28"/>
          <w:szCs w:val="28"/>
        </w:rPr>
        <w:t>, así como sobre</w:t>
      </w:r>
      <w:r w:rsidRPr="00BC393F">
        <w:rPr>
          <w:rFonts w:ascii="Bookman Old Style" w:hAnsi="Bookman Old Style"/>
          <w:sz w:val="28"/>
          <w:szCs w:val="28"/>
        </w:rPr>
        <w:t xml:space="preserve"> </w:t>
      </w:r>
      <w:r>
        <w:rPr>
          <w:rFonts w:ascii="Bookman Old Style" w:hAnsi="Bookman Old Style"/>
          <w:sz w:val="28"/>
          <w:szCs w:val="28"/>
        </w:rPr>
        <w:t>la extinción de dominio de</w:t>
      </w:r>
      <w:r w:rsidRPr="00BC393F">
        <w:rPr>
          <w:rFonts w:ascii="Bookman Old Style" w:hAnsi="Bookman Old Style"/>
          <w:sz w:val="28"/>
          <w:szCs w:val="28"/>
        </w:rPr>
        <w:t xml:space="preserve"> los bienes entregados por los pos</w:t>
      </w:r>
      <w:r>
        <w:rPr>
          <w:rFonts w:ascii="Bookman Old Style" w:hAnsi="Bookman Old Style"/>
          <w:sz w:val="28"/>
          <w:szCs w:val="28"/>
        </w:rPr>
        <w:t>tulados, en los términos que más adelante se especificarán.</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jc w:val="center"/>
        <w:rPr>
          <w:rFonts w:ascii="Bookman Old Style" w:hAnsi="Bookman Old Style"/>
          <w:b/>
          <w:sz w:val="28"/>
          <w:szCs w:val="28"/>
        </w:rPr>
      </w:pPr>
      <w:r w:rsidRPr="00927CEA">
        <w:rPr>
          <w:rFonts w:ascii="Bookman Old Style" w:hAnsi="Bookman Old Style"/>
          <w:b/>
          <w:sz w:val="28"/>
          <w:szCs w:val="28"/>
        </w:rPr>
        <w:t>DECISIÓN IMPUGNADA</w:t>
      </w:r>
    </w:p>
    <w:p w:rsidR="00AD777C" w:rsidRDefault="00AD777C" w:rsidP="00AD777C">
      <w:pPr>
        <w:spacing w:line="360" w:lineRule="auto"/>
        <w:ind w:firstLine="708"/>
        <w:jc w:val="center"/>
        <w:rPr>
          <w:rFonts w:ascii="Bookman Old Style" w:hAnsi="Bookman Old Style"/>
          <w:b/>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EE44ED">
        <w:rPr>
          <w:rFonts w:ascii="Bookman Old Style" w:hAnsi="Bookman Old Style"/>
          <w:sz w:val="28"/>
          <w:szCs w:val="28"/>
        </w:rPr>
        <w:t xml:space="preserve">La multiplicidad de temas abordados en </w:t>
      </w:r>
      <w:r>
        <w:rPr>
          <w:rFonts w:ascii="Bookman Old Style" w:hAnsi="Bookman Old Style"/>
          <w:sz w:val="28"/>
          <w:szCs w:val="28"/>
        </w:rPr>
        <w:t>el proveído dictado</w:t>
      </w:r>
      <w:r w:rsidRPr="00EE44ED">
        <w:rPr>
          <w:rFonts w:ascii="Bookman Old Style" w:hAnsi="Bookman Old Style"/>
          <w:sz w:val="28"/>
          <w:szCs w:val="28"/>
        </w:rPr>
        <w:t xml:space="preserve"> por la Sala de Justicia y Paz del Tribunal Superior de Bogotá, determina que por razones de metodología</w:t>
      </w:r>
      <w:r>
        <w:rPr>
          <w:rFonts w:ascii="Bookman Old Style" w:hAnsi="Bookman Old Style"/>
          <w:sz w:val="28"/>
          <w:szCs w:val="28"/>
        </w:rPr>
        <w:t xml:space="preserve"> y economía procesal,</w:t>
      </w:r>
      <w:r w:rsidRPr="00EE44ED">
        <w:rPr>
          <w:rFonts w:ascii="Bookman Old Style" w:hAnsi="Bookman Old Style"/>
          <w:sz w:val="28"/>
          <w:szCs w:val="28"/>
        </w:rPr>
        <w:t xml:space="preserve"> sólo se compendien aquí los argumentos vinculados con lo</w:t>
      </w:r>
      <w:r>
        <w:rPr>
          <w:rFonts w:ascii="Bookman Old Style" w:hAnsi="Bookman Old Style"/>
          <w:sz w:val="28"/>
          <w:szCs w:val="28"/>
        </w:rPr>
        <w:t>s asuntos objeto de impugnación y los que resulten inescindiblemente vinculados a los mismos.</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Consideró, en primer lugar, que los postulados LINARES MORENO, VILLALOBOS JIMÉNEZ, SALGADO MERCHÁN y ACHURY PEÑUELA, excomandantes de las Autodefensas Campesinas del Meta y Vichada, son elegibles para acceder a los beneficios contemplados en la Ley de Justicia y Paz, declarándolos responsables de los hechos perpetrados por las ACMV, los cuales fueron cometidos durante y con ocasión de su pertenencia al grupo armado ilegal.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Seguidamente se ocupa de la nulidad impetrada por los apoderados de las víctimas</w:t>
      </w:r>
      <w:r>
        <w:rPr>
          <w:rStyle w:val="Refdenotaalpie"/>
          <w:rFonts w:ascii="Bookman Old Style" w:hAnsi="Bookman Old Style"/>
          <w:sz w:val="28"/>
          <w:szCs w:val="28"/>
        </w:rPr>
        <w:footnoteReference w:id="16"/>
      </w:r>
      <w:r>
        <w:rPr>
          <w:rFonts w:ascii="Bookman Old Style" w:hAnsi="Bookman Old Style"/>
          <w:sz w:val="28"/>
          <w:szCs w:val="28"/>
        </w:rPr>
        <w:t>, decidiendo de manera desfavorable tales peticiones, por cuanto entiende la primera instancia que no hubo vulneración a los derechos de las partes intervinientes en el proceso por haberse diferido el pronunciamiento de legalización de los cargos para el momento de la sentencia.</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En torno de la legalización de los cargos formulados, inicialmente acudió al contexto dentro del cual se desarrollaron los hechos constitutivos de conductas punibles, luego relievó las características del conflicto armado interno y culminó con el análisis de los delitos imputados y aceptados por los postulados, atendiendo la numeración y el orden en que fueron presentados por la Fiscalía.</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2F1997">
        <w:rPr>
          <w:rFonts w:ascii="Bookman Old Style" w:hAnsi="Bookman Old Style"/>
          <w:sz w:val="28"/>
          <w:szCs w:val="28"/>
        </w:rPr>
        <w:t>Siguió con el estudio de la noción de víctimas conforme con las Leyes 1448 de 2011 y 1592 de 2012, agregando que para efectos de los trámites administrativos deben estar registradas y reconocidas en el sistema de justicia y paz para que puedan participar en el proceso, especialmente en el incidente de identificación de las afectaciones causadas.</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Para efectos del acceso a las medidas de reparación, diferenció entre las </w:t>
      </w:r>
      <w:r w:rsidRPr="002F1997">
        <w:rPr>
          <w:rFonts w:ascii="Bookman Old Style" w:hAnsi="Bookman Old Style"/>
          <w:sz w:val="28"/>
          <w:szCs w:val="28"/>
        </w:rPr>
        <w:t>personas mencionadas por el artículo 5º de la Ley 1592 de 2012</w:t>
      </w:r>
      <w:r w:rsidRPr="002F1997">
        <w:rPr>
          <w:rStyle w:val="Refdenotaalpie"/>
          <w:rFonts w:ascii="Bookman Old Style" w:hAnsi="Bookman Old Style"/>
          <w:sz w:val="28"/>
          <w:szCs w:val="28"/>
        </w:rPr>
        <w:footnoteReference w:id="17"/>
      </w:r>
      <w:r w:rsidRPr="002F1997">
        <w:rPr>
          <w:rFonts w:ascii="Bookman Old Style" w:hAnsi="Bookman Old Style"/>
          <w:sz w:val="28"/>
          <w:szCs w:val="28"/>
        </w:rPr>
        <w:t xml:space="preserve"> </w:t>
      </w:r>
      <w:r>
        <w:rPr>
          <w:rFonts w:ascii="Bookman Old Style" w:hAnsi="Bookman Old Style"/>
          <w:sz w:val="28"/>
          <w:szCs w:val="28"/>
        </w:rPr>
        <w:t xml:space="preserve">como las que </w:t>
      </w:r>
      <w:r w:rsidRPr="002F1997">
        <w:rPr>
          <w:rFonts w:ascii="Bookman Old Style" w:hAnsi="Bookman Old Style"/>
          <w:sz w:val="28"/>
          <w:szCs w:val="28"/>
        </w:rPr>
        <w:t>pueden acceder al proceso en forma directa y obtener los beneficios que les corresponda en materia de atención y reparación</w:t>
      </w:r>
      <w:r>
        <w:rPr>
          <w:rFonts w:ascii="Bookman Old Style" w:hAnsi="Bookman Old Style"/>
          <w:sz w:val="28"/>
          <w:szCs w:val="28"/>
        </w:rPr>
        <w:t xml:space="preserve"> y las demás que se consideren </w:t>
      </w:r>
      <w:r w:rsidRPr="002F1997">
        <w:rPr>
          <w:rFonts w:ascii="Bookman Old Style" w:hAnsi="Bookman Old Style"/>
          <w:sz w:val="28"/>
          <w:szCs w:val="28"/>
        </w:rPr>
        <w:t>afectadas</w:t>
      </w:r>
      <w:r>
        <w:rPr>
          <w:rFonts w:ascii="Bookman Old Style" w:hAnsi="Bookman Old Style"/>
          <w:sz w:val="28"/>
          <w:szCs w:val="28"/>
        </w:rPr>
        <w:t>, dado que éstas</w:t>
      </w:r>
      <w:r w:rsidRPr="002F1997">
        <w:rPr>
          <w:rFonts w:ascii="Bookman Old Style" w:hAnsi="Bookman Old Style"/>
          <w:sz w:val="28"/>
          <w:szCs w:val="28"/>
        </w:rPr>
        <w:t xml:space="preserve"> deberán probar el perjuicio sufrido, lo cual no significa que pierdan la condición de víctimas, sino que para efectos del proceso de justicia transicional solo las primeras están exentas de probar el daño ocasionado.</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De otra parte, l</w:t>
      </w:r>
      <w:r w:rsidRPr="00CD55C4">
        <w:rPr>
          <w:rFonts w:ascii="Bookman Old Style" w:hAnsi="Bookman Old Style"/>
          <w:sz w:val="28"/>
          <w:szCs w:val="28"/>
        </w:rPr>
        <w:t>u</w:t>
      </w:r>
      <w:r>
        <w:rPr>
          <w:rFonts w:ascii="Bookman Old Style" w:hAnsi="Bookman Old Style"/>
          <w:sz w:val="28"/>
          <w:szCs w:val="28"/>
        </w:rPr>
        <w:t>ego de hacer un estudio sobre las condiciones para hacer uso del mecanismos de inaplicación  excepcional de una norma legal por contrariar la C</w:t>
      </w:r>
      <w:r w:rsidRPr="00CD55C4">
        <w:rPr>
          <w:rFonts w:ascii="Bookman Old Style" w:hAnsi="Bookman Old Style"/>
          <w:sz w:val="28"/>
          <w:szCs w:val="28"/>
        </w:rPr>
        <w:t>onstituci</w:t>
      </w:r>
      <w:r>
        <w:rPr>
          <w:rFonts w:ascii="Bookman Old Style" w:hAnsi="Bookman Old Style"/>
          <w:sz w:val="28"/>
          <w:szCs w:val="28"/>
        </w:rPr>
        <w:t>ón,</w:t>
      </w:r>
      <w:r w:rsidRPr="00CD55C4">
        <w:rPr>
          <w:rFonts w:ascii="Bookman Old Style" w:hAnsi="Bookman Old Style"/>
          <w:sz w:val="28"/>
          <w:szCs w:val="28"/>
        </w:rPr>
        <w:t xml:space="preserve"> la Sala de Conocimiento de Justicia y Paz niega la</w:t>
      </w:r>
      <w:r>
        <w:rPr>
          <w:rFonts w:ascii="Bookman Old Style" w:hAnsi="Bookman Old Style"/>
          <w:sz w:val="28"/>
          <w:szCs w:val="28"/>
        </w:rPr>
        <w:t xml:space="preserve"> solicitud de los abogado</w:t>
      </w:r>
      <w:r w:rsidRPr="00CD55C4">
        <w:rPr>
          <w:rFonts w:ascii="Bookman Old Style" w:hAnsi="Bookman Old Style"/>
          <w:sz w:val="28"/>
          <w:szCs w:val="28"/>
        </w:rPr>
        <w:t xml:space="preserve">s de la Defensoría Pública que representan a las víctimas, quienes </w:t>
      </w:r>
      <w:r>
        <w:rPr>
          <w:rFonts w:ascii="Bookman Old Style" w:hAnsi="Bookman Old Style"/>
          <w:sz w:val="28"/>
          <w:szCs w:val="28"/>
        </w:rPr>
        <w:t xml:space="preserve">abogaron por la </w:t>
      </w:r>
      <w:r w:rsidRPr="00CD55C4">
        <w:rPr>
          <w:rFonts w:ascii="Bookman Old Style" w:hAnsi="Bookman Old Style"/>
          <w:sz w:val="28"/>
          <w:szCs w:val="28"/>
        </w:rPr>
        <w:t>inaplicación de los artículos 23 y 25 de la Ley 1592 de 2012.</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sidRPr="00CD55C4">
        <w:rPr>
          <w:rFonts w:ascii="Bookman Old Style" w:hAnsi="Bookman Old Style"/>
          <w:sz w:val="28"/>
          <w:szCs w:val="28"/>
        </w:rPr>
        <w:t xml:space="preserve"> Sustentó su decisión en que no milita una clara y evidente contradicción entre esas normas y la Constitución Política de Colombia, prefiriendo esperar el pronunciamiento del Órgano de Control Constitucional.</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Sobre los bienes</w:t>
      </w:r>
      <w:r>
        <w:rPr>
          <w:rStyle w:val="Refdenotaalpie"/>
          <w:rFonts w:ascii="Bookman Old Style" w:hAnsi="Bookman Old Style"/>
          <w:sz w:val="28"/>
          <w:szCs w:val="28"/>
        </w:rPr>
        <w:footnoteReference w:id="18"/>
      </w:r>
      <w:r>
        <w:rPr>
          <w:rFonts w:ascii="Bookman Old Style" w:hAnsi="Bookman Old Style"/>
          <w:sz w:val="28"/>
          <w:szCs w:val="28"/>
        </w:rPr>
        <w:t xml:space="preserve"> ofrecidos por los postulados para ayudar a la reparación de las víctimas, declaró la extinción del derecho de dominio de algunos y negó la medida frente al bien inmueble ‘La Porfía’, por cuanto se encuentra pendiente por resolver una solicitud de restitución del bien realizada por el señor Waldo Domínguez Gómez, quien alega que el grupo armado ilegal obligó a su padre a vender el predio. </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 xml:space="preserve">De esta manera, el fallo al cual se integró la legalización de cargos resolvió: </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b/>
          <w:sz w:val="28"/>
          <w:szCs w:val="28"/>
        </w:rPr>
        <w:t xml:space="preserve">Primero: </w:t>
      </w:r>
      <w:r w:rsidRPr="00C472E2">
        <w:rPr>
          <w:rFonts w:ascii="Bookman Old Style" w:hAnsi="Bookman Old Style" w:cs="Tahoma"/>
          <w:sz w:val="28"/>
          <w:szCs w:val="28"/>
        </w:rPr>
        <w:t>declarar que los señores JOSÉ BALDOMERO LINARES MORENO, JOSÉ DELFÍN VILLALOBOS JIMÉNEZ, RAFAEL SALGADO MERCHÁN</w:t>
      </w:r>
      <w:r>
        <w:rPr>
          <w:rFonts w:ascii="Bookman Old Style" w:hAnsi="Bookman Old Style" w:cs="Tahoma"/>
          <w:sz w:val="28"/>
          <w:szCs w:val="28"/>
        </w:rPr>
        <w:t xml:space="preserve"> </w:t>
      </w:r>
      <w:r w:rsidRPr="00C472E2">
        <w:rPr>
          <w:rFonts w:ascii="Bookman Old Style" w:hAnsi="Bookman Old Style" w:cs="Tahoma"/>
          <w:sz w:val="28"/>
          <w:szCs w:val="28"/>
        </w:rPr>
        <w:t>y MIGUEL ÁNGEL ACHURY</w:t>
      </w:r>
      <w:r>
        <w:rPr>
          <w:rFonts w:ascii="Bookman Old Style" w:hAnsi="Bookman Old Style" w:cs="Tahoma"/>
          <w:sz w:val="28"/>
          <w:szCs w:val="28"/>
        </w:rPr>
        <w:t xml:space="preserve"> PEÑUELA, ex</w:t>
      </w:r>
      <w:r w:rsidRPr="00C472E2">
        <w:rPr>
          <w:rFonts w:ascii="Bookman Old Style" w:hAnsi="Bookman Old Style" w:cs="Tahoma"/>
          <w:sz w:val="28"/>
          <w:szCs w:val="28"/>
        </w:rPr>
        <w:t>comandantes de las Autodefensas Campesinas del Meta y Vichada (ACMV), son elegibles para acceder a los beneficios contemplados en la Ley de Justicia y Paz</w:t>
      </w:r>
      <w:r>
        <w:rPr>
          <w:rFonts w:ascii="Bookman Old Style" w:hAnsi="Bookman Old Style" w:cs="Tahoma"/>
          <w:sz w:val="28"/>
          <w:szCs w:val="28"/>
        </w:rPr>
        <w:t>.</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sz w:val="28"/>
          <w:szCs w:val="28"/>
        </w:rPr>
        <w:t>S</w:t>
      </w:r>
      <w:r w:rsidRPr="00C472E2">
        <w:rPr>
          <w:rFonts w:ascii="Bookman Old Style" w:hAnsi="Bookman Old Style" w:cs="Tahoma"/>
          <w:b/>
          <w:sz w:val="28"/>
          <w:szCs w:val="28"/>
        </w:rPr>
        <w:t>egundo:</w:t>
      </w:r>
      <w:r w:rsidRPr="00C472E2">
        <w:rPr>
          <w:rFonts w:ascii="Bookman Old Style" w:hAnsi="Bookman Old Style" w:cs="Tahoma"/>
          <w:b/>
          <w:bCs/>
          <w:sz w:val="28"/>
          <w:szCs w:val="28"/>
        </w:rPr>
        <w:t xml:space="preserve"> </w:t>
      </w:r>
      <w:r>
        <w:rPr>
          <w:rFonts w:ascii="Bookman Old Style" w:hAnsi="Bookman Old Style" w:cs="Tahoma"/>
          <w:bCs/>
          <w:sz w:val="28"/>
          <w:szCs w:val="28"/>
        </w:rPr>
        <w:t>D</w:t>
      </w:r>
      <w:r w:rsidRPr="00C472E2">
        <w:rPr>
          <w:rFonts w:ascii="Bookman Old Style" w:hAnsi="Bookman Old Style" w:cs="Tahoma"/>
          <w:bCs/>
          <w:sz w:val="28"/>
          <w:szCs w:val="28"/>
        </w:rPr>
        <w:t xml:space="preserve">eclarar que </w:t>
      </w:r>
      <w:r w:rsidRPr="00C472E2">
        <w:rPr>
          <w:rFonts w:ascii="Bookman Old Style" w:hAnsi="Bookman Old Style" w:cs="Tahoma"/>
          <w:sz w:val="28"/>
          <w:szCs w:val="28"/>
        </w:rPr>
        <w:t xml:space="preserve">las </w:t>
      </w:r>
      <w:r>
        <w:rPr>
          <w:rFonts w:ascii="Bookman Old Style" w:hAnsi="Bookman Old Style" w:cs="Tahoma"/>
          <w:sz w:val="28"/>
          <w:szCs w:val="28"/>
        </w:rPr>
        <w:t>ACMV</w:t>
      </w:r>
      <w:r w:rsidRPr="00C472E2">
        <w:rPr>
          <w:rFonts w:ascii="Bookman Old Style" w:hAnsi="Bookman Old Style" w:cs="Tahoma"/>
          <w:sz w:val="28"/>
          <w:szCs w:val="28"/>
        </w:rPr>
        <w:t>, son responsables de los hechos por los que ahora se condena a</w:t>
      </w:r>
      <w:r>
        <w:rPr>
          <w:rFonts w:ascii="Bookman Old Style" w:hAnsi="Bookman Old Style" w:cs="Tahoma"/>
          <w:sz w:val="28"/>
          <w:szCs w:val="28"/>
        </w:rPr>
        <w:t xml:space="preserve"> los mencionados postulados,</w:t>
      </w:r>
      <w:r w:rsidRPr="00C472E2">
        <w:rPr>
          <w:rFonts w:ascii="Bookman Old Style" w:hAnsi="Bookman Old Style" w:cs="Tahoma"/>
          <w:sz w:val="28"/>
          <w:szCs w:val="28"/>
        </w:rPr>
        <w:t xml:space="preserve"> quienes fungieron como comandantes de dicho blo</w:t>
      </w:r>
      <w:r>
        <w:rPr>
          <w:rFonts w:ascii="Bookman Old Style" w:hAnsi="Bookman Old Style" w:cs="Tahoma"/>
          <w:sz w:val="28"/>
          <w:szCs w:val="28"/>
        </w:rPr>
        <w:t>que.</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Fonts w:ascii="Bookman Old Style" w:hAnsi="Bookman Old Style" w:cs="Tahoma"/>
          <w:b/>
          <w:sz w:val="28"/>
          <w:szCs w:val="28"/>
        </w:rPr>
        <w:t>T</w:t>
      </w:r>
      <w:r w:rsidRPr="00C472E2">
        <w:rPr>
          <w:rFonts w:ascii="Bookman Old Style" w:hAnsi="Bookman Old Style" w:cs="Tahoma"/>
          <w:b/>
          <w:sz w:val="28"/>
          <w:szCs w:val="28"/>
        </w:rPr>
        <w:t>ercero:</w:t>
      </w:r>
      <w:r>
        <w:rPr>
          <w:rFonts w:ascii="Bookman Old Style" w:hAnsi="Bookman Old Style" w:cs="Tahoma"/>
          <w:sz w:val="28"/>
          <w:szCs w:val="28"/>
        </w:rPr>
        <w:t xml:space="preserve"> D</w:t>
      </w:r>
      <w:r w:rsidRPr="00C472E2">
        <w:rPr>
          <w:rFonts w:ascii="Bookman Old Style" w:hAnsi="Bookman Old Style" w:cs="Tahoma"/>
          <w:sz w:val="28"/>
          <w:szCs w:val="28"/>
        </w:rPr>
        <w:t xml:space="preserve">eclarar que los hechos que motivaron la formulación de cargos </w:t>
      </w:r>
      <w:r>
        <w:rPr>
          <w:rFonts w:ascii="Bookman Old Style" w:hAnsi="Bookman Old Style" w:cs="Tahoma"/>
          <w:sz w:val="28"/>
          <w:szCs w:val="28"/>
        </w:rPr>
        <w:t xml:space="preserve">y ahora condena </w:t>
      </w:r>
      <w:r w:rsidRPr="00C472E2">
        <w:rPr>
          <w:rFonts w:ascii="Bookman Old Style" w:hAnsi="Bookman Old Style" w:cs="Tahoma"/>
          <w:sz w:val="28"/>
          <w:szCs w:val="28"/>
        </w:rPr>
        <w:t>en contra de</w:t>
      </w:r>
      <w:r>
        <w:rPr>
          <w:rFonts w:ascii="Bookman Old Style" w:hAnsi="Bookman Old Style" w:cs="Tahoma"/>
          <w:sz w:val="28"/>
          <w:szCs w:val="28"/>
        </w:rPr>
        <w:t xml:space="preserve"> los mencionados postulados,</w:t>
      </w:r>
      <w:r w:rsidRPr="00C472E2">
        <w:rPr>
          <w:rFonts w:ascii="Bookman Old Style" w:hAnsi="Bookman Old Style" w:cs="Tahoma"/>
          <w:sz w:val="28"/>
          <w:szCs w:val="28"/>
        </w:rPr>
        <w:t xml:space="preserve"> fueron cometidos durante y con ocasión de su pertenencia a las </w:t>
      </w:r>
      <w:r>
        <w:rPr>
          <w:rFonts w:ascii="Bookman Old Style" w:hAnsi="Bookman Old Style" w:cs="Tahoma"/>
          <w:sz w:val="28"/>
          <w:szCs w:val="28"/>
        </w:rPr>
        <w:t>ACMV.</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bCs/>
          <w:sz w:val="28"/>
          <w:szCs w:val="28"/>
        </w:rPr>
      </w:pPr>
      <w:r>
        <w:rPr>
          <w:rFonts w:ascii="Bookman Old Style" w:hAnsi="Bookman Old Style" w:cs="Tahoma"/>
          <w:b/>
          <w:bCs/>
          <w:color w:val="000000"/>
          <w:sz w:val="28"/>
          <w:szCs w:val="28"/>
        </w:rPr>
        <w:t>C</w:t>
      </w:r>
      <w:r w:rsidRPr="00C472E2">
        <w:rPr>
          <w:rFonts w:ascii="Bookman Old Style" w:hAnsi="Bookman Old Style" w:cs="Tahoma"/>
          <w:b/>
          <w:bCs/>
          <w:color w:val="000000"/>
          <w:sz w:val="28"/>
          <w:szCs w:val="28"/>
        </w:rPr>
        <w:t xml:space="preserve">uarto: </w:t>
      </w:r>
      <w:r>
        <w:rPr>
          <w:rFonts w:ascii="Bookman Old Style" w:hAnsi="Bookman Old Style" w:cs="Tahoma"/>
          <w:bCs/>
          <w:sz w:val="28"/>
          <w:szCs w:val="28"/>
        </w:rPr>
        <w:t>N</w:t>
      </w:r>
      <w:r w:rsidRPr="00C472E2">
        <w:rPr>
          <w:rFonts w:ascii="Bookman Old Style" w:hAnsi="Bookman Old Style" w:cs="Tahoma"/>
          <w:bCs/>
          <w:sz w:val="28"/>
          <w:szCs w:val="28"/>
        </w:rPr>
        <w:t>egar la solicitud de nulidad presentada por los representantes de las víctimas</w:t>
      </w:r>
      <w:r>
        <w:rPr>
          <w:rFonts w:ascii="Bookman Old Style" w:hAnsi="Bookman Old Style" w:cs="Tahoma"/>
          <w:bCs/>
          <w:sz w:val="28"/>
          <w:szCs w:val="28"/>
        </w:rPr>
        <w:t>.</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Cs/>
          <w:sz w:val="28"/>
          <w:szCs w:val="28"/>
        </w:rPr>
        <w:t xml:space="preserve"> </w:t>
      </w:r>
      <w:r>
        <w:rPr>
          <w:rFonts w:ascii="Bookman Old Style" w:hAnsi="Bookman Old Style" w:cs="Tahoma"/>
          <w:b/>
          <w:bCs/>
          <w:color w:val="000000"/>
          <w:sz w:val="28"/>
          <w:szCs w:val="28"/>
        </w:rPr>
        <w:t>Q</w:t>
      </w:r>
      <w:r w:rsidRPr="00C472E2">
        <w:rPr>
          <w:rFonts w:ascii="Bookman Old Style" w:hAnsi="Bookman Old Style" w:cs="Tahoma"/>
          <w:b/>
          <w:bCs/>
          <w:color w:val="000000"/>
          <w:sz w:val="28"/>
          <w:szCs w:val="28"/>
        </w:rPr>
        <w:t xml:space="preserve">uinto: </w:t>
      </w:r>
      <w:r>
        <w:rPr>
          <w:rFonts w:ascii="Bookman Old Style" w:hAnsi="Bookman Old Style" w:cs="Tahoma"/>
          <w:b/>
          <w:sz w:val="28"/>
          <w:szCs w:val="28"/>
        </w:rPr>
        <w:t>A</w:t>
      </w:r>
      <w:r w:rsidRPr="00363E14">
        <w:rPr>
          <w:rFonts w:ascii="Bookman Old Style" w:hAnsi="Bookman Old Style" w:cs="Tahoma"/>
          <w:b/>
          <w:sz w:val="28"/>
          <w:szCs w:val="28"/>
        </w:rPr>
        <w:t>bstenerse de legalizar el cargo por el delito de concierto para delinquir agravado,</w:t>
      </w:r>
      <w:r w:rsidRPr="00C472E2">
        <w:rPr>
          <w:rFonts w:ascii="Bookman Old Style" w:hAnsi="Bookman Old Style" w:cs="Tahoma"/>
          <w:sz w:val="28"/>
          <w:szCs w:val="28"/>
        </w:rPr>
        <w:t xml:space="preserve"> respecto del postulado MIGUEL ÁNGEL ACHURY PEÑUELA, hasta tanto la Fiscalía adelante la acción de revisión correspondiente y se decida sobre la remoción de la cosa juzgada</w:t>
      </w:r>
      <w:r>
        <w:rPr>
          <w:rFonts w:ascii="Bookman Old Style" w:hAnsi="Bookman Old Style" w:cs="Tahoma"/>
          <w:sz w:val="28"/>
          <w:szCs w:val="28"/>
        </w:rPr>
        <w:t>.</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sz w:val="28"/>
          <w:szCs w:val="28"/>
        </w:rPr>
        <w:t>S</w:t>
      </w:r>
      <w:r w:rsidRPr="00C472E2">
        <w:rPr>
          <w:rFonts w:ascii="Bookman Old Style" w:hAnsi="Bookman Old Style" w:cs="Tahoma"/>
          <w:b/>
          <w:sz w:val="28"/>
          <w:szCs w:val="28"/>
        </w:rPr>
        <w:t>exto:</w:t>
      </w:r>
      <w:r w:rsidRPr="00DA106B">
        <w:rPr>
          <w:rFonts w:ascii="Bookman Old Style" w:hAnsi="Bookman Old Style" w:cs="Tahoma"/>
          <w:sz w:val="28"/>
          <w:szCs w:val="28"/>
        </w:rPr>
        <w:t xml:space="preserve"> </w:t>
      </w:r>
      <w:r w:rsidRPr="00363E14">
        <w:rPr>
          <w:rFonts w:ascii="Bookman Old Style" w:hAnsi="Bookman Old Style" w:cs="Tahoma"/>
          <w:b/>
          <w:sz w:val="28"/>
          <w:szCs w:val="28"/>
        </w:rPr>
        <w:t>no legalizar los cargos de fabricación tráfico y porte de armas de fuego o municiones</w:t>
      </w:r>
      <w:r w:rsidRPr="00C472E2">
        <w:rPr>
          <w:rFonts w:ascii="Bookman Old Style" w:hAnsi="Bookman Old Style" w:cs="Tahoma"/>
          <w:sz w:val="28"/>
          <w:szCs w:val="28"/>
        </w:rPr>
        <w:t>, artículo 365</w:t>
      </w:r>
      <w:r>
        <w:rPr>
          <w:rFonts w:ascii="Bookman Old Style" w:hAnsi="Bookman Old Style" w:cs="Tahoma"/>
          <w:sz w:val="28"/>
          <w:szCs w:val="28"/>
        </w:rPr>
        <w:t>,</w:t>
      </w:r>
      <w:r w:rsidRPr="00C472E2">
        <w:rPr>
          <w:rFonts w:ascii="Bookman Old Style" w:hAnsi="Bookman Old Style" w:cs="Tahoma"/>
          <w:sz w:val="28"/>
          <w:szCs w:val="28"/>
        </w:rPr>
        <w:t xml:space="preserve"> y fabricación, tráfico y porte de armas y municiones de uso privativo de las fuerzas armadas, artículo </w:t>
      </w:r>
      <w:r>
        <w:rPr>
          <w:rFonts w:ascii="Bookman Old Style" w:hAnsi="Bookman Old Style" w:cs="Tahoma"/>
          <w:sz w:val="28"/>
          <w:szCs w:val="28"/>
        </w:rPr>
        <w:t>366,</w:t>
      </w:r>
      <w:r w:rsidRPr="00C472E2">
        <w:rPr>
          <w:rFonts w:ascii="Bookman Old Style" w:hAnsi="Bookman Old Style" w:cs="Tahoma"/>
          <w:sz w:val="28"/>
          <w:szCs w:val="28"/>
        </w:rPr>
        <w:t xml:space="preserve"> formulados en contra </w:t>
      </w:r>
      <w:r>
        <w:rPr>
          <w:rFonts w:ascii="Bookman Old Style" w:hAnsi="Bookman Old Style" w:cs="Tahoma"/>
          <w:sz w:val="28"/>
          <w:szCs w:val="28"/>
        </w:rPr>
        <w:t>de los mencionados</w:t>
      </w:r>
      <w:r w:rsidRPr="00C472E2">
        <w:rPr>
          <w:rFonts w:ascii="Bookman Old Style" w:hAnsi="Bookman Old Style" w:cs="Tahoma"/>
          <w:sz w:val="28"/>
          <w:szCs w:val="28"/>
        </w:rPr>
        <w:t>, en los hechos 2 y 120</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Fonts w:ascii="Bookman Old Style" w:hAnsi="Bookman Old Style" w:cs="Tahoma"/>
          <w:b/>
          <w:sz w:val="28"/>
          <w:szCs w:val="28"/>
        </w:rPr>
        <w:t>S</w:t>
      </w:r>
      <w:r w:rsidRPr="00C472E2">
        <w:rPr>
          <w:rFonts w:ascii="Bookman Old Style" w:hAnsi="Bookman Old Style" w:cs="Tahoma"/>
          <w:b/>
          <w:sz w:val="28"/>
          <w:szCs w:val="28"/>
        </w:rPr>
        <w:t xml:space="preserve">éptimo: </w:t>
      </w:r>
      <w:r>
        <w:rPr>
          <w:rFonts w:ascii="Bookman Old Style" w:hAnsi="Bookman Old Style" w:cs="Tahoma"/>
          <w:b/>
          <w:sz w:val="28"/>
          <w:szCs w:val="28"/>
        </w:rPr>
        <w:t>L</w:t>
      </w:r>
      <w:r w:rsidRPr="00363E14">
        <w:rPr>
          <w:rFonts w:ascii="Bookman Old Style" w:hAnsi="Bookman Old Style" w:cs="Tahoma"/>
          <w:b/>
          <w:sz w:val="28"/>
          <w:szCs w:val="28"/>
        </w:rPr>
        <w:t>egalizar el cargo por el delito de utilización ilegal de uniformes e insignias,</w:t>
      </w:r>
      <w:r w:rsidRPr="00C472E2">
        <w:rPr>
          <w:rFonts w:ascii="Bookman Old Style" w:hAnsi="Bookman Old Style" w:cs="Tahoma"/>
          <w:sz w:val="28"/>
          <w:szCs w:val="28"/>
        </w:rPr>
        <w:t xml:space="preserve"> art. 346, que fue formulado en el hecho 120</w:t>
      </w:r>
      <w:r>
        <w:rPr>
          <w:rFonts w:ascii="Bookman Old Style" w:hAnsi="Bookman Old Style" w:cs="Tahoma"/>
          <w:sz w:val="28"/>
          <w:szCs w:val="28"/>
        </w:rPr>
        <w:t>,</w:t>
      </w:r>
      <w:r w:rsidRPr="00C472E2">
        <w:rPr>
          <w:rFonts w:ascii="Bookman Old Style" w:hAnsi="Bookman Old Style" w:cs="Tahoma"/>
          <w:sz w:val="28"/>
          <w:szCs w:val="28"/>
        </w:rPr>
        <w:t xml:space="preserve"> en calidad de </w:t>
      </w:r>
      <w:r w:rsidRPr="00DA106B">
        <w:rPr>
          <w:rFonts w:ascii="Bookman Old Style" w:hAnsi="Bookman Old Style" w:cs="Tahoma"/>
          <w:sz w:val="28"/>
          <w:szCs w:val="28"/>
        </w:rPr>
        <w:t>autores</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sz w:val="28"/>
          <w:szCs w:val="28"/>
        </w:rPr>
        <w:t>O</w:t>
      </w:r>
      <w:r w:rsidRPr="00C472E2">
        <w:rPr>
          <w:rFonts w:ascii="Bookman Old Style" w:hAnsi="Bookman Old Style" w:cs="Tahoma"/>
          <w:b/>
          <w:sz w:val="28"/>
          <w:szCs w:val="28"/>
        </w:rPr>
        <w:t xml:space="preserve">ctavo: </w:t>
      </w:r>
      <w:r>
        <w:rPr>
          <w:rFonts w:ascii="Bookman Old Style" w:hAnsi="Bookman Old Style" w:cs="Tahoma"/>
          <w:b/>
          <w:sz w:val="28"/>
          <w:szCs w:val="28"/>
        </w:rPr>
        <w:t>L</w:t>
      </w:r>
      <w:r w:rsidRPr="00363E14">
        <w:rPr>
          <w:rFonts w:ascii="Bookman Old Style" w:hAnsi="Bookman Old Style" w:cs="Tahoma"/>
          <w:b/>
          <w:sz w:val="28"/>
          <w:szCs w:val="28"/>
        </w:rPr>
        <w:t>egalizar el cargo de homicidio en persona protegida</w:t>
      </w:r>
      <w:r>
        <w:rPr>
          <w:rFonts w:ascii="Bookman Old Style" w:hAnsi="Bookman Old Style" w:cs="Tahoma"/>
          <w:b/>
          <w:sz w:val="28"/>
          <w:szCs w:val="28"/>
        </w:rPr>
        <w:t>,</w:t>
      </w:r>
      <w:r w:rsidRPr="00C472E2">
        <w:rPr>
          <w:rFonts w:ascii="Bookman Old Style" w:hAnsi="Bookman Old Style" w:cs="Tahoma"/>
          <w:sz w:val="28"/>
          <w:szCs w:val="28"/>
        </w:rPr>
        <w:t xml:space="preserve"> art. 135 parágrafo numeral 1, de la Ley 599 de 2000, en los hechos 5, 9, 11, 15, 16, 19, 25, 26, 28, 29, 32, 35, 38, 39, 40, 44, 46, 47, 48, 55, 58, 59, 66, 67, 68, 69, 73, 74, 76, 77, 79, 81, 82, 83, 85, 87, 88, 89, 90, 91, 93, 94, 95, 96, 98, 99, 100, 101, 105, 106, 107, 108, 109, 112, 116, 117 y 118, </w:t>
      </w:r>
      <w:r w:rsidRPr="00363E14">
        <w:rPr>
          <w:rFonts w:ascii="Bookman Old Style" w:hAnsi="Bookman Old Style" w:cs="Tahoma"/>
          <w:b/>
          <w:sz w:val="28"/>
          <w:szCs w:val="28"/>
        </w:rPr>
        <w:t>y en la modalidad de tentativa</w:t>
      </w:r>
      <w:r>
        <w:rPr>
          <w:rFonts w:ascii="Bookman Old Style" w:hAnsi="Bookman Old Style" w:cs="Tahoma"/>
          <w:sz w:val="28"/>
          <w:szCs w:val="28"/>
        </w:rPr>
        <w:t xml:space="preserve"> en el hecho 116-</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Fonts w:ascii="Bookman Old Style" w:hAnsi="Bookman Old Style" w:cs="Tahoma"/>
          <w:b/>
          <w:sz w:val="28"/>
          <w:szCs w:val="28"/>
        </w:rPr>
        <w:t>N</w:t>
      </w:r>
      <w:r w:rsidRPr="00C472E2">
        <w:rPr>
          <w:rFonts w:ascii="Bookman Old Style" w:hAnsi="Bookman Old Style" w:cs="Tahoma"/>
          <w:b/>
          <w:sz w:val="28"/>
          <w:szCs w:val="28"/>
        </w:rPr>
        <w:t xml:space="preserve">oveno: </w:t>
      </w:r>
      <w:r>
        <w:rPr>
          <w:rFonts w:ascii="Bookman Old Style" w:hAnsi="Bookman Old Style" w:cs="Tahoma"/>
          <w:b/>
          <w:sz w:val="28"/>
          <w:szCs w:val="28"/>
        </w:rPr>
        <w:t>L</w:t>
      </w:r>
      <w:r w:rsidRPr="00363E14">
        <w:rPr>
          <w:rFonts w:ascii="Bookman Old Style" w:hAnsi="Bookman Old Style" w:cs="Tahoma"/>
          <w:b/>
          <w:sz w:val="28"/>
          <w:szCs w:val="28"/>
        </w:rPr>
        <w:t>egalizar los cargos por el delito de desaparición forzada</w:t>
      </w:r>
      <w:r w:rsidRPr="00C472E2">
        <w:rPr>
          <w:rFonts w:ascii="Bookman Old Style" w:hAnsi="Bookman Old Style" w:cs="Tahoma"/>
          <w:sz w:val="28"/>
          <w:szCs w:val="28"/>
        </w:rPr>
        <w:t xml:space="preserve">, artículo 165 de la Ley 599 de 2000, en los hechos 15, 19, 28, 29, 32, 58, 59, 66, 68, 73, 74, 76, 77, 78, 79, 82, 83, 88, 90, 93, 94, 95, 96, 98, 99, 100, 101, 105, 109, 112, 117 y 118, y </w:t>
      </w:r>
      <w:r w:rsidRPr="00C472E2">
        <w:rPr>
          <w:rFonts w:ascii="Bookman Old Style" w:hAnsi="Bookman Old Style" w:cs="Tahoma"/>
          <w:b/>
          <w:sz w:val="28"/>
          <w:szCs w:val="28"/>
        </w:rPr>
        <w:t>no legalizarlo</w:t>
      </w:r>
      <w:r w:rsidRPr="00C472E2">
        <w:rPr>
          <w:rFonts w:ascii="Bookman Old Style" w:hAnsi="Bookman Old Style" w:cs="Tahoma"/>
          <w:sz w:val="28"/>
          <w:szCs w:val="28"/>
        </w:rPr>
        <w:t xml:space="preserve"> respecto del hecho 69</w:t>
      </w:r>
      <w:r>
        <w:rPr>
          <w:rFonts w:ascii="Bookman Old Style" w:hAnsi="Bookman Old Style" w:cs="Tahoma"/>
          <w:sz w:val="28"/>
          <w:szCs w:val="28"/>
        </w:rPr>
        <w:t>.</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sz w:val="28"/>
          <w:szCs w:val="28"/>
        </w:rPr>
        <w:t>Décimo: L</w:t>
      </w:r>
      <w:r w:rsidRPr="00363E14">
        <w:rPr>
          <w:rFonts w:ascii="Bookman Old Style" w:hAnsi="Bookman Old Style" w:cs="Tahoma"/>
          <w:b/>
          <w:sz w:val="28"/>
          <w:szCs w:val="28"/>
        </w:rPr>
        <w:t>egalizar los cargos por el delito de desplazamiento forzado</w:t>
      </w:r>
      <w:r w:rsidRPr="00C472E2">
        <w:rPr>
          <w:rFonts w:ascii="Bookman Old Style" w:hAnsi="Bookman Old Style" w:cs="Tahoma"/>
          <w:sz w:val="28"/>
          <w:szCs w:val="28"/>
        </w:rPr>
        <w:t>, artículo 180 del Código Penal, p</w:t>
      </w:r>
      <w:r>
        <w:rPr>
          <w:rFonts w:ascii="Bookman Old Style" w:hAnsi="Bookman Old Style" w:cs="Tahoma"/>
          <w:sz w:val="28"/>
          <w:szCs w:val="28"/>
        </w:rPr>
        <w:t>ara los cargos 41, 42, 43 y 105.</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Fonts w:ascii="Bookman Old Style" w:hAnsi="Bookman Old Style" w:cs="Tahoma"/>
          <w:b/>
          <w:sz w:val="28"/>
          <w:szCs w:val="28"/>
        </w:rPr>
        <w:t>D</w:t>
      </w:r>
      <w:r w:rsidRPr="00363E14">
        <w:rPr>
          <w:rFonts w:ascii="Bookman Old Style" w:hAnsi="Bookman Old Style" w:cs="Tahoma"/>
          <w:b/>
          <w:sz w:val="28"/>
          <w:szCs w:val="28"/>
        </w:rPr>
        <w:t xml:space="preserve">écimo primero: </w:t>
      </w:r>
      <w:r>
        <w:rPr>
          <w:rFonts w:ascii="Bookman Old Style" w:hAnsi="Bookman Old Style" w:cs="Tahoma"/>
          <w:b/>
          <w:iCs/>
          <w:sz w:val="28"/>
          <w:szCs w:val="28"/>
        </w:rPr>
        <w:t>L</w:t>
      </w:r>
      <w:r w:rsidRPr="00363E14">
        <w:rPr>
          <w:rFonts w:ascii="Bookman Old Style" w:hAnsi="Bookman Old Style" w:cs="Tahoma"/>
          <w:b/>
          <w:iCs/>
          <w:sz w:val="28"/>
          <w:szCs w:val="28"/>
        </w:rPr>
        <w:t xml:space="preserve">egalizar </w:t>
      </w:r>
      <w:r w:rsidRPr="00363E14">
        <w:rPr>
          <w:rFonts w:ascii="Bookman Old Style" w:hAnsi="Bookman Old Style" w:cs="Tahoma"/>
          <w:b/>
          <w:sz w:val="28"/>
          <w:szCs w:val="28"/>
        </w:rPr>
        <w:t>los cargos por el delito de hurto calificado y agravado</w:t>
      </w:r>
      <w:r w:rsidRPr="00C472E2">
        <w:rPr>
          <w:rFonts w:ascii="Bookman Old Style" w:hAnsi="Bookman Old Style" w:cs="Tahoma"/>
          <w:sz w:val="28"/>
          <w:szCs w:val="28"/>
        </w:rPr>
        <w:t xml:space="preserve"> que fue formulado por la Fiscalía en los hechos 32, 49, 73, 74, 76, 77, 79, 82, 83, 90, 93, </w:t>
      </w:r>
      <w:r>
        <w:rPr>
          <w:rFonts w:ascii="Bookman Old Style" w:hAnsi="Bookman Old Style" w:cs="Tahoma"/>
          <w:sz w:val="28"/>
          <w:szCs w:val="28"/>
        </w:rPr>
        <w:t>95, 112 y 117,</w:t>
      </w:r>
      <w:r w:rsidRPr="00C472E2">
        <w:rPr>
          <w:rFonts w:ascii="Bookman Old Style" w:hAnsi="Bookman Old Style" w:cs="Tahoma"/>
          <w:sz w:val="28"/>
          <w:szCs w:val="28"/>
        </w:rPr>
        <w:t xml:space="preserve"> y </w:t>
      </w:r>
      <w:r w:rsidRPr="00363E14">
        <w:rPr>
          <w:rFonts w:ascii="Bookman Old Style" w:hAnsi="Bookman Old Style" w:cs="Tahoma"/>
          <w:b/>
          <w:sz w:val="28"/>
          <w:szCs w:val="28"/>
        </w:rPr>
        <w:t>no legalizarlo</w:t>
      </w:r>
      <w:r w:rsidRPr="00C472E2">
        <w:rPr>
          <w:rFonts w:ascii="Bookman Old Style" w:hAnsi="Bookman Old Style" w:cs="Tahoma"/>
          <w:sz w:val="28"/>
          <w:szCs w:val="28"/>
        </w:rPr>
        <w:t xml:space="preserve"> respecto de los hechos 13, 37, 41, 42, 43, 45, 50, 51, 52, 53, 54 y 55</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sz w:val="28"/>
          <w:szCs w:val="28"/>
        </w:rPr>
        <w:t>D</w:t>
      </w:r>
      <w:r w:rsidRPr="00C472E2">
        <w:rPr>
          <w:rFonts w:ascii="Bookman Old Style" w:hAnsi="Bookman Old Style" w:cs="Tahoma"/>
          <w:b/>
          <w:sz w:val="28"/>
          <w:szCs w:val="28"/>
        </w:rPr>
        <w:t>écimo segundo:</w:t>
      </w:r>
      <w:r w:rsidRPr="00C472E2">
        <w:rPr>
          <w:rStyle w:val="Textoennegrita"/>
          <w:rFonts w:ascii="Bookman Old Style" w:hAnsi="Bookman Old Style" w:cs="Tahoma"/>
          <w:sz w:val="28"/>
          <w:szCs w:val="28"/>
        </w:rPr>
        <w:t xml:space="preserve"> legalizar los cargos por el delito de actos de terrorismo</w:t>
      </w:r>
      <w:r>
        <w:rPr>
          <w:rStyle w:val="Textoennegrita"/>
          <w:rFonts w:ascii="Bookman Old Style" w:hAnsi="Bookman Old Style" w:cs="Tahoma"/>
          <w:sz w:val="28"/>
          <w:szCs w:val="28"/>
        </w:rPr>
        <w:t>,</w:t>
      </w:r>
      <w:r w:rsidRPr="00C472E2">
        <w:rPr>
          <w:rStyle w:val="Textoennegrita"/>
          <w:rFonts w:ascii="Bookman Old Style" w:hAnsi="Bookman Old Style" w:cs="Tahoma"/>
          <w:sz w:val="28"/>
          <w:szCs w:val="28"/>
        </w:rPr>
        <w:t xml:space="preserve"> </w:t>
      </w:r>
      <w:r w:rsidRPr="008C1FC3">
        <w:rPr>
          <w:rStyle w:val="Textoennegrita"/>
          <w:rFonts w:ascii="Bookman Old Style" w:hAnsi="Bookman Old Style" w:cs="Tahoma"/>
          <w:b w:val="0"/>
          <w:sz w:val="28"/>
          <w:szCs w:val="28"/>
        </w:rPr>
        <w:t xml:space="preserve">artículo </w:t>
      </w:r>
      <w:r w:rsidRPr="00363E14">
        <w:rPr>
          <w:rStyle w:val="Textoennegrita"/>
          <w:rFonts w:ascii="Bookman Old Style" w:hAnsi="Bookman Old Style" w:cs="Tahoma"/>
          <w:b w:val="0"/>
          <w:sz w:val="28"/>
          <w:szCs w:val="28"/>
        </w:rPr>
        <w:t>144 de la Ley 599 de 2000, en los hechos</w:t>
      </w:r>
      <w:r w:rsidRPr="00C472E2">
        <w:rPr>
          <w:rStyle w:val="Textoennegrita"/>
          <w:rFonts w:ascii="Bookman Old Style" w:hAnsi="Bookman Old Style" w:cs="Tahoma"/>
          <w:sz w:val="28"/>
          <w:szCs w:val="28"/>
        </w:rPr>
        <w:t xml:space="preserve"> </w:t>
      </w:r>
      <w:r w:rsidRPr="00C472E2">
        <w:rPr>
          <w:rFonts w:ascii="Bookman Old Style" w:hAnsi="Bookman Old Style" w:cs="Tahoma"/>
          <w:sz w:val="28"/>
          <w:szCs w:val="28"/>
        </w:rPr>
        <w:t>35, 36, 37, 38, 41, 42, 43, 44, 45, 46, 47, 48, 49, 50, 51, 53, 54, 84, 89 y 105</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noProof/>
          <w:sz w:val="28"/>
          <w:szCs w:val="28"/>
        </w:rPr>
      </w:pPr>
      <w:r>
        <w:rPr>
          <w:rFonts w:ascii="Bookman Old Style" w:hAnsi="Bookman Old Style" w:cs="Tahoma"/>
          <w:b/>
          <w:sz w:val="28"/>
          <w:szCs w:val="28"/>
        </w:rPr>
        <w:t>D</w:t>
      </w:r>
      <w:r w:rsidRPr="00363E14">
        <w:rPr>
          <w:rFonts w:ascii="Bookman Old Style" w:hAnsi="Bookman Old Style" w:cs="Tahoma"/>
          <w:b/>
          <w:sz w:val="28"/>
          <w:szCs w:val="28"/>
        </w:rPr>
        <w:t xml:space="preserve">écimo tercero: </w:t>
      </w:r>
      <w:r>
        <w:rPr>
          <w:rFonts w:ascii="Bookman Old Style" w:hAnsi="Bookman Old Style" w:cs="Tahoma"/>
          <w:b/>
          <w:noProof/>
          <w:sz w:val="28"/>
          <w:szCs w:val="28"/>
        </w:rPr>
        <w:t>N</w:t>
      </w:r>
      <w:r w:rsidRPr="00363E14">
        <w:rPr>
          <w:rFonts w:ascii="Bookman Old Style" w:hAnsi="Bookman Old Style" w:cs="Tahoma"/>
          <w:b/>
          <w:noProof/>
          <w:sz w:val="28"/>
          <w:szCs w:val="28"/>
        </w:rPr>
        <w:t>o legalizar</w:t>
      </w:r>
      <w:r w:rsidRPr="00C472E2">
        <w:rPr>
          <w:rFonts w:ascii="Bookman Old Style" w:hAnsi="Bookman Old Style" w:cs="Tahoma"/>
          <w:noProof/>
          <w:sz w:val="28"/>
          <w:szCs w:val="28"/>
        </w:rPr>
        <w:t xml:space="preserve"> </w:t>
      </w:r>
      <w:r w:rsidRPr="00363E14">
        <w:rPr>
          <w:rFonts w:ascii="Bookman Old Style" w:hAnsi="Bookman Old Style" w:cs="Tahoma"/>
          <w:b/>
          <w:noProof/>
          <w:sz w:val="28"/>
          <w:szCs w:val="28"/>
        </w:rPr>
        <w:t>los cargos que por el delito de incendio</w:t>
      </w:r>
      <w:r w:rsidRPr="00C472E2">
        <w:rPr>
          <w:rFonts w:ascii="Bookman Old Style" w:hAnsi="Bookman Old Style" w:cs="Tahoma"/>
          <w:noProof/>
          <w:sz w:val="28"/>
          <w:szCs w:val="28"/>
        </w:rPr>
        <w:t xml:space="preserve"> </w:t>
      </w:r>
      <w:r>
        <w:rPr>
          <w:rFonts w:ascii="Bookman Old Style" w:hAnsi="Bookman Old Style" w:cs="Tahoma"/>
          <w:noProof/>
          <w:sz w:val="28"/>
          <w:szCs w:val="28"/>
        </w:rPr>
        <w:t xml:space="preserve">fue </w:t>
      </w:r>
      <w:r w:rsidRPr="00C472E2">
        <w:rPr>
          <w:rFonts w:ascii="Bookman Old Style" w:hAnsi="Bookman Old Style" w:cs="Tahoma"/>
          <w:noProof/>
          <w:sz w:val="28"/>
          <w:szCs w:val="28"/>
        </w:rPr>
        <w:t>formulado en los</w:t>
      </w:r>
      <w:r>
        <w:rPr>
          <w:rFonts w:ascii="Bookman Old Style" w:hAnsi="Bookman Old Style" w:cs="Tahoma"/>
          <w:noProof/>
          <w:sz w:val="28"/>
          <w:szCs w:val="28"/>
        </w:rPr>
        <w:t xml:space="preserve"> hechos 36, 37, 41, 42, 43 y 45.</w:t>
      </w:r>
    </w:p>
    <w:p w:rsidR="00AD777C" w:rsidRDefault="00AD777C" w:rsidP="00AD777C">
      <w:pPr>
        <w:spacing w:line="360" w:lineRule="auto"/>
        <w:ind w:firstLine="708"/>
        <w:jc w:val="both"/>
        <w:rPr>
          <w:rFonts w:ascii="Bookman Old Style" w:hAnsi="Bookman Old Style" w:cs="Tahoma"/>
          <w:noProof/>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noProof/>
          <w:sz w:val="28"/>
          <w:szCs w:val="28"/>
        </w:rPr>
        <w:t xml:space="preserve"> </w:t>
      </w:r>
      <w:r>
        <w:rPr>
          <w:rFonts w:ascii="Bookman Old Style" w:hAnsi="Bookman Old Style" w:cs="Tahoma"/>
          <w:b/>
          <w:sz w:val="28"/>
          <w:szCs w:val="28"/>
        </w:rPr>
        <w:t>D</w:t>
      </w:r>
      <w:r w:rsidRPr="00363E14">
        <w:rPr>
          <w:rFonts w:ascii="Bookman Old Style" w:hAnsi="Bookman Old Style" w:cs="Tahoma"/>
          <w:b/>
          <w:sz w:val="28"/>
          <w:szCs w:val="28"/>
        </w:rPr>
        <w:t xml:space="preserve">écimo cuarto: </w:t>
      </w:r>
      <w:r>
        <w:rPr>
          <w:rFonts w:ascii="Bookman Old Style" w:hAnsi="Bookman Old Style" w:cs="Tahoma"/>
          <w:b/>
          <w:iCs/>
          <w:sz w:val="28"/>
          <w:szCs w:val="28"/>
        </w:rPr>
        <w:t>L</w:t>
      </w:r>
      <w:r w:rsidRPr="00363E14">
        <w:rPr>
          <w:rFonts w:ascii="Bookman Old Style" w:hAnsi="Bookman Old Style" w:cs="Tahoma"/>
          <w:b/>
          <w:iCs/>
          <w:sz w:val="28"/>
          <w:szCs w:val="28"/>
        </w:rPr>
        <w:t xml:space="preserve">egalizar el cargo de </w:t>
      </w:r>
      <w:r w:rsidRPr="00363E14">
        <w:rPr>
          <w:rFonts w:ascii="Bookman Old Style" w:hAnsi="Bookman Old Style" w:cs="Tahoma"/>
          <w:b/>
          <w:sz w:val="28"/>
          <w:szCs w:val="28"/>
        </w:rPr>
        <w:t>homicidio en persona protegida</w:t>
      </w:r>
      <w:r>
        <w:rPr>
          <w:rFonts w:ascii="Bookman Old Style" w:hAnsi="Bookman Old Style" w:cs="Tahoma"/>
          <w:b/>
          <w:sz w:val="28"/>
          <w:szCs w:val="28"/>
        </w:rPr>
        <w:t>,</w:t>
      </w:r>
      <w:r w:rsidRPr="00363E14">
        <w:rPr>
          <w:rFonts w:ascii="Bookman Old Style" w:hAnsi="Bookman Old Style" w:cs="Tahoma"/>
          <w:b/>
          <w:sz w:val="28"/>
          <w:szCs w:val="28"/>
        </w:rPr>
        <w:t xml:space="preserve"> </w:t>
      </w:r>
      <w:r w:rsidRPr="00C472E2">
        <w:rPr>
          <w:rFonts w:ascii="Bookman Old Style" w:hAnsi="Bookman Old Style" w:cs="Tahoma"/>
          <w:sz w:val="28"/>
          <w:szCs w:val="28"/>
        </w:rPr>
        <w:t>art. 135</w:t>
      </w:r>
      <w:r>
        <w:rPr>
          <w:rFonts w:ascii="Bookman Old Style" w:hAnsi="Bookman Old Style" w:cs="Tahoma"/>
          <w:sz w:val="28"/>
          <w:szCs w:val="28"/>
        </w:rPr>
        <w:t>,</w:t>
      </w:r>
      <w:r w:rsidRPr="00C472E2">
        <w:rPr>
          <w:rFonts w:ascii="Bookman Old Style" w:hAnsi="Bookman Old Style" w:cs="Tahoma"/>
          <w:sz w:val="28"/>
          <w:szCs w:val="28"/>
        </w:rPr>
        <w:t xml:space="preserve"> parágrafo numeral 1, </w:t>
      </w:r>
      <w:r w:rsidRPr="00363E14">
        <w:rPr>
          <w:rFonts w:ascii="Bookman Old Style" w:hAnsi="Bookman Old Style" w:cs="Tahoma"/>
          <w:b/>
          <w:sz w:val="28"/>
          <w:szCs w:val="28"/>
        </w:rPr>
        <w:t>en concurso con desaparición forzada</w:t>
      </w:r>
      <w:r w:rsidRPr="00C472E2">
        <w:rPr>
          <w:rFonts w:ascii="Bookman Old Style" w:hAnsi="Bookman Old Style" w:cs="Tahoma"/>
          <w:sz w:val="28"/>
          <w:szCs w:val="28"/>
        </w:rPr>
        <w:t>, artículo 165 de la Ley 599 de 2000,</w:t>
      </w:r>
      <w:r w:rsidRPr="00C472E2">
        <w:rPr>
          <w:rFonts w:ascii="Bookman Old Style" w:hAnsi="Bookman Old Style" w:cs="Tahoma"/>
          <w:iCs/>
          <w:sz w:val="28"/>
          <w:szCs w:val="28"/>
        </w:rPr>
        <w:t xml:space="preserve"> en </w:t>
      </w:r>
      <w:r w:rsidRPr="00C472E2">
        <w:rPr>
          <w:rFonts w:ascii="Bookman Old Style" w:hAnsi="Bookman Old Style" w:cs="Tahoma"/>
          <w:sz w:val="28"/>
          <w:szCs w:val="28"/>
        </w:rPr>
        <w:t>los hechos 3, 7, 8, 10, 21, 24, 27, 30, 33, 34, 56, 60, 61, 65, 80, 86, 104, 110, 113, 114, 115 y 119</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Fonts w:ascii="Bookman Old Style" w:hAnsi="Bookman Old Style" w:cs="Tahoma"/>
          <w:b/>
          <w:sz w:val="28"/>
          <w:szCs w:val="28"/>
        </w:rPr>
        <w:t>Décimo quinto: N</w:t>
      </w:r>
      <w:r w:rsidRPr="00C472E2">
        <w:rPr>
          <w:rFonts w:ascii="Bookman Old Style" w:hAnsi="Bookman Old Style" w:cs="Tahoma"/>
          <w:b/>
          <w:sz w:val="28"/>
          <w:szCs w:val="28"/>
        </w:rPr>
        <w:t xml:space="preserve">o legalizar </w:t>
      </w:r>
      <w:r w:rsidRPr="00363E14">
        <w:rPr>
          <w:rFonts w:ascii="Bookman Old Style" w:hAnsi="Bookman Old Style" w:cs="Tahoma"/>
          <w:b/>
          <w:sz w:val="28"/>
          <w:szCs w:val="28"/>
        </w:rPr>
        <w:t xml:space="preserve">los cargos </w:t>
      </w:r>
      <w:r w:rsidRPr="004A375C">
        <w:rPr>
          <w:rFonts w:ascii="Bookman Old Style" w:hAnsi="Bookman Old Style" w:cs="Tahoma"/>
          <w:i/>
          <w:sz w:val="28"/>
          <w:szCs w:val="28"/>
        </w:rPr>
        <w:t>«por los delitos formulados en los hechos 14 y 20»</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sz w:val="28"/>
          <w:szCs w:val="28"/>
        </w:rPr>
        <w:t xml:space="preserve"> Décimo sexto: L</w:t>
      </w:r>
      <w:r w:rsidRPr="00C472E2">
        <w:rPr>
          <w:rFonts w:ascii="Bookman Old Style" w:hAnsi="Bookman Old Style" w:cs="Tahoma"/>
          <w:b/>
          <w:sz w:val="28"/>
          <w:szCs w:val="28"/>
        </w:rPr>
        <w:t>egalizar</w:t>
      </w:r>
      <w:r w:rsidRPr="00C472E2">
        <w:rPr>
          <w:rFonts w:ascii="Bookman Old Style" w:hAnsi="Bookman Old Style" w:cs="Tahoma"/>
          <w:sz w:val="28"/>
          <w:szCs w:val="28"/>
        </w:rPr>
        <w:t xml:space="preserve"> </w:t>
      </w:r>
      <w:r w:rsidRPr="000A5171">
        <w:rPr>
          <w:rFonts w:ascii="Bookman Old Style" w:hAnsi="Bookman Old Style" w:cs="Tahoma"/>
          <w:b/>
          <w:sz w:val="28"/>
          <w:szCs w:val="28"/>
        </w:rPr>
        <w:t>los cargos por el delito de secuestro simple</w:t>
      </w:r>
      <w:r w:rsidRPr="00C472E2">
        <w:rPr>
          <w:rFonts w:ascii="Bookman Old Style" w:hAnsi="Bookman Old Style" w:cs="Tahoma"/>
          <w:sz w:val="28"/>
          <w:szCs w:val="28"/>
        </w:rPr>
        <w:t xml:space="preserve"> en los hechos 13 y 55, </w:t>
      </w:r>
      <w:r w:rsidRPr="000A5171">
        <w:rPr>
          <w:rFonts w:ascii="Bookman Old Style" w:hAnsi="Bookman Old Style" w:cs="Tahoma"/>
          <w:b/>
          <w:sz w:val="28"/>
          <w:szCs w:val="28"/>
        </w:rPr>
        <w:t>y el delito de secuestro agravado</w:t>
      </w:r>
      <w:r w:rsidRPr="00C472E2">
        <w:rPr>
          <w:rFonts w:ascii="Bookman Old Style" w:hAnsi="Bookman Old Style" w:cs="Tahoma"/>
          <w:sz w:val="28"/>
          <w:szCs w:val="28"/>
        </w:rPr>
        <w:t xml:space="preserve"> conforme a los artículos 168 y 170 de la Ley 559 de 2000, en los hechos 6, 57 y 69</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Fonts w:ascii="Bookman Old Style" w:hAnsi="Bookman Old Style" w:cs="Tahoma"/>
          <w:b/>
          <w:sz w:val="28"/>
          <w:szCs w:val="28"/>
        </w:rPr>
        <w:t>D</w:t>
      </w:r>
      <w:r w:rsidRPr="00C472E2">
        <w:rPr>
          <w:rFonts w:ascii="Bookman Old Style" w:hAnsi="Bookman Old Style" w:cs="Tahoma"/>
          <w:b/>
          <w:sz w:val="28"/>
          <w:szCs w:val="28"/>
        </w:rPr>
        <w:t>écimo séptimo: legalizar</w:t>
      </w:r>
      <w:r w:rsidRPr="00C472E2">
        <w:rPr>
          <w:rFonts w:ascii="Bookman Old Style" w:hAnsi="Bookman Old Style" w:cs="Tahoma"/>
          <w:sz w:val="28"/>
          <w:szCs w:val="28"/>
        </w:rPr>
        <w:t xml:space="preserve"> </w:t>
      </w:r>
      <w:r w:rsidRPr="000A5171">
        <w:rPr>
          <w:rFonts w:ascii="Bookman Old Style" w:hAnsi="Bookman Old Style" w:cs="Tahoma"/>
          <w:b/>
          <w:sz w:val="28"/>
          <w:szCs w:val="28"/>
        </w:rPr>
        <w:t>los cargos por el delito de tortura en persona protegida,</w:t>
      </w:r>
      <w:r w:rsidRPr="00C472E2">
        <w:rPr>
          <w:rFonts w:ascii="Bookman Old Style" w:hAnsi="Bookman Old Style" w:cs="Tahoma"/>
          <w:sz w:val="28"/>
          <w:szCs w:val="28"/>
        </w:rPr>
        <w:t xml:space="preserve"> artículo 137 de la Ley 599 de 2000, en los hechos 21, 22, 34, 59, 69, 106, 113 y 114, </w:t>
      </w:r>
      <w:r w:rsidRPr="000A5171">
        <w:rPr>
          <w:rFonts w:ascii="Bookman Old Style" w:hAnsi="Bookman Old Style" w:cs="Tahoma"/>
          <w:b/>
          <w:sz w:val="28"/>
          <w:szCs w:val="28"/>
        </w:rPr>
        <w:t>y el delito de tortura</w:t>
      </w:r>
      <w:r w:rsidRPr="00C472E2">
        <w:rPr>
          <w:rFonts w:ascii="Bookman Old Style" w:hAnsi="Bookman Old Style" w:cs="Tahoma"/>
          <w:sz w:val="28"/>
          <w:szCs w:val="28"/>
        </w:rPr>
        <w:t xml:space="preserve"> artículo 279 del Decreto </w:t>
      </w:r>
      <w:r>
        <w:rPr>
          <w:rFonts w:ascii="Bookman Old Style" w:hAnsi="Bookman Old Style" w:cs="Tahoma"/>
          <w:sz w:val="28"/>
          <w:szCs w:val="28"/>
        </w:rPr>
        <w:t>Ley 100 de 1980 en el hecho 118.</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8C1FC3">
        <w:rPr>
          <w:rFonts w:ascii="Bookman Old Style" w:hAnsi="Bookman Old Style" w:cs="Tahoma"/>
          <w:b/>
          <w:sz w:val="28"/>
          <w:szCs w:val="28"/>
        </w:rPr>
        <w:t>Déc</w:t>
      </w:r>
      <w:r w:rsidRPr="00C472E2">
        <w:rPr>
          <w:rFonts w:ascii="Bookman Old Style" w:hAnsi="Bookman Old Style" w:cs="Tahoma"/>
          <w:b/>
          <w:sz w:val="28"/>
          <w:szCs w:val="28"/>
        </w:rPr>
        <w:t>imo octavo: legalizar</w:t>
      </w:r>
      <w:r w:rsidRPr="00C472E2">
        <w:rPr>
          <w:rFonts w:ascii="Bookman Old Style" w:hAnsi="Bookman Old Style" w:cs="Tahoma"/>
          <w:sz w:val="28"/>
          <w:szCs w:val="28"/>
        </w:rPr>
        <w:t xml:space="preserve"> </w:t>
      </w:r>
      <w:r w:rsidRPr="000A5171">
        <w:rPr>
          <w:rFonts w:ascii="Bookman Old Style" w:hAnsi="Bookman Old Style" w:cs="Tahoma"/>
          <w:b/>
          <w:sz w:val="28"/>
          <w:szCs w:val="28"/>
        </w:rPr>
        <w:t xml:space="preserve">los cargos por el delito de desplazamiento forzado de población civil </w:t>
      </w:r>
      <w:r w:rsidRPr="00C472E2">
        <w:rPr>
          <w:rFonts w:ascii="Bookman Old Style" w:hAnsi="Bookman Old Style" w:cs="Tahoma"/>
          <w:sz w:val="28"/>
          <w:szCs w:val="28"/>
        </w:rPr>
        <w:t>artículo 159 de la Ley 599 de 2000, en los hechos 12, 23, 25, 62, 84, 106 y 111</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sz w:val="28"/>
          <w:szCs w:val="28"/>
        </w:rPr>
        <w:t xml:space="preserve"> </w:t>
      </w:r>
      <w:r>
        <w:rPr>
          <w:rFonts w:ascii="Bookman Old Style" w:hAnsi="Bookman Old Style" w:cs="Tahoma"/>
          <w:b/>
          <w:sz w:val="28"/>
          <w:szCs w:val="28"/>
        </w:rPr>
        <w:t>Décimo noveno: N</w:t>
      </w:r>
      <w:r w:rsidRPr="000A5171">
        <w:rPr>
          <w:rFonts w:ascii="Bookman Old Style" w:hAnsi="Bookman Old Style" w:cs="Tahoma"/>
          <w:b/>
          <w:sz w:val="28"/>
          <w:szCs w:val="28"/>
        </w:rPr>
        <w:t xml:space="preserve">o legalizar los cargos por el delito de violación de habitación ajena </w:t>
      </w:r>
      <w:r w:rsidRPr="00C472E2">
        <w:rPr>
          <w:rFonts w:ascii="Bookman Old Style" w:hAnsi="Bookman Old Style" w:cs="Tahoma"/>
          <w:sz w:val="28"/>
          <w:szCs w:val="28"/>
        </w:rPr>
        <w:t>que fue formulado en los hechos 25 y 98</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Fonts w:ascii="Bookman Old Style" w:hAnsi="Bookman Old Style" w:cs="Tahoma"/>
          <w:b/>
          <w:sz w:val="28"/>
          <w:szCs w:val="28"/>
        </w:rPr>
        <w:t>Vigésimo: L</w:t>
      </w:r>
      <w:r w:rsidRPr="000A5171">
        <w:rPr>
          <w:rFonts w:ascii="Bookman Old Style" w:hAnsi="Bookman Old Style" w:cs="Tahoma"/>
          <w:b/>
          <w:sz w:val="28"/>
          <w:szCs w:val="28"/>
        </w:rPr>
        <w:t>egalizar los cargos por el delito de destrucción y apropiación de bienes protegidos</w:t>
      </w:r>
      <w:r w:rsidRPr="00C472E2">
        <w:rPr>
          <w:rFonts w:ascii="Bookman Old Style" w:hAnsi="Bookman Old Style" w:cs="Tahoma"/>
          <w:sz w:val="28"/>
          <w:szCs w:val="28"/>
        </w:rPr>
        <w:t>, artículo 151 de la Ley 599 de 2000, en los hechos 25, 27,</w:t>
      </w:r>
      <w:r>
        <w:rPr>
          <w:rFonts w:ascii="Bookman Old Style" w:hAnsi="Bookman Old Style" w:cs="Tahoma"/>
          <w:sz w:val="28"/>
          <w:szCs w:val="28"/>
        </w:rPr>
        <w:t xml:space="preserve"> 30, 57, 61, 69 y 86, 104 y 119-</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Fonts w:ascii="Bookman Old Style" w:hAnsi="Bookman Old Style" w:cs="Tahoma"/>
          <w:b/>
          <w:bCs/>
          <w:sz w:val="28"/>
          <w:szCs w:val="28"/>
        </w:rPr>
        <w:t>V</w:t>
      </w:r>
      <w:r w:rsidRPr="00C472E2">
        <w:rPr>
          <w:rFonts w:ascii="Bookman Old Style" w:hAnsi="Bookman Old Style" w:cs="Tahoma"/>
          <w:b/>
          <w:bCs/>
          <w:sz w:val="28"/>
          <w:szCs w:val="28"/>
        </w:rPr>
        <w:t xml:space="preserve">igésimo primero: </w:t>
      </w:r>
      <w:r>
        <w:rPr>
          <w:rFonts w:ascii="Bookman Old Style" w:hAnsi="Bookman Old Style" w:cs="Tahoma"/>
          <w:b/>
          <w:sz w:val="28"/>
          <w:szCs w:val="28"/>
        </w:rPr>
        <w:t>L</w:t>
      </w:r>
      <w:r w:rsidRPr="00C472E2">
        <w:rPr>
          <w:rFonts w:ascii="Bookman Old Style" w:hAnsi="Bookman Old Style" w:cs="Tahoma"/>
          <w:b/>
          <w:sz w:val="28"/>
          <w:szCs w:val="28"/>
        </w:rPr>
        <w:t>egalizar</w:t>
      </w:r>
      <w:r w:rsidRPr="00C472E2">
        <w:rPr>
          <w:rFonts w:ascii="Bookman Old Style" w:hAnsi="Bookman Old Style" w:cs="Tahoma"/>
          <w:sz w:val="28"/>
          <w:szCs w:val="28"/>
        </w:rPr>
        <w:t xml:space="preserve"> </w:t>
      </w:r>
      <w:r w:rsidRPr="000A5171">
        <w:rPr>
          <w:rFonts w:ascii="Bookman Old Style" w:hAnsi="Bookman Old Style" w:cs="Tahoma"/>
          <w:b/>
          <w:sz w:val="28"/>
          <w:szCs w:val="28"/>
        </w:rPr>
        <w:t>los cargos por el delito de exacciones o contribuciones arbitrarias</w:t>
      </w:r>
      <w:r>
        <w:rPr>
          <w:rFonts w:ascii="Bookman Old Style" w:hAnsi="Bookman Old Style" w:cs="Tahoma"/>
          <w:b/>
          <w:sz w:val="28"/>
          <w:szCs w:val="28"/>
        </w:rPr>
        <w:t>,</w:t>
      </w:r>
      <w:r w:rsidRPr="000A5171">
        <w:rPr>
          <w:rFonts w:ascii="Bookman Old Style" w:hAnsi="Bookman Old Style" w:cs="Tahoma"/>
          <w:b/>
          <w:sz w:val="28"/>
          <w:szCs w:val="28"/>
        </w:rPr>
        <w:t xml:space="preserve"> </w:t>
      </w:r>
      <w:r w:rsidRPr="00C472E2">
        <w:rPr>
          <w:rFonts w:ascii="Bookman Old Style" w:hAnsi="Bookman Old Style" w:cs="Tahoma"/>
          <w:sz w:val="28"/>
          <w:szCs w:val="28"/>
        </w:rPr>
        <w:t>artículo 163 de la Ley 599 de 2000 en los hechos 5 y 111</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sidRPr="008C1FC3">
        <w:rPr>
          <w:rFonts w:ascii="Bookman Old Style" w:hAnsi="Bookman Old Style" w:cs="Tahoma"/>
          <w:b/>
          <w:sz w:val="28"/>
          <w:szCs w:val="28"/>
        </w:rPr>
        <w:t>V</w:t>
      </w:r>
      <w:r w:rsidRPr="00C472E2">
        <w:rPr>
          <w:rFonts w:ascii="Bookman Old Style" w:hAnsi="Bookman Old Style" w:cs="Tahoma"/>
          <w:b/>
          <w:bCs/>
          <w:sz w:val="28"/>
          <w:szCs w:val="28"/>
        </w:rPr>
        <w:t xml:space="preserve">igésimo segundo: </w:t>
      </w:r>
      <w:r>
        <w:rPr>
          <w:rFonts w:ascii="Bookman Old Style" w:hAnsi="Bookman Old Style" w:cs="Tahoma"/>
          <w:b/>
          <w:sz w:val="28"/>
          <w:szCs w:val="28"/>
        </w:rPr>
        <w:t>L</w:t>
      </w:r>
      <w:r w:rsidRPr="00C472E2">
        <w:rPr>
          <w:rFonts w:ascii="Bookman Old Style" w:hAnsi="Bookman Old Style" w:cs="Tahoma"/>
          <w:b/>
          <w:sz w:val="28"/>
          <w:szCs w:val="28"/>
        </w:rPr>
        <w:t>egalizar</w:t>
      </w:r>
      <w:r w:rsidRPr="00C472E2">
        <w:rPr>
          <w:rFonts w:ascii="Bookman Old Style" w:hAnsi="Bookman Old Style" w:cs="Tahoma"/>
          <w:sz w:val="28"/>
          <w:szCs w:val="28"/>
        </w:rPr>
        <w:t xml:space="preserve"> </w:t>
      </w:r>
      <w:r w:rsidRPr="000A5171">
        <w:rPr>
          <w:rFonts w:ascii="Bookman Old Style" w:hAnsi="Bookman Old Style" w:cs="Tahoma"/>
          <w:b/>
          <w:sz w:val="28"/>
          <w:szCs w:val="28"/>
        </w:rPr>
        <w:t>los cargos por el delito de homicidio agravado en concurso con el delito de desaparición forzada,</w:t>
      </w:r>
      <w:r w:rsidRPr="00C472E2">
        <w:rPr>
          <w:rFonts w:ascii="Bookman Old Style" w:hAnsi="Bookman Old Style" w:cs="Tahoma"/>
          <w:sz w:val="28"/>
          <w:szCs w:val="28"/>
        </w:rPr>
        <w:t xml:space="preserve"> en los hechos 4, 17, 18, 31, 59, 65, 70, 71, 72, 75, 92, 102 y 103, </w:t>
      </w:r>
      <w:r w:rsidRPr="000A5171">
        <w:rPr>
          <w:rFonts w:ascii="Bookman Old Style" w:hAnsi="Bookman Old Style" w:cs="Tahoma"/>
          <w:b/>
          <w:sz w:val="28"/>
          <w:szCs w:val="28"/>
        </w:rPr>
        <w:t>y el delito de homicidio agravado</w:t>
      </w:r>
      <w:r>
        <w:rPr>
          <w:rFonts w:ascii="Bookman Old Style" w:hAnsi="Bookman Old Style" w:cs="Tahoma"/>
          <w:sz w:val="28"/>
          <w:szCs w:val="28"/>
        </w:rPr>
        <w:t xml:space="preserve"> en el hecho 97-</w:t>
      </w:r>
    </w:p>
    <w:p w:rsidR="00AD777C" w:rsidRDefault="00AD777C" w:rsidP="00AD777C">
      <w:pPr>
        <w:spacing w:line="360" w:lineRule="auto"/>
        <w:ind w:firstLine="708"/>
        <w:jc w:val="both"/>
        <w:rPr>
          <w:rFonts w:ascii="Bookman Old Style" w:hAnsi="Bookman Old Style" w:cs="Tahoma"/>
          <w:sz w:val="28"/>
          <w:szCs w:val="28"/>
        </w:rPr>
      </w:pPr>
    </w:p>
    <w:p w:rsidR="00AD777C" w:rsidRPr="008C1FC3" w:rsidRDefault="00AD777C" w:rsidP="00AD777C">
      <w:pPr>
        <w:spacing w:line="360" w:lineRule="auto"/>
        <w:ind w:firstLine="708"/>
        <w:jc w:val="both"/>
        <w:rPr>
          <w:rFonts w:ascii="Bookman Old Style" w:hAnsi="Bookman Old Style" w:cs="Tahoma"/>
          <w:sz w:val="28"/>
          <w:szCs w:val="28"/>
        </w:rPr>
      </w:pPr>
      <w:r>
        <w:rPr>
          <w:rFonts w:ascii="Bookman Old Style" w:hAnsi="Bookman Old Style"/>
          <w:sz w:val="28"/>
          <w:szCs w:val="28"/>
        </w:rPr>
        <w:t xml:space="preserve"> </w:t>
      </w:r>
      <w:r>
        <w:rPr>
          <w:rFonts w:ascii="Bookman Old Style" w:hAnsi="Bookman Old Style" w:cs="Tahoma"/>
          <w:b/>
          <w:bCs/>
          <w:sz w:val="28"/>
          <w:szCs w:val="28"/>
        </w:rPr>
        <w:t>V</w:t>
      </w:r>
      <w:r w:rsidRPr="00C472E2">
        <w:rPr>
          <w:rFonts w:ascii="Bookman Old Style" w:hAnsi="Bookman Old Style" w:cs="Tahoma"/>
          <w:b/>
          <w:bCs/>
          <w:sz w:val="28"/>
          <w:szCs w:val="28"/>
        </w:rPr>
        <w:t xml:space="preserve">igésimo tercero: </w:t>
      </w:r>
      <w:r>
        <w:rPr>
          <w:rFonts w:ascii="Bookman Old Style" w:hAnsi="Bookman Old Style" w:cs="Tahoma"/>
          <w:b/>
          <w:sz w:val="28"/>
          <w:szCs w:val="28"/>
        </w:rPr>
        <w:t>L</w:t>
      </w:r>
      <w:r w:rsidRPr="00C472E2">
        <w:rPr>
          <w:rFonts w:ascii="Bookman Old Style" w:hAnsi="Bookman Old Style" w:cs="Tahoma"/>
          <w:b/>
          <w:sz w:val="28"/>
          <w:szCs w:val="28"/>
        </w:rPr>
        <w:t>egalizar</w:t>
      </w:r>
      <w:r w:rsidRPr="00C472E2">
        <w:rPr>
          <w:rFonts w:ascii="Bookman Old Style" w:hAnsi="Bookman Old Style" w:cs="Tahoma"/>
          <w:sz w:val="28"/>
          <w:szCs w:val="28"/>
        </w:rPr>
        <w:t xml:space="preserve"> </w:t>
      </w:r>
      <w:r w:rsidRPr="000A5171">
        <w:rPr>
          <w:rFonts w:ascii="Bookman Old Style" w:hAnsi="Bookman Old Style" w:cs="Tahoma"/>
          <w:b/>
          <w:sz w:val="28"/>
          <w:szCs w:val="28"/>
        </w:rPr>
        <w:t>el cargo por el delito de reclutamiento ilícito</w:t>
      </w:r>
      <w:r w:rsidRPr="00C472E2">
        <w:rPr>
          <w:rFonts w:ascii="Bookman Old Style" w:hAnsi="Bookman Old Style" w:cs="Tahoma"/>
          <w:sz w:val="28"/>
          <w:szCs w:val="28"/>
        </w:rPr>
        <w:t>, artículo 162 de la Ley 599 de 2000, formulado en los hechos 59, 60, 62, 63, 64, 65, 70, y 78, del que fueron víctimas los jóvenes Álvaro Amaya, Diego Agudelo Chipiaje, Cindy Paola Becerra Álvarez, Aristóbulo García Umaña, Carlos Andrés Macabare Gaitán, Deisy Yaleida Ojeda Barrios, Dora Liliana Oropeza, John Alexis Sánchez Torrealba y Yamith Antonio Díaz Piñeros</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Frente a las decisiones inherentes a la condena, resolvió la Sala de Conocimiento de Justicia y Paz del Tribunal de Bogotá:</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i/>
          <w:color w:val="000000"/>
          <w:sz w:val="24"/>
          <w:szCs w:val="24"/>
        </w:rPr>
      </w:pPr>
      <w:r>
        <w:rPr>
          <w:rFonts w:ascii="Bookman Old Style" w:hAnsi="Bookman Old Style" w:cs="Tahoma"/>
          <w:b/>
          <w:bCs/>
          <w:sz w:val="28"/>
          <w:szCs w:val="28"/>
        </w:rPr>
        <w:t>V</w:t>
      </w:r>
      <w:r w:rsidRPr="00C472E2">
        <w:rPr>
          <w:rFonts w:ascii="Bookman Old Style" w:hAnsi="Bookman Old Style" w:cs="Tahoma"/>
          <w:b/>
          <w:bCs/>
          <w:sz w:val="28"/>
          <w:szCs w:val="28"/>
        </w:rPr>
        <w:t xml:space="preserve">igésimo cuarto: condenar </w:t>
      </w:r>
      <w:r w:rsidRPr="00C472E2">
        <w:rPr>
          <w:rFonts w:ascii="Bookman Old Style" w:hAnsi="Bookman Old Style" w:cs="Tahoma"/>
          <w:bCs/>
          <w:sz w:val="28"/>
          <w:szCs w:val="28"/>
        </w:rPr>
        <w:t>a</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los postulados </w:t>
      </w:r>
      <w:r w:rsidRPr="00C472E2">
        <w:rPr>
          <w:rFonts w:ascii="Bookman Old Style" w:hAnsi="Bookman Old Style" w:cs="Tahoma"/>
          <w:sz w:val="28"/>
          <w:szCs w:val="28"/>
        </w:rPr>
        <w:t>JOSÉ BALDOMERO LINARES MORENO</w:t>
      </w:r>
      <w:r>
        <w:rPr>
          <w:rFonts w:ascii="Bookman Old Style" w:hAnsi="Bookman Old Style" w:cs="Tahoma"/>
          <w:sz w:val="28"/>
          <w:szCs w:val="28"/>
        </w:rPr>
        <w:t xml:space="preserve"> </w:t>
      </w:r>
      <w:r w:rsidRPr="00C472E2">
        <w:rPr>
          <w:rFonts w:ascii="Bookman Old Style" w:hAnsi="Bookman Old Style" w:cs="Tahoma"/>
          <w:spacing w:val="-3"/>
          <w:sz w:val="28"/>
          <w:szCs w:val="28"/>
        </w:rPr>
        <w:t xml:space="preserve">y </w:t>
      </w:r>
      <w:r w:rsidRPr="00C472E2">
        <w:rPr>
          <w:rFonts w:ascii="Bookman Old Style" w:hAnsi="Bookman Old Style" w:cs="Tahoma"/>
          <w:sz w:val="28"/>
          <w:szCs w:val="28"/>
        </w:rPr>
        <w:t xml:space="preserve">RAFAEL SALGADO MERCHÁN, </w:t>
      </w:r>
      <w:r w:rsidRPr="00C472E2">
        <w:rPr>
          <w:rFonts w:ascii="Bookman Old Style" w:hAnsi="Bookman Old Style" w:cs="Tahoma"/>
          <w:spacing w:val="-3"/>
          <w:sz w:val="28"/>
          <w:szCs w:val="28"/>
        </w:rPr>
        <w:t xml:space="preserve">a la pena de </w:t>
      </w:r>
      <w:r w:rsidRPr="000A5171">
        <w:rPr>
          <w:rFonts w:ascii="Bookman Old Style" w:hAnsi="Bookman Old Style" w:cs="Tahoma"/>
          <w:b/>
          <w:sz w:val="28"/>
          <w:szCs w:val="28"/>
        </w:rPr>
        <w:t xml:space="preserve">CUATROCIENTOS OCHENTA (480) </w:t>
      </w:r>
      <w:r w:rsidRPr="000A5171">
        <w:rPr>
          <w:rFonts w:ascii="Bookman Old Style" w:hAnsi="Bookman Old Style" w:cs="Tahoma"/>
          <w:b/>
          <w:bCs/>
          <w:iCs/>
          <w:sz w:val="28"/>
          <w:szCs w:val="28"/>
        </w:rPr>
        <w:t>meses de prisión y multa de DIECISIETE MIL CUATROCIENTOS CINCUENTA (17450) salarios mínimos</w:t>
      </w:r>
      <w:r w:rsidRPr="000A5171">
        <w:rPr>
          <w:rFonts w:ascii="Bookman Old Style" w:hAnsi="Bookman Old Style" w:cs="Tahoma"/>
          <w:b/>
          <w:bCs/>
          <w:i/>
          <w:iCs/>
          <w:sz w:val="28"/>
          <w:szCs w:val="28"/>
        </w:rPr>
        <w:t xml:space="preserve"> </w:t>
      </w:r>
      <w:r w:rsidRPr="000A5171">
        <w:rPr>
          <w:rFonts w:ascii="Bookman Old Style" w:hAnsi="Bookman Old Style" w:cs="Tahoma"/>
          <w:b/>
          <w:bCs/>
          <w:iCs/>
          <w:sz w:val="28"/>
          <w:szCs w:val="28"/>
        </w:rPr>
        <w:t>legales mensuales vigentes</w:t>
      </w:r>
      <w:r w:rsidRPr="00C472E2">
        <w:rPr>
          <w:rFonts w:ascii="Bookman Old Style" w:hAnsi="Bookman Old Style" w:cs="Tahoma"/>
          <w:sz w:val="28"/>
          <w:szCs w:val="28"/>
        </w:rPr>
        <w:t xml:space="preserve">, luego de haber sido hallados responsables de los delitos de: </w:t>
      </w:r>
      <w:r w:rsidRPr="000A5171">
        <w:rPr>
          <w:rFonts w:ascii="Bookman Old Style" w:hAnsi="Bookman Old Style" w:cs="Tahoma"/>
          <w:i/>
          <w:sz w:val="24"/>
          <w:szCs w:val="24"/>
        </w:rPr>
        <w:t xml:space="preserve">«(i) utilización ilegal de uniformes e insignias, (ii) homicidio en persona protegida; (iii) homicidio en persona protegida en la modalidad de tentativa; (iv) desaparición forzada; (v) desplazamiento forzado de población civil; (vi) hurto calificado y agravado; (vii) secuestro simple y agravado; (viii) actos de terrorismo; (ix) tortura en persona protegida; (x) destrucción y apropiación de bienes protegidos; (xi) exacción o contribuciones arbitrarias; y (xii) reclutamiento ilícito de menores, </w:t>
      </w:r>
      <w:r w:rsidRPr="000A5171">
        <w:rPr>
          <w:rFonts w:ascii="Bookman Old Style" w:hAnsi="Bookman Old Style" w:cs="Tahoma"/>
          <w:i/>
          <w:color w:val="000000"/>
          <w:sz w:val="24"/>
          <w:szCs w:val="24"/>
        </w:rPr>
        <w:t>conductas constitutivas de graves infracciones al Derecho Internacional Humanitario, así como de graves atentados contra los Derechos Humanos»</w:t>
      </w:r>
      <w:r>
        <w:rPr>
          <w:rStyle w:val="Refdenotaalpie"/>
          <w:rFonts w:ascii="Bookman Old Style" w:hAnsi="Bookman Old Style" w:cs="Tahoma"/>
          <w:i/>
          <w:color w:val="000000"/>
          <w:sz w:val="24"/>
          <w:szCs w:val="24"/>
        </w:rPr>
        <w:footnoteReference w:id="19"/>
      </w:r>
      <w:r>
        <w:rPr>
          <w:rFonts w:ascii="Bookman Old Style" w:hAnsi="Bookman Old Style" w:cs="Tahoma"/>
          <w:i/>
          <w:color w:val="000000"/>
          <w:sz w:val="24"/>
          <w:szCs w:val="24"/>
        </w:rPr>
        <w:t>-</w:t>
      </w:r>
    </w:p>
    <w:p w:rsidR="00AD777C" w:rsidRDefault="00AD777C" w:rsidP="00AD777C">
      <w:pPr>
        <w:spacing w:line="360" w:lineRule="auto"/>
        <w:ind w:firstLine="708"/>
        <w:jc w:val="both"/>
        <w:rPr>
          <w:rFonts w:ascii="Bookman Old Style" w:hAnsi="Bookman Old Style" w:cs="Tahoma"/>
          <w:i/>
          <w:color w:val="000000"/>
          <w:sz w:val="24"/>
          <w:szCs w:val="24"/>
        </w:rPr>
      </w:pPr>
    </w:p>
    <w:p w:rsidR="00AD777C" w:rsidRDefault="00AD777C" w:rsidP="00AD777C">
      <w:pPr>
        <w:spacing w:line="360" w:lineRule="auto"/>
        <w:ind w:firstLine="708"/>
        <w:jc w:val="both"/>
        <w:rPr>
          <w:rFonts w:ascii="Bookman Old Style" w:hAnsi="Bookman Old Style" w:cs="Tahoma"/>
          <w:bCs/>
          <w:sz w:val="28"/>
          <w:szCs w:val="28"/>
        </w:rPr>
      </w:pPr>
      <w:r>
        <w:rPr>
          <w:rFonts w:ascii="Bookman Old Style" w:hAnsi="Bookman Old Style" w:cs="Tahoma"/>
          <w:i/>
          <w:color w:val="000000"/>
          <w:sz w:val="24"/>
          <w:szCs w:val="24"/>
        </w:rPr>
        <w:t xml:space="preserve"> </w:t>
      </w:r>
      <w:r>
        <w:rPr>
          <w:rFonts w:ascii="Bookman Old Style" w:hAnsi="Bookman Old Style" w:cs="Tahoma"/>
          <w:b/>
          <w:bCs/>
          <w:sz w:val="28"/>
          <w:szCs w:val="28"/>
        </w:rPr>
        <w:t>V</w:t>
      </w:r>
      <w:r w:rsidRPr="00C472E2">
        <w:rPr>
          <w:rFonts w:ascii="Bookman Old Style" w:hAnsi="Bookman Old Style" w:cs="Tahoma"/>
          <w:b/>
          <w:bCs/>
          <w:sz w:val="28"/>
          <w:szCs w:val="28"/>
        </w:rPr>
        <w:t xml:space="preserve">igésimo quinto: </w:t>
      </w:r>
      <w:r>
        <w:rPr>
          <w:rFonts w:ascii="Bookman Old Style" w:hAnsi="Bookman Old Style" w:cs="Tahoma"/>
          <w:b/>
          <w:bCs/>
          <w:color w:val="000000"/>
          <w:sz w:val="28"/>
          <w:szCs w:val="28"/>
        </w:rPr>
        <w:t>C</w:t>
      </w:r>
      <w:r w:rsidRPr="00C472E2">
        <w:rPr>
          <w:rFonts w:ascii="Bookman Old Style" w:hAnsi="Bookman Old Style" w:cs="Tahoma"/>
          <w:b/>
          <w:bCs/>
          <w:color w:val="000000"/>
          <w:sz w:val="28"/>
          <w:szCs w:val="28"/>
        </w:rPr>
        <w:t xml:space="preserve">ondenar </w:t>
      </w:r>
      <w:r w:rsidRPr="00C472E2">
        <w:rPr>
          <w:rFonts w:ascii="Bookman Old Style" w:hAnsi="Bookman Old Style" w:cs="Tahoma"/>
          <w:color w:val="000000"/>
          <w:sz w:val="28"/>
          <w:szCs w:val="28"/>
        </w:rPr>
        <w:t xml:space="preserve">a los postulados </w:t>
      </w:r>
      <w:r w:rsidRPr="00C472E2">
        <w:rPr>
          <w:rFonts w:ascii="Bookman Old Style" w:hAnsi="Bookman Old Style" w:cs="Tahoma"/>
          <w:sz w:val="28"/>
          <w:szCs w:val="28"/>
        </w:rPr>
        <w:t>JOSÉ BALDOMERO LINARES MORENO</w:t>
      </w:r>
      <w:r w:rsidRPr="00C472E2">
        <w:rPr>
          <w:rFonts w:ascii="Bookman Old Style" w:hAnsi="Bookman Old Style" w:cs="Tahoma"/>
          <w:i/>
          <w:sz w:val="28"/>
          <w:szCs w:val="28"/>
        </w:rPr>
        <w:t xml:space="preserve"> </w:t>
      </w:r>
      <w:r w:rsidRPr="00C472E2">
        <w:rPr>
          <w:rFonts w:ascii="Bookman Old Style" w:hAnsi="Bookman Old Style" w:cs="Tahoma"/>
          <w:spacing w:val="-3"/>
          <w:sz w:val="28"/>
          <w:szCs w:val="28"/>
        </w:rPr>
        <w:t xml:space="preserve">y </w:t>
      </w:r>
      <w:r w:rsidRPr="00C472E2">
        <w:rPr>
          <w:rFonts w:ascii="Bookman Old Style" w:hAnsi="Bookman Old Style" w:cs="Tahoma"/>
          <w:sz w:val="28"/>
          <w:szCs w:val="28"/>
        </w:rPr>
        <w:t xml:space="preserve">RAFAEL SALGADO MERCHÁN, </w:t>
      </w:r>
      <w:r w:rsidRPr="00C472E2">
        <w:rPr>
          <w:rFonts w:ascii="Bookman Old Style" w:hAnsi="Bookman Old Style" w:cs="Tahoma"/>
          <w:color w:val="000000"/>
          <w:sz w:val="28"/>
          <w:szCs w:val="28"/>
        </w:rPr>
        <w:t>a la pena accesoria de inhabilidad para el ejercicio de derechos y funciones públicas por un lapso de 20 años</w:t>
      </w:r>
      <w:r>
        <w:rPr>
          <w:rFonts w:ascii="Bookman Old Style" w:hAnsi="Bookman Old Style" w:cs="Tahoma"/>
          <w:color w:val="000000"/>
          <w:sz w:val="28"/>
          <w:szCs w:val="28"/>
        </w:rPr>
        <w:t>,</w:t>
      </w:r>
      <w:r w:rsidRPr="00C472E2">
        <w:rPr>
          <w:rFonts w:ascii="Bookman Old Style" w:hAnsi="Bookman Old Style" w:cs="Tahoma"/>
          <w:bCs/>
          <w:sz w:val="28"/>
          <w:szCs w:val="28"/>
        </w:rPr>
        <w:t xml:space="preserve"> e inhabilidad para la tenencia y porte de</w:t>
      </w:r>
      <w:r>
        <w:rPr>
          <w:rFonts w:ascii="Bookman Old Style" w:hAnsi="Bookman Old Style" w:cs="Tahoma"/>
          <w:bCs/>
          <w:sz w:val="28"/>
          <w:szCs w:val="28"/>
        </w:rPr>
        <w:t xml:space="preserve"> arma por el término de 15 años.</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color w:val="000000"/>
          <w:sz w:val="24"/>
          <w:szCs w:val="24"/>
        </w:rPr>
      </w:pPr>
      <w:r w:rsidRPr="00C472E2">
        <w:rPr>
          <w:rFonts w:ascii="Bookman Old Style" w:hAnsi="Bookman Old Style" w:cs="Tahoma"/>
          <w:bCs/>
          <w:sz w:val="28"/>
          <w:szCs w:val="28"/>
        </w:rPr>
        <w:t xml:space="preserve"> </w:t>
      </w:r>
      <w:r>
        <w:rPr>
          <w:rFonts w:ascii="Bookman Old Style" w:hAnsi="Bookman Old Style" w:cs="Tahoma"/>
          <w:b/>
          <w:bCs/>
          <w:sz w:val="28"/>
          <w:szCs w:val="28"/>
        </w:rPr>
        <w:t>Vigésimo sexto: C</w:t>
      </w:r>
      <w:r w:rsidRPr="00C472E2">
        <w:rPr>
          <w:rFonts w:ascii="Bookman Old Style" w:hAnsi="Bookman Old Style" w:cs="Tahoma"/>
          <w:b/>
          <w:bCs/>
          <w:sz w:val="28"/>
          <w:szCs w:val="28"/>
        </w:rPr>
        <w:t xml:space="preserve">ondenar </w:t>
      </w:r>
      <w:r w:rsidRPr="00C472E2">
        <w:rPr>
          <w:rFonts w:ascii="Bookman Old Style" w:hAnsi="Bookman Old Style" w:cs="Tahoma"/>
          <w:bCs/>
          <w:sz w:val="28"/>
          <w:szCs w:val="28"/>
        </w:rPr>
        <w:t xml:space="preserve">a </w:t>
      </w:r>
      <w:r w:rsidRPr="00C472E2">
        <w:rPr>
          <w:rFonts w:ascii="Bookman Old Style" w:hAnsi="Bookman Old Style" w:cs="Tahoma"/>
          <w:sz w:val="28"/>
          <w:szCs w:val="28"/>
        </w:rPr>
        <w:t xml:space="preserve">JOSÉ DELFÍN VILLALOBOS JIMÉNEZ, a la </w:t>
      </w:r>
      <w:r w:rsidRPr="003D38B6">
        <w:rPr>
          <w:rFonts w:ascii="Bookman Old Style" w:hAnsi="Bookman Old Style" w:cs="Tahoma"/>
          <w:b/>
          <w:sz w:val="28"/>
          <w:szCs w:val="28"/>
        </w:rPr>
        <w:t xml:space="preserve">pena de cuatrocientos ochenta (480) </w:t>
      </w:r>
      <w:r w:rsidRPr="003D38B6">
        <w:rPr>
          <w:rFonts w:ascii="Bookman Old Style" w:hAnsi="Bookman Old Style" w:cs="Tahoma"/>
          <w:b/>
          <w:bCs/>
          <w:iCs/>
          <w:sz w:val="28"/>
          <w:szCs w:val="28"/>
        </w:rPr>
        <w:t>meses de prisión y multa de quince mil seiscientos (15600) salarios mínimos legales mensuales vigentes,</w:t>
      </w:r>
      <w:r w:rsidRPr="00C472E2">
        <w:rPr>
          <w:rFonts w:ascii="Bookman Old Style" w:hAnsi="Bookman Old Style" w:cs="Tahoma"/>
          <w:sz w:val="28"/>
          <w:szCs w:val="28"/>
        </w:rPr>
        <w:t xml:space="preserve"> luego de haber sido hallado responsable de los delitos de: </w:t>
      </w:r>
      <w:r w:rsidRPr="003D38B6">
        <w:rPr>
          <w:rFonts w:ascii="Bookman Old Style" w:hAnsi="Bookman Old Style" w:cs="Tahoma"/>
          <w:i/>
          <w:sz w:val="24"/>
          <w:szCs w:val="24"/>
        </w:rPr>
        <w:t xml:space="preserve">«(i) utilización ilegal de uniformes e insignias, (ii) actos de terrorismo, (iii) homicidio en persona protegida, (iv) desaparición forzada, (v) secuestro simple, (vi) secuestro agravado, (vii) tortura en persona protegida, (viii) desplazamiento forzado de población civil y (ix) destrucción y apropiación de bienes protegidos, </w:t>
      </w:r>
      <w:r w:rsidRPr="003D38B6">
        <w:rPr>
          <w:rFonts w:ascii="Bookman Old Style" w:hAnsi="Bookman Old Style" w:cs="Tahoma"/>
          <w:i/>
          <w:color w:val="000000"/>
          <w:sz w:val="24"/>
          <w:szCs w:val="24"/>
        </w:rPr>
        <w:t>conductas constitutivas de graves infracciones al Derecho Internacional Humanitario, así como de graves atentados contra los Derechos Humanos»</w:t>
      </w:r>
      <w:r>
        <w:rPr>
          <w:rStyle w:val="Refdenotaalpie"/>
          <w:rFonts w:ascii="Bookman Old Style" w:hAnsi="Bookman Old Style" w:cs="Tahoma"/>
          <w:i/>
          <w:color w:val="000000"/>
          <w:sz w:val="24"/>
          <w:szCs w:val="24"/>
        </w:rPr>
        <w:footnoteReference w:id="20"/>
      </w:r>
      <w:r>
        <w:rPr>
          <w:rFonts w:ascii="Bookman Old Style" w:hAnsi="Bookman Old Style" w:cs="Tahoma"/>
          <w:color w:val="000000"/>
          <w:sz w:val="24"/>
          <w:szCs w:val="24"/>
        </w:rPr>
        <w:t>-</w:t>
      </w:r>
    </w:p>
    <w:p w:rsidR="00AD777C" w:rsidRDefault="00AD777C" w:rsidP="00AD777C">
      <w:pPr>
        <w:spacing w:line="360" w:lineRule="auto"/>
        <w:ind w:firstLine="708"/>
        <w:jc w:val="both"/>
        <w:rPr>
          <w:rFonts w:ascii="Bookman Old Style" w:hAnsi="Bookman Old Style" w:cs="Tahoma"/>
          <w:color w:val="000000"/>
          <w:sz w:val="24"/>
          <w:szCs w:val="24"/>
        </w:rPr>
      </w:pPr>
    </w:p>
    <w:p w:rsidR="00AD777C" w:rsidRDefault="00AD777C" w:rsidP="00AD777C">
      <w:pPr>
        <w:spacing w:line="360" w:lineRule="auto"/>
        <w:ind w:firstLine="708"/>
        <w:jc w:val="both"/>
        <w:rPr>
          <w:rFonts w:ascii="Bookman Old Style" w:hAnsi="Bookman Old Style" w:cs="Tahoma"/>
          <w:bCs/>
          <w:sz w:val="28"/>
          <w:szCs w:val="28"/>
        </w:rPr>
      </w:pPr>
      <w:r>
        <w:rPr>
          <w:rFonts w:ascii="Bookman Old Style" w:hAnsi="Bookman Old Style" w:cs="Tahoma"/>
          <w:i/>
          <w:color w:val="000000"/>
          <w:sz w:val="24"/>
          <w:szCs w:val="24"/>
        </w:rPr>
        <w:t xml:space="preserve"> </w:t>
      </w:r>
      <w:r>
        <w:rPr>
          <w:rFonts w:ascii="Bookman Old Style" w:hAnsi="Bookman Old Style" w:cs="Tahoma"/>
          <w:b/>
          <w:bCs/>
          <w:sz w:val="28"/>
          <w:szCs w:val="28"/>
        </w:rPr>
        <w:t>Vigésimo séptimo: C</w:t>
      </w:r>
      <w:r w:rsidRPr="00C472E2">
        <w:rPr>
          <w:rFonts w:ascii="Bookman Old Style" w:hAnsi="Bookman Old Style" w:cs="Tahoma"/>
          <w:b/>
          <w:bCs/>
          <w:sz w:val="28"/>
          <w:szCs w:val="28"/>
        </w:rPr>
        <w:t xml:space="preserve">ondenar </w:t>
      </w:r>
      <w:r w:rsidRPr="00C472E2">
        <w:rPr>
          <w:rFonts w:ascii="Bookman Old Style" w:hAnsi="Bookman Old Style" w:cs="Tahoma"/>
          <w:bCs/>
          <w:sz w:val="28"/>
          <w:szCs w:val="28"/>
        </w:rPr>
        <w:t xml:space="preserve">a </w:t>
      </w:r>
      <w:r w:rsidRPr="00C472E2">
        <w:rPr>
          <w:rFonts w:ascii="Bookman Old Style" w:hAnsi="Bookman Old Style" w:cs="Tahoma"/>
          <w:sz w:val="28"/>
          <w:szCs w:val="28"/>
        </w:rPr>
        <w:t>JOSÉ DELFÍN VILLALOBOS JIMÉNEZ</w:t>
      </w:r>
      <w:r>
        <w:rPr>
          <w:rFonts w:ascii="Bookman Old Style" w:hAnsi="Bookman Old Style" w:cs="Tahoma"/>
          <w:sz w:val="28"/>
          <w:szCs w:val="28"/>
        </w:rPr>
        <w:t xml:space="preserve"> </w:t>
      </w:r>
      <w:r w:rsidRPr="00C472E2">
        <w:rPr>
          <w:rFonts w:ascii="Bookman Old Style" w:hAnsi="Bookman Old Style" w:cs="Tahoma"/>
          <w:color w:val="000000"/>
          <w:sz w:val="28"/>
          <w:szCs w:val="28"/>
        </w:rPr>
        <w:t xml:space="preserve">a la pena accesoria de inhabilidad para el ejercicio de derechos y funciones públicas por un lapso de 20 años, </w:t>
      </w:r>
      <w:r w:rsidRPr="00C472E2">
        <w:rPr>
          <w:rFonts w:ascii="Bookman Old Style" w:hAnsi="Bookman Old Style" w:cs="Tahoma"/>
          <w:bCs/>
          <w:sz w:val="28"/>
          <w:szCs w:val="28"/>
        </w:rPr>
        <w:t>e inhabilidad para la tenencia y porte de</w:t>
      </w:r>
      <w:r>
        <w:rPr>
          <w:rFonts w:ascii="Bookman Old Style" w:hAnsi="Bookman Old Style" w:cs="Tahoma"/>
          <w:bCs/>
          <w:sz w:val="28"/>
          <w:szCs w:val="28"/>
        </w:rPr>
        <w:t xml:space="preserve"> arma por el término de 15 años. </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Vigésimo octavo: C</w:t>
      </w:r>
      <w:r w:rsidRPr="00C472E2">
        <w:rPr>
          <w:rFonts w:ascii="Bookman Old Style" w:hAnsi="Bookman Old Style" w:cs="Tahoma"/>
          <w:b/>
          <w:bCs/>
          <w:sz w:val="28"/>
          <w:szCs w:val="28"/>
        </w:rPr>
        <w:t xml:space="preserve">ondenar </w:t>
      </w:r>
      <w:r w:rsidRPr="00C472E2">
        <w:rPr>
          <w:rFonts w:ascii="Bookman Old Style" w:hAnsi="Bookman Old Style" w:cs="Tahoma"/>
          <w:bCs/>
          <w:sz w:val="28"/>
          <w:szCs w:val="28"/>
        </w:rPr>
        <w:t>a</w:t>
      </w:r>
      <w:r w:rsidRPr="00C472E2">
        <w:rPr>
          <w:rFonts w:ascii="Bookman Old Style" w:hAnsi="Bookman Old Style" w:cs="Tahoma"/>
          <w:sz w:val="28"/>
          <w:szCs w:val="28"/>
        </w:rPr>
        <w:t xml:space="preserve">l postulado MIGUEL ÁNGEL ACHURY, a la pena de </w:t>
      </w:r>
      <w:r w:rsidRPr="003D38B6">
        <w:rPr>
          <w:rFonts w:ascii="Bookman Old Style" w:hAnsi="Bookman Old Style" w:cs="Tahoma"/>
          <w:b/>
          <w:sz w:val="28"/>
          <w:szCs w:val="28"/>
        </w:rPr>
        <w:t xml:space="preserve">CUATROCIENTOS OCHENTA (480) </w:t>
      </w:r>
      <w:r w:rsidRPr="003D38B6">
        <w:rPr>
          <w:rFonts w:ascii="Bookman Old Style" w:hAnsi="Bookman Old Style" w:cs="Tahoma"/>
          <w:b/>
          <w:bCs/>
          <w:iCs/>
          <w:sz w:val="28"/>
          <w:szCs w:val="28"/>
        </w:rPr>
        <w:t>meses de prisión y multa de SIETE MIL OCHOCIENTOS (7800) salarios mínimos legales mensuales vigentes</w:t>
      </w:r>
      <w:r w:rsidRPr="00C472E2">
        <w:rPr>
          <w:rFonts w:ascii="Bookman Old Style" w:hAnsi="Bookman Old Style" w:cs="Tahoma"/>
          <w:sz w:val="28"/>
          <w:szCs w:val="28"/>
        </w:rPr>
        <w:t xml:space="preserve">, luego de haber sido hallado responsable de los delitos de: </w:t>
      </w:r>
      <w:r w:rsidRPr="003D38B6">
        <w:rPr>
          <w:rFonts w:ascii="Bookman Old Style" w:hAnsi="Bookman Old Style" w:cs="Tahoma"/>
          <w:i/>
          <w:sz w:val="24"/>
          <w:szCs w:val="24"/>
        </w:rPr>
        <w:t xml:space="preserve">«(i) utilización ilegal de uniformes e insignias, (ii) homicidio agravado, (iii) desaparición forzada, (iv) hurto calificado y agravado, (v) homicidio en persona protegida, (vi) secuestro simple, (vii) desplazamiento forzado de población civil, (viii) destrucción y apropiación de bienes protegidos y (ix) exacciones o contribuciones arbitrarias, </w:t>
      </w:r>
      <w:r w:rsidRPr="003D38B6">
        <w:rPr>
          <w:rFonts w:ascii="Bookman Old Style" w:hAnsi="Bookman Old Style" w:cs="Tahoma"/>
          <w:i/>
          <w:color w:val="000000"/>
          <w:sz w:val="24"/>
          <w:szCs w:val="24"/>
        </w:rPr>
        <w:t>conductas constitutivas de graves infracciones al Derecho Internacional Humanitario, así como de graves atentados contra los Derechos Humanos»</w:t>
      </w:r>
      <w:r>
        <w:rPr>
          <w:rStyle w:val="Refdenotaalpie"/>
          <w:rFonts w:ascii="Bookman Old Style" w:hAnsi="Bookman Old Style" w:cs="Tahoma"/>
          <w:i/>
          <w:color w:val="000000"/>
        </w:rPr>
        <w:footnoteReference w:id="21"/>
      </w:r>
      <w:r>
        <w:rPr>
          <w:rFonts w:ascii="Bookman Old Style" w:hAnsi="Bookman Old Style" w:cs="Tahoma"/>
          <w:color w:val="000000"/>
        </w:rPr>
        <w:t>.</w:t>
      </w:r>
      <w:r>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cs="Tahoma"/>
          <w:b/>
          <w:bCs/>
          <w:sz w:val="28"/>
          <w:szCs w:val="28"/>
        </w:rPr>
        <w:t>Vigésimo noveno: C</w:t>
      </w:r>
      <w:r w:rsidRPr="00C472E2">
        <w:rPr>
          <w:rFonts w:ascii="Bookman Old Style" w:hAnsi="Bookman Old Style" w:cs="Tahoma"/>
          <w:b/>
          <w:bCs/>
          <w:sz w:val="28"/>
          <w:szCs w:val="28"/>
        </w:rPr>
        <w:t xml:space="preserve">ondenar </w:t>
      </w:r>
      <w:r w:rsidRPr="00C472E2">
        <w:rPr>
          <w:rFonts w:ascii="Bookman Old Style" w:hAnsi="Bookman Old Style" w:cs="Tahoma"/>
          <w:bCs/>
          <w:sz w:val="28"/>
          <w:szCs w:val="28"/>
        </w:rPr>
        <w:t>a</w:t>
      </w:r>
      <w:r w:rsidRPr="00C472E2">
        <w:rPr>
          <w:rFonts w:ascii="Bookman Old Style" w:hAnsi="Bookman Old Style" w:cs="Tahoma"/>
          <w:sz w:val="28"/>
          <w:szCs w:val="28"/>
        </w:rPr>
        <w:t>l postulado MIGUEL ÁNGEL ACHURY, a la pena</w:t>
      </w:r>
      <w:r w:rsidRPr="00C472E2">
        <w:rPr>
          <w:rFonts w:ascii="Bookman Old Style" w:hAnsi="Bookman Old Style" w:cs="Tahoma"/>
          <w:color w:val="000000"/>
          <w:sz w:val="28"/>
          <w:szCs w:val="28"/>
        </w:rPr>
        <w:t xml:space="preserve"> accesoria de inhabilidad para el ejercicio de derechos y funciones públicas p</w:t>
      </w:r>
      <w:r>
        <w:rPr>
          <w:rFonts w:ascii="Bookman Old Style" w:hAnsi="Bookman Old Style" w:cs="Tahoma"/>
          <w:color w:val="000000"/>
          <w:sz w:val="28"/>
          <w:szCs w:val="28"/>
        </w:rPr>
        <w:t xml:space="preserve">or un lapso de veinte (20) años, </w:t>
      </w:r>
      <w:r w:rsidRPr="00C472E2">
        <w:rPr>
          <w:rFonts w:ascii="Bookman Old Style" w:hAnsi="Bookman Old Style" w:cs="Tahoma"/>
          <w:bCs/>
          <w:sz w:val="28"/>
          <w:szCs w:val="28"/>
        </w:rPr>
        <w:t>e inhabilidad para la tenencia y porte de arma por el término de  quince (15) años</w:t>
      </w:r>
      <w:r>
        <w:rPr>
          <w:rFonts w:ascii="Bookman Old Style" w:hAnsi="Bookman Old Style" w:cs="Tahoma"/>
          <w:bCs/>
          <w:sz w:val="28"/>
          <w:szCs w:val="28"/>
        </w:rPr>
        <w:t>;</w:t>
      </w:r>
      <w:r w:rsidRPr="00C472E2">
        <w:rPr>
          <w:rFonts w:ascii="Bookman Old Style" w:hAnsi="Bookman Old Style" w:cs="Tahoma"/>
          <w:bCs/>
          <w:sz w:val="28"/>
          <w:szCs w:val="28"/>
        </w:rPr>
        <w:t xml:space="preserve"> </w:t>
      </w:r>
    </w:p>
    <w:p w:rsidR="00AD777C" w:rsidRDefault="00AD777C" w:rsidP="00AD777C">
      <w:pPr>
        <w:spacing w:line="360" w:lineRule="auto"/>
        <w:ind w:firstLine="708"/>
        <w:jc w:val="both"/>
        <w:rPr>
          <w:rFonts w:ascii="Bookman Old Style" w:hAnsi="Bookman Old Style"/>
          <w:sz w:val="28"/>
          <w:szCs w:val="28"/>
        </w:rPr>
      </w:pPr>
    </w:p>
    <w:p w:rsidR="00AD777C" w:rsidRPr="003D38B6" w:rsidRDefault="00AD777C" w:rsidP="00AD777C">
      <w:pPr>
        <w:spacing w:line="360" w:lineRule="auto"/>
        <w:ind w:firstLine="708"/>
        <w:jc w:val="both"/>
        <w:rPr>
          <w:rFonts w:ascii="Bookman Old Style" w:hAnsi="Bookman Old Style"/>
          <w:sz w:val="28"/>
          <w:szCs w:val="28"/>
        </w:rPr>
      </w:pPr>
      <w:r w:rsidRPr="003D38B6">
        <w:rPr>
          <w:rFonts w:ascii="Bookman Old Style" w:hAnsi="Bookman Old Style" w:cs="Tahoma"/>
          <w:bCs/>
          <w:color w:val="000000"/>
          <w:sz w:val="28"/>
          <w:szCs w:val="28"/>
        </w:rPr>
        <w:t xml:space="preserve">Con respecto a la sustitución de la pena privativa de </w:t>
      </w:r>
      <w:r>
        <w:rPr>
          <w:rFonts w:ascii="Bookman Old Style" w:hAnsi="Bookman Old Style" w:cs="Tahoma"/>
          <w:bCs/>
          <w:color w:val="000000"/>
          <w:sz w:val="28"/>
          <w:szCs w:val="28"/>
        </w:rPr>
        <w:t>la libertad, por la alternativa se resolvió:</w:t>
      </w:r>
      <w:r w:rsidRPr="003D38B6">
        <w:rPr>
          <w:rFonts w:ascii="Bookman Old Style" w:hAnsi="Bookman Old Style" w:cs="Tahoma"/>
          <w:bCs/>
          <w:color w:val="000000"/>
          <w:sz w:val="28"/>
          <w:szCs w:val="28"/>
        </w:rPr>
        <w:t xml:space="preserve"> </w:t>
      </w:r>
    </w:p>
    <w:p w:rsidR="00AD777C" w:rsidRPr="003D38B6" w:rsidRDefault="00AD777C" w:rsidP="00AD777C">
      <w:pPr>
        <w:spacing w:line="360" w:lineRule="auto"/>
        <w:ind w:right="-57"/>
        <w:jc w:val="both"/>
        <w:rPr>
          <w:rFonts w:ascii="Bookman Old Style" w:hAnsi="Bookman Old Style" w:cs="Tahoma"/>
          <w:bCs/>
          <w:color w:val="000000"/>
          <w:sz w:val="28"/>
          <w:szCs w:val="28"/>
        </w:rPr>
      </w:pPr>
    </w:p>
    <w:p w:rsidR="00AD777C" w:rsidRDefault="00AD777C" w:rsidP="00AD777C">
      <w:pPr>
        <w:spacing w:line="360" w:lineRule="auto"/>
        <w:ind w:right="-57" w:firstLine="708"/>
        <w:jc w:val="both"/>
        <w:rPr>
          <w:rFonts w:ascii="Bookman Old Style" w:hAnsi="Bookman Old Style" w:cs="Tahoma"/>
          <w:bCs/>
          <w:sz w:val="28"/>
          <w:szCs w:val="28"/>
        </w:rPr>
      </w:pP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 xml:space="preserve">rigésimo: </w:t>
      </w:r>
      <w:r w:rsidRPr="00C472E2">
        <w:rPr>
          <w:rFonts w:ascii="Bookman Old Style" w:hAnsi="Bookman Old Style" w:cs="Tahoma"/>
          <w:b/>
          <w:bCs/>
          <w:sz w:val="28"/>
          <w:szCs w:val="28"/>
        </w:rPr>
        <w:t>conceder</w:t>
      </w:r>
      <w:r w:rsidRPr="00C472E2">
        <w:rPr>
          <w:rFonts w:ascii="Bookman Old Style" w:hAnsi="Bookman Old Style" w:cs="Tahoma"/>
          <w:bCs/>
          <w:sz w:val="28"/>
          <w:szCs w:val="28"/>
        </w:rPr>
        <w:t xml:space="preserve"> a los </w:t>
      </w:r>
      <w:r w:rsidRPr="00C472E2">
        <w:rPr>
          <w:rFonts w:ascii="Bookman Old Style" w:hAnsi="Bookman Old Style" w:cs="Tahoma"/>
          <w:sz w:val="28"/>
          <w:szCs w:val="28"/>
        </w:rPr>
        <w:t xml:space="preserve">postulados </w:t>
      </w:r>
      <w:r w:rsidRPr="00C472E2">
        <w:rPr>
          <w:rFonts w:ascii="Bookman Old Style" w:hAnsi="Bookman Old Style" w:cs="Tahoma"/>
          <w:b/>
          <w:bCs/>
          <w:i/>
          <w:sz w:val="28"/>
          <w:szCs w:val="28"/>
        </w:rPr>
        <w:t>el beneficio de pena alternativa</w:t>
      </w:r>
      <w:r w:rsidRPr="00C472E2">
        <w:rPr>
          <w:rFonts w:ascii="Bookman Old Style" w:hAnsi="Bookman Old Style" w:cs="Tahoma"/>
          <w:bCs/>
          <w:sz w:val="28"/>
          <w:szCs w:val="28"/>
        </w:rPr>
        <w:t xml:space="preserve">, </w:t>
      </w:r>
      <w:r w:rsidRPr="00C472E2">
        <w:rPr>
          <w:rFonts w:ascii="Bookman Old Style" w:hAnsi="Bookman Old Style" w:cs="Tahoma"/>
          <w:b/>
          <w:bCs/>
          <w:i/>
          <w:sz w:val="28"/>
          <w:szCs w:val="28"/>
        </w:rPr>
        <w:t>por un período de ocho (8) años</w:t>
      </w:r>
      <w:r w:rsidRPr="00C472E2">
        <w:rPr>
          <w:rFonts w:ascii="Bookman Old Style" w:hAnsi="Bookman Old Style" w:cs="Tahoma"/>
          <w:bCs/>
          <w:sz w:val="28"/>
          <w:szCs w:val="28"/>
        </w:rPr>
        <w:t xml:space="preserve"> de privación de la libertad, bajo las condiciones impuestas en la parte motiva de </w:t>
      </w:r>
      <w:r>
        <w:rPr>
          <w:rFonts w:ascii="Bookman Old Style" w:hAnsi="Bookman Old Style" w:cs="Tahoma"/>
          <w:bCs/>
          <w:sz w:val="28"/>
          <w:szCs w:val="28"/>
        </w:rPr>
        <w:t>la providencia. Consecuencia de tal</w:t>
      </w:r>
      <w:r w:rsidRPr="00C472E2">
        <w:rPr>
          <w:rFonts w:ascii="Bookman Old Style" w:hAnsi="Bookman Old Style" w:cs="Tahoma"/>
          <w:bCs/>
          <w:sz w:val="28"/>
          <w:szCs w:val="28"/>
        </w:rPr>
        <w:t xml:space="preserve"> otorgamiento </w:t>
      </w:r>
      <w:r w:rsidRPr="00C472E2">
        <w:rPr>
          <w:rFonts w:ascii="Bookman Old Style" w:hAnsi="Bookman Old Style" w:cs="Tahoma"/>
          <w:b/>
          <w:bCs/>
          <w:i/>
          <w:sz w:val="28"/>
          <w:szCs w:val="28"/>
        </w:rPr>
        <w:t>se suspende</w:t>
      </w:r>
      <w:r w:rsidRPr="00C472E2">
        <w:rPr>
          <w:rFonts w:ascii="Bookman Old Style" w:hAnsi="Bookman Old Style" w:cs="Tahoma"/>
          <w:bCs/>
          <w:sz w:val="28"/>
          <w:szCs w:val="28"/>
        </w:rPr>
        <w:t xml:space="preserve"> el cumplimiento de la pena </w:t>
      </w:r>
      <w:r>
        <w:rPr>
          <w:rFonts w:ascii="Bookman Old Style" w:hAnsi="Bookman Old Style" w:cs="Tahoma"/>
          <w:bCs/>
          <w:sz w:val="28"/>
          <w:szCs w:val="28"/>
        </w:rPr>
        <w:t>ordinaria dispuesta en la</w:t>
      </w:r>
      <w:r w:rsidRPr="00C472E2">
        <w:rPr>
          <w:rFonts w:ascii="Bookman Old Style" w:hAnsi="Bookman Old Style" w:cs="Tahoma"/>
          <w:bCs/>
          <w:sz w:val="28"/>
          <w:szCs w:val="28"/>
        </w:rPr>
        <w:t xml:space="preserve"> sentencia, en los términos del artículo 8º del Decreto 4760 de</w:t>
      </w:r>
      <w:r>
        <w:rPr>
          <w:rFonts w:ascii="Bookman Old Style" w:hAnsi="Bookman Old Style" w:cs="Tahoma"/>
          <w:bCs/>
          <w:sz w:val="28"/>
          <w:szCs w:val="28"/>
        </w:rPr>
        <w:t xml:space="preserve"> 2005.</w:t>
      </w:r>
      <w:r w:rsidRPr="00C472E2">
        <w:rPr>
          <w:rFonts w:ascii="Bookman Old Style" w:hAnsi="Bookman Old Style" w:cs="Tahoma"/>
          <w:bCs/>
          <w:sz w:val="28"/>
          <w:szCs w:val="28"/>
        </w:rPr>
        <w:t xml:space="preserve"> </w:t>
      </w:r>
    </w:p>
    <w:p w:rsidR="00AD777C" w:rsidRDefault="00AD777C" w:rsidP="00AD777C">
      <w:pPr>
        <w:spacing w:line="360" w:lineRule="auto"/>
        <w:ind w:right="-57" w:firstLine="708"/>
        <w:jc w:val="both"/>
        <w:rPr>
          <w:rFonts w:ascii="Bookman Old Style" w:hAnsi="Bookman Old Style" w:cs="Tahoma"/>
          <w:bCs/>
          <w:sz w:val="28"/>
          <w:szCs w:val="28"/>
        </w:rPr>
      </w:pPr>
    </w:p>
    <w:p w:rsidR="00AD777C" w:rsidRDefault="00AD777C" w:rsidP="00AD777C">
      <w:pPr>
        <w:spacing w:line="360" w:lineRule="auto"/>
        <w:ind w:right="-57" w:firstLine="708"/>
        <w:jc w:val="both"/>
        <w:rPr>
          <w:rFonts w:ascii="Bookman Old Style" w:hAnsi="Bookman Old Style" w:cs="Tahoma"/>
          <w:sz w:val="28"/>
          <w:szCs w:val="28"/>
        </w:rPr>
      </w:pP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 xml:space="preserve">rigésimo primero: </w:t>
      </w:r>
      <w:r>
        <w:rPr>
          <w:rFonts w:ascii="Bookman Old Style" w:hAnsi="Bookman Old Style" w:cs="Tahoma"/>
          <w:bCs/>
          <w:color w:val="000000"/>
          <w:sz w:val="28"/>
          <w:szCs w:val="28"/>
        </w:rPr>
        <w:t>L</w:t>
      </w:r>
      <w:r w:rsidRPr="00C472E2">
        <w:rPr>
          <w:rFonts w:ascii="Bookman Old Style" w:hAnsi="Bookman Old Style" w:cs="Tahoma"/>
          <w:bCs/>
          <w:color w:val="000000"/>
          <w:sz w:val="28"/>
          <w:szCs w:val="28"/>
        </w:rPr>
        <w:t xml:space="preserve">os postulados </w:t>
      </w:r>
      <w:r w:rsidRPr="00C472E2">
        <w:rPr>
          <w:rFonts w:ascii="Bookman Old Style" w:hAnsi="Bookman Old Style" w:cs="Tahoma"/>
          <w:sz w:val="28"/>
          <w:szCs w:val="28"/>
        </w:rPr>
        <w:t>JOSÉ BALDOMERO LINARES MORENO, JOSÉ DELFÍN VILLALOBOS JIMÉNEZ, RAFAEL SALGADO MERCHÁN y MIGUEL ÁNGEL ACHURY</w:t>
      </w:r>
      <w:r w:rsidRPr="00C472E2">
        <w:rPr>
          <w:rFonts w:ascii="Bookman Old Style" w:hAnsi="Bookman Old Style" w:cs="Tahoma"/>
          <w:bCs/>
          <w:sz w:val="28"/>
          <w:szCs w:val="28"/>
        </w:rPr>
        <w:t xml:space="preserve">, suscribirán un acta </w:t>
      </w:r>
      <w:r w:rsidRPr="00C472E2">
        <w:rPr>
          <w:rFonts w:ascii="Bookman Old Style" w:hAnsi="Bookman Old Style" w:cs="Tahoma"/>
          <w:sz w:val="28"/>
          <w:szCs w:val="28"/>
        </w:rPr>
        <w:t>en la que se comprometen a contribuir con su resocialización a través del trabajo, estudio o enseñanza durante el tiempo que permanezcan privados de la libertad y a promover la desmovilización de los grupos armados al margen de la ley</w:t>
      </w:r>
      <w:r>
        <w:rPr>
          <w:rFonts w:ascii="Bookman Old Style" w:hAnsi="Bookman Old Style" w:cs="Tahoma"/>
          <w:sz w:val="28"/>
          <w:szCs w:val="28"/>
        </w:rPr>
        <w:t>-</w:t>
      </w:r>
    </w:p>
    <w:p w:rsidR="00AD777C" w:rsidRDefault="00AD777C" w:rsidP="00AD777C">
      <w:pPr>
        <w:spacing w:line="360" w:lineRule="auto"/>
        <w:ind w:right="-57" w:firstLine="708"/>
        <w:jc w:val="both"/>
        <w:rPr>
          <w:rFonts w:ascii="Bookman Old Style" w:hAnsi="Bookman Old Style" w:cs="Tahoma"/>
          <w:sz w:val="28"/>
          <w:szCs w:val="28"/>
        </w:rPr>
      </w:pPr>
    </w:p>
    <w:p w:rsidR="00AD777C" w:rsidRDefault="00AD777C" w:rsidP="00AD777C">
      <w:pPr>
        <w:spacing w:line="360" w:lineRule="auto"/>
        <w:ind w:right="-57" w:firstLine="708"/>
        <w:jc w:val="both"/>
        <w:rPr>
          <w:rFonts w:ascii="Bookman Old Style" w:hAnsi="Bookman Old Style" w:cs="Tahoma"/>
          <w:bCs/>
          <w:color w:val="000000"/>
          <w:sz w:val="28"/>
          <w:szCs w:val="28"/>
        </w:rPr>
      </w:pPr>
      <w:r w:rsidRPr="00C472E2">
        <w:rPr>
          <w:rFonts w:ascii="Bookman Old Style" w:hAnsi="Bookman Old Style" w:cs="Tahoma"/>
          <w:sz w:val="28"/>
          <w:szCs w:val="28"/>
        </w:rPr>
        <w:t xml:space="preserve"> </w:t>
      </w: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rigésimo segundo:</w:t>
      </w:r>
      <w:r w:rsidRPr="00FE788A">
        <w:rPr>
          <w:rFonts w:ascii="Bookman Old Style" w:hAnsi="Bookman Old Style" w:cs="Tahoma"/>
          <w:b/>
          <w:bCs/>
          <w:color w:val="000000"/>
          <w:sz w:val="28"/>
          <w:szCs w:val="28"/>
        </w:rPr>
        <w:t xml:space="preserve"> </w:t>
      </w:r>
      <w:r w:rsidRPr="00FE788A">
        <w:rPr>
          <w:rFonts w:ascii="Bookman Old Style" w:hAnsi="Bookman Old Style" w:cs="Tahoma"/>
          <w:bCs/>
          <w:color w:val="000000"/>
          <w:sz w:val="28"/>
          <w:szCs w:val="28"/>
        </w:rPr>
        <w:t>S</w:t>
      </w:r>
      <w:r w:rsidRPr="00C472E2">
        <w:rPr>
          <w:rFonts w:ascii="Bookman Old Style" w:hAnsi="Bookman Old Style" w:cs="Tahoma"/>
          <w:bCs/>
          <w:color w:val="000000"/>
          <w:sz w:val="28"/>
          <w:szCs w:val="28"/>
        </w:rPr>
        <w:t>i</w:t>
      </w:r>
      <w:r>
        <w:rPr>
          <w:rFonts w:ascii="Bookman Old Style" w:hAnsi="Bookman Old Style" w:cs="Tahoma"/>
          <w:bCs/>
          <w:color w:val="000000"/>
          <w:sz w:val="28"/>
          <w:szCs w:val="28"/>
        </w:rPr>
        <w:t xml:space="preserve"> con posterioridad a la</w:t>
      </w:r>
      <w:r w:rsidRPr="00C472E2">
        <w:rPr>
          <w:rFonts w:ascii="Bookman Old Style" w:hAnsi="Bookman Old Style" w:cs="Tahoma"/>
          <w:bCs/>
          <w:color w:val="000000"/>
          <w:sz w:val="28"/>
          <w:szCs w:val="28"/>
        </w:rPr>
        <w:t xml:space="preserve"> sentencia y hasta el térm</w:t>
      </w:r>
      <w:r>
        <w:rPr>
          <w:rFonts w:ascii="Bookman Old Style" w:hAnsi="Bookman Old Style" w:cs="Tahoma"/>
          <w:bCs/>
          <w:color w:val="000000"/>
          <w:sz w:val="28"/>
          <w:szCs w:val="28"/>
        </w:rPr>
        <w:t>ino de la condena ordinaria</w:t>
      </w:r>
      <w:r w:rsidRPr="00C472E2">
        <w:rPr>
          <w:rFonts w:ascii="Bookman Old Style" w:hAnsi="Bookman Old Style" w:cs="Tahoma"/>
          <w:bCs/>
          <w:color w:val="000000"/>
          <w:sz w:val="28"/>
          <w:szCs w:val="28"/>
        </w:rPr>
        <w:t xml:space="preserve"> señalada, la autoridad judicial competente determina que</w:t>
      </w:r>
      <w:r>
        <w:rPr>
          <w:rFonts w:ascii="Bookman Old Style" w:hAnsi="Bookman Old Style" w:cs="Tahoma"/>
          <w:bCs/>
          <w:color w:val="000000"/>
          <w:sz w:val="28"/>
          <w:szCs w:val="28"/>
        </w:rPr>
        <w:t xml:space="preserve"> los postulados</w:t>
      </w:r>
      <w:r>
        <w:rPr>
          <w:rFonts w:ascii="Bookman Old Style" w:hAnsi="Bookman Old Style" w:cs="Tahoma"/>
          <w:sz w:val="28"/>
          <w:szCs w:val="28"/>
        </w:rPr>
        <w:t xml:space="preserve"> </w:t>
      </w:r>
      <w:r w:rsidRPr="00C472E2">
        <w:rPr>
          <w:rFonts w:ascii="Bookman Old Style" w:hAnsi="Bookman Old Style" w:cs="Tahoma"/>
          <w:bCs/>
          <w:color w:val="000000"/>
          <w:sz w:val="28"/>
          <w:szCs w:val="28"/>
        </w:rPr>
        <w:t>no entregaron, no ofrecieron o no denunciaron todos los bienes adquiridos por ellos o por el grupo armado organizado al margen de la ley, durante y con ocasión de su pertenencia al mismo, de forma directa o por interpuesta persona, perderán el beneficio de la pena alternativa</w:t>
      </w:r>
      <w:r>
        <w:rPr>
          <w:rFonts w:ascii="Bookman Old Style" w:hAnsi="Bookman Old Style" w:cs="Tahoma"/>
          <w:bCs/>
          <w:color w:val="000000"/>
          <w:sz w:val="28"/>
          <w:szCs w:val="28"/>
        </w:rPr>
        <w:t>.</w:t>
      </w:r>
      <w:r w:rsidRPr="00C472E2">
        <w:rPr>
          <w:rFonts w:ascii="Bookman Old Style" w:hAnsi="Bookman Old Style" w:cs="Tahoma"/>
          <w:bCs/>
          <w:color w:val="000000"/>
          <w:sz w:val="28"/>
          <w:szCs w:val="28"/>
        </w:rPr>
        <w:t xml:space="preserve"> </w:t>
      </w:r>
    </w:p>
    <w:p w:rsidR="00AD777C" w:rsidRDefault="00AD777C" w:rsidP="00AD777C">
      <w:pPr>
        <w:spacing w:line="360" w:lineRule="auto"/>
        <w:ind w:right="-57" w:firstLine="708"/>
        <w:jc w:val="both"/>
        <w:rPr>
          <w:rFonts w:ascii="Bookman Old Style" w:hAnsi="Bookman Old Style" w:cs="Tahoma"/>
          <w:bCs/>
          <w:color w:val="000000"/>
          <w:sz w:val="28"/>
          <w:szCs w:val="28"/>
        </w:rPr>
      </w:pPr>
    </w:p>
    <w:p w:rsidR="00AD777C" w:rsidRDefault="00AD777C" w:rsidP="00AD777C">
      <w:pPr>
        <w:spacing w:line="360" w:lineRule="auto"/>
        <w:ind w:right="-57" w:firstLine="708"/>
        <w:jc w:val="both"/>
        <w:rPr>
          <w:rFonts w:ascii="Bookman Old Style" w:hAnsi="Bookman Old Style" w:cs="Tahoma"/>
          <w:sz w:val="28"/>
          <w:szCs w:val="28"/>
        </w:rPr>
      </w:pP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rigésimo tercero:</w:t>
      </w:r>
      <w:r w:rsidRPr="005524CC">
        <w:rPr>
          <w:rFonts w:ascii="Bookman Old Style" w:hAnsi="Bookman Old Style" w:cs="Tahoma"/>
          <w:bCs/>
          <w:color w:val="000000"/>
          <w:sz w:val="28"/>
          <w:szCs w:val="28"/>
        </w:rPr>
        <w:t xml:space="preserve"> </w:t>
      </w:r>
      <w:r w:rsidRPr="005524CC">
        <w:rPr>
          <w:rFonts w:ascii="Bookman Old Style" w:hAnsi="Bookman Old Style" w:cs="Tahoma"/>
          <w:bCs/>
          <w:sz w:val="28"/>
          <w:szCs w:val="28"/>
        </w:rPr>
        <w:t>imponer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a</w:t>
      </w:r>
      <w:r w:rsidRPr="00C472E2">
        <w:rPr>
          <w:rFonts w:ascii="Bookman Old Style" w:hAnsi="Bookman Old Style" w:cs="Tahoma"/>
          <w:sz w:val="28"/>
          <w:szCs w:val="28"/>
        </w:rPr>
        <w:t xml:space="preserve"> </w:t>
      </w:r>
      <w:r>
        <w:rPr>
          <w:rFonts w:ascii="Bookman Old Style" w:hAnsi="Bookman Old Style" w:cs="Tahoma"/>
          <w:sz w:val="28"/>
          <w:szCs w:val="28"/>
        </w:rPr>
        <w:t xml:space="preserve">los postulados </w:t>
      </w:r>
      <w:r w:rsidRPr="00C472E2">
        <w:rPr>
          <w:rFonts w:ascii="Bookman Old Style" w:hAnsi="Bookman Old Style" w:cs="Tahoma"/>
          <w:sz w:val="28"/>
          <w:szCs w:val="28"/>
        </w:rPr>
        <w:t>la obligación de tomar no menos de 500 horas de estudio y formación en derechos humanos, para lo cual el INPEC y la Defensoría del Pueblo dispondrán lo pertinente. Los condenados deberán someterse a valoración y tratamiento psicológico que conduzca a su plena readaptación y resocialización, tal como se i</w:t>
      </w:r>
      <w:r>
        <w:rPr>
          <w:rFonts w:ascii="Bookman Old Style" w:hAnsi="Bookman Old Style" w:cs="Tahoma"/>
          <w:sz w:val="28"/>
          <w:szCs w:val="28"/>
        </w:rPr>
        <w:t>ndicó en la parte motiva de la</w:t>
      </w:r>
      <w:r w:rsidRPr="00C472E2">
        <w:rPr>
          <w:rFonts w:ascii="Bookman Old Style" w:hAnsi="Bookman Old Style" w:cs="Tahoma"/>
          <w:sz w:val="28"/>
          <w:szCs w:val="28"/>
        </w:rPr>
        <w:t xml:space="preserve"> decisión. Adicionalmente se oficiará al INPEC, para que envíe con destino a la Sala, un informe sobre las políticas de resocialización y rehabilitación que se han adelantado para la rehabilitación y reintegración a la vida civil de los postulados al proceso de Justicia y Pa</w:t>
      </w:r>
      <w:r>
        <w:rPr>
          <w:rFonts w:ascii="Bookman Old Style" w:hAnsi="Bookman Old Style" w:cs="Tahoma"/>
          <w:sz w:val="28"/>
          <w:szCs w:val="28"/>
        </w:rPr>
        <w:t>z, en especial de</w:t>
      </w:r>
      <w:r w:rsidRPr="00C472E2">
        <w:rPr>
          <w:rFonts w:ascii="Bookman Old Style" w:hAnsi="Bookman Old Style" w:cs="Tahoma"/>
          <w:sz w:val="28"/>
          <w:szCs w:val="28"/>
        </w:rPr>
        <w:t xml:space="preserve"> JOSÉ BALDOMERO LINARES MORENO, JOSÉ DELFÍN VILLALOBOS JIMÉNEZ, RAFAEL SALGADO MERCHÁN y MIGUEL ÁNGEL ACHURY, así mismo, deberá informar sobre cuál ha sido el programa y tratamiento psicológico que se ha implementado pa</w:t>
      </w:r>
      <w:r>
        <w:rPr>
          <w:rFonts w:ascii="Bookman Old Style" w:hAnsi="Bookman Old Style" w:cs="Tahoma"/>
          <w:sz w:val="28"/>
          <w:szCs w:val="28"/>
        </w:rPr>
        <w:t>ra los ex militantes de las AUC-</w:t>
      </w:r>
    </w:p>
    <w:p w:rsidR="00AD777C" w:rsidRDefault="00AD777C" w:rsidP="00AD777C">
      <w:pPr>
        <w:spacing w:line="360" w:lineRule="auto"/>
        <w:ind w:right="-57" w:firstLine="708"/>
        <w:jc w:val="both"/>
        <w:rPr>
          <w:rFonts w:ascii="Bookman Old Style" w:hAnsi="Bookman Old Style" w:cs="Tahoma"/>
          <w:sz w:val="28"/>
          <w:szCs w:val="28"/>
        </w:rPr>
      </w:pPr>
    </w:p>
    <w:p w:rsidR="00AD777C" w:rsidRDefault="00AD777C" w:rsidP="00AD777C">
      <w:pPr>
        <w:spacing w:line="360" w:lineRule="auto"/>
        <w:ind w:right="-57" w:firstLine="708"/>
        <w:jc w:val="both"/>
        <w:rPr>
          <w:rFonts w:ascii="Bookman Old Style" w:hAnsi="Bookman Old Style" w:cs="Tahoma"/>
          <w:bCs/>
          <w:sz w:val="28"/>
          <w:szCs w:val="28"/>
        </w:rPr>
      </w:pPr>
      <w:r>
        <w:rPr>
          <w:rFonts w:ascii="Bookman Old Style" w:hAnsi="Bookman Old Style" w:cs="Tahoma"/>
          <w:sz w:val="28"/>
          <w:szCs w:val="28"/>
        </w:rPr>
        <w:t xml:space="preserve"> </w:t>
      </w: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rigésimo cuarto</w:t>
      </w:r>
      <w:r w:rsidRPr="00C472E2">
        <w:rPr>
          <w:rFonts w:ascii="Bookman Old Style" w:hAnsi="Bookman Old Style" w:cs="Tahoma"/>
          <w:b/>
          <w:bCs/>
          <w:sz w:val="28"/>
          <w:szCs w:val="28"/>
        </w:rPr>
        <w:t xml:space="preserve">: </w:t>
      </w:r>
      <w:r w:rsidRPr="005524CC">
        <w:rPr>
          <w:rFonts w:ascii="Bookman Old Style" w:hAnsi="Bookman Old Style" w:cs="Tahoma"/>
          <w:bCs/>
          <w:sz w:val="28"/>
          <w:szCs w:val="28"/>
        </w:rPr>
        <w:t>ordenar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l</w:t>
      </w:r>
      <w:r>
        <w:rPr>
          <w:rFonts w:ascii="Bookman Old Style" w:hAnsi="Bookman Old Style" w:cs="Tahoma"/>
          <w:bCs/>
          <w:sz w:val="28"/>
          <w:szCs w:val="28"/>
        </w:rPr>
        <w:t>a acumulación jurídica de penas.</w:t>
      </w:r>
    </w:p>
    <w:p w:rsidR="00AD777C" w:rsidRDefault="00AD777C" w:rsidP="00AD777C">
      <w:pPr>
        <w:spacing w:line="360" w:lineRule="auto"/>
        <w:ind w:right="-57" w:firstLine="708"/>
        <w:jc w:val="both"/>
        <w:rPr>
          <w:rFonts w:ascii="Bookman Old Style" w:hAnsi="Bookman Old Style" w:cs="Tahoma"/>
          <w:bCs/>
          <w:sz w:val="28"/>
          <w:szCs w:val="28"/>
        </w:rPr>
      </w:pPr>
    </w:p>
    <w:p w:rsidR="00AD777C" w:rsidRDefault="00AD777C" w:rsidP="00AD777C">
      <w:pPr>
        <w:spacing w:line="360" w:lineRule="auto"/>
        <w:ind w:right="-57" w:firstLine="708"/>
        <w:jc w:val="both"/>
        <w:rPr>
          <w:rFonts w:ascii="Bookman Old Style" w:hAnsi="Bookman Old Style" w:cs="Tahoma"/>
          <w:bCs/>
          <w:sz w:val="28"/>
          <w:szCs w:val="28"/>
        </w:rPr>
      </w:pPr>
      <w:r>
        <w:rPr>
          <w:rFonts w:ascii="Bookman Old Style" w:hAnsi="Bookman Old Style" w:cs="Tahoma"/>
          <w:bCs/>
          <w:sz w:val="28"/>
          <w:szCs w:val="28"/>
        </w:rPr>
        <w:t xml:space="preserve">De cara a la pérdida del derecho de dominio sobre los bienes entregados, dispuso extinguirlo </w:t>
      </w:r>
      <w:r w:rsidRPr="005524CC">
        <w:rPr>
          <w:rFonts w:ascii="Bookman Old Style" w:hAnsi="Bookman Old Style" w:cs="Tahoma"/>
          <w:bCs/>
          <w:color w:val="000000"/>
          <w:sz w:val="28"/>
          <w:szCs w:val="28"/>
        </w:rPr>
        <w:t>y en firme la sentencia</w:t>
      </w:r>
      <w:r>
        <w:rPr>
          <w:rFonts w:ascii="Bookman Old Style" w:hAnsi="Bookman Old Style" w:cs="Tahoma"/>
          <w:bCs/>
          <w:color w:val="000000"/>
          <w:sz w:val="28"/>
          <w:szCs w:val="28"/>
        </w:rPr>
        <w:t xml:space="preserve"> oficiar</w:t>
      </w:r>
      <w:r w:rsidRPr="00C472E2">
        <w:rPr>
          <w:rFonts w:ascii="Bookman Old Style" w:hAnsi="Bookman Old Style" w:cs="Tahoma"/>
          <w:bCs/>
          <w:color w:val="000000"/>
          <w:sz w:val="28"/>
          <w:szCs w:val="28"/>
        </w:rPr>
        <w:t xml:space="preserve"> a la Oficina de Instrumentos Públicos de l</w:t>
      </w:r>
      <w:r>
        <w:rPr>
          <w:rFonts w:ascii="Bookman Old Style" w:hAnsi="Bookman Old Style" w:cs="Tahoma"/>
          <w:bCs/>
          <w:color w:val="000000"/>
          <w:sz w:val="28"/>
          <w:szCs w:val="28"/>
        </w:rPr>
        <w:t>a localidad correspondiente y</w:t>
      </w:r>
      <w:r w:rsidRPr="00C472E2">
        <w:rPr>
          <w:rFonts w:ascii="Bookman Old Style" w:hAnsi="Bookman Old Style" w:cs="Tahoma"/>
          <w:bCs/>
          <w:color w:val="000000"/>
          <w:sz w:val="28"/>
          <w:szCs w:val="28"/>
        </w:rPr>
        <w:t xml:space="preserve"> comunicar</w:t>
      </w:r>
      <w:r>
        <w:rPr>
          <w:rFonts w:ascii="Bookman Old Style" w:hAnsi="Bookman Old Style" w:cs="Tahoma"/>
          <w:bCs/>
          <w:color w:val="000000"/>
          <w:sz w:val="28"/>
          <w:szCs w:val="28"/>
        </w:rPr>
        <w:t xml:space="preserve"> la decisión</w:t>
      </w:r>
      <w:r w:rsidRPr="00C472E2">
        <w:rPr>
          <w:rFonts w:ascii="Bookman Old Style" w:hAnsi="Bookman Old Style" w:cs="Tahoma"/>
          <w:bCs/>
          <w:color w:val="000000"/>
          <w:sz w:val="28"/>
          <w:szCs w:val="28"/>
        </w:rPr>
        <w:t xml:space="preserve"> al </w:t>
      </w:r>
      <w:r w:rsidRPr="00C472E2">
        <w:rPr>
          <w:rFonts w:ascii="Bookman Old Style" w:hAnsi="Bookman Old Style" w:cs="Tahoma"/>
          <w:bCs/>
          <w:sz w:val="28"/>
          <w:szCs w:val="28"/>
        </w:rPr>
        <w:t xml:space="preserve">Fondo para la Reparación de las Víctimas, adscrito a la </w:t>
      </w:r>
      <w:r>
        <w:rPr>
          <w:rFonts w:ascii="Bookman Old Style" w:hAnsi="Bookman Old Style" w:cs="Tahoma"/>
          <w:bCs/>
          <w:sz w:val="28"/>
          <w:szCs w:val="28"/>
        </w:rPr>
        <w:t>UARIV</w:t>
      </w:r>
      <w:r w:rsidRPr="00C472E2">
        <w:rPr>
          <w:rFonts w:ascii="Bookman Old Style" w:hAnsi="Bookman Old Style" w:cs="Tahoma"/>
          <w:bCs/>
          <w:sz w:val="28"/>
          <w:szCs w:val="28"/>
        </w:rPr>
        <w:t>.</w:t>
      </w:r>
    </w:p>
    <w:p w:rsidR="00AD777C" w:rsidRDefault="00AD777C" w:rsidP="00AD777C">
      <w:pPr>
        <w:spacing w:line="360" w:lineRule="auto"/>
        <w:ind w:right="-57" w:firstLine="708"/>
        <w:jc w:val="both"/>
        <w:rPr>
          <w:rFonts w:ascii="Bookman Old Style" w:hAnsi="Bookman Old Style" w:cs="Tahoma"/>
          <w:bCs/>
          <w:sz w:val="28"/>
          <w:szCs w:val="28"/>
        </w:rPr>
      </w:pPr>
    </w:p>
    <w:p w:rsidR="00AD777C" w:rsidRDefault="00AD777C" w:rsidP="00AD777C">
      <w:pPr>
        <w:spacing w:line="360" w:lineRule="auto"/>
        <w:ind w:right="-57" w:firstLine="708"/>
        <w:jc w:val="both"/>
        <w:rPr>
          <w:rFonts w:ascii="Bookman Old Style" w:hAnsi="Bookman Old Style" w:cs="Tahoma"/>
          <w:bCs/>
          <w:sz w:val="28"/>
          <w:szCs w:val="28"/>
        </w:rPr>
      </w:pPr>
      <w:r>
        <w:rPr>
          <w:rFonts w:ascii="Bookman Old Style" w:hAnsi="Bookman Old Style" w:cs="Tahoma"/>
          <w:bCs/>
          <w:sz w:val="28"/>
          <w:szCs w:val="28"/>
        </w:rPr>
        <w:t>Negó la extinción del dominio de los siguientes bienes:</w:t>
      </w:r>
    </w:p>
    <w:p w:rsidR="00AD777C" w:rsidRDefault="00AD777C" w:rsidP="00AD777C">
      <w:pPr>
        <w:spacing w:line="360" w:lineRule="auto"/>
        <w:ind w:right="-57"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 xml:space="preserve">rigésimo sexto: </w:t>
      </w:r>
      <w:r>
        <w:rPr>
          <w:rFonts w:ascii="Bookman Old Style" w:hAnsi="Bookman Old Style" w:cs="Tahoma"/>
          <w:sz w:val="28"/>
          <w:szCs w:val="28"/>
        </w:rPr>
        <w:t>P</w:t>
      </w:r>
      <w:r w:rsidRPr="00C472E2">
        <w:rPr>
          <w:rFonts w:ascii="Bookman Old Style" w:hAnsi="Bookman Old Style" w:cs="Tahoma"/>
          <w:sz w:val="28"/>
          <w:szCs w:val="28"/>
        </w:rPr>
        <w:t>redio denominado finca “La Porfía”, ubicada en la</w:t>
      </w:r>
      <w:r w:rsidRPr="00C472E2">
        <w:rPr>
          <w:rFonts w:ascii="Bookman Old Style" w:hAnsi="Bookman Old Style" w:cs="Tahoma"/>
          <w:sz w:val="28"/>
          <w:szCs w:val="28"/>
          <w:lang w:val="es-MX"/>
        </w:rPr>
        <w:t xml:space="preserve"> vereda Caño Negro del municipio de Santa Rosalía (Vichada), </w:t>
      </w:r>
      <w:r w:rsidRPr="00C472E2">
        <w:rPr>
          <w:rFonts w:ascii="Bookman Old Style" w:hAnsi="Bookman Old Style" w:cs="Tahoma"/>
          <w:sz w:val="28"/>
          <w:szCs w:val="28"/>
        </w:rPr>
        <w:t>hasta tanto se defina su situación jurídica en torno a la posible restitución solicitada por</w:t>
      </w:r>
      <w:r>
        <w:rPr>
          <w:rFonts w:ascii="Bookman Old Style" w:hAnsi="Bookman Old Style" w:cs="Tahoma"/>
          <w:sz w:val="28"/>
          <w:szCs w:val="28"/>
        </w:rPr>
        <w:t xml:space="preserve"> el señor Waldo Domínguez Gómez. </w:t>
      </w:r>
    </w:p>
    <w:p w:rsidR="00AD777C" w:rsidRDefault="00AD777C" w:rsidP="00AD777C">
      <w:pPr>
        <w:spacing w:line="360" w:lineRule="auto"/>
        <w:ind w:firstLine="708"/>
        <w:jc w:val="both"/>
        <w:rPr>
          <w:rFonts w:ascii="Bookman Old Style" w:hAnsi="Bookman Old Style" w:cs="Tahoma"/>
          <w:sz w:val="28"/>
          <w:szCs w:val="28"/>
        </w:rPr>
      </w:pPr>
    </w:p>
    <w:p w:rsidR="00AD777C" w:rsidRPr="00C472E2"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 xml:space="preserve">rigésimo séptimo: </w:t>
      </w:r>
      <w:r>
        <w:rPr>
          <w:rFonts w:ascii="Bookman Old Style" w:hAnsi="Bookman Old Style" w:cs="Tahoma"/>
          <w:bCs/>
          <w:color w:val="000000"/>
          <w:sz w:val="28"/>
          <w:szCs w:val="28"/>
        </w:rPr>
        <w:t>A</w:t>
      </w:r>
      <w:r w:rsidRPr="00281383">
        <w:rPr>
          <w:rFonts w:ascii="Bookman Old Style" w:hAnsi="Bookman Old Style" w:cs="Tahoma"/>
          <w:bCs/>
          <w:color w:val="000000"/>
          <w:sz w:val="28"/>
          <w:szCs w:val="28"/>
        </w:rPr>
        <w:t>bstenerse de decretar</w:t>
      </w:r>
      <w:r w:rsidRPr="00C472E2">
        <w:rPr>
          <w:rFonts w:ascii="Bookman Old Style" w:hAnsi="Bookman Old Style" w:cs="Tahoma"/>
          <w:b/>
          <w:bCs/>
          <w:color w:val="000000"/>
          <w:sz w:val="28"/>
          <w:szCs w:val="28"/>
        </w:rPr>
        <w:t xml:space="preserve"> </w:t>
      </w:r>
      <w:r w:rsidRPr="00C472E2">
        <w:rPr>
          <w:rFonts w:ascii="Bookman Old Style" w:hAnsi="Bookman Old Style" w:cs="Tahoma"/>
          <w:sz w:val="28"/>
          <w:szCs w:val="28"/>
        </w:rPr>
        <w:t xml:space="preserve">la medida de extinción de dominio sobre </w:t>
      </w:r>
      <w:r w:rsidRPr="00C472E2">
        <w:rPr>
          <w:rFonts w:ascii="Bookman Old Style" w:hAnsi="Bookman Old Style" w:cs="Tahoma"/>
          <w:sz w:val="28"/>
          <w:szCs w:val="28"/>
          <w:lang w:val="es-MX"/>
        </w:rPr>
        <w:t>el dinero ofrecido por el postulado Ramiro Rivera Loaiza</w:t>
      </w:r>
      <w:r>
        <w:rPr>
          <w:rFonts w:ascii="Bookman Old Style" w:hAnsi="Bookman Old Style" w:cs="Tahoma"/>
          <w:sz w:val="28"/>
          <w:szCs w:val="28"/>
          <w:lang w:val="es-MX"/>
        </w:rPr>
        <w:t>.</w:t>
      </w:r>
      <w:r w:rsidRPr="00C472E2">
        <w:rPr>
          <w:rFonts w:ascii="Bookman Old Style" w:hAnsi="Bookman Old Style" w:cs="Tahoma"/>
          <w:sz w:val="28"/>
          <w:szCs w:val="28"/>
          <w:lang w:val="es-MX"/>
        </w:rPr>
        <w:t xml:space="preserve"> </w:t>
      </w:r>
    </w:p>
    <w:p w:rsidR="00AD777C" w:rsidRPr="00281383" w:rsidRDefault="00AD777C" w:rsidP="00AD777C">
      <w:pPr>
        <w:spacing w:line="360" w:lineRule="auto"/>
        <w:jc w:val="both"/>
        <w:rPr>
          <w:rFonts w:ascii="Bookman Old Style" w:hAnsi="Bookman Old Style" w:cs="Tahoma"/>
          <w:bCs/>
          <w:color w:val="000000"/>
          <w:sz w:val="28"/>
          <w:szCs w:val="28"/>
        </w:rPr>
      </w:pPr>
    </w:p>
    <w:p w:rsidR="00AD777C" w:rsidRPr="00281383" w:rsidRDefault="00AD777C" w:rsidP="00AD777C">
      <w:pPr>
        <w:spacing w:line="360" w:lineRule="auto"/>
        <w:jc w:val="both"/>
        <w:rPr>
          <w:rFonts w:ascii="Bookman Old Style" w:hAnsi="Bookman Old Style" w:cs="Tahoma"/>
          <w:bCs/>
          <w:color w:val="000000"/>
          <w:sz w:val="28"/>
          <w:szCs w:val="28"/>
        </w:rPr>
      </w:pPr>
      <w:r w:rsidRPr="00281383">
        <w:rPr>
          <w:rFonts w:ascii="Bookman Old Style" w:hAnsi="Bookman Old Style" w:cs="Tahoma"/>
          <w:bCs/>
          <w:color w:val="000000"/>
          <w:sz w:val="28"/>
          <w:szCs w:val="28"/>
        </w:rPr>
        <w:tab/>
      </w:r>
      <w:r>
        <w:rPr>
          <w:rFonts w:ascii="Bookman Old Style" w:hAnsi="Bookman Old Style" w:cs="Tahoma"/>
          <w:bCs/>
          <w:color w:val="000000"/>
          <w:sz w:val="28"/>
          <w:szCs w:val="28"/>
        </w:rPr>
        <w:t>Sobre el</w:t>
      </w:r>
      <w:r w:rsidRPr="00281383">
        <w:rPr>
          <w:rFonts w:ascii="Bookman Old Style" w:hAnsi="Bookman Old Style" w:cs="Tahoma"/>
          <w:bCs/>
          <w:color w:val="000000"/>
          <w:sz w:val="28"/>
          <w:szCs w:val="28"/>
        </w:rPr>
        <w:t xml:space="preserve"> incidente de identificación de afectaciones, vigente para el momento del proferimiento de la sentencia</w:t>
      </w:r>
      <w:r>
        <w:rPr>
          <w:rFonts w:ascii="Bookman Old Style" w:hAnsi="Bookman Old Style" w:cs="Tahoma"/>
          <w:bCs/>
          <w:color w:val="000000"/>
          <w:sz w:val="28"/>
          <w:szCs w:val="28"/>
        </w:rPr>
        <w:t>, las víctimas y las medidas adoptadas para el resarcimiento de sus derechos, se dispuso:</w:t>
      </w:r>
    </w:p>
    <w:p w:rsidR="00AD777C" w:rsidRDefault="00AD777C" w:rsidP="00AD777C">
      <w:pPr>
        <w:spacing w:line="360" w:lineRule="auto"/>
        <w:jc w:val="both"/>
        <w:rPr>
          <w:rFonts w:ascii="Bookman Old Style" w:hAnsi="Bookman Old Style" w:cs="Tahoma"/>
          <w:b/>
          <w:bCs/>
          <w:color w:val="000000"/>
          <w:sz w:val="28"/>
          <w:szCs w:val="28"/>
        </w:rPr>
      </w:pPr>
    </w:p>
    <w:p w:rsidR="00AD777C" w:rsidRDefault="00AD777C" w:rsidP="00AD777C">
      <w:pPr>
        <w:spacing w:line="360" w:lineRule="auto"/>
        <w:ind w:firstLine="708"/>
        <w:jc w:val="both"/>
        <w:rPr>
          <w:rFonts w:ascii="Bookman Old Style" w:hAnsi="Bookman Old Style" w:cs="Tahoma"/>
          <w:bCs/>
          <w:sz w:val="28"/>
          <w:szCs w:val="28"/>
        </w:rPr>
      </w:pPr>
      <w:r w:rsidRPr="00C472E2">
        <w:rPr>
          <w:rFonts w:ascii="Bookman Old Style" w:hAnsi="Bookman Old Style" w:cs="Tahoma"/>
          <w:b/>
          <w:bCs/>
          <w:color w:val="000000"/>
          <w:sz w:val="28"/>
          <w:szCs w:val="28"/>
        </w:rPr>
        <w:t>Trigésimo octavo</w:t>
      </w:r>
      <w:r w:rsidRPr="00C472E2">
        <w:rPr>
          <w:rFonts w:ascii="Bookman Old Style" w:hAnsi="Bookman Old Style" w:cs="Tahoma"/>
          <w:b/>
          <w:bCs/>
          <w:sz w:val="28"/>
          <w:szCs w:val="28"/>
        </w:rPr>
        <w:t>:</w:t>
      </w:r>
      <w:r w:rsidRPr="00C472E2">
        <w:rPr>
          <w:rFonts w:ascii="Bookman Old Style" w:hAnsi="Bookman Old Style" w:cs="Tahoma"/>
          <w:b/>
          <w:bCs/>
          <w:color w:val="000000"/>
          <w:sz w:val="28"/>
          <w:szCs w:val="28"/>
        </w:rPr>
        <w:t xml:space="preserve"> </w:t>
      </w:r>
      <w:r>
        <w:rPr>
          <w:rFonts w:ascii="Bookman Old Style" w:hAnsi="Bookman Old Style" w:cs="Tahoma"/>
          <w:bCs/>
          <w:sz w:val="28"/>
          <w:szCs w:val="28"/>
        </w:rPr>
        <w:t>R</w:t>
      </w:r>
      <w:r w:rsidRPr="00C472E2">
        <w:rPr>
          <w:rFonts w:ascii="Bookman Old Style" w:hAnsi="Bookman Old Style" w:cs="Tahoma"/>
          <w:bCs/>
          <w:sz w:val="28"/>
          <w:szCs w:val="28"/>
        </w:rPr>
        <w:t>ealizado el control constitucional por vía de excepción, se dispone la aplicación de los artículos 23 y 25 de la Le</w:t>
      </w:r>
      <w:r>
        <w:rPr>
          <w:rFonts w:ascii="Bookman Old Style" w:hAnsi="Bookman Old Style" w:cs="Tahoma"/>
          <w:bCs/>
          <w:sz w:val="28"/>
          <w:szCs w:val="28"/>
        </w:rPr>
        <w:t>y 1592 de 2012, puesto que no</w:t>
      </w:r>
      <w:r w:rsidRPr="00C472E2">
        <w:rPr>
          <w:rFonts w:ascii="Bookman Old Style" w:hAnsi="Bookman Old Style" w:cs="Tahoma"/>
          <w:bCs/>
          <w:sz w:val="28"/>
          <w:szCs w:val="28"/>
        </w:rPr>
        <w:t xml:space="preserve"> vulneran los derechos fundamentales de las víctimas ni la Constitución Nacional</w:t>
      </w:r>
      <w:r>
        <w:rPr>
          <w:rFonts w:ascii="Bookman Old Style" w:hAnsi="Bookman Old Style" w:cs="Tahoma"/>
          <w:bCs/>
          <w:sz w:val="28"/>
          <w:szCs w:val="28"/>
        </w:rPr>
        <w:t>.</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bCs/>
          <w:sz w:val="28"/>
          <w:szCs w:val="28"/>
        </w:rPr>
      </w:pPr>
      <w:r>
        <w:rPr>
          <w:rFonts w:ascii="Bookman Old Style" w:hAnsi="Bookman Old Style" w:cs="Tahoma"/>
          <w:bCs/>
          <w:sz w:val="28"/>
          <w:szCs w:val="28"/>
        </w:rPr>
        <w:t xml:space="preserve"> </w:t>
      </w:r>
      <w:r>
        <w:rPr>
          <w:rFonts w:ascii="Bookman Old Style" w:hAnsi="Bookman Old Style" w:cs="Tahoma"/>
          <w:b/>
          <w:bCs/>
          <w:color w:val="000000"/>
          <w:sz w:val="28"/>
          <w:szCs w:val="28"/>
        </w:rPr>
        <w:t>T</w:t>
      </w:r>
      <w:r w:rsidRPr="00C472E2">
        <w:rPr>
          <w:rFonts w:ascii="Bookman Old Style" w:hAnsi="Bookman Old Style" w:cs="Tahoma"/>
          <w:b/>
          <w:bCs/>
          <w:color w:val="000000"/>
          <w:sz w:val="28"/>
          <w:szCs w:val="28"/>
        </w:rPr>
        <w:t xml:space="preserve">rigésimo noveno: </w:t>
      </w:r>
      <w:r>
        <w:rPr>
          <w:rFonts w:ascii="Bookman Old Style" w:hAnsi="Bookman Old Style" w:cs="Tahoma"/>
          <w:bCs/>
          <w:sz w:val="28"/>
          <w:szCs w:val="28"/>
        </w:rPr>
        <w:t>R</w:t>
      </w:r>
      <w:r w:rsidRPr="00281383">
        <w:rPr>
          <w:rFonts w:ascii="Bookman Old Style" w:hAnsi="Bookman Old Style" w:cs="Tahoma"/>
          <w:bCs/>
          <w:sz w:val="28"/>
          <w:szCs w:val="28"/>
        </w:rPr>
        <w:t>econocer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que las personas relacionadas en el acápite del incidente de identificación de la</w:t>
      </w:r>
      <w:r>
        <w:rPr>
          <w:rFonts w:ascii="Bookman Old Style" w:hAnsi="Bookman Old Style" w:cs="Tahoma"/>
          <w:bCs/>
          <w:sz w:val="28"/>
          <w:szCs w:val="28"/>
        </w:rPr>
        <w:t>s afectaciones causadas,</w:t>
      </w:r>
      <w:r w:rsidRPr="00C472E2">
        <w:rPr>
          <w:rFonts w:ascii="Bookman Old Style" w:hAnsi="Bookman Old Style" w:cs="Tahoma"/>
          <w:bCs/>
          <w:sz w:val="28"/>
          <w:szCs w:val="28"/>
        </w:rPr>
        <w:t xml:space="preserve"> además de acreditar su condición de víctimas, probaron las afecta</w:t>
      </w:r>
      <w:r>
        <w:rPr>
          <w:rFonts w:ascii="Bookman Old Style" w:hAnsi="Bookman Old Style" w:cs="Tahoma"/>
          <w:bCs/>
          <w:sz w:val="28"/>
          <w:szCs w:val="28"/>
        </w:rPr>
        <w:t xml:space="preserve">ciones causadas, por esta razón, en firme la </w:t>
      </w:r>
      <w:r w:rsidRPr="00C472E2">
        <w:rPr>
          <w:rFonts w:ascii="Bookman Old Style" w:hAnsi="Bookman Old Style" w:cs="Tahoma"/>
          <w:bCs/>
          <w:sz w:val="28"/>
          <w:szCs w:val="28"/>
        </w:rPr>
        <w:t>decisión, se remitirá la actuación ante la Unidad Administrativa Especial para la Atención y Reparación Integral a las Víctimas</w:t>
      </w:r>
      <w:r>
        <w:rPr>
          <w:rFonts w:ascii="Bookman Old Style" w:hAnsi="Bookman Old Style" w:cs="Tahoma"/>
          <w:bCs/>
          <w:sz w:val="28"/>
          <w:szCs w:val="28"/>
        </w:rPr>
        <w:t xml:space="preserve"> –UARIV-</w:t>
      </w:r>
      <w:r w:rsidRPr="00C472E2">
        <w:rPr>
          <w:rFonts w:ascii="Bookman Old Style" w:hAnsi="Bookman Old Style" w:cs="Tahoma"/>
          <w:bCs/>
          <w:sz w:val="28"/>
          <w:szCs w:val="28"/>
        </w:rPr>
        <w:t>, para que con fundamento en lo dispuesto en la Ley 1448 de 2011 y el Decreto 4800 del mismo año, realice las gestiones pertinentes, encaminadas al pago de la reparación integral</w:t>
      </w:r>
      <w:r>
        <w:rPr>
          <w:rFonts w:ascii="Bookman Old Style" w:hAnsi="Bookman Old Style" w:cs="Tahoma"/>
          <w:bCs/>
          <w:sz w:val="28"/>
          <w:szCs w:val="28"/>
        </w:rPr>
        <w:t>.</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C</w:t>
      </w:r>
      <w:r w:rsidRPr="00C472E2">
        <w:rPr>
          <w:rFonts w:ascii="Bookman Old Style" w:hAnsi="Bookman Old Style" w:cs="Tahoma"/>
          <w:b/>
          <w:bCs/>
          <w:sz w:val="28"/>
          <w:szCs w:val="28"/>
        </w:rPr>
        <w:t xml:space="preserve">uadragésimo: </w:t>
      </w:r>
      <w:r>
        <w:rPr>
          <w:rFonts w:ascii="Bookman Old Style" w:hAnsi="Bookman Old Style" w:cs="Tahoma"/>
          <w:bCs/>
          <w:sz w:val="28"/>
          <w:szCs w:val="28"/>
        </w:rPr>
        <w:t>O</w:t>
      </w:r>
      <w:r w:rsidRPr="00A429B8">
        <w:rPr>
          <w:rFonts w:ascii="Bookman Old Style" w:hAnsi="Bookman Old Style" w:cs="Tahoma"/>
          <w:bCs/>
          <w:sz w:val="28"/>
          <w:szCs w:val="28"/>
        </w:rPr>
        <w:t xml:space="preserve">rdenar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 xml:space="preserve">UARIV y a las demás entidades que componen el SNARIV, para que en el término de seis (6) meses contados a partir de la ejecutoria de </w:t>
      </w:r>
      <w:r>
        <w:rPr>
          <w:rFonts w:ascii="Bookman Old Style" w:hAnsi="Bookman Old Style" w:cs="Tahoma"/>
          <w:sz w:val="28"/>
          <w:szCs w:val="28"/>
        </w:rPr>
        <w:t xml:space="preserve">la </w:t>
      </w:r>
      <w:r w:rsidRPr="00C472E2">
        <w:rPr>
          <w:rFonts w:ascii="Bookman Old Style" w:hAnsi="Bookman Old Style" w:cs="Tahoma"/>
          <w:sz w:val="28"/>
          <w:szCs w:val="28"/>
        </w:rPr>
        <w:t>decisión, otorguen los montos máximos correspondientes a la indemnización administrativa, seg</w:t>
      </w:r>
      <w:r>
        <w:rPr>
          <w:rFonts w:ascii="Bookman Old Style" w:hAnsi="Bookman Old Style" w:cs="Tahoma"/>
          <w:sz w:val="28"/>
          <w:szCs w:val="28"/>
        </w:rPr>
        <w:t>ún el tipo de delito cometido.</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Fonts w:ascii="Bookman Old Style" w:hAnsi="Bookman Old Style" w:cs="Tahoma"/>
          <w:b/>
          <w:bCs/>
          <w:sz w:val="28"/>
          <w:szCs w:val="28"/>
        </w:rPr>
        <w:t>C</w:t>
      </w:r>
      <w:r w:rsidRPr="00C472E2">
        <w:rPr>
          <w:rFonts w:ascii="Bookman Old Style" w:hAnsi="Bookman Old Style" w:cs="Tahoma"/>
          <w:b/>
          <w:bCs/>
          <w:sz w:val="28"/>
          <w:szCs w:val="28"/>
        </w:rPr>
        <w:t xml:space="preserve">uadragésimo primero: </w:t>
      </w:r>
      <w:r>
        <w:rPr>
          <w:rFonts w:ascii="Bookman Old Style" w:hAnsi="Bookman Old Style" w:cs="Tahoma"/>
          <w:bCs/>
          <w:sz w:val="28"/>
          <w:szCs w:val="28"/>
        </w:rPr>
        <w:t>O</w:t>
      </w:r>
      <w:r w:rsidRPr="00A429B8">
        <w:rPr>
          <w:rFonts w:ascii="Bookman Old Style" w:hAnsi="Bookman Old Style" w:cs="Tahoma"/>
          <w:bCs/>
          <w:sz w:val="28"/>
          <w:szCs w:val="28"/>
        </w:rPr>
        <w:t xml:space="preserve">rdenar </w:t>
      </w:r>
      <w:r w:rsidRPr="00C472E2">
        <w:rPr>
          <w:rFonts w:ascii="Bookman Old Style" w:hAnsi="Bookman Old Style" w:cs="Tahoma"/>
          <w:bCs/>
          <w:sz w:val="28"/>
          <w:szCs w:val="28"/>
        </w:rPr>
        <w:t xml:space="preserve">a la </w:t>
      </w:r>
      <w:r>
        <w:rPr>
          <w:rFonts w:ascii="Bookman Old Style" w:hAnsi="Bookman Old Style" w:cs="Tahoma"/>
          <w:sz w:val="28"/>
          <w:szCs w:val="28"/>
        </w:rPr>
        <w:t>UARIV</w:t>
      </w:r>
      <w:r w:rsidRPr="00C472E2">
        <w:rPr>
          <w:rFonts w:ascii="Bookman Old Style" w:hAnsi="Bookman Old Style" w:cs="Tahoma"/>
          <w:sz w:val="28"/>
          <w:szCs w:val="28"/>
        </w:rPr>
        <w:t xml:space="preserve"> que</w:t>
      </w:r>
      <w:r>
        <w:rPr>
          <w:rFonts w:ascii="Bookman Old Style" w:hAnsi="Bookman Old Style" w:cs="Tahoma"/>
          <w:sz w:val="28"/>
          <w:szCs w:val="28"/>
        </w:rPr>
        <w:t>,</w:t>
      </w:r>
      <w:r w:rsidRPr="00C472E2">
        <w:rPr>
          <w:rFonts w:ascii="Bookman Old Style" w:hAnsi="Bookman Old Style" w:cs="Tahoma"/>
          <w:sz w:val="28"/>
          <w:szCs w:val="28"/>
        </w:rPr>
        <w:t xml:space="preserve"> teniendo en cuenta que los casos procesados por Justicia y Paz corresponden a graves violaciones a los derechos humanos como crímenes de lesa humanidad, crímenes de</w:t>
      </w:r>
      <w:r>
        <w:rPr>
          <w:rFonts w:ascii="Bookman Old Style" w:hAnsi="Bookman Old Style" w:cs="Tahoma"/>
          <w:sz w:val="28"/>
          <w:szCs w:val="28"/>
        </w:rPr>
        <w:t xml:space="preserve"> guerra y/o infracciones al DIH,</w:t>
      </w:r>
      <w:r w:rsidRPr="00C472E2">
        <w:rPr>
          <w:rFonts w:ascii="Bookman Old Style" w:hAnsi="Bookman Old Style" w:cs="Tahoma"/>
          <w:sz w:val="28"/>
          <w:szCs w:val="28"/>
        </w:rPr>
        <w:t xml:space="preserve"> se implementen medidas de forma complementaria a la indemnización administrativa</w:t>
      </w:r>
      <w:r>
        <w:rPr>
          <w:rFonts w:ascii="Bookman Old Style" w:hAnsi="Bookman Old Style" w:cs="Tahoma"/>
          <w:sz w:val="28"/>
          <w:szCs w:val="28"/>
        </w:rPr>
        <w:t>, y de</w:t>
      </w:r>
      <w:r w:rsidRPr="00C472E2">
        <w:rPr>
          <w:rFonts w:ascii="Bookman Old Style" w:hAnsi="Bookman Old Style" w:cs="Tahoma"/>
          <w:sz w:val="28"/>
          <w:szCs w:val="28"/>
        </w:rPr>
        <w:t xml:space="preserve"> satisfacción y no repetición</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Cs/>
          <w:sz w:val="28"/>
          <w:szCs w:val="28"/>
        </w:rPr>
        <w:t xml:space="preserve"> </w:t>
      </w:r>
      <w:r>
        <w:rPr>
          <w:rFonts w:ascii="Bookman Old Style" w:hAnsi="Bookman Old Style" w:cs="Tahoma"/>
          <w:b/>
          <w:bCs/>
          <w:sz w:val="28"/>
          <w:szCs w:val="28"/>
        </w:rPr>
        <w:t>C</w:t>
      </w:r>
      <w:r w:rsidRPr="00C472E2">
        <w:rPr>
          <w:rFonts w:ascii="Bookman Old Style" w:hAnsi="Bookman Old Style" w:cs="Tahoma"/>
          <w:b/>
          <w:bCs/>
          <w:sz w:val="28"/>
          <w:szCs w:val="28"/>
        </w:rPr>
        <w:t xml:space="preserve">uadragésimo segundo: </w:t>
      </w:r>
      <w:r>
        <w:rPr>
          <w:rFonts w:ascii="Bookman Old Style" w:hAnsi="Bookman Old Style" w:cs="Tahoma"/>
          <w:bCs/>
          <w:sz w:val="28"/>
          <w:szCs w:val="28"/>
        </w:rPr>
        <w:t>O</w:t>
      </w:r>
      <w:r w:rsidRPr="00A429B8">
        <w:rPr>
          <w:rFonts w:ascii="Bookman Old Style" w:hAnsi="Bookman Old Style" w:cs="Tahoma"/>
          <w:bCs/>
          <w:sz w:val="28"/>
          <w:szCs w:val="28"/>
        </w:rPr>
        <w:t>rdenar</w:t>
      </w:r>
      <w:r w:rsidRPr="00C472E2">
        <w:rPr>
          <w:rFonts w:ascii="Bookman Old Style" w:hAnsi="Bookman Old Style" w:cs="Tahoma"/>
          <w:b/>
          <w:bCs/>
          <w:sz w:val="28"/>
          <w:szCs w:val="28"/>
        </w:rPr>
        <w:t xml:space="preserve"> </w:t>
      </w:r>
      <w:r w:rsidRPr="00C472E2">
        <w:rPr>
          <w:rFonts w:ascii="Bookman Old Style" w:hAnsi="Bookman Old Style" w:cs="Tahoma"/>
          <w:sz w:val="28"/>
          <w:szCs w:val="28"/>
        </w:rPr>
        <w:t>al Ministerio de Salud</w:t>
      </w:r>
      <w:r w:rsidRPr="00C472E2">
        <w:rPr>
          <w:rFonts w:ascii="Bookman Old Style" w:hAnsi="Bookman Old Style" w:cs="Tahoma"/>
          <w:bCs/>
          <w:sz w:val="28"/>
          <w:szCs w:val="28"/>
        </w:rPr>
        <w:t xml:space="preserve"> y a la </w:t>
      </w:r>
      <w:r>
        <w:rPr>
          <w:rFonts w:ascii="Bookman Old Style" w:hAnsi="Bookman Old Style" w:cs="Tahoma"/>
          <w:sz w:val="28"/>
          <w:szCs w:val="28"/>
        </w:rPr>
        <w:t>UARIV</w:t>
      </w:r>
      <w:r w:rsidRPr="00C472E2">
        <w:rPr>
          <w:rFonts w:ascii="Bookman Old Style" w:hAnsi="Bookman Old Style" w:cs="Tahoma"/>
          <w:bCs/>
          <w:sz w:val="28"/>
          <w:szCs w:val="28"/>
        </w:rPr>
        <w:t xml:space="preserve">, </w:t>
      </w:r>
      <w:r w:rsidRPr="00C472E2">
        <w:rPr>
          <w:rFonts w:ascii="Bookman Old Style" w:hAnsi="Bookman Old Style" w:cs="Tahoma"/>
          <w:sz w:val="28"/>
          <w:szCs w:val="28"/>
        </w:rPr>
        <w:t>para que procuren el diseño, la construcción y puesta en marcha de planes específicos para las víctimas de Justicia y Paz, en los cuales se consideren las características propias de la población, incluyendo el enfoque diferencial y se establezcan medidas especiales si se trata de víctimas de lesa humanidad, crímenes de guerra o infracciones al DIH</w:t>
      </w:r>
      <w:r>
        <w:rPr>
          <w:rFonts w:ascii="Bookman Old Style" w:hAnsi="Bookman Old Style" w:cs="Tahoma"/>
          <w:sz w:val="28"/>
          <w:szCs w:val="28"/>
        </w:rPr>
        <w:t>.  E</w:t>
      </w:r>
      <w:r w:rsidRPr="00C472E2">
        <w:rPr>
          <w:rFonts w:ascii="Bookman Old Style" w:hAnsi="Bookman Old Style" w:cs="Tahoma"/>
          <w:sz w:val="28"/>
          <w:szCs w:val="28"/>
        </w:rPr>
        <w:t>n este caso se recomendará la inclusión de planes especiales para las regiones de Meta y Vichada, en las cuales desarrollaron su accionar las A</w:t>
      </w:r>
      <w:r>
        <w:rPr>
          <w:rFonts w:ascii="Bookman Old Style" w:hAnsi="Bookman Old Style" w:cs="Tahoma"/>
          <w:sz w:val="28"/>
          <w:szCs w:val="28"/>
        </w:rPr>
        <w:t>CMV.</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Cs/>
          <w:sz w:val="28"/>
          <w:szCs w:val="28"/>
        </w:rPr>
        <w:t xml:space="preserve"> </w:t>
      </w:r>
      <w:r>
        <w:rPr>
          <w:rFonts w:ascii="Bookman Old Style" w:hAnsi="Bookman Old Style" w:cs="Tahoma"/>
          <w:b/>
          <w:bCs/>
          <w:sz w:val="28"/>
          <w:szCs w:val="28"/>
        </w:rPr>
        <w:t>C</w:t>
      </w:r>
      <w:r w:rsidRPr="00C472E2">
        <w:rPr>
          <w:rFonts w:ascii="Bookman Old Style" w:hAnsi="Bookman Old Style" w:cs="Tahoma"/>
          <w:b/>
          <w:bCs/>
          <w:sz w:val="28"/>
          <w:szCs w:val="28"/>
        </w:rPr>
        <w:t>uadragésimo tercero:</w:t>
      </w:r>
      <w:r w:rsidRPr="00C472E2">
        <w:rPr>
          <w:rFonts w:ascii="Bookman Old Style" w:hAnsi="Bookman Old Style" w:cs="Tahoma"/>
          <w:bCs/>
          <w:sz w:val="28"/>
          <w:szCs w:val="28"/>
        </w:rPr>
        <w:t xml:space="preserve"> </w:t>
      </w:r>
      <w:r>
        <w:rPr>
          <w:rFonts w:ascii="Bookman Old Style" w:hAnsi="Bookman Old Style" w:cs="Tahoma"/>
          <w:bCs/>
          <w:sz w:val="28"/>
          <w:szCs w:val="28"/>
        </w:rPr>
        <w:t>O</w:t>
      </w:r>
      <w:r w:rsidRPr="00A429B8">
        <w:rPr>
          <w:rFonts w:ascii="Bookman Old Style" w:hAnsi="Bookman Old Style" w:cs="Tahoma"/>
          <w:bCs/>
          <w:sz w:val="28"/>
          <w:szCs w:val="28"/>
        </w:rPr>
        <w:t>rdenar</w:t>
      </w:r>
      <w:r w:rsidRPr="00C472E2">
        <w:rPr>
          <w:rFonts w:ascii="Bookman Old Style" w:hAnsi="Bookman Old Style" w:cs="Tahoma"/>
          <w:bCs/>
          <w:sz w:val="28"/>
          <w:szCs w:val="28"/>
        </w:rPr>
        <w:t xml:space="preserve"> a la</w:t>
      </w:r>
      <w:r>
        <w:rPr>
          <w:rFonts w:ascii="Bookman Old Style" w:hAnsi="Bookman Old Style" w:cs="Tahoma"/>
          <w:bCs/>
          <w:sz w:val="28"/>
          <w:szCs w:val="28"/>
        </w:rPr>
        <w:t xml:space="preserve"> </w:t>
      </w:r>
      <w:r>
        <w:rPr>
          <w:rFonts w:ascii="Bookman Old Style" w:hAnsi="Bookman Old Style" w:cs="Tahoma"/>
          <w:sz w:val="28"/>
          <w:szCs w:val="28"/>
        </w:rPr>
        <w:t>UARIV</w:t>
      </w:r>
      <w:r w:rsidRPr="00C472E2">
        <w:rPr>
          <w:rFonts w:ascii="Bookman Old Style" w:hAnsi="Bookman Old Style" w:cs="Tahoma"/>
          <w:sz w:val="28"/>
          <w:szCs w:val="28"/>
        </w:rPr>
        <w:t>, que</w:t>
      </w:r>
      <w:r>
        <w:rPr>
          <w:rFonts w:ascii="Bookman Old Style" w:hAnsi="Bookman Old Style" w:cs="Tahoma"/>
          <w:sz w:val="28"/>
          <w:szCs w:val="28"/>
        </w:rPr>
        <w:t xml:space="preserve"> incluya</w:t>
      </w:r>
      <w:r w:rsidRPr="00C472E2">
        <w:rPr>
          <w:rFonts w:ascii="Bookman Old Style" w:hAnsi="Bookman Old Style" w:cs="Tahoma"/>
          <w:sz w:val="28"/>
          <w:szCs w:val="28"/>
        </w:rPr>
        <w:t xml:space="preserve"> las solicitudes de las víctimas, en materia de satisfacción, en los respectivos programas o planes, según corresponda y realice el seguimiento par</w:t>
      </w:r>
      <w:r>
        <w:rPr>
          <w:rFonts w:ascii="Bookman Old Style" w:hAnsi="Bookman Old Style" w:cs="Tahoma"/>
          <w:sz w:val="28"/>
          <w:szCs w:val="28"/>
        </w:rPr>
        <w:t>a el cumplimiento de las mismas.</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color w:val="000000"/>
          <w:sz w:val="28"/>
          <w:szCs w:val="28"/>
        </w:rPr>
      </w:pPr>
      <w:r>
        <w:rPr>
          <w:rFonts w:ascii="Bookman Old Style" w:hAnsi="Bookman Old Style" w:cs="Tahoma"/>
          <w:sz w:val="28"/>
          <w:szCs w:val="28"/>
        </w:rPr>
        <w:t xml:space="preserve"> </w:t>
      </w:r>
      <w:r>
        <w:rPr>
          <w:rFonts w:ascii="Bookman Old Style" w:hAnsi="Bookman Old Style" w:cs="Tahoma"/>
          <w:b/>
          <w:bCs/>
          <w:sz w:val="28"/>
          <w:szCs w:val="28"/>
        </w:rPr>
        <w:t>C</w:t>
      </w:r>
      <w:r w:rsidRPr="00C472E2">
        <w:rPr>
          <w:rFonts w:ascii="Bookman Old Style" w:hAnsi="Bookman Old Style" w:cs="Tahoma"/>
          <w:b/>
          <w:bCs/>
          <w:sz w:val="28"/>
          <w:szCs w:val="28"/>
        </w:rPr>
        <w:t xml:space="preserve">uadragésimo cuarto: </w:t>
      </w:r>
      <w:r w:rsidRPr="00A429B8">
        <w:rPr>
          <w:rFonts w:ascii="Bookman Old Style" w:hAnsi="Bookman Old Style" w:cs="Tahoma"/>
          <w:bCs/>
          <w:sz w:val="28"/>
          <w:szCs w:val="28"/>
        </w:rPr>
        <w:t xml:space="preserve">ordenar </w:t>
      </w:r>
      <w:r w:rsidRPr="00C472E2">
        <w:rPr>
          <w:rFonts w:ascii="Bookman Old Style" w:hAnsi="Bookman Old Style" w:cs="Tahoma"/>
          <w:bCs/>
          <w:sz w:val="28"/>
          <w:szCs w:val="28"/>
        </w:rPr>
        <w:t xml:space="preserve">a la </w:t>
      </w:r>
      <w:r>
        <w:rPr>
          <w:rFonts w:ascii="Bookman Old Style" w:hAnsi="Bookman Old Style" w:cs="Tahoma"/>
          <w:sz w:val="28"/>
          <w:szCs w:val="28"/>
        </w:rPr>
        <w:t>UARIV</w:t>
      </w:r>
      <w:r w:rsidRPr="00C472E2">
        <w:rPr>
          <w:rFonts w:ascii="Bookman Old Style" w:hAnsi="Bookman Old Style" w:cs="Tahoma"/>
          <w:bCs/>
          <w:sz w:val="28"/>
          <w:szCs w:val="28"/>
        </w:rPr>
        <w:t xml:space="preserve"> que se adopten las medidas necesarias ante el Ministerio de </w:t>
      </w:r>
      <w:r w:rsidRPr="00C472E2">
        <w:rPr>
          <w:rFonts w:ascii="Bookman Old Style" w:hAnsi="Bookman Old Style" w:cs="Tahoma"/>
          <w:color w:val="000000"/>
          <w:sz w:val="28"/>
          <w:szCs w:val="28"/>
        </w:rPr>
        <w:t>Defensa Nacional para la expedición y entrega de la libreta militar a las víctimas exentas de prestar el servicio militar, a las que se hizo referencia e</w:t>
      </w:r>
      <w:r>
        <w:rPr>
          <w:rFonts w:ascii="Bookman Old Style" w:hAnsi="Bookman Old Style" w:cs="Tahoma"/>
          <w:color w:val="000000"/>
          <w:sz w:val="28"/>
          <w:szCs w:val="28"/>
        </w:rPr>
        <w:t xml:space="preserve">n la parte considerativa de la decisión.  </w:t>
      </w:r>
    </w:p>
    <w:p w:rsidR="00AD777C" w:rsidRDefault="00AD777C" w:rsidP="00AD777C">
      <w:pPr>
        <w:spacing w:line="360" w:lineRule="auto"/>
        <w:ind w:firstLine="708"/>
        <w:jc w:val="both"/>
        <w:rPr>
          <w:rFonts w:ascii="Bookman Old Style" w:hAnsi="Bookman Old Style" w:cs="Tahoma"/>
          <w:color w:val="000000"/>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C</w:t>
      </w:r>
      <w:r w:rsidRPr="00A429B8">
        <w:rPr>
          <w:rFonts w:ascii="Bookman Old Style" w:hAnsi="Bookman Old Style" w:cs="Tahoma"/>
          <w:b/>
          <w:bCs/>
          <w:sz w:val="28"/>
          <w:szCs w:val="28"/>
        </w:rPr>
        <w:t xml:space="preserve">uadragésimo quinto: </w:t>
      </w:r>
      <w:r w:rsidRPr="00A429B8">
        <w:rPr>
          <w:rFonts w:ascii="Bookman Old Style" w:hAnsi="Bookman Old Style" w:cs="Tahoma"/>
          <w:bCs/>
          <w:sz w:val="28"/>
          <w:szCs w:val="28"/>
        </w:rPr>
        <w:t>ordenar</w:t>
      </w:r>
      <w:r w:rsidRPr="00C472E2">
        <w:rPr>
          <w:rFonts w:ascii="Bookman Old Style" w:hAnsi="Bookman Old Style" w:cs="Tahoma"/>
          <w:bCs/>
          <w:sz w:val="28"/>
          <w:szCs w:val="28"/>
        </w:rPr>
        <w:t xml:space="preserve"> a la </w:t>
      </w:r>
      <w:r>
        <w:rPr>
          <w:rFonts w:ascii="Bookman Old Style" w:hAnsi="Bookman Old Style" w:cs="Tahoma"/>
          <w:sz w:val="28"/>
          <w:szCs w:val="28"/>
        </w:rPr>
        <w:t>UARIV</w:t>
      </w:r>
      <w:r w:rsidRPr="00C472E2">
        <w:rPr>
          <w:rFonts w:ascii="Bookman Old Style" w:hAnsi="Bookman Old Style" w:cs="Tahoma"/>
          <w:color w:val="000000"/>
          <w:sz w:val="28"/>
          <w:szCs w:val="28"/>
        </w:rPr>
        <w:t xml:space="preserve"> que los actos de desagravio se realicen en los </w:t>
      </w:r>
      <w:r w:rsidRPr="00C472E2">
        <w:rPr>
          <w:rFonts w:ascii="Bookman Old Style" w:hAnsi="Bookman Old Style" w:cs="Tahoma"/>
          <w:sz w:val="28"/>
          <w:szCs w:val="28"/>
        </w:rPr>
        <w:t>municipios de Puerto López (Meta) y Puerto Gaitán (Meta), donde se encuentra un alto porcentaje de las víctimas afectadas por los hechos que se reconocen. Además</w:t>
      </w:r>
      <w:r>
        <w:rPr>
          <w:rFonts w:ascii="Bookman Old Style" w:hAnsi="Bookman Old Style" w:cs="Tahoma"/>
          <w:sz w:val="28"/>
          <w:szCs w:val="28"/>
        </w:rPr>
        <w:t>,</w:t>
      </w:r>
      <w:r w:rsidRPr="00C472E2">
        <w:rPr>
          <w:rFonts w:ascii="Bookman Old Style" w:hAnsi="Bookman Old Style" w:cs="Tahoma"/>
          <w:sz w:val="28"/>
          <w:szCs w:val="28"/>
        </w:rPr>
        <w:t xml:space="preserve"> deberá tenerse en cuenta que en aquellos actos donde se reconozca, acepte y repudien las graves y manifiestas violaciones a las normas internacionales de Derechos Humanos o infracciones al Derecho Internacional Humanitario a los niños, niñas y adolescentes, el Instituto Colombiano de Bienestar Familiar realizará el acompañamiento previo y posterior a los mismos</w:t>
      </w:r>
      <w:r>
        <w:rPr>
          <w:rFonts w:ascii="Bookman Old Style" w:hAnsi="Bookman Old Style" w:cs="Tahoma"/>
          <w:sz w:val="28"/>
          <w:szCs w:val="28"/>
        </w:rPr>
        <w:t>.</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C</w:t>
      </w:r>
      <w:r w:rsidRPr="00C472E2">
        <w:rPr>
          <w:rFonts w:ascii="Bookman Old Style" w:hAnsi="Bookman Old Style" w:cs="Tahoma"/>
          <w:b/>
          <w:bCs/>
          <w:sz w:val="28"/>
          <w:szCs w:val="28"/>
        </w:rPr>
        <w:t xml:space="preserve">uadragésimo sexto: </w:t>
      </w:r>
      <w:r w:rsidRPr="00A429B8">
        <w:rPr>
          <w:rFonts w:ascii="Bookman Old Style" w:hAnsi="Bookman Old Style" w:cs="Tahoma"/>
          <w:bCs/>
          <w:sz w:val="28"/>
          <w:szCs w:val="28"/>
        </w:rPr>
        <w:t xml:space="preserve">ordenar </w:t>
      </w:r>
      <w:r w:rsidRPr="00C472E2">
        <w:rPr>
          <w:rFonts w:ascii="Bookman Old Style" w:hAnsi="Bookman Old Style" w:cs="Tahoma"/>
          <w:bCs/>
          <w:sz w:val="28"/>
          <w:szCs w:val="28"/>
        </w:rPr>
        <w:t>a l</w:t>
      </w:r>
      <w:r>
        <w:rPr>
          <w:rFonts w:ascii="Bookman Old Style" w:hAnsi="Bookman Old Style" w:cs="Tahoma"/>
          <w:bCs/>
          <w:sz w:val="28"/>
          <w:szCs w:val="28"/>
        </w:rPr>
        <w:t xml:space="preserve">a </w:t>
      </w:r>
      <w:r>
        <w:rPr>
          <w:rFonts w:ascii="Bookman Old Style" w:hAnsi="Bookman Old Style" w:cs="Tahoma"/>
          <w:sz w:val="28"/>
          <w:szCs w:val="28"/>
        </w:rPr>
        <w:t>UARIV</w:t>
      </w:r>
      <w:r w:rsidRPr="00C472E2">
        <w:rPr>
          <w:rFonts w:ascii="Bookman Old Style" w:hAnsi="Bookman Old Style" w:cs="Tahoma"/>
          <w:sz w:val="28"/>
          <w:szCs w:val="28"/>
        </w:rPr>
        <w:t xml:space="preserve"> que las estrategias y programas que hacen parte del documento CONPES 3784 de 2013, sean implementados en las regiones de Meta y Vichada</w:t>
      </w:r>
      <w:r>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C</w:t>
      </w:r>
      <w:r w:rsidRPr="006769A4">
        <w:rPr>
          <w:rFonts w:ascii="Bookman Old Style" w:hAnsi="Bookman Old Style" w:cs="Tahoma"/>
          <w:b/>
          <w:bCs/>
          <w:sz w:val="28"/>
          <w:szCs w:val="28"/>
        </w:rPr>
        <w:t xml:space="preserve">uadragésimo séptimo: ordenar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UARIV</w:t>
      </w:r>
      <w:r w:rsidRPr="00C472E2">
        <w:rPr>
          <w:rFonts w:ascii="Bookman Old Style" w:hAnsi="Bookman Old Style" w:cs="Tahoma"/>
          <w:bCs/>
          <w:sz w:val="28"/>
          <w:szCs w:val="28"/>
        </w:rPr>
        <w:t xml:space="preserve"> </w:t>
      </w:r>
      <w:r w:rsidRPr="00C472E2">
        <w:rPr>
          <w:rFonts w:ascii="Bookman Old Style" w:hAnsi="Bookman Old Style" w:cs="Tahoma"/>
          <w:color w:val="000000"/>
          <w:sz w:val="28"/>
          <w:szCs w:val="28"/>
        </w:rPr>
        <w:t>y al Centro de Memoria Histórica, que contribuyan en el acopio, sistematización y difusión de iniciativas públicas y privadas que autónoma e independientemente aporten a su reconstrucción en perspectiva de consolidación de garantías de no repetición</w:t>
      </w:r>
      <w:r>
        <w:rPr>
          <w:rFonts w:ascii="Bookman Old Style" w:hAnsi="Bookman Old Style" w:cs="Tahoma"/>
          <w:color w:val="000000"/>
          <w:sz w:val="28"/>
          <w:szCs w:val="28"/>
        </w:rPr>
        <w:t>,</w:t>
      </w:r>
      <w:r w:rsidRPr="00C472E2">
        <w:rPr>
          <w:rFonts w:ascii="Bookman Old Style" w:hAnsi="Bookman Old Style" w:cs="Tahoma"/>
          <w:color w:val="000000"/>
          <w:sz w:val="28"/>
          <w:szCs w:val="28"/>
        </w:rPr>
        <w:t xml:space="preserve"> reconciliación y de sostenibilidad del legado de los emprendimientos sociales de las víctimas, en la región d</w:t>
      </w:r>
      <w:r w:rsidRPr="00C472E2">
        <w:rPr>
          <w:rFonts w:ascii="Bookman Old Style" w:hAnsi="Bookman Old Style" w:cs="Tahoma"/>
          <w:sz w:val="28"/>
          <w:szCs w:val="28"/>
        </w:rPr>
        <w:t>e Meta y Vichada</w:t>
      </w:r>
      <w:r w:rsidRPr="00C472E2">
        <w:rPr>
          <w:rFonts w:ascii="Bookman Old Style" w:hAnsi="Bookman Old Style" w:cs="Tahoma"/>
          <w:color w:val="000000"/>
          <w:sz w:val="28"/>
          <w:szCs w:val="28"/>
        </w:rPr>
        <w:t>. Así mismo se exhortará al Centro de Memoria Histórica para que incluya dentro del proceso de territorialización del museo de la memoria</w:t>
      </w:r>
      <w:r>
        <w:rPr>
          <w:rFonts w:ascii="Bookman Old Style" w:hAnsi="Bookman Old Style" w:cs="Tahoma"/>
          <w:color w:val="000000"/>
          <w:sz w:val="28"/>
          <w:szCs w:val="28"/>
        </w:rPr>
        <w:t>,</w:t>
      </w:r>
      <w:r w:rsidRPr="00C472E2">
        <w:rPr>
          <w:rFonts w:ascii="Bookman Old Style" w:hAnsi="Bookman Old Style" w:cs="Tahoma"/>
          <w:color w:val="000000"/>
          <w:sz w:val="28"/>
          <w:szCs w:val="28"/>
        </w:rPr>
        <w:t xml:space="preserve"> material histórico que permita la exaltación de la dignidad de las víctimas de</w:t>
      </w:r>
      <w:r w:rsidRPr="00C472E2">
        <w:rPr>
          <w:rFonts w:ascii="Bookman Old Style" w:hAnsi="Bookman Old Style" w:cs="Tahoma"/>
          <w:sz w:val="28"/>
          <w:szCs w:val="28"/>
        </w:rPr>
        <w:t xml:space="preserve"> las regiones de Meta y Vichada</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Fonts w:ascii="Bookman Old Style" w:hAnsi="Bookman Old Style" w:cs="Tahoma"/>
          <w:b/>
          <w:bCs/>
          <w:sz w:val="28"/>
          <w:szCs w:val="28"/>
        </w:rPr>
        <w:t>C</w:t>
      </w:r>
      <w:r w:rsidRPr="00C472E2">
        <w:rPr>
          <w:rFonts w:ascii="Bookman Old Style" w:hAnsi="Bookman Old Style" w:cs="Tahoma"/>
          <w:b/>
          <w:bCs/>
          <w:sz w:val="28"/>
          <w:szCs w:val="28"/>
        </w:rPr>
        <w:t>uadragésimo octavo:</w:t>
      </w:r>
      <w:r w:rsidRPr="00A429B8">
        <w:rPr>
          <w:rFonts w:ascii="Bookman Old Style" w:hAnsi="Bookman Old Style" w:cs="Tahoma"/>
          <w:bCs/>
          <w:sz w:val="28"/>
          <w:szCs w:val="28"/>
        </w:rPr>
        <w:t xml:space="preserve"> ordenar</w:t>
      </w:r>
      <w:r w:rsidRPr="00C472E2">
        <w:rPr>
          <w:rFonts w:ascii="Bookman Old Style" w:hAnsi="Bookman Old Style" w:cs="Tahoma"/>
          <w:bCs/>
          <w:sz w:val="28"/>
          <w:szCs w:val="28"/>
        </w:rPr>
        <w:t xml:space="preserve"> </w:t>
      </w:r>
      <w:r w:rsidRPr="00C472E2">
        <w:rPr>
          <w:rFonts w:ascii="Bookman Old Style" w:hAnsi="Bookman Old Style" w:cs="Tahoma"/>
          <w:color w:val="000000"/>
          <w:sz w:val="28"/>
          <w:szCs w:val="28"/>
        </w:rPr>
        <w:t>al C</w:t>
      </w:r>
      <w:r>
        <w:rPr>
          <w:rFonts w:ascii="Bookman Old Style" w:hAnsi="Bookman Old Style" w:cs="Tahoma"/>
          <w:color w:val="000000"/>
          <w:sz w:val="28"/>
          <w:szCs w:val="28"/>
        </w:rPr>
        <w:t>entro de Memoria Histórica</w:t>
      </w:r>
      <w:r w:rsidRPr="00C472E2">
        <w:rPr>
          <w:rFonts w:ascii="Bookman Old Style" w:hAnsi="Bookman Old Style" w:cs="Tahoma"/>
          <w:color w:val="000000"/>
          <w:sz w:val="28"/>
          <w:szCs w:val="28"/>
        </w:rPr>
        <w:t xml:space="preserve"> que</w:t>
      </w:r>
      <w:r>
        <w:rPr>
          <w:rFonts w:ascii="Bookman Old Style" w:hAnsi="Bookman Old Style" w:cs="Tahoma"/>
          <w:color w:val="000000"/>
          <w:sz w:val="28"/>
          <w:szCs w:val="28"/>
        </w:rPr>
        <w:t>,</w:t>
      </w:r>
      <w:r w:rsidRPr="00C472E2">
        <w:rPr>
          <w:rFonts w:ascii="Bookman Old Style" w:hAnsi="Bookman Old Style" w:cs="Tahoma"/>
          <w:color w:val="000000"/>
          <w:sz w:val="28"/>
          <w:szCs w:val="28"/>
        </w:rPr>
        <w:t xml:space="preserve"> teniendo en cuenta el Programa</w:t>
      </w:r>
      <w:r>
        <w:rPr>
          <w:rFonts w:ascii="Bookman Old Style" w:hAnsi="Bookman Old Style" w:cs="Tahoma"/>
          <w:color w:val="000000"/>
          <w:sz w:val="28"/>
          <w:szCs w:val="28"/>
        </w:rPr>
        <w:t xml:space="preserve"> de Derechos Humanos y Memoria H</w:t>
      </w:r>
      <w:r w:rsidRPr="00C472E2">
        <w:rPr>
          <w:rFonts w:ascii="Bookman Old Style" w:hAnsi="Bookman Old Style" w:cs="Tahoma"/>
          <w:color w:val="000000"/>
          <w:sz w:val="28"/>
          <w:szCs w:val="28"/>
        </w:rPr>
        <w:t xml:space="preserve">istórica, se adelante la investigación para la reconstrucción de la memoria histórica en </w:t>
      </w:r>
      <w:r w:rsidRPr="00C472E2">
        <w:rPr>
          <w:rFonts w:ascii="Bookman Old Style" w:hAnsi="Bookman Old Style" w:cs="Tahoma"/>
          <w:sz w:val="28"/>
          <w:szCs w:val="28"/>
        </w:rPr>
        <w:t>las regiones de Meta y Vichada</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Fonts w:ascii="Bookman Old Style" w:hAnsi="Bookman Old Style" w:cs="Tahoma"/>
          <w:b/>
          <w:bCs/>
          <w:sz w:val="28"/>
          <w:szCs w:val="28"/>
        </w:rPr>
        <w:t>C</w:t>
      </w:r>
      <w:r w:rsidRPr="00A429B8">
        <w:rPr>
          <w:rFonts w:ascii="Bookman Old Style" w:hAnsi="Bookman Old Style" w:cs="Tahoma"/>
          <w:b/>
          <w:bCs/>
          <w:sz w:val="28"/>
          <w:szCs w:val="28"/>
        </w:rPr>
        <w:t xml:space="preserve">uadragésimo noveno: </w:t>
      </w:r>
      <w:r w:rsidRPr="00A429B8">
        <w:rPr>
          <w:rFonts w:ascii="Bookman Old Style" w:hAnsi="Bookman Old Style" w:cs="Tahoma"/>
          <w:bCs/>
          <w:sz w:val="28"/>
          <w:szCs w:val="28"/>
        </w:rPr>
        <w:t>ordenar</w:t>
      </w:r>
      <w:r w:rsidRPr="00A429B8">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Pr>
          <w:rFonts w:ascii="Bookman Old Style" w:hAnsi="Bookman Old Style" w:cs="Tahoma"/>
          <w:sz w:val="28"/>
          <w:szCs w:val="28"/>
        </w:rPr>
        <w:t>UARIV</w:t>
      </w:r>
      <w:r w:rsidRPr="00C472E2">
        <w:rPr>
          <w:rFonts w:ascii="Bookman Old Style" w:hAnsi="Bookman Old Style" w:cs="Tahoma"/>
          <w:sz w:val="28"/>
          <w:szCs w:val="28"/>
        </w:rPr>
        <w:t xml:space="preserve"> y al</w:t>
      </w:r>
      <w:r w:rsidRPr="00C472E2">
        <w:rPr>
          <w:rFonts w:ascii="Bookman Old Style" w:hAnsi="Bookman Old Style" w:cs="Tahoma"/>
          <w:color w:val="000000"/>
          <w:sz w:val="28"/>
          <w:szCs w:val="28"/>
        </w:rPr>
        <w:t xml:space="preserve"> Centro de Memoria Histórica,</w:t>
      </w:r>
      <w:r w:rsidRPr="00C472E2">
        <w:rPr>
          <w:rFonts w:ascii="Bookman Old Style" w:hAnsi="Bookman Old Style" w:cs="Tahoma"/>
          <w:bCs/>
          <w:color w:val="000000"/>
          <w:sz w:val="28"/>
          <w:szCs w:val="28"/>
        </w:rPr>
        <w:t xml:space="preserve"> que desarrollen actividades de pedagogía, las cuales</w:t>
      </w:r>
      <w:r w:rsidRPr="00C472E2">
        <w:rPr>
          <w:rFonts w:ascii="Bookman Old Style" w:hAnsi="Bookman Old Style" w:cs="Tahoma"/>
          <w:color w:val="000000"/>
          <w:sz w:val="28"/>
          <w:szCs w:val="28"/>
        </w:rPr>
        <w:t xml:space="preserve"> deben estar en concordancia con el Plan Nacional de Educación en Derechos Humanos, en el cual son corresponsables los Ministerios de Educación Nacional y Cultura, con el Programa Presidencial para la Protección y vigilancia de los Derechos Humanos y Derecho Internacional Humanitario y el Departamento Administrativo de la Ciencia, Tecnología e Innovación, Alta Consejería para la Equidad de la Mujer, entre otras entidades</w:t>
      </w:r>
      <w:r>
        <w:rPr>
          <w:rFonts w:ascii="Bookman Old Style" w:hAnsi="Bookman Old Style" w:cs="Tahoma"/>
          <w:color w:val="000000"/>
          <w:sz w:val="28"/>
          <w:szCs w:val="28"/>
        </w:rPr>
        <w:t>.</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b/>
          <w:bCs/>
          <w:sz w:val="28"/>
          <w:szCs w:val="28"/>
        </w:rPr>
      </w:pPr>
    </w:p>
    <w:p w:rsidR="00AD777C" w:rsidRDefault="00AD777C" w:rsidP="00AD777C">
      <w:pPr>
        <w:spacing w:line="360" w:lineRule="auto"/>
        <w:ind w:firstLine="708"/>
        <w:jc w:val="both"/>
        <w:rPr>
          <w:rFonts w:ascii="Bookman Old Style" w:hAnsi="Bookman Old Style" w:cs="Tahoma"/>
          <w:b/>
          <w:bCs/>
          <w:sz w:val="28"/>
          <w:szCs w:val="28"/>
        </w:rPr>
      </w:pPr>
    </w:p>
    <w:p w:rsidR="00AD777C" w:rsidRDefault="00AD777C" w:rsidP="00AD777C">
      <w:pPr>
        <w:spacing w:line="360" w:lineRule="auto"/>
        <w:ind w:firstLine="708"/>
        <w:jc w:val="both"/>
        <w:rPr>
          <w:rFonts w:ascii="Bookman Old Style" w:hAnsi="Bookman Old Style" w:cs="Tahoma"/>
          <w:iCs/>
          <w:sz w:val="28"/>
          <w:szCs w:val="28"/>
        </w:rPr>
      </w:pPr>
      <w:r>
        <w:rPr>
          <w:rFonts w:ascii="Bookman Old Style" w:hAnsi="Bookman Old Style" w:cs="Tahoma"/>
          <w:b/>
          <w:bCs/>
          <w:sz w:val="28"/>
          <w:szCs w:val="28"/>
        </w:rPr>
        <w:t>Q</w:t>
      </w:r>
      <w:r w:rsidRPr="00C472E2">
        <w:rPr>
          <w:rFonts w:ascii="Bookman Old Style" w:hAnsi="Bookman Old Style" w:cs="Tahoma"/>
          <w:b/>
          <w:bCs/>
          <w:sz w:val="28"/>
          <w:szCs w:val="28"/>
        </w:rPr>
        <w:t xml:space="preserve">uincuagésimo: </w:t>
      </w:r>
      <w:r w:rsidRPr="00A429B8">
        <w:rPr>
          <w:rFonts w:ascii="Bookman Old Style" w:hAnsi="Bookman Old Style" w:cs="Tahoma"/>
          <w:bCs/>
          <w:sz w:val="28"/>
          <w:szCs w:val="28"/>
        </w:rPr>
        <w:t>ordenar</w:t>
      </w:r>
      <w:r w:rsidRPr="00C472E2">
        <w:rPr>
          <w:rFonts w:ascii="Bookman Old Style" w:hAnsi="Bookman Old Style" w:cs="Tahoma"/>
          <w:bCs/>
          <w:sz w:val="28"/>
          <w:szCs w:val="28"/>
        </w:rPr>
        <w:t xml:space="preserve"> a la </w:t>
      </w:r>
      <w:r>
        <w:rPr>
          <w:rFonts w:ascii="Bookman Old Style" w:hAnsi="Bookman Old Style" w:cs="Tahoma"/>
          <w:sz w:val="28"/>
          <w:szCs w:val="28"/>
        </w:rPr>
        <w:t>UARIV</w:t>
      </w:r>
      <w:r w:rsidRPr="00C472E2">
        <w:rPr>
          <w:rFonts w:ascii="Bookman Old Style" w:hAnsi="Bookman Old Style" w:cs="Tahoma"/>
          <w:sz w:val="28"/>
          <w:szCs w:val="28"/>
        </w:rPr>
        <w:t xml:space="preserve"> </w:t>
      </w:r>
      <w:r w:rsidRPr="00C472E2">
        <w:rPr>
          <w:rFonts w:ascii="Bookman Old Style" w:hAnsi="Bookman Old Style" w:cs="Tahoma"/>
          <w:iCs/>
          <w:sz w:val="28"/>
          <w:szCs w:val="28"/>
        </w:rPr>
        <w:t>que incluya</w:t>
      </w:r>
      <w:r>
        <w:rPr>
          <w:rFonts w:ascii="Bookman Old Style" w:hAnsi="Bookman Old Style" w:cs="Tahoma"/>
          <w:iCs/>
          <w:sz w:val="28"/>
          <w:szCs w:val="28"/>
        </w:rPr>
        <w:t xml:space="preserve"> a</w:t>
      </w:r>
      <w:r w:rsidRPr="00C472E2">
        <w:rPr>
          <w:rFonts w:ascii="Bookman Old Style" w:hAnsi="Bookman Old Style" w:cs="Tahoma"/>
          <w:iCs/>
          <w:sz w:val="28"/>
          <w:szCs w:val="28"/>
        </w:rPr>
        <w:t xml:space="preserve"> las víctimas remitidas por la Sala de Justicia y Paz en los planes o programas de vivienda que se adelanten en los departamentos de Meta y Vichada o en el lugar donde se en</w:t>
      </w:r>
      <w:r>
        <w:rPr>
          <w:rFonts w:ascii="Bookman Old Style" w:hAnsi="Bookman Old Style" w:cs="Tahoma"/>
          <w:iCs/>
          <w:sz w:val="28"/>
          <w:szCs w:val="28"/>
        </w:rPr>
        <w:t>cuentren residiendo actualmente.</w:t>
      </w:r>
    </w:p>
    <w:p w:rsidR="00AD777C" w:rsidRDefault="00AD777C" w:rsidP="00AD777C">
      <w:pPr>
        <w:spacing w:line="360" w:lineRule="auto"/>
        <w:ind w:firstLine="708"/>
        <w:jc w:val="both"/>
        <w:rPr>
          <w:rFonts w:ascii="Bookman Old Style" w:hAnsi="Bookman Old Style" w:cs="Tahoma"/>
          <w:i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Q</w:t>
      </w:r>
      <w:r w:rsidRPr="00A429B8">
        <w:rPr>
          <w:rFonts w:ascii="Bookman Old Style" w:hAnsi="Bookman Old Style" w:cs="Tahoma"/>
          <w:b/>
          <w:bCs/>
          <w:sz w:val="28"/>
          <w:szCs w:val="28"/>
        </w:rPr>
        <w:t xml:space="preserve">uincuagésimo primero: </w:t>
      </w:r>
      <w:r w:rsidRPr="00A429B8">
        <w:rPr>
          <w:rFonts w:ascii="Bookman Old Style" w:hAnsi="Bookman Old Style" w:cs="Tahoma"/>
          <w:bCs/>
          <w:sz w:val="28"/>
          <w:szCs w:val="28"/>
        </w:rPr>
        <w:t>ordenar</w:t>
      </w:r>
      <w:r w:rsidRPr="00C472E2">
        <w:rPr>
          <w:rFonts w:ascii="Bookman Old Style" w:hAnsi="Bookman Old Style" w:cs="Tahoma"/>
          <w:bCs/>
          <w:sz w:val="28"/>
          <w:szCs w:val="28"/>
        </w:rPr>
        <w:t xml:space="preserve"> a la </w:t>
      </w:r>
      <w:r>
        <w:rPr>
          <w:rFonts w:ascii="Bookman Old Style" w:hAnsi="Bookman Old Style" w:cs="Tahoma"/>
          <w:sz w:val="28"/>
          <w:szCs w:val="28"/>
        </w:rPr>
        <w:t>UARIV</w:t>
      </w:r>
      <w:r w:rsidRPr="00C472E2">
        <w:rPr>
          <w:rFonts w:ascii="Bookman Old Style" w:hAnsi="Bookman Old Style" w:cs="Tahoma"/>
          <w:sz w:val="28"/>
          <w:szCs w:val="28"/>
        </w:rPr>
        <w:t xml:space="preserve"> que en la región de</w:t>
      </w:r>
      <w:r w:rsidRPr="00C472E2">
        <w:rPr>
          <w:rFonts w:ascii="Bookman Old Style" w:hAnsi="Bookman Old Style" w:cs="Tahoma"/>
          <w:b/>
          <w:sz w:val="28"/>
          <w:szCs w:val="28"/>
        </w:rPr>
        <w:t xml:space="preserve"> </w:t>
      </w:r>
      <w:r w:rsidRPr="00C472E2">
        <w:rPr>
          <w:rFonts w:ascii="Bookman Old Style" w:hAnsi="Bookman Old Style" w:cs="Tahoma"/>
          <w:sz w:val="28"/>
          <w:szCs w:val="28"/>
        </w:rPr>
        <w:t>Meta y Vichada</w:t>
      </w:r>
      <w:r w:rsidRPr="00C472E2">
        <w:rPr>
          <w:rFonts w:ascii="Bookman Old Style" w:hAnsi="Bookman Old Style" w:cs="Tahoma"/>
          <w:b/>
          <w:sz w:val="28"/>
          <w:szCs w:val="28"/>
        </w:rPr>
        <w:t xml:space="preserve"> </w:t>
      </w:r>
      <w:r w:rsidRPr="00C472E2">
        <w:rPr>
          <w:rFonts w:ascii="Bookman Old Style" w:hAnsi="Bookman Old Style" w:cs="Tahoma"/>
          <w:sz w:val="28"/>
          <w:szCs w:val="28"/>
        </w:rPr>
        <w:t>proceda a la atención integral a la primera infancia a través de la</w:t>
      </w:r>
      <w:r>
        <w:rPr>
          <w:rFonts w:ascii="Bookman Old Style" w:hAnsi="Bookman Old Style" w:cs="Tahoma"/>
          <w:sz w:val="28"/>
          <w:szCs w:val="28"/>
        </w:rPr>
        <w:t xml:space="preserve"> Estrategia “De Cero a Siempre”</w:t>
      </w:r>
      <w:r w:rsidRPr="00C472E2">
        <w:rPr>
          <w:rFonts w:ascii="Bookman Old Style" w:hAnsi="Bookman Old Style" w:cs="Tahoma"/>
          <w:sz w:val="28"/>
          <w:szCs w:val="28"/>
        </w:rPr>
        <w:t>. En educación superior, se le exhorta para la inclusión de las víc</w:t>
      </w:r>
      <w:r>
        <w:rPr>
          <w:rFonts w:ascii="Bookman Old Style" w:hAnsi="Bookman Old Style" w:cs="Tahoma"/>
          <w:sz w:val="28"/>
          <w:szCs w:val="28"/>
        </w:rPr>
        <w:t>timas reconocidas en la</w:t>
      </w:r>
      <w:r w:rsidRPr="00C472E2">
        <w:rPr>
          <w:rFonts w:ascii="Bookman Old Style" w:hAnsi="Bookman Old Style" w:cs="Tahoma"/>
          <w:sz w:val="28"/>
          <w:szCs w:val="28"/>
        </w:rPr>
        <w:t xml:space="preserve"> sentencia en el Programa Centros Regionales de Educación Superior (CERES)</w:t>
      </w:r>
      <w:r>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Q</w:t>
      </w:r>
      <w:r w:rsidRPr="00F24B45">
        <w:rPr>
          <w:rFonts w:ascii="Bookman Old Style" w:hAnsi="Bookman Old Style" w:cs="Tahoma"/>
          <w:b/>
          <w:bCs/>
          <w:sz w:val="28"/>
          <w:szCs w:val="28"/>
        </w:rPr>
        <w:t xml:space="preserve">uincuagésimo segundo: </w:t>
      </w:r>
      <w:r w:rsidRPr="00F24B45">
        <w:rPr>
          <w:rFonts w:ascii="Bookman Old Style" w:hAnsi="Bookman Old Style" w:cs="Tahoma"/>
          <w:bCs/>
          <w:sz w:val="28"/>
          <w:szCs w:val="28"/>
        </w:rPr>
        <w:t>solicitar</w:t>
      </w:r>
      <w:r w:rsidRPr="00C472E2">
        <w:rPr>
          <w:rFonts w:ascii="Bookman Old Style" w:hAnsi="Bookman Old Style" w:cs="Tahoma"/>
          <w:bCs/>
          <w:sz w:val="28"/>
          <w:szCs w:val="28"/>
        </w:rPr>
        <w:t xml:space="preserve"> a la </w:t>
      </w:r>
      <w:r>
        <w:rPr>
          <w:rFonts w:ascii="Bookman Old Style" w:hAnsi="Bookman Old Style" w:cs="Tahoma"/>
          <w:sz w:val="28"/>
          <w:szCs w:val="28"/>
        </w:rPr>
        <w:t>UARIV</w:t>
      </w:r>
      <w:r w:rsidRPr="00C472E2">
        <w:rPr>
          <w:rFonts w:ascii="Bookman Old Style" w:hAnsi="Bookman Old Style" w:cs="Tahoma"/>
          <w:sz w:val="28"/>
          <w:szCs w:val="28"/>
        </w:rPr>
        <w:t xml:space="preserve"> informe si el ICETEX, el Ministerio de Educación y la Unidad han puesto en marcha la alianza estratégica que permite fomentar el acceso de la población víctima a educación superior a través de la línea de crédito ACCES, para otorgar subsidios a la matrícula para educación superior, de ser así, se le exhorta para que se incluya a </w:t>
      </w:r>
      <w:r>
        <w:rPr>
          <w:rFonts w:ascii="Bookman Old Style" w:hAnsi="Bookman Old Style" w:cs="Tahoma"/>
          <w:sz w:val="28"/>
          <w:szCs w:val="28"/>
        </w:rPr>
        <w:t xml:space="preserve">las víctimas reconocidas en la sentencia.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Q</w:t>
      </w:r>
      <w:r w:rsidRPr="00F24B45">
        <w:rPr>
          <w:rFonts w:ascii="Bookman Old Style" w:hAnsi="Bookman Old Style" w:cs="Tahoma"/>
          <w:b/>
          <w:bCs/>
          <w:sz w:val="28"/>
          <w:szCs w:val="28"/>
        </w:rPr>
        <w:t xml:space="preserve">uincuagésimo tercero: </w:t>
      </w:r>
      <w:r w:rsidRPr="00F24B45">
        <w:rPr>
          <w:rFonts w:ascii="Bookman Old Style" w:hAnsi="Bookman Old Style" w:cs="Tahoma"/>
          <w:bCs/>
          <w:sz w:val="28"/>
          <w:szCs w:val="28"/>
        </w:rPr>
        <w:t>ordenar</w:t>
      </w:r>
      <w:r w:rsidRPr="00F24B45">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UARI</w:t>
      </w:r>
      <w:r>
        <w:rPr>
          <w:rFonts w:ascii="Bookman Old Style" w:hAnsi="Bookman Old Style" w:cs="Tahoma"/>
          <w:sz w:val="28"/>
          <w:szCs w:val="28"/>
        </w:rPr>
        <w:t>V</w:t>
      </w:r>
      <w:r w:rsidRPr="00C472E2">
        <w:rPr>
          <w:rFonts w:ascii="Bookman Old Style" w:hAnsi="Bookman Old Style" w:cs="Tahoma"/>
          <w:sz w:val="28"/>
          <w:szCs w:val="28"/>
        </w:rPr>
        <w:t xml:space="preserve"> que se incluya a las víc</w:t>
      </w:r>
      <w:r>
        <w:rPr>
          <w:rFonts w:ascii="Bookman Old Style" w:hAnsi="Bookman Old Style" w:cs="Tahoma"/>
          <w:sz w:val="28"/>
          <w:szCs w:val="28"/>
        </w:rPr>
        <w:t>timas reconocidas en la</w:t>
      </w:r>
      <w:r w:rsidRPr="00C472E2">
        <w:rPr>
          <w:rFonts w:ascii="Bookman Old Style" w:hAnsi="Bookman Old Style" w:cs="Tahoma"/>
          <w:sz w:val="28"/>
          <w:szCs w:val="28"/>
        </w:rPr>
        <w:t xml:space="preserve"> sentencia en el Programa de Servicio Público de Empleo, ofrecido por el Servicio Nacional de Aprendizaje (SENA)</w:t>
      </w:r>
      <w:r>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b/>
          <w:bCs/>
          <w:sz w:val="28"/>
          <w:szCs w:val="28"/>
        </w:rPr>
      </w:pPr>
    </w:p>
    <w:p w:rsidR="00AD777C" w:rsidRDefault="00AD777C" w:rsidP="00AD777C">
      <w:pPr>
        <w:spacing w:line="360" w:lineRule="auto"/>
        <w:ind w:firstLine="708"/>
        <w:jc w:val="both"/>
        <w:rPr>
          <w:rFonts w:ascii="Bookman Old Style" w:hAnsi="Bookman Old Style" w:cs="Tahoma"/>
          <w:b/>
          <w:bCs/>
          <w:sz w:val="28"/>
          <w:szCs w:val="28"/>
        </w:rPr>
      </w:pPr>
    </w:p>
    <w:p w:rsidR="00AD777C" w:rsidRDefault="00AD777C" w:rsidP="00AD777C">
      <w:pPr>
        <w:spacing w:line="360" w:lineRule="auto"/>
        <w:ind w:firstLine="708"/>
        <w:jc w:val="both"/>
        <w:rPr>
          <w:rFonts w:ascii="Bookman Old Style" w:hAnsi="Bookman Old Style" w:cs="Tahoma"/>
          <w:color w:val="000000"/>
          <w:sz w:val="28"/>
          <w:szCs w:val="28"/>
        </w:rPr>
      </w:pPr>
      <w:r>
        <w:rPr>
          <w:rFonts w:ascii="Bookman Old Style" w:hAnsi="Bookman Old Style" w:cs="Tahoma"/>
          <w:b/>
          <w:bCs/>
          <w:sz w:val="28"/>
          <w:szCs w:val="28"/>
        </w:rPr>
        <w:t>Q</w:t>
      </w:r>
      <w:r w:rsidRPr="00C472E2">
        <w:rPr>
          <w:rFonts w:ascii="Bookman Old Style" w:hAnsi="Bookman Old Style" w:cs="Tahoma"/>
          <w:b/>
          <w:bCs/>
          <w:sz w:val="28"/>
          <w:szCs w:val="28"/>
        </w:rPr>
        <w:t xml:space="preserve">uincuagésimo cuarto: </w:t>
      </w:r>
      <w:r w:rsidRPr="00F24B45">
        <w:rPr>
          <w:rFonts w:ascii="Bookman Old Style" w:hAnsi="Bookman Old Style" w:cs="Tahoma"/>
          <w:bCs/>
          <w:sz w:val="28"/>
          <w:szCs w:val="28"/>
        </w:rPr>
        <w:t>ordenar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a la</w:t>
      </w:r>
      <w:r>
        <w:rPr>
          <w:rFonts w:ascii="Bookman Old Style" w:hAnsi="Bookman Old Style" w:cs="Tahoma"/>
          <w:bCs/>
          <w:sz w:val="28"/>
          <w:szCs w:val="28"/>
        </w:rPr>
        <w:t xml:space="preserve"> </w:t>
      </w:r>
      <w:r w:rsidRPr="00C472E2">
        <w:rPr>
          <w:rFonts w:ascii="Bookman Old Style" w:hAnsi="Bookman Old Style" w:cs="Tahoma"/>
          <w:sz w:val="28"/>
          <w:szCs w:val="28"/>
        </w:rPr>
        <w:t xml:space="preserve">UARIV </w:t>
      </w:r>
      <w:r w:rsidRPr="00C472E2">
        <w:rPr>
          <w:rFonts w:ascii="Bookman Old Style" w:hAnsi="Bookman Old Style" w:cs="Tahoma"/>
          <w:color w:val="000000"/>
          <w:sz w:val="28"/>
          <w:szCs w:val="28"/>
        </w:rPr>
        <w:t xml:space="preserve">que remita a las víctimas reconocidas en </w:t>
      </w:r>
      <w:r>
        <w:rPr>
          <w:rFonts w:ascii="Bookman Old Style" w:hAnsi="Bookman Old Style" w:cs="Tahoma"/>
          <w:color w:val="000000"/>
          <w:sz w:val="28"/>
          <w:szCs w:val="28"/>
        </w:rPr>
        <w:t>la sentencia</w:t>
      </w:r>
      <w:r w:rsidRPr="00C472E2">
        <w:rPr>
          <w:rFonts w:ascii="Bookman Old Style" w:hAnsi="Bookman Old Style" w:cs="Tahoma"/>
          <w:color w:val="000000"/>
          <w:sz w:val="28"/>
          <w:szCs w:val="28"/>
        </w:rPr>
        <w:t xml:space="preserve"> a los planes y programas desarrollados por el Ministerio de Trabajo, teniendo en cuenta lo consagrado en el Decreto 4108 de 2011</w:t>
      </w:r>
      <w:r>
        <w:rPr>
          <w:rFonts w:ascii="Bookman Old Style" w:hAnsi="Bookman Old Style" w:cs="Tahoma"/>
          <w:color w:val="000000"/>
          <w:sz w:val="28"/>
          <w:szCs w:val="28"/>
        </w:rPr>
        <w:t xml:space="preserve">. </w:t>
      </w:r>
    </w:p>
    <w:p w:rsidR="00AD777C" w:rsidRDefault="00AD777C" w:rsidP="00AD777C">
      <w:pPr>
        <w:spacing w:line="360" w:lineRule="auto"/>
        <w:ind w:firstLine="708"/>
        <w:jc w:val="both"/>
        <w:rPr>
          <w:rFonts w:ascii="Bookman Old Style" w:hAnsi="Bookman Old Style" w:cs="Tahoma"/>
          <w:color w:val="000000"/>
          <w:sz w:val="28"/>
          <w:szCs w:val="28"/>
        </w:rPr>
      </w:pPr>
    </w:p>
    <w:p w:rsidR="00AD777C" w:rsidRDefault="00AD777C" w:rsidP="00AD777C">
      <w:pPr>
        <w:spacing w:line="360" w:lineRule="auto"/>
        <w:ind w:firstLine="708"/>
        <w:jc w:val="both"/>
        <w:rPr>
          <w:rFonts w:ascii="Bookman Old Style" w:hAnsi="Bookman Old Style" w:cs="Tahoma"/>
          <w:iCs/>
          <w:sz w:val="28"/>
          <w:szCs w:val="28"/>
        </w:rPr>
      </w:pPr>
      <w:r>
        <w:rPr>
          <w:rFonts w:ascii="Bookman Old Style" w:hAnsi="Bookman Old Style" w:cs="Tahoma"/>
          <w:b/>
          <w:bCs/>
          <w:sz w:val="28"/>
          <w:szCs w:val="28"/>
        </w:rPr>
        <w:t>Q</w:t>
      </w:r>
      <w:r w:rsidRPr="00C472E2">
        <w:rPr>
          <w:rFonts w:ascii="Bookman Old Style" w:hAnsi="Bookman Old Style" w:cs="Tahoma"/>
          <w:b/>
          <w:bCs/>
          <w:sz w:val="28"/>
          <w:szCs w:val="28"/>
        </w:rPr>
        <w:t>uincuagésimo</w:t>
      </w:r>
      <w:r w:rsidRPr="00C472E2">
        <w:rPr>
          <w:rFonts w:ascii="Bookman Old Style" w:hAnsi="Bookman Old Style" w:cs="Tahoma"/>
          <w:b/>
          <w:bCs/>
          <w:color w:val="000000"/>
          <w:sz w:val="28"/>
          <w:szCs w:val="28"/>
        </w:rPr>
        <w:t xml:space="preserve"> quinto:</w:t>
      </w:r>
      <w:r w:rsidRPr="00C472E2">
        <w:rPr>
          <w:rFonts w:ascii="Bookman Old Style" w:hAnsi="Bookman Old Style" w:cs="Tahoma"/>
          <w:bCs/>
          <w:color w:val="000000"/>
          <w:sz w:val="28"/>
          <w:szCs w:val="28"/>
        </w:rPr>
        <w:t xml:space="preserve"> </w:t>
      </w:r>
      <w:r w:rsidRPr="00F24B45">
        <w:rPr>
          <w:rFonts w:ascii="Bookman Old Style" w:hAnsi="Bookman Old Style" w:cs="Tahoma"/>
          <w:bCs/>
          <w:sz w:val="28"/>
          <w:szCs w:val="28"/>
        </w:rPr>
        <w:t>solicitar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 xml:space="preserve">UARIV-, </w:t>
      </w:r>
      <w:r w:rsidRPr="00C472E2">
        <w:rPr>
          <w:rFonts w:ascii="Bookman Old Style" w:hAnsi="Bookman Old Style" w:cs="Tahoma"/>
          <w:iCs/>
          <w:sz w:val="28"/>
          <w:szCs w:val="28"/>
        </w:rPr>
        <w:t>que en los casos en los que corresponda, se constituya un fideicomiso en una entidad bancaria autorizada por la Superintendencia Bancaria a nombre de las víctimas que correspondan a niños, niñas y adolescentes que f</w:t>
      </w:r>
      <w:r>
        <w:rPr>
          <w:rFonts w:ascii="Bookman Old Style" w:hAnsi="Bookman Old Style" w:cs="Tahoma"/>
          <w:iCs/>
          <w:sz w:val="28"/>
          <w:szCs w:val="28"/>
        </w:rPr>
        <w:t>ueron reconocidos en la decisión.</w:t>
      </w:r>
      <w:r w:rsidRPr="00C472E2">
        <w:rPr>
          <w:rFonts w:ascii="Bookman Old Style" w:hAnsi="Bookman Old Style" w:cs="Tahoma"/>
          <w:iCs/>
          <w:sz w:val="28"/>
          <w:szCs w:val="28"/>
        </w:rPr>
        <w:t xml:space="preserve"> </w:t>
      </w:r>
    </w:p>
    <w:p w:rsidR="00AD777C" w:rsidRDefault="00AD777C" w:rsidP="00AD777C">
      <w:pPr>
        <w:spacing w:line="360" w:lineRule="auto"/>
        <w:ind w:firstLine="708"/>
        <w:jc w:val="both"/>
        <w:rPr>
          <w:rFonts w:ascii="Bookman Old Style" w:hAnsi="Bookman Old Style" w:cs="Tahoma"/>
          <w:iCs/>
          <w:sz w:val="28"/>
          <w:szCs w:val="28"/>
        </w:rPr>
      </w:pPr>
    </w:p>
    <w:p w:rsidR="00AD777C" w:rsidRDefault="00AD777C" w:rsidP="00AD777C">
      <w:pPr>
        <w:spacing w:line="360" w:lineRule="auto"/>
        <w:ind w:firstLine="708"/>
        <w:jc w:val="both"/>
        <w:rPr>
          <w:rFonts w:ascii="Bookman Old Style" w:hAnsi="Bookman Old Style" w:cs="Tahoma"/>
          <w:color w:val="000000"/>
          <w:sz w:val="28"/>
          <w:szCs w:val="28"/>
        </w:rPr>
      </w:pPr>
      <w:r>
        <w:rPr>
          <w:rFonts w:ascii="Bookman Old Style" w:hAnsi="Bookman Old Style" w:cs="Tahoma"/>
          <w:b/>
          <w:bCs/>
          <w:sz w:val="28"/>
          <w:szCs w:val="28"/>
        </w:rPr>
        <w:t>Q</w:t>
      </w:r>
      <w:r w:rsidRPr="00C472E2">
        <w:rPr>
          <w:rFonts w:ascii="Bookman Old Style" w:hAnsi="Bookman Old Style" w:cs="Tahoma"/>
          <w:b/>
          <w:bCs/>
          <w:sz w:val="28"/>
          <w:szCs w:val="28"/>
        </w:rPr>
        <w:t>uincuagésimo</w:t>
      </w:r>
      <w:r w:rsidRPr="00C472E2">
        <w:rPr>
          <w:rFonts w:ascii="Bookman Old Style" w:hAnsi="Bookman Old Style" w:cs="Tahoma"/>
          <w:b/>
          <w:bCs/>
          <w:color w:val="000000"/>
          <w:sz w:val="28"/>
          <w:szCs w:val="28"/>
        </w:rPr>
        <w:t xml:space="preserve"> sexto: </w:t>
      </w:r>
      <w:r w:rsidRPr="00364FFB">
        <w:rPr>
          <w:rFonts w:ascii="Bookman Old Style" w:hAnsi="Bookman Old Style" w:cs="Tahoma"/>
          <w:bCs/>
          <w:sz w:val="28"/>
          <w:szCs w:val="28"/>
        </w:rPr>
        <w:t>ordenar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Superintendencia de Notariado y Registro, </w:t>
      </w:r>
      <w:r w:rsidRPr="00C472E2">
        <w:rPr>
          <w:rFonts w:ascii="Bookman Old Style" w:hAnsi="Bookman Old Style" w:cs="Tahoma"/>
          <w:color w:val="000000"/>
          <w:sz w:val="28"/>
          <w:szCs w:val="28"/>
        </w:rPr>
        <w:t>para que realice el asentamiento de los certificados de defunción de las víctimas de los delitos de homicidio en persona protegida en concurso con desaparición forzada</w:t>
      </w:r>
      <w:r>
        <w:rPr>
          <w:rFonts w:ascii="Bookman Old Style" w:hAnsi="Bookman Old Style" w:cs="Tahoma"/>
          <w:color w:val="000000"/>
          <w:sz w:val="28"/>
          <w:szCs w:val="28"/>
        </w:rPr>
        <w:t xml:space="preserve">. </w:t>
      </w:r>
    </w:p>
    <w:p w:rsidR="00AD777C" w:rsidRDefault="00AD777C" w:rsidP="00AD777C">
      <w:pPr>
        <w:spacing w:line="360" w:lineRule="auto"/>
        <w:ind w:firstLine="708"/>
        <w:jc w:val="both"/>
        <w:rPr>
          <w:rFonts w:ascii="Bookman Old Style" w:hAnsi="Bookman Old Style" w:cs="Tahoma"/>
          <w:color w:val="000000"/>
          <w:sz w:val="28"/>
          <w:szCs w:val="28"/>
        </w:rPr>
      </w:pPr>
    </w:p>
    <w:p w:rsidR="00AD777C" w:rsidRDefault="00AD777C" w:rsidP="00AD777C">
      <w:pPr>
        <w:spacing w:line="360" w:lineRule="auto"/>
        <w:ind w:firstLine="708"/>
        <w:jc w:val="both"/>
        <w:rPr>
          <w:rFonts w:ascii="Bookman Old Style" w:hAnsi="Bookman Old Style" w:cs="Tahoma"/>
          <w:b/>
          <w:bCs/>
          <w:sz w:val="28"/>
          <w:szCs w:val="28"/>
        </w:rPr>
      </w:pPr>
      <w:r>
        <w:rPr>
          <w:rFonts w:ascii="Bookman Old Style" w:hAnsi="Bookman Old Style" w:cs="Tahoma"/>
          <w:b/>
          <w:bCs/>
          <w:sz w:val="28"/>
          <w:szCs w:val="28"/>
        </w:rPr>
        <w:t>Q</w:t>
      </w:r>
      <w:r w:rsidRPr="00342C56">
        <w:rPr>
          <w:rFonts w:ascii="Bookman Old Style" w:hAnsi="Bookman Old Style" w:cs="Tahoma"/>
          <w:b/>
          <w:bCs/>
          <w:sz w:val="28"/>
          <w:szCs w:val="28"/>
        </w:rPr>
        <w:t>uincuagésimo</w:t>
      </w:r>
      <w:r w:rsidRPr="00342C56">
        <w:rPr>
          <w:rFonts w:ascii="Bookman Old Style" w:hAnsi="Bookman Old Style" w:cs="Tahoma"/>
          <w:b/>
          <w:bCs/>
          <w:color w:val="000000"/>
          <w:sz w:val="28"/>
          <w:szCs w:val="28"/>
        </w:rPr>
        <w:t xml:space="preserve"> séptimo: </w:t>
      </w:r>
      <w:r w:rsidRPr="00342C56">
        <w:rPr>
          <w:rFonts w:ascii="Bookman Old Style" w:hAnsi="Bookman Old Style" w:cs="Tahoma"/>
          <w:bCs/>
          <w:sz w:val="28"/>
          <w:szCs w:val="28"/>
        </w:rPr>
        <w:t>ordenar</w:t>
      </w:r>
      <w:r>
        <w:rPr>
          <w:rFonts w:ascii="Bookman Old Style" w:hAnsi="Bookman Old Style" w:cs="Tahoma"/>
          <w:bCs/>
          <w:sz w:val="28"/>
          <w:szCs w:val="28"/>
        </w:rPr>
        <w:t xml:space="preserve"> a</w:t>
      </w:r>
      <w:r w:rsidRPr="00342C56">
        <w:rPr>
          <w:rFonts w:ascii="Bookman Old Style" w:hAnsi="Bookman Old Style" w:cs="Tahoma"/>
          <w:b/>
          <w:bCs/>
          <w:sz w:val="28"/>
          <w:szCs w:val="28"/>
        </w:rPr>
        <w:t xml:space="preserve"> </w:t>
      </w:r>
      <w:r>
        <w:rPr>
          <w:rFonts w:ascii="Bookman Old Style" w:hAnsi="Bookman Old Style" w:cs="Tahoma"/>
          <w:bCs/>
          <w:sz w:val="28"/>
          <w:szCs w:val="28"/>
        </w:rPr>
        <w:t xml:space="preserve">la </w:t>
      </w:r>
      <w:r>
        <w:rPr>
          <w:rFonts w:ascii="Bookman Old Style" w:hAnsi="Bookman Old Style" w:cs="Tahoma"/>
          <w:sz w:val="28"/>
          <w:szCs w:val="28"/>
        </w:rPr>
        <w:t>UARIV</w:t>
      </w:r>
      <w:r w:rsidRPr="00C472E2">
        <w:rPr>
          <w:rFonts w:ascii="Bookman Old Style" w:hAnsi="Bookman Old Style" w:cs="Tahoma"/>
          <w:sz w:val="28"/>
          <w:szCs w:val="28"/>
        </w:rPr>
        <w:t xml:space="preserve"> que a través de su gestión y con el acompañamiento de las entidades pertinentes, en especial el ICBF, se solicite al Instituto Nacional de Medicina Legal realice las pruebas sanguíneas o de ADN, o la que sea más efectiva para determinar el grado de parentesco de </w:t>
      </w:r>
      <w:r w:rsidRPr="00C472E2">
        <w:rPr>
          <w:rFonts w:ascii="Bookman Old Style" w:hAnsi="Bookman Old Style" w:cs="Tahoma"/>
          <w:sz w:val="28"/>
          <w:szCs w:val="28"/>
          <w:lang w:val="es-MX"/>
        </w:rPr>
        <w:t>Camila Andrea Agudelo Palmero (hecho 10); Daniela Mercedes Villarreal Díaz (hecho 11); Yorleivi Montes Mosquera (hecho 21); Diego Fe</w:t>
      </w:r>
      <w:r>
        <w:rPr>
          <w:rFonts w:ascii="Bookman Old Style" w:hAnsi="Bookman Old Style" w:cs="Tahoma"/>
          <w:sz w:val="28"/>
          <w:szCs w:val="28"/>
          <w:lang w:val="es-MX"/>
        </w:rPr>
        <w:t>rnando Cañón Jiménez (hecho 27)</w:t>
      </w:r>
      <w:r w:rsidRPr="00C472E2">
        <w:rPr>
          <w:rFonts w:ascii="Bookman Old Style" w:hAnsi="Bookman Old Style" w:cs="Tahoma"/>
          <w:sz w:val="28"/>
          <w:szCs w:val="28"/>
          <w:lang w:val="es-MX"/>
        </w:rPr>
        <w:t>; Blanca Nirian Chipiaje Bautista, Carlos Simón Chipiaje Bautista, Zoraida Andrea Chipiaje Bautista y Edilma Chipiaje Bautista (hecho 44); María Alejandra Santos Ponare (hecho 46); Luz Ángela Rodríguez (hecho 79); Julián Andrés Serrano Quiñones (hecho 101); Leidy Tatiana Aquino y Stiven Andrés Aquino (hecho 105)</w:t>
      </w:r>
      <w:r>
        <w:rPr>
          <w:rFonts w:ascii="Bookman Old Style" w:hAnsi="Bookman Old Style" w:cs="Tahoma"/>
          <w:sz w:val="28"/>
          <w:szCs w:val="28"/>
          <w:lang w:val="es-MX"/>
        </w:rPr>
        <w:t xml:space="preserve">. </w:t>
      </w:r>
    </w:p>
    <w:p w:rsidR="00AD777C" w:rsidRDefault="00AD777C" w:rsidP="00AD777C">
      <w:pPr>
        <w:spacing w:line="360" w:lineRule="auto"/>
        <w:jc w:val="both"/>
        <w:rPr>
          <w:rFonts w:ascii="Bookman Old Style" w:hAnsi="Bookman Old Style" w:cs="Tahoma"/>
          <w:b/>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Q</w:t>
      </w:r>
      <w:r w:rsidRPr="00C472E2">
        <w:rPr>
          <w:rFonts w:ascii="Bookman Old Style" w:hAnsi="Bookman Old Style" w:cs="Tahoma"/>
          <w:b/>
          <w:bCs/>
          <w:sz w:val="28"/>
          <w:szCs w:val="28"/>
        </w:rPr>
        <w:t>uincuagésimo</w:t>
      </w:r>
      <w:r w:rsidRPr="00C472E2">
        <w:rPr>
          <w:rFonts w:ascii="Bookman Old Style" w:hAnsi="Bookman Old Style" w:cs="Tahoma"/>
          <w:b/>
          <w:bCs/>
          <w:color w:val="000000"/>
          <w:sz w:val="28"/>
          <w:szCs w:val="28"/>
        </w:rPr>
        <w:t xml:space="preserve"> octavo: </w:t>
      </w:r>
      <w:r w:rsidRPr="00155DA9">
        <w:rPr>
          <w:rFonts w:ascii="Bookman Old Style" w:hAnsi="Bookman Old Style" w:cs="Tahoma"/>
          <w:bCs/>
          <w:color w:val="000000"/>
          <w:sz w:val="28"/>
          <w:szCs w:val="28"/>
        </w:rPr>
        <w:t>no reconocer</w:t>
      </w:r>
      <w:r w:rsidRPr="00C472E2">
        <w:rPr>
          <w:rFonts w:ascii="Bookman Old Style" w:hAnsi="Bookman Old Style" w:cs="Tahoma"/>
          <w:b/>
          <w:bCs/>
          <w:color w:val="000000"/>
          <w:sz w:val="28"/>
          <w:szCs w:val="28"/>
        </w:rPr>
        <w:t xml:space="preserve"> </w:t>
      </w:r>
      <w:r w:rsidRPr="00C472E2">
        <w:rPr>
          <w:rFonts w:ascii="Bookman Old Style" w:hAnsi="Bookman Old Style" w:cs="Tahoma"/>
          <w:bCs/>
          <w:color w:val="000000"/>
          <w:sz w:val="28"/>
          <w:szCs w:val="28"/>
        </w:rPr>
        <w:t xml:space="preserve">la calidad de víctimas a los </w:t>
      </w:r>
      <w:r w:rsidRPr="00C472E2">
        <w:rPr>
          <w:rFonts w:ascii="Bookman Old Style" w:hAnsi="Bookman Old Style" w:cs="Tahoma"/>
          <w:sz w:val="28"/>
          <w:szCs w:val="28"/>
        </w:rPr>
        <w:t>miembros de los grupos armad</w:t>
      </w:r>
      <w:r>
        <w:rPr>
          <w:rFonts w:ascii="Bookman Old Style" w:hAnsi="Bookman Old Style" w:cs="Tahoma"/>
          <w:sz w:val="28"/>
          <w:szCs w:val="28"/>
        </w:rPr>
        <w:t>os organizados al margen de la l</w:t>
      </w:r>
      <w:r w:rsidRPr="00C472E2">
        <w:rPr>
          <w:rFonts w:ascii="Bookman Old Style" w:hAnsi="Bookman Old Style" w:cs="Tahoma"/>
          <w:sz w:val="28"/>
          <w:szCs w:val="28"/>
        </w:rPr>
        <w:t>ey, específicamente en este caso a miembros de las Autodefensas Campesinas de Meta y Vichada, para efectos de que reciban los be</w:t>
      </w:r>
      <w:r>
        <w:rPr>
          <w:rFonts w:ascii="Bookman Old Style" w:hAnsi="Bookman Old Style" w:cs="Tahoma"/>
          <w:sz w:val="28"/>
          <w:szCs w:val="28"/>
        </w:rPr>
        <w:t>neficios de la Ley 1448 de 2011.</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Q</w:t>
      </w:r>
      <w:r w:rsidRPr="00C472E2">
        <w:rPr>
          <w:rFonts w:ascii="Bookman Old Style" w:hAnsi="Bookman Old Style" w:cs="Tahoma"/>
          <w:b/>
          <w:bCs/>
          <w:sz w:val="28"/>
          <w:szCs w:val="28"/>
        </w:rPr>
        <w:t>uincuagésimo</w:t>
      </w:r>
      <w:r w:rsidRPr="00C472E2">
        <w:rPr>
          <w:rFonts w:ascii="Bookman Old Style" w:hAnsi="Bookman Old Style" w:cs="Tahoma"/>
          <w:b/>
          <w:bCs/>
          <w:color w:val="000000"/>
          <w:sz w:val="28"/>
          <w:szCs w:val="28"/>
        </w:rPr>
        <w:t xml:space="preserve"> noveno: </w:t>
      </w:r>
      <w:r w:rsidRPr="00155DA9">
        <w:rPr>
          <w:rFonts w:ascii="Bookman Old Style" w:hAnsi="Bookman Old Style" w:cs="Tahoma"/>
          <w:bCs/>
          <w:sz w:val="28"/>
          <w:szCs w:val="28"/>
        </w:rPr>
        <w:t>ordenar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a la U</w:t>
      </w:r>
      <w:r>
        <w:rPr>
          <w:rFonts w:ascii="Bookman Old Style" w:hAnsi="Bookman Old Style" w:cs="Tahoma"/>
          <w:sz w:val="28"/>
          <w:szCs w:val="28"/>
        </w:rPr>
        <w:t>ARIV</w:t>
      </w:r>
      <w:r w:rsidRPr="00C472E2">
        <w:rPr>
          <w:rFonts w:ascii="Bookman Old Style" w:hAnsi="Bookman Old Style" w:cs="Tahoma"/>
          <w:sz w:val="28"/>
          <w:szCs w:val="28"/>
        </w:rPr>
        <w:t xml:space="preserve"> que propenda por la ejecución de medidas</w:t>
      </w:r>
      <w:r>
        <w:rPr>
          <w:rFonts w:ascii="Bookman Old Style" w:hAnsi="Bookman Old Style" w:cs="Tahoma"/>
          <w:sz w:val="28"/>
          <w:szCs w:val="28"/>
        </w:rPr>
        <w:t xml:space="preserve"> tendientes a realizar la</w:t>
      </w:r>
      <w:r w:rsidRPr="00C472E2">
        <w:rPr>
          <w:rFonts w:ascii="Bookman Old Style" w:hAnsi="Bookman Old Style" w:cs="Tahoma"/>
          <w:sz w:val="28"/>
          <w:szCs w:val="28"/>
        </w:rPr>
        <w:t xml:space="preserve"> caracterización de las violaciones sistemáticas a los derechos humanos de las comunidades indígenas que habitan la zona de influencia de las A</w:t>
      </w:r>
      <w:r>
        <w:rPr>
          <w:rFonts w:ascii="Bookman Old Style" w:hAnsi="Bookman Old Style" w:cs="Tahoma"/>
          <w:sz w:val="28"/>
          <w:szCs w:val="28"/>
        </w:rPr>
        <w:t xml:space="preserve">CMV </w:t>
      </w:r>
      <w:r w:rsidRPr="00C472E2">
        <w:rPr>
          <w:rFonts w:ascii="Bookman Old Style" w:hAnsi="Bookman Old Style" w:cs="Tahoma"/>
          <w:sz w:val="28"/>
          <w:szCs w:val="28"/>
        </w:rPr>
        <w:t>y</w:t>
      </w:r>
      <w:r>
        <w:rPr>
          <w:rFonts w:ascii="Bookman Old Style" w:hAnsi="Bookman Old Style" w:cs="Tahoma"/>
          <w:sz w:val="28"/>
          <w:szCs w:val="28"/>
        </w:rPr>
        <w:t xml:space="preserve"> la creación</w:t>
      </w:r>
      <w:r w:rsidRPr="00C472E2">
        <w:rPr>
          <w:rFonts w:ascii="Bookman Old Style" w:hAnsi="Bookman Old Style" w:cs="Tahoma"/>
          <w:sz w:val="28"/>
          <w:szCs w:val="28"/>
        </w:rPr>
        <w:t>, implementación y promoción de un Programa de Atención en Salud y de Atención Psicosocial Comunitario para la dignificación de las mujeres víctimas de la violencia de género y violencia sexual en el marco del conflicto armado, en los municipios de Puerto López y Puerto Gaitán en el Meta y demás municipios o regiones de influencia de las Autodefensas Campesinas de Meta y Vichada</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S</w:t>
      </w:r>
      <w:r w:rsidRPr="00C472E2">
        <w:rPr>
          <w:rFonts w:ascii="Bookman Old Style" w:hAnsi="Bookman Old Style" w:cs="Tahoma"/>
          <w:b/>
          <w:bCs/>
          <w:sz w:val="28"/>
          <w:szCs w:val="28"/>
        </w:rPr>
        <w:t>extagésimo</w:t>
      </w:r>
      <w:r w:rsidRPr="00C472E2">
        <w:rPr>
          <w:rFonts w:ascii="Bookman Old Style" w:hAnsi="Bookman Old Style" w:cs="Tahoma"/>
          <w:b/>
          <w:bCs/>
          <w:color w:val="000000"/>
          <w:sz w:val="28"/>
          <w:szCs w:val="28"/>
        </w:rPr>
        <w:t xml:space="preserve">: </w:t>
      </w:r>
      <w:r w:rsidRPr="007C432B">
        <w:rPr>
          <w:rFonts w:ascii="Bookman Old Style" w:hAnsi="Bookman Old Style" w:cs="Tahoma"/>
          <w:bCs/>
          <w:sz w:val="28"/>
          <w:szCs w:val="28"/>
        </w:rPr>
        <w:t>ordenar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Pr>
          <w:rFonts w:ascii="Bookman Old Style" w:hAnsi="Bookman Old Style" w:cs="Tahoma"/>
          <w:sz w:val="28"/>
          <w:szCs w:val="28"/>
        </w:rPr>
        <w:t>UARIV</w:t>
      </w:r>
      <w:r w:rsidRPr="00C472E2">
        <w:rPr>
          <w:rFonts w:ascii="Bookman Old Style" w:hAnsi="Bookman Old Style" w:cs="Tahoma"/>
          <w:sz w:val="28"/>
          <w:szCs w:val="28"/>
        </w:rPr>
        <w:t xml:space="preserve"> que en el término de 6 meses, contados a partir de la ejecutoria de</w:t>
      </w:r>
      <w:r>
        <w:rPr>
          <w:rFonts w:ascii="Bookman Old Style" w:hAnsi="Bookman Old Style" w:cs="Tahoma"/>
          <w:sz w:val="28"/>
          <w:szCs w:val="28"/>
        </w:rPr>
        <w:t>l</w:t>
      </w:r>
      <w:r w:rsidRPr="00C472E2">
        <w:rPr>
          <w:rFonts w:ascii="Bookman Old Style" w:hAnsi="Bookman Old Style" w:cs="Tahoma"/>
          <w:sz w:val="28"/>
          <w:szCs w:val="28"/>
        </w:rPr>
        <w:t xml:space="preserve"> fallo, estudie la procedencia de adelantar un proceso de reparación colectiva concertado con las comunidades indígenas afectadas por el accionar delictivo de las Autodefensas Campesinas de Meta y Vichada, especia</w:t>
      </w:r>
      <w:r>
        <w:rPr>
          <w:rFonts w:ascii="Bookman Old Style" w:hAnsi="Bookman Old Style" w:cs="Tahoma"/>
          <w:sz w:val="28"/>
          <w:szCs w:val="28"/>
        </w:rPr>
        <w:t>lmente con la comunidad Sikuani.</w:t>
      </w:r>
    </w:p>
    <w:p w:rsidR="00AD777C" w:rsidRDefault="00AD777C" w:rsidP="00AD777C">
      <w:pPr>
        <w:spacing w:line="360" w:lineRule="auto"/>
        <w:ind w:firstLine="708"/>
        <w:jc w:val="both"/>
        <w:rPr>
          <w:rFonts w:ascii="Bookman Old Style" w:hAnsi="Bookman Old Style" w:cs="Tahoma"/>
          <w:b/>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S</w:t>
      </w:r>
      <w:r w:rsidRPr="00C472E2">
        <w:rPr>
          <w:rFonts w:ascii="Bookman Old Style" w:hAnsi="Bookman Old Style" w:cs="Tahoma"/>
          <w:b/>
          <w:bCs/>
          <w:sz w:val="28"/>
          <w:szCs w:val="28"/>
        </w:rPr>
        <w:t xml:space="preserve">extagésimo primero: </w:t>
      </w:r>
      <w:r w:rsidRPr="007C432B">
        <w:rPr>
          <w:rFonts w:ascii="Bookman Old Style" w:hAnsi="Bookman Old Style" w:cs="Tahoma"/>
          <w:sz w:val="28"/>
          <w:szCs w:val="28"/>
        </w:rPr>
        <w:t>exhortar</w:t>
      </w:r>
      <w:r w:rsidRPr="00C472E2">
        <w:rPr>
          <w:rFonts w:ascii="Bookman Old Style" w:hAnsi="Bookman Old Style" w:cs="Tahoma"/>
          <w:b/>
          <w:sz w:val="28"/>
          <w:szCs w:val="28"/>
        </w:rPr>
        <w:t xml:space="preserve"> </w:t>
      </w:r>
      <w:r w:rsidRPr="00C472E2">
        <w:rPr>
          <w:rFonts w:ascii="Bookman Old Style" w:hAnsi="Bookman Old Style" w:cs="Tahoma"/>
          <w:sz w:val="28"/>
          <w:szCs w:val="28"/>
        </w:rPr>
        <w:t>al Centro de Memoria histórica, para que realice una reconstrucción de la memoria histórica de manera conjunta con las víctimas de los municipios georeferenciados, en donde el proceso de rescate del tejido com</w:t>
      </w:r>
      <w:r>
        <w:rPr>
          <w:rFonts w:ascii="Bookman Old Style" w:hAnsi="Bookman Old Style" w:cs="Tahoma"/>
          <w:sz w:val="28"/>
          <w:szCs w:val="28"/>
        </w:rPr>
        <w:t>unitario concluya con un informe que</w:t>
      </w:r>
      <w:r w:rsidRPr="00C472E2">
        <w:rPr>
          <w:rFonts w:ascii="Bookman Old Style" w:hAnsi="Bookman Old Style" w:cs="Tahoma"/>
          <w:sz w:val="28"/>
          <w:szCs w:val="28"/>
        </w:rPr>
        <w:t xml:space="preserve"> evidencie la sistemática violación de los derechos de la población que habita en esta zona de influencia de “Los Carranceros” o Autodefensas Campesinas de Meta y Vichada</w:t>
      </w:r>
      <w:r>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S</w:t>
      </w:r>
      <w:r w:rsidRPr="007C432B">
        <w:rPr>
          <w:rFonts w:ascii="Bookman Old Style" w:hAnsi="Bookman Old Style" w:cs="Tahoma"/>
          <w:b/>
          <w:bCs/>
          <w:sz w:val="28"/>
          <w:szCs w:val="28"/>
        </w:rPr>
        <w:t xml:space="preserve">extagésimo segundo: </w:t>
      </w:r>
      <w:r w:rsidRPr="007C432B">
        <w:rPr>
          <w:rFonts w:ascii="Bookman Old Style" w:hAnsi="Bookman Old Style" w:cs="Tahoma"/>
          <w:b/>
          <w:sz w:val="28"/>
          <w:szCs w:val="28"/>
        </w:rPr>
        <w:t>exhortar</w:t>
      </w:r>
      <w:r w:rsidRPr="00C472E2">
        <w:rPr>
          <w:rFonts w:ascii="Bookman Old Style" w:hAnsi="Bookman Old Style" w:cs="Tahoma"/>
          <w:sz w:val="28"/>
          <w:szCs w:val="28"/>
        </w:rPr>
        <w:t xml:space="preserve"> a la Fiscalía General de la Nación para que lidere, diseñe, realice y presente un informe integral sobre los bienes entregados por los postulados en los municipios de Puerto López y Puerto Gaitán en el Meta; Cumaribo, Santa Rosalía y La Primavera en el Vichada y se proceda en consecuencia con</w:t>
      </w:r>
      <w:r>
        <w:rPr>
          <w:rFonts w:ascii="Bookman Old Style" w:hAnsi="Bookman Old Style" w:cs="Tahoma"/>
          <w:sz w:val="28"/>
          <w:szCs w:val="28"/>
        </w:rPr>
        <w:t xml:space="preserve"> los resultados de ese informe.</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bCs/>
          <w:sz w:val="28"/>
          <w:szCs w:val="28"/>
        </w:rPr>
      </w:pPr>
      <w:r>
        <w:rPr>
          <w:rFonts w:ascii="Bookman Old Style" w:hAnsi="Bookman Old Style" w:cs="Tahoma"/>
          <w:sz w:val="28"/>
          <w:szCs w:val="28"/>
        </w:rPr>
        <w:t xml:space="preserve"> </w:t>
      </w:r>
      <w:r>
        <w:rPr>
          <w:rFonts w:ascii="Bookman Old Style" w:hAnsi="Bookman Old Style" w:cs="Tahoma"/>
          <w:b/>
          <w:bCs/>
          <w:sz w:val="28"/>
          <w:szCs w:val="28"/>
        </w:rPr>
        <w:t>S</w:t>
      </w:r>
      <w:r w:rsidRPr="007C432B">
        <w:rPr>
          <w:rFonts w:ascii="Bookman Old Style" w:hAnsi="Bookman Old Style" w:cs="Tahoma"/>
          <w:b/>
          <w:bCs/>
          <w:sz w:val="28"/>
          <w:szCs w:val="28"/>
        </w:rPr>
        <w:t>extagésimo tercero</w:t>
      </w:r>
      <w:r>
        <w:rPr>
          <w:rFonts w:ascii="Bookman Old Style" w:hAnsi="Bookman Old Style" w:cs="Tahoma"/>
          <w:bCs/>
          <w:sz w:val="28"/>
          <w:szCs w:val="28"/>
        </w:rPr>
        <w:t>: p</w:t>
      </w:r>
      <w:r w:rsidRPr="00C472E2">
        <w:rPr>
          <w:rFonts w:ascii="Bookman Old Style" w:hAnsi="Bookman Old Style" w:cs="Tahoma"/>
          <w:bCs/>
          <w:sz w:val="28"/>
          <w:szCs w:val="28"/>
        </w:rPr>
        <w:t>ara el cumplimiento de las medidas de satisfacción y reparación simbólicas</w:t>
      </w:r>
      <w:r>
        <w:rPr>
          <w:rFonts w:ascii="Bookman Old Style" w:hAnsi="Bookman Old Style" w:cs="Tahoma"/>
          <w:bCs/>
          <w:sz w:val="28"/>
          <w:szCs w:val="28"/>
        </w:rPr>
        <w:t>,</w:t>
      </w:r>
      <w:r w:rsidRPr="00C472E2">
        <w:rPr>
          <w:rFonts w:ascii="Bookman Old Style" w:hAnsi="Bookman Old Style" w:cs="Tahoma"/>
          <w:bCs/>
          <w:sz w:val="28"/>
          <w:szCs w:val="28"/>
        </w:rPr>
        <w:t xml:space="preserve"> los postulados </w:t>
      </w:r>
      <w:r w:rsidRPr="00C472E2">
        <w:rPr>
          <w:rFonts w:ascii="Bookman Old Style" w:hAnsi="Bookman Old Style" w:cs="Tahoma"/>
          <w:sz w:val="28"/>
          <w:szCs w:val="28"/>
        </w:rPr>
        <w:t>JOSÉ BALDOMERO LINARES MORENO, JOSÉ DELFÍN VILLALOBOS JIMÉNEZ, RAFAEL SALGADO MERCHÁN y MIGUEL ÁNGEL ACHURY</w:t>
      </w:r>
      <w:r>
        <w:rPr>
          <w:rFonts w:ascii="Bookman Old Style" w:hAnsi="Bookman Old Style" w:cs="Tahoma"/>
          <w:sz w:val="28"/>
          <w:szCs w:val="28"/>
        </w:rPr>
        <w:t xml:space="preserve"> PEÑUELA</w:t>
      </w:r>
      <w:r w:rsidRPr="00C472E2">
        <w:rPr>
          <w:rFonts w:ascii="Bookman Old Style" w:hAnsi="Bookman Old Style" w:cs="Tahoma"/>
          <w:sz w:val="28"/>
          <w:szCs w:val="28"/>
        </w:rPr>
        <w:t xml:space="preserve">, </w:t>
      </w:r>
      <w:r w:rsidRPr="00C472E2">
        <w:rPr>
          <w:rFonts w:ascii="Bookman Old Style" w:hAnsi="Bookman Old Style" w:cs="Tahoma"/>
          <w:bCs/>
          <w:sz w:val="28"/>
          <w:szCs w:val="28"/>
        </w:rPr>
        <w:t>deb</w:t>
      </w:r>
      <w:r>
        <w:rPr>
          <w:rFonts w:ascii="Bookman Old Style" w:hAnsi="Bookman Old Style" w:cs="Tahoma"/>
          <w:bCs/>
          <w:sz w:val="28"/>
          <w:szCs w:val="28"/>
        </w:rPr>
        <w:t>erán suscribir una comunicación</w:t>
      </w:r>
      <w:r w:rsidRPr="00C472E2">
        <w:rPr>
          <w:rFonts w:ascii="Bookman Old Style" w:hAnsi="Bookman Old Style" w:cs="Tahoma"/>
          <w:bCs/>
          <w:sz w:val="28"/>
          <w:szCs w:val="28"/>
        </w:rPr>
        <w:t xml:space="preserve"> en la cual hagan reconocimiento público de su responsabilidad en los hechos, ofrezcan disculpas por su conducta y</w:t>
      </w:r>
      <w:r>
        <w:rPr>
          <w:rFonts w:ascii="Bookman Old Style" w:hAnsi="Bookman Old Style" w:cs="Tahoma"/>
          <w:bCs/>
          <w:sz w:val="28"/>
          <w:szCs w:val="28"/>
        </w:rPr>
        <w:t xml:space="preserve"> se comprometan a no repetirlas.</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iCs/>
          <w:sz w:val="28"/>
          <w:szCs w:val="28"/>
        </w:rPr>
      </w:pPr>
      <w:r>
        <w:rPr>
          <w:rFonts w:ascii="Bookman Old Style" w:hAnsi="Bookman Old Style" w:cs="Tahoma"/>
          <w:bCs/>
          <w:sz w:val="28"/>
          <w:szCs w:val="28"/>
        </w:rPr>
        <w:t xml:space="preserve"> </w:t>
      </w:r>
      <w:r>
        <w:rPr>
          <w:rFonts w:ascii="Bookman Old Style" w:hAnsi="Bookman Old Style" w:cs="Tahoma"/>
          <w:b/>
          <w:bCs/>
          <w:sz w:val="28"/>
          <w:szCs w:val="28"/>
        </w:rPr>
        <w:t>S</w:t>
      </w:r>
      <w:r w:rsidRPr="00C472E2">
        <w:rPr>
          <w:rFonts w:ascii="Bookman Old Style" w:hAnsi="Bookman Old Style" w:cs="Tahoma"/>
          <w:b/>
          <w:bCs/>
          <w:sz w:val="28"/>
          <w:szCs w:val="28"/>
        </w:rPr>
        <w:t xml:space="preserve">extagésimo cuarto: </w:t>
      </w:r>
      <w:r w:rsidRPr="007C432B">
        <w:rPr>
          <w:rFonts w:ascii="Bookman Old Style" w:hAnsi="Bookman Old Style" w:cs="Tahoma"/>
          <w:bCs/>
          <w:sz w:val="28"/>
          <w:szCs w:val="28"/>
        </w:rPr>
        <w:t xml:space="preserve">ordenar </w:t>
      </w:r>
      <w:r w:rsidRPr="00C472E2">
        <w:rPr>
          <w:rFonts w:ascii="Bookman Old Style" w:hAnsi="Bookman Old Style" w:cs="Tahoma"/>
          <w:bCs/>
          <w:sz w:val="28"/>
          <w:szCs w:val="28"/>
        </w:rPr>
        <w:t xml:space="preserve">la compulsa de copias ante la  </w:t>
      </w:r>
      <w:r w:rsidRPr="00C472E2">
        <w:rPr>
          <w:rFonts w:ascii="Bookman Old Style" w:hAnsi="Bookman Old Style" w:cs="Tahoma"/>
          <w:iCs/>
          <w:sz w:val="28"/>
          <w:szCs w:val="28"/>
        </w:rPr>
        <w:t>Fiscalía General de la Nación y a los demás entes de control, incluyendo a la Contraloría y a la Procuraduría, para que inicien investigación contra mandos policivos y militares, funcionarios y servidores públicos, personeros municipales, contratistas de la administración pública y mandatarios elegidos (alcaldes y concejales), de los  municipios de Puerto López y Puerto Gaitán y demás zonas de influencia de los paramilitares, que fueron negligentes y permitieron la presencia y el accionar de este grupo armado ilegal</w:t>
      </w:r>
      <w:r>
        <w:rPr>
          <w:rFonts w:ascii="Bookman Old Style" w:hAnsi="Bookman Old Style" w:cs="Tahoma"/>
          <w:iCs/>
          <w:sz w:val="28"/>
          <w:szCs w:val="28"/>
        </w:rPr>
        <w:t xml:space="preserve">. </w:t>
      </w:r>
    </w:p>
    <w:p w:rsidR="00AD777C" w:rsidRDefault="00AD777C" w:rsidP="00AD777C">
      <w:pPr>
        <w:spacing w:line="360" w:lineRule="auto"/>
        <w:ind w:firstLine="708"/>
        <w:jc w:val="both"/>
        <w:rPr>
          <w:rFonts w:ascii="Bookman Old Style" w:hAnsi="Bookman Old Style" w:cs="Tahoma"/>
          <w:iCs/>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S</w:t>
      </w:r>
      <w:r w:rsidRPr="00C472E2">
        <w:rPr>
          <w:rFonts w:ascii="Bookman Old Style" w:hAnsi="Bookman Old Style" w:cs="Tahoma"/>
          <w:b/>
          <w:bCs/>
          <w:sz w:val="28"/>
          <w:szCs w:val="28"/>
        </w:rPr>
        <w:t xml:space="preserve">extagésimo quinto: </w:t>
      </w:r>
      <w:r w:rsidRPr="007C432B">
        <w:rPr>
          <w:rFonts w:ascii="Bookman Old Style" w:hAnsi="Bookman Old Style" w:cs="Tahoma"/>
          <w:sz w:val="28"/>
          <w:szCs w:val="28"/>
        </w:rPr>
        <w:t>exhortar</w:t>
      </w:r>
      <w:r w:rsidRPr="00C472E2">
        <w:rPr>
          <w:rFonts w:ascii="Bookman Old Style" w:hAnsi="Bookman Old Style" w:cs="Tahoma"/>
          <w:b/>
          <w:sz w:val="28"/>
          <w:szCs w:val="28"/>
        </w:rPr>
        <w:t xml:space="preserve"> </w:t>
      </w:r>
      <w:r w:rsidRPr="00C472E2">
        <w:rPr>
          <w:rFonts w:ascii="Bookman Old Style" w:hAnsi="Bookman Old Style" w:cs="Tahoma"/>
          <w:sz w:val="28"/>
          <w:szCs w:val="28"/>
        </w:rPr>
        <w:t xml:space="preserve">al Fondo para la reparación de las víctimas para que indague sobre la actual situación jurídica del bien denominado </w:t>
      </w:r>
      <w:r>
        <w:rPr>
          <w:rFonts w:ascii="Bookman Old Style" w:eastAsia="Batang" w:hAnsi="Bookman Old Style" w:cs="Tahoma"/>
          <w:sz w:val="28"/>
          <w:szCs w:val="28"/>
        </w:rPr>
        <w:t>‘La Porfía’</w:t>
      </w:r>
      <w:r w:rsidRPr="00C472E2">
        <w:rPr>
          <w:rFonts w:ascii="Bookman Old Style" w:eastAsia="Batang" w:hAnsi="Bookman Old Style" w:cs="Tahoma"/>
          <w:sz w:val="28"/>
          <w:szCs w:val="28"/>
        </w:rPr>
        <w:t>,</w:t>
      </w:r>
      <w:r w:rsidRPr="00C472E2">
        <w:rPr>
          <w:rFonts w:ascii="Bookman Old Style" w:hAnsi="Bookman Old Style" w:cs="Tahoma"/>
          <w:sz w:val="28"/>
          <w:szCs w:val="28"/>
        </w:rPr>
        <w:t xml:space="preserve"> en qué etapa se encuentra el proceso de restitución del mismo, y de ser necesario, se ejerzan las accion</w:t>
      </w:r>
      <w:r>
        <w:rPr>
          <w:rFonts w:ascii="Bookman Old Style" w:hAnsi="Bookman Old Style" w:cs="Tahoma"/>
          <w:sz w:val="28"/>
          <w:szCs w:val="28"/>
        </w:rPr>
        <w:t>es civiles, administrativas, pe</w:t>
      </w:r>
      <w:r w:rsidRPr="00C472E2">
        <w:rPr>
          <w:rFonts w:ascii="Bookman Old Style" w:hAnsi="Bookman Old Style" w:cs="Tahoma"/>
          <w:sz w:val="28"/>
          <w:szCs w:val="28"/>
        </w:rPr>
        <w:t>nales y de policía</w:t>
      </w:r>
      <w:r>
        <w:rPr>
          <w:rFonts w:ascii="Bookman Old Style" w:hAnsi="Bookman Old Style" w:cs="Tahoma"/>
          <w:sz w:val="28"/>
          <w:szCs w:val="28"/>
        </w:rPr>
        <w:t>;</w:t>
      </w:r>
      <w:r w:rsidRPr="00C472E2">
        <w:rPr>
          <w:rFonts w:ascii="Bookman Old Style" w:hAnsi="Bookman Old Style" w:cs="Tahoma"/>
          <w:sz w:val="28"/>
          <w:szCs w:val="28"/>
        </w:rPr>
        <w:t xml:space="preserve"> así mismo</w:t>
      </w:r>
      <w:r>
        <w:rPr>
          <w:rFonts w:ascii="Bookman Old Style" w:hAnsi="Bookman Old Style" w:cs="Tahoma"/>
          <w:sz w:val="28"/>
          <w:szCs w:val="28"/>
        </w:rPr>
        <w:t>,</w:t>
      </w:r>
      <w:r w:rsidRPr="00C472E2">
        <w:rPr>
          <w:rFonts w:ascii="Bookman Old Style" w:hAnsi="Bookman Old Style" w:cs="Tahoma"/>
          <w:sz w:val="28"/>
          <w:szCs w:val="28"/>
        </w:rPr>
        <w:t xml:space="preserve"> para que se constituya en opositor en el mencionado proceso de restitución, igualmente, se </w:t>
      </w:r>
      <w:r w:rsidRPr="007C432B">
        <w:rPr>
          <w:rFonts w:ascii="Bookman Old Style" w:hAnsi="Bookman Old Style" w:cs="Tahoma"/>
          <w:sz w:val="28"/>
          <w:szCs w:val="28"/>
        </w:rPr>
        <w:t>exhorta</w:t>
      </w:r>
      <w:r w:rsidRPr="00C472E2">
        <w:rPr>
          <w:rFonts w:ascii="Bookman Old Style" w:hAnsi="Bookman Old Style" w:cs="Tahoma"/>
          <w:b/>
          <w:sz w:val="28"/>
          <w:szCs w:val="28"/>
        </w:rPr>
        <w:t xml:space="preserve"> </w:t>
      </w:r>
      <w:r w:rsidRPr="00C472E2">
        <w:rPr>
          <w:rFonts w:ascii="Bookman Old Style" w:hAnsi="Bookman Old Style" w:cs="Tahoma"/>
          <w:sz w:val="28"/>
          <w:szCs w:val="28"/>
        </w:rPr>
        <w:t xml:space="preserve">a la Fiscalía 47 de la Sub Unidad </w:t>
      </w:r>
      <w:r w:rsidRPr="00C472E2">
        <w:rPr>
          <w:rFonts w:ascii="Bookman Old Style" w:hAnsi="Bookman Old Style" w:cs="Tahoma"/>
          <w:bCs/>
          <w:sz w:val="28"/>
          <w:szCs w:val="28"/>
        </w:rPr>
        <w:t xml:space="preserve">Élite de persecución de bienes para la reparación de las víctimas, </w:t>
      </w:r>
      <w:r w:rsidRPr="00C472E2">
        <w:rPr>
          <w:rFonts w:ascii="Bookman Old Style" w:hAnsi="Bookman Old Style" w:cs="Tahoma"/>
          <w:sz w:val="28"/>
          <w:szCs w:val="28"/>
        </w:rPr>
        <w:t xml:space="preserve">para que le haga seguimiento al desarrollo de las diligencias en torno a este bien. Las dos entidades deberán informar a </w:t>
      </w:r>
      <w:r>
        <w:rPr>
          <w:rFonts w:ascii="Bookman Old Style" w:hAnsi="Bookman Old Style" w:cs="Tahoma"/>
          <w:sz w:val="28"/>
          <w:szCs w:val="28"/>
        </w:rPr>
        <w:t>la</w:t>
      </w:r>
      <w:r w:rsidRPr="00C472E2">
        <w:rPr>
          <w:rFonts w:ascii="Bookman Old Style" w:hAnsi="Bookman Old Style" w:cs="Tahoma"/>
          <w:sz w:val="28"/>
          <w:szCs w:val="28"/>
        </w:rPr>
        <w:t xml:space="preserve"> Sala de las actuaciones adelantadas de acuerdo a la situación descrita en un término no mayor a 6 meses</w:t>
      </w:r>
      <w:r>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eastAsia="Batang" w:hAnsi="Bookman Old Style" w:cs="Tahoma"/>
          <w:sz w:val="28"/>
          <w:szCs w:val="28"/>
        </w:rPr>
      </w:pPr>
      <w:r>
        <w:rPr>
          <w:rFonts w:ascii="Bookman Old Style" w:hAnsi="Bookman Old Style" w:cs="Tahoma"/>
          <w:b/>
          <w:bCs/>
          <w:sz w:val="28"/>
          <w:szCs w:val="28"/>
        </w:rPr>
        <w:t>S</w:t>
      </w:r>
      <w:r w:rsidRPr="00C472E2">
        <w:rPr>
          <w:rFonts w:ascii="Bookman Old Style" w:hAnsi="Bookman Old Style" w:cs="Tahoma"/>
          <w:b/>
          <w:bCs/>
          <w:sz w:val="28"/>
          <w:szCs w:val="28"/>
        </w:rPr>
        <w:t>extagésimo sexto:</w:t>
      </w:r>
      <w:r w:rsidRPr="00C472E2">
        <w:rPr>
          <w:rFonts w:ascii="Bookman Old Style" w:hAnsi="Bookman Old Style" w:cs="Tahoma"/>
          <w:bCs/>
          <w:color w:val="000000"/>
          <w:sz w:val="28"/>
          <w:szCs w:val="28"/>
        </w:rPr>
        <w:t xml:space="preserve"> </w:t>
      </w:r>
      <w:r w:rsidRPr="007C432B">
        <w:rPr>
          <w:rFonts w:ascii="Bookman Old Style" w:hAnsi="Bookman Old Style" w:cs="Tahoma"/>
          <w:bCs/>
          <w:color w:val="000000"/>
          <w:sz w:val="28"/>
          <w:szCs w:val="28"/>
        </w:rPr>
        <w:t>ordenar</w:t>
      </w:r>
      <w:r w:rsidRPr="00C472E2">
        <w:rPr>
          <w:rFonts w:ascii="Bookman Old Style" w:hAnsi="Bookman Old Style" w:cs="Tahoma"/>
          <w:b/>
          <w:bCs/>
          <w:color w:val="000000"/>
          <w:sz w:val="28"/>
          <w:szCs w:val="28"/>
        </w:rPr>
        <w:t xml:space="preserve"> </w:t>
      </w:r>
      <w:r w:rsidRPr="00C472E2">
        <w:rPr>
          <w:rFonts w:ascii="Bookman Old Style" w:eastAsia="Batang" w:hAnsi="Bookman Old Style" w:cs="Tahoma"/>
          <w:sz w:val="28"/>
          <w:szCs w:val="28"/>
        </w:rPr>
        <w:t>que por la Secretaría de la Sala, se compulsen copias ante la Fiscalía General de la Nación, del informe presentado por la Unidad para la Atención y Reparación Integral a las Víctimas, y de la sesión de audiencia pública del 18 de septiembre de 2013, en el que se da cuenta del estado actual de los bienes entregados por los postulados de las A</w:t>
      </w:r>
      <w:r>
        <w:rPr>
          <w:rFonts w:ascii="Bookman Old Style" w:eastAsia="Batang" w:hAnsi="Bookman Old Style" w:cs="Tahoma"/>
          <w:sz w:val="28"/>
          <w:szCs w:val="28"/>
        </w:rPr>
        <w:t>CMV</w:t>
      </w:r>
      <w:r w:rsidRPr="00C472E2">
        <w:rPr>
          <w:rFonts w:ascii="Bookman Old Style" w:eastAsia="Batang" w:hAnsi="Bookman Old Style" w:cs="Tahoma"/>
          <w:sz w:val="28"/>
          <w:szCs w:val="28"/>
        </w:rPr>
        <w:t>, a fin de que se investigue a los funcionarios encargados de la administración de los bienes a los que se ha hecho alusión en esta decisión, por el posible detrimento patrimonial en el que se pudo haber incurrido</w:t>
      </w:r>
      <w:r>
        <w:rPr>
          <w:rFonts w:ascii="Bookman Old Style" w:eastAsia="Batang" w:hAnsi="Bookman Old Style" w:cs="Tahoma"/>
          <w:sz w:val="28"/>
          <w:szCs w:val="28"/>
        </w:rPr>
        <w:t>.</w:t>
      </w:r>
      <w:r w:rsidRPr="00C472E2">
        <w:rPr>
          <w:rFonts w:ascii="Bookman Old Style" w:eastAsia="Batang" w:hAnsi="Bookman Old Style" w:cs="Tahoma"/>
          <w:sz w:val="28"/>
          <w:szCs w:val="28"/>
        </w:rPr>
        <w:t xml:space="preserve"> </w:t>
      </w:r>
    </w:p>
    <w:p w:rsidR="00AD777C" w:rsidRDefault="00AD777C" w:rsidP="00AD777C">
      <w:pPr>
        <w:spacing w:line="360" w:lineRule="auto"/>
        <w:ind w:firstLine="708"/>
        <w:jc w:val="both"/>
        <w:rPr>
          <w:rFonts w:ascii="Bookman Old Style" w:eastAsia="Batang"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S</w:t>
      </w:r>
      <w:r w:rsidRPr="00C472E2">
        <w:rPr>
          <w:rFonts w:ascii="Bookman Old Style" w:hAnsi="Bookman Old Style" w:cs="Tahoma"/>
          <w:b/>
          <w:bCs/>
          <w:sz w:val="28"/>
          <w:szCs w:val="28"/>
        </w:rPr>
        <w:t>extagésimo séptimo:</w:t>
      </w:r>
      <w:r w:rsidRPr="00C472E2">
        <w:rPr>
          <w:rFonts w:ascii="Bookman Old Style" w:hAnsi="Bookman Old Style" w:cs="Tahoma"/>
          <w:b/>
          <w:bCs/>
          <w:color w:val="000000"/>
          <w:sz w:val="28"/>
          <w:szCs w:val="28"/>
        </w:rPr>
        <w:t xml:space="preserve"> </w:t>
      </w:r>
      <w:r w:rsidRPr="007C432B">
        <w:rPr>
          <w:rFonts w:ascii="Bookman Old Style" w:hAnsi="Bookman Old Style" w:cs="Tahoma"/>
          <w:bCs/>
          <w:sz w:val="28"/>
          <w:szCs w:val="28"/>
        </w:rPr>
        <w:t>exhortar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Fiscalía General de la Nación, para que dentro de sus estrategias de priorización en las Unidades Delegadas para la Justicia y la Paz y en la Unidad de Análisis y Contexto, incluya procesos de investigación sobre violencia sexual y de violencia basada en género al que fueron sometidos determinados grupos de mujeres de las regiones de Meta y Vichada</w:t>
      </w:r>
      <w:r w:rsidRPr="006E0E9C">
        <w:rPr>
          <w:rFonts w:ascii="Bookman Old Style" w:hAnsi="Bookman Old Style" w:cs="Tahoma"/>
          <w:sz w:val="28"/>
          <w:szCs w:val="28"/>
        </w:rPr>
        <w:t>,</w:t>
      </w:r>
      <w:r w:rsidRPr="00C472E2">
        <w:rPr>
          <w:rFonts w:ascii="Bookman Old Style" w:hAnsi="Bookman Old Style" w:cs="Tahoma"/>
          <w:b/>
          <w:sz w:val="28"/>
          <w:szCs w:val="28"/>
        </w:rPr>
        <w:t xml:space="preserve"> </w:t>
      </w:r>
      <w:r>
        <w:rPr>
          <w:rFonts w:ascii="Bookman Old Style" w:hAnsi="Bookman Old Style" w:cs="Tahoma"/>
          <w:sz w:val="28"/>
          <w:szCs w:val="28"/>
        </w:rPr>
        <w:t>esto con el fin de que se de</w:t>
      </w:r>
      <w:r w:rsidRPr="00C472E2">
        <w:rPr>
          <w:rFonts w:ascii="Bookman Old Style" w:hAnsi="Bookman Old Style" w:cs="Tahoma"/>
          <w:sz w:val="28"/>
          <w:szCs w:val="28"/>
        </w:rPr>
        <w:t xml:space="preserve"> a conocer</w:t>
      </w:r>
      <w:r>
        <w:rPr>
          <w:rFonts w:ascii="Bookman Old Style" w:hAnsi="Bookman Old Style" w:cs="Tahoma"/>
          <w:sz w:val="28"/>
          <w:szCs w:val="28"/>
        </w:rPr>
        <w:t xml:space="preserve"> el</w:t>
      </w:r>
      <w:r w:rsidRPr="00C472E2">
        <w:rPr>
          <w:rFonts w:ascii="Bookman Old Style" w:hAnsi="Bookman Old Style" w:cs="Tahoma"/>
          <w:sz w:val="28"/>
          <w:szCs w:val="28"/>
        </w:rPr>
        <w:t xml:space="preserve"> patrón de macrocrimin</w:t>
      </w:r>
      <w:r>
        <w:rPr>
          <w:rFonts w:ascii="Bookman Old Style" w:hAnsi="Bookman Old Style" w:cs="Tahoma"/>
          <w:sz w:val="28"/>
          <w:szCs w:val="28"/>
        </w:rPr>
        <w:t>alidad, las características y</w:t>
      </w:r>
      <w:r w:rsidRPr="00C472E2">
        <w:rPr>
          <w:rFonts w:ascii="Bookman Old Style" w:hAnsi="Bookman Old Style" w:cs="Tahoma"/>
          <w:sz w:val="28"/>
          <w:szCs w:val="28"/>
        </w:rPr>
        <w:t xml:space="preserve"> número de mujeres víctimas de la violencia generalizada y/o sistemática que sufrió este tipo de población de la región; en especial</w:t>
      </w:r>
      <w:r>
        <w:rPr>
          <w:rFonts w:ascii="Bookman Old Style" w:hAnsi="Bookman Old Style" w:cs="Tahoma"/>
          <w:sz w:val="28"/>
          <w:szCs w:val="28"/>
        </w:rPr>
        <w:t>, sobre el control social</w:t>
      </w:r>
      <w:r w:rsidRPr="00C472E2">
        <w:rPr>
          <w:rFonts w:ascii="Bookman Old Style" w:hAnsi="Bookman Old Style" w:cs="Tahoma"/>
          <w:sz w:val="28"/>
          <w:szCs w:val="28"/>
        </w:rPr>
        <w:t xml:space="preserve"> conocido c</w:t>
      </w:r>
      <w:r>
        <w:rPr>
          <w:rFonts w:ascii="Bookman Old Style" w:hAnsi="Bookman Old Style" w:cs="Tahoma"/>
          <w:sz w:val="28"/>
          <w:szCs w:val="28"/>
        </w:rPr>
        <w:t>on el nombre general de ‘Niñas Calvas’.</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b/>
          <w:bCs/>
          <w:sz w:val="28"/>
          <w:szCs w:val="28"/>
        </w:rPr>
        <w:t>S</w:t>
      </w:r>
      <w:r w:rsidRPr="006E0E9C">
        <w:rPr>
          <w:rFonts w:ascii="Bookman Old Style" w:hAnsi="Bookman Old Style" w:cs="Tahoma"/>
          <w:b/>
          <w:bCs/>
          <w:sz w:val="28"/>
          <w:szCs w:val="28"/>
        </w:rPr>
        <w:t xml:space="preserve">extagésimo octavo: </w:t>
      </w:r>
      <w:r w:rsidRPr="006E0E9C">
        <w:rPr>
          <w:rFonts w:ascii="Bookman Old Style" w:hAnsi="Bookman Old Style" w:cs="Tahoma"/>
          <w:bCs/>
          <w:sz w:val="28"/>
          <w:szCs w:val="28"/>
        </w:rPr>
        <w:t>ordenar</w:t>
      </w:r>
      <w:r>
        <w:rPr>
          <w:rFonts w:ascii="Bookman Old Style" w:hAnsi="Bookman Old Style" w:cs="Tahoma"/>
          <w:bCs/>
          <w:sz w:val="28"/>
          <w:szCs w:val="28"/>
        </w:rPr>
        <w:t xml:space="preserve"> a la </w:t>
      </w:r>
      <w:r>
        <w:rPr>
          <w:rFonts w:ascii="Bookman Old Style" w:hAnsi="Bookman Old Style" w:cs="Tahoma"/>
          <w:sz w:val="28"/>
          <w:szCs w:val="28"/>
        </w:rPr>
        <w:t>UARIV</w:t>
      </w:r>
      <w:r w:rsidRPr="00C472E2">
        <w:rPr>
          <w:rFonts w:ascii="Bookman Old Style" w:hAnsi="Bookman Old Style" w:cs="Tahoma"/>
          <w:sz w:val="28"/>
          <w:szCs w:val="28"/>
        </w:rPr>
        <w:t xml:space="preserve"> que incluya dentro de sus procesos de atención y reparación integral a las mujeres víctimas de cualquier clase de violencia, incluida la violencia sexual y la violencia basada en género, para que de manera específica y de forma articulada con la Fiscalía, la Defensoría del Pueblo, la Procuraduría General de la Nación y demás entidades con responsabilidad para implementar el Sistema Nacional de Atención y Reparación Integral a Víctimas –SNARIV-, caractericen y registren a las mujeres víctimas de los </w:t>
      </w:r>
      <w:r>
        <w:rPr>
          <w:rFonts w:ascii="Bookman Old Style" w:hAnsi="Bookman Old Style" w:cs="Tahoma"/>
          <w:sz w:val="28"/>
          <w:szCs w:val="28"/>
        </w:rPr>
        <w:t>departamentos de Meta y Vichada.</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bCs/>
          <w:sz w:val="28"/>
          <w:szCs w:val="28"/>
        </w:rPr>
      </w:pPr>
      <w:r>
        <w:rPr>
          <w:rFonts w:ascii="Bookman Old Style" w:hAnsi="Bookman Old Style" w:cs="Tahoma"/>
          <w:b/>
          <w:bCs/>
          <w:sz w:val="28"/>
          <w:szCs w:val="28"/>
        </w:rPr>
        <w:t>S</w:t>
      </w:r>
      <w:r w:rsidRPr="00C472E2">
        <w:rPr>
          <w:rFonts w:ascii="Bookman Old Style" w:hAnsi="Bookman Old Style" w:cs="Tahoma"/>
          <w:b/>
          <w:bCs/>
          <w:sz w:val="28"/>
          <w:szCs w:val="28"/>
        </w:rPr>
        <w:t xml:space="preserve">extagésimo noveno: </w:t>
      </w:r>
      <w:r w:rsidRPr="006E0E9C">
        <w:rPr>
          <w:rFonts w:ascii="Bookman Old Style" w:hAnsi="Bookman Old Style" w:cs="Tahoma"/>
          <w:sz w:val="28"/>
          <w:szCs w:val="28"/>
        </w:rPr>
        <w:t>exhortar</w:t>
      </w:r>
      <w:r w:rsidRPr="00C472E2">
        <w:rPr>
          <w:rFonts w:ascii="Bookman Old Style" w:hAnsi="Bookman Old Style" w:cs="Tahoma"/>
          <w:sz w:val="28"/>
          <w:szCs w:val="28"/>
        </w:rPr>
        <w:t xml:space="preserve"> al Centro Nacional de Memoria Histórica (CNMH), y al Ministerio de Educación Nacional, para que apliquen las “</w:t>
      </w:r>
      <w:r w:rsidRPr="00C472E2">
        <w:rPr>
          <w:rFonts w:ascii="Bookman Old Style" w:hAnsi="Bookman Old Style" w:cs="Tahoma"/>
          <w:i/>
          <w:sz w:val="28"/>
          <w:szCs w:val="28"/>
        </w:rPr>
        <w:t>buenas prácticas</w:t>
      </w:r>
      <w:r w:rsidRPr="00C472E2">
        <w:rPr>
          <w:rFonts w:ascii="Bookman Old Style" w:hAnsi="Bookman Old Style" w:cs="Tahoma"/>
          <w:sz w:val="28"/>
          <w:szCs w:val="28"/>
        </w:rPr>
        <w:t>” aprehendidas en el proceso de construcción de la “Caja de herramientas” en los departamentos de Meta y Vichada y brinden a los</w:t>
      </w:r>
      <w:r w:rsidRPr="00C472E2">
        <w:rPr>
          <w:rFonts w:ascii="Bookman Old Style" w:hAnsi="Bookman Old Style" w:cs="Tahoma"/>
          <w:bCs/>
          <w:sz w:val="28"/>
          <w:szCs w:val="28"/>
        </w:rPr>
        <w:t xml:space="preserve"> maestros y maestras de esa región experiencias didácticas, elementos conceptuales y actividades desde las cuales se socialicen los “informes de memoria histórica”, se propicie la elaboración de informes sobre el accionar de las Autodefensas Campesinas de Meta y Vichada,  que a futuro permitan la implementación de medidas de satisfacción y no repetición y como forma de impulso al proceso de promoción de la cultura del</w:t>
      </w:r>
      <w:r>
        <w:rPr>
          <w:rFonts w:ascii="Bookman Old Style" w:hAnsi="Bookman Old Style" w:cs="Tahoma"/>
          <w:bCs/>
          <w:sz w:val="28"/>
          <w:szCs w:val="28"/>
        </w:rPr>
        <w:t xml:space="preserve"> respeto a los derechos humanos.</w:t>
      </w:r>
      <w:r w:rsidRPr="00C472E2">
        <w:rPr>
          <w:rFonts w:ascii="Bookman Old Style" w:hAnsi="Bookman Old Style" w:cs="Tahoma"/>
          <w:bCs/>
          <w:sz w:val="28"/>
          <w:szCs w:val="28"/>
        </w:rPr>
        <w:t xml:space="preserve"> </w:t>
      </w:r>
    </w:p>
    <w:p w:rsidR="00AD777C" w:rsidRDefault="00AD777C" w:rsidP="00AD777C">
      <w:pPr>
        <w:spacing w:line="360" w:lineRule="auto"/>
        <w:ind w:firstLine="708"/>
        <w:jc w:val="both"/>
        <w:rPr>
          <w:rFonts w:ascii="Bookman Old Style" w:hAnsi="Bookman Old Style" w:cs="Tahoma"/>
          <w:bCs/>
          <w:sz w:val="28"/>
          <w:szCs w:val="28"/>
        </w:rPr>
      </w:pPr>
    </w:p>
    <w:p w:rsidR="00AD777C" w:rsidRDefault="00AD777C" w:rsidP="00AD777C">
      <w:pPr>
        <w:spacing w:line="360" w:lineRule="auto"/>
        <w:ind w:firstLine="708"/>
        <w:jc w:val="both"/>
        <w:rPr>
          <w:rFonts w:ascii="Bookman Old Style" w:hAnsi="Bookman Old Style" w:cs="Tahoma"/>
          <w:sz w:val="28"/>
          <w:szCs w:val="28"/>
        </w:rPr>
      </w:pPr>
      <w:r>
        <w:rPr>
          <w:rStyle w:val="Textoennegrita"/>
          <w:rFonts w:ascii="Bookman Old Style" w:hAnsi="Bookman Old Style" w:cs="Tahoma"/>
          <w:sz w:val="28"/>
          <w:szCs w:val="28"/>
        </w:rPr>
        <w:t>S</w:t>
      </w:r>
      <w:r w:rsidRPr="006E0E9C">
        <w:rPr>
          <w:rStyle w:val="Textoennegrita"/>
          <w:rFonts w:ascii="Bookman Old Style" w:hAnsi="Bookman Old Style" w:cs="Tahoma"/>
          <w:sz w:val="28"/>
          <w:szCs w:val="28"/>
        </w:rPr>
        <w:t xml:space="preserve">eptuagésimo: </w:t>
      </w:r>
      <w:r w:rsidRPr="006E0E9C">
        <w:rPr>
          <w:rFonts w:ascii="Bookman Old Style" w:hAnsi="Bookman Old Style" w:cs="Tahoma"/>
          <w:bCs/>
          <w:sz w:val="28"/>
          <w:szCs w:val="28"/>
        </w:rPr>
        <w:t>exhortar</w:t>
      </w:r>
      <w:r w:rsidRPr="00C472E2">
        <w:rPr>
          <w:rFonts w:ascii="Bookman Old Style" w:hAnsi="Bookman Old Style" w:cs="Tahoma"/>
          <w:bCs/>
          <w:sz w:val="28"/>
          <w:szCs w:val="28"/>
        </w:rPr>
        <w:t xml:space="preserve"> a la </w:t>
      </w:r>
      <w:r w:rsidRPr="00C472E2">
        <w:rPr>
          <w:rFonts w:ascii="Bookman Old Style" w:hAnsi="Bookman Old Style" w:cs="Tahoma"/>
          <w:sz w:val="28"/>
          <w:szCs w:val="28"/>
        </w:rPr>
        <w:t>Fiscalía General de la Nación, para que a futuro, dentro de su estrategia de priorización, impute y presente ante el Tribunal casos de violaciones a los Derechos Humanos e infracciones al DIH en los cuales se destaque el ataque sistemático e indiscriminado contra la población civil y no contra miembros y ex miembros de las Autodefensas Campesinas de Meta y Vichada, c</w:t>
      </w:r>
      <w:r>
        <w:rPr>
          <w:rFonts w:ascii="Bookman Old Style" w:hAnsi="Bookman Old Style" w:cs="Tahoma"/>
          <w:sz w:val="28"/>
          <w:szCs w:val="28"/>
        </w:rPr>
        <w:t>omo sucedió en el presente caso.</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Style w:val="Textoennegrita"/>
          <w:rFonts w:ascii="Bookman Old Style" w:hAnsi="Bookman Old Style" w:cs="Tahoma"/>
          <w:sz w:val="28"/>
          <w:szCs w:val="28"/>
        </w:rPr>
        <w:t>S</w:t>
      </w:r>
      <w:r w:rsidRPr="006E0E9C">
        <w:rPr>
          <w:rStyle w:val="Textoennegrita"/>
          <w:rFonts w:ascii="Bookman Old Style" w:hAnsi="Bookman Old Style" w:cs="Tahoma"/>
          <w:sz w:val="28"/>
          <w:szCs w:val="28"/>
        </w:rPr>
        <w:t xml:space="preserve">eptuagésimo primero: </w:t>
      </w:r>
      <w:r w:rsidRPr="006E0E9C">
        <w:rPr>
          <w:rFonts w:ascii="Bookman Old Style" w:hAnsi="Bookman Old Style" w:cs="Tahoma"/>
          <w:bCs/>
          <w:sz w:val="28"/>
          <w:szCs w:val="28"/>
        </w:rPr>
        <w:t>exhortar</w:t>
      </w:r>
      <w:r w:rsidRPr="00C472E2">
        <w:rPr>
          <w:rFonts w:ascii="Bookman Old Style" w:hAnsi="Bookman Old Style" w:cs="Tahoma"/>
          <w:bCs/>
          <w:sz w:val="28"/>
          <w:szCs w:val="28"/>
        </w:rPr>
        <w:t xml:space="preserve"> a la </w:t>
      </w:r>
      <w:r w:rsidRPr="00C472E2">
        <w:rPr>
          <w:rFonts w:ascii="Bookman Old Style" w:hAnsi="Bookman Old Style" w:cs="Tahoma"/>
          <w:sz w:val="28"/>
          <w:szCs w:val="28"/>
        </w:rPr>
        <w:t>Fiscalía General de la Nación, para que dentro de sus estrategias de priorización en las Unidades Delegadas para la Justicia y la Paz y en la Unidad de Análisis y Contexto, se generen investigaciones y actividades para develar los patrones de macrocriminalidad, las características y formas de vulneración de derechos individuales y colectivos de los miembros y de las comunidades étnicas afectadas por el accionar de las A</w:t>
      </w:r>
      <w:r>
        <w:rPr>
          <w:rFonts w:ascii="Bookman Old Style" w:hAnsi="Bookman Old Style" w:cs="Tahoma"/>
          <w:sz w:val="28"/>
          <w:szCs w:val="28"/>
        </w:rPr>
        <w:t>CMV.</w:t>
      </w:r>
      <w:r w:rsidRPr="00C472E2">
        <w:rPr>
          <w:rFonts w:ascii="Bookman Old Style" w:hAnsi="Bookman Old Style" w:cs="Tahoma"/>
          <w:sz w:val="28"/>
          <w:szCs w:val="28"/>
        </w:rPr>
        <w:t xml:space="preserve">  </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Pr>
          <w:rStyle w:val="Textoennegrita"/>
          <w:rFonts w:ascii="Bookman Old Style" w:hAnsi="Bookman Old Style" w:cs="Tahoma"/>
          <w:sz w:val="28"/>
          <w:szCs w:val="28"/>
        </w:rPr>
        <w:t>S</w:t>
      </w:r>
      <w:r w:rsidRPr="00C472E2">
        <w:rPr>
          <w:rStyle w:val="Textoennegrita"/>
          <w:rFonts w:ascii="Bookman Old Style" w:hAnsi="Bookman Old Style" w:cs="Tahoma"/>
          <w:sz w:val="28"/>
          <w:szCs w:val="28"/>
        </w:rPr>
        <w:t xml:space="preserve">eptuagésimo segundo: </w:t>
      </w:r>
      <w:r w:rsidRPr="006E0E9C">
        <w:rPr>
          <w:rFonts w:ascii="Bookman Old Style" w:hAnsi="Bookman Old Style" w:cs="Tahoma"/>
          <w:bCs/>
          <w:sz w:val="28"/>
          <w:szCs w:val="28"/>
        </w:rPr>
        <w:t xml:space="preserve">exhortar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Fiscalía General de la Nación para que cree una Unidad Especial dedicada al trámite e investigación de las copias que se ordenan librar con motivo de las versiones libres que rinden los postulados, las declaraciones de las víctimas donde se hacen señalamientos y las demás actividades investigativas</w:t>
      </w:r>
      <w:r>
        <w:rPr>
          <w:rFonts w:ascii="Bookman Old Style" w:hAnsi="Bookman Old Style" w:cs="Tahoma"/>
          <w:sz w:val="28"/>
          <w:szCs w:val="28"/>
        </w:rPr>
        <w:t>.</w:t>
      </w:r>
    </w:p>
    <w:p w:rsidR="00AD777C" w:rsidRDefault="00AD777C" w:rsidP="00AD777C">
      <w:pPr>
        <w:spacing w:line="360" w:lineRule="auto"/>
        <w:ind w:firstLine="708"/>
        <w:jc w:val="both"/>
        <w:rPr>
          <w:rFonts w:ascii="Bookman Old Style" w:hAnsi="Bookman Old Style" w:cs="Tahoma"/>
          <w:sz w:val="28"/>
          <w:szCs w:val="28"/>
        </w:rPr>
      </w:pPr>
    </w:p>
    <w:p w:rsidR="00AD777C" w:rsidRDefault="00AD777C" w:rsidP="00AD777C">
      <w:pPr>
        <w:spacing w:line="360" w:lineRule="auto"/>
        <w:ind w:firstLine="708"/>
        <w:jc w:val="both"/>
        <w:rPr>
          <w:rFonts w:ascii="Bookman Old Style" w:hAnsi="Bookman Old Style" w:cs="Tahoma"/>
          <w:sz w:val="28"/>
          <w:szCs w:val="28"/>
        </w:rPr>
      </w:pPr>
      <w:r w:rsidRPr="00C472E2">
        <w:rPr>
          <w:rFonts w:ascii="Bookman Old Style" w:hAnsi="Bookman Old Style" w:cs="Tahoma"/>
          <w:sz w:val="28"/>
          <w:szCs w:val="28"/>
        </w:rPr>
        <w:t xml:space="preserve"> </w:t>
      </w:r>
      <w:r>
        <w:rPr>
          <w:rStyle w:val="Textoennegrita"/>
          <w:rFonts w:ascii="Bookman Old Style" w:hAnsi="Bookman Old Style" w:cs="Tahoma"/>
          <w:sz w:val="28"/>
          <w:szCs w:val="28"/>
        </w:rPr>
        <w:t>S</w:t>
      </w:r>
      <w:r w:rsidRPr="00C472E2">
        <w:rPr>
          <w:rStyle w:val="Textoennegrita"/>
          <w:rFonts w:ascii="Bookman Old Style" w:hAnsi="Bookman Old Style" w:cs="Tahoma"/>
          <w:sz w:val="28"/>
          <w:szCs w:val="28"/>
        </w:rPr>
        <w:t>eptuagésimo tercero</w:t>
      </w:r>
      <w:r w:rsidRPr="00C472E2">
        <w:rPr>
          <w:rFonts w:ascii="Bookman Old Style" w:hAnsi="Bookman Old Style" w:cs="Tahoma"/>
          <w:b/>
          <w:bCs/>
          <w:color w:val="000000"/>
          <w:sz w:val="28"/>
          <w:szCs w:val="28"/>
        </w:rPr>
        <w:t xml:space="preserve">: </w:t>
      </w:r>
      <w:r w:rsidRPr="006E0E9C">
        <w:rPr>
          <w:rFonts w:ascii="Bookman Old Style" w:hAnsi="Bookman Old Style" w:cs="Tahoma"/>
          <w:bCs/>
          <w:sz w:val="28"/>
          <w:szCs w:val="28"/>
        </w:rPr>
        <w:t>exhortar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Procuraduría General de la Nación para que destine un g</w:t>
      </w:r>
      <w:r>
        <w:rPr>
          <w:rFonts w:ascii="Bookman Old Style" w:hAnsi="Bookman Old Style" w:cs="Tahoma"/>
          <w:sz w:val="28"/>
          <w:szCs w:val="28"/>
        </w:rPr>
        <w:t>rupo de Procuradores que ejerza</w:t>
      </w:r>
      <w:r w:rsidRPr="00C472E2">
        <w:rPr>
          <w:rFonts w:ascii="Bookman Old Style" w:hAnsi="Bookman Old Style" w:cs="Tahoma"/>
          <w:sz w:val="28"/>
          <w:szCs w:val="28"/>
        </w:rPr>
        <w:t xml:space="preserve"> las funciones inherentes al Ministerio Público, entre ellas</w:t>
      </w:r>
      <w:r>
        <w:rPr>
          <w:rFonts w:ascii="Bookman Old Style" w:hAnsi="Bookman Old Style" w:cs="Tahoma"/>
          <w:sz w:val="28"/>
          <w:szCs w:val="28"/>
        </w:rPr>
        <w:t>,</w:t>
      </w:r>
      <w:r w:rsidRPr="00C472E2">
        <w:rPr>
          <w:rFonts w:ascii="Bookman Old Style" w:hAnsi="Bookman Old Style" w:cs="Tahoma"/>
          <w:sz w:val="28"/>
          <w:szCs w:val="28"/>
        </w:rPr>
        <w:t xml:space="preserve"> vigilar y evaluar el desarrollo de las investigaciones que se originen en las copias ordenada</w:t>
      </w:r>
      <w:r>
        <w:rPr>
          <w:rFonts w:ascii="Bookman Old Style" w:hAnsi="Bookman Old Style" w:cs="Tahoma"/>
          <w:sz w:val="28"/>
          <w:szCs w:val="28"/>
        </w:rPr>
        <w:t>s por la Sala de Justicia y Paz.</w:t>
      </w:r>
    </w:p>
    <w:p w:rsidR="00AD777C" w:rsidRDefault="00AD777C" w:rsidP="00AD777C">
      <w:pPr>
        <w:spacing w:line="360" w:lineRule="auto"/>
        <w:ind w:firstLine="708"/>
        <w:jc w:val="both"/>
        <w:rPr>
          <w:rFonts w:ascii="Bookman Old Style" w:hAnsi="Bookman Old Style" w:cs="Tahoma"/>
          <w:sz w:val="28"/>
          <w:szCs w:val="28"/>
        </w:rPr>
      </w:pPr>
    </w:p>
    <w:p w:rsidR="00AD777C" w:rsidRPr="00C472E2" w:rsidRDefault="00AD777C" w:rsidP="00AD777C">
      <w:pPr>
        <w:spacing w:line="360" w:lineRule="auto"/>
        <w:ind w:firstLine="708"/>
        <w:jc w:val="both"/>
        <w:rPr>
          <w:rFonts w:ascii="Bookman Old Style" w:hAnsi="Bookman Old Style" w:cs="Tahoma"/>
          <w:sz w:val="28"/>
          <w:szCs w:val="28"/>
        </w:rPr>
      </w:pPr>
      <w:r>
        <w:rPr>
          <w:rFonts w:ascii="Bookman Old Style" w:hAnsi="Bookman Old Style" w:cs="Tahoma"/>
          <w:sz w:val="28"/>
          <w:szCs w:val="28"/>
        </w:rPr>
        <w:t xml:space="preserve"> </w:t>
      </w:r>
      <w:r>
        <w:rPr>
          <w:rStyle w:val="Textoennegrita"/>
          <w:rFonts w:ascii="Bookman Old Style" w:hAnsi="Bookman Old Style" w:cs="Tahoma"/>
          <w:sz w:val="28"/>
          <w:szCs w:val="28"/>
        </w:rPr>
        <w:t>S</w:t>
      </w:r>
      <w:r w:rsidRPr="00C472E2">
        <w:rPr>
          <w:rStyle w:val="Textoennegrita"/>
          <w:rFonts w:ascii="Bookman Old Style" w:hAnsi="Bookman Old Style" w:cs="Tahoma"/>
          <w:sz w:val="28"/>
          <w:szCs w:val="28"/>
        </w:rPr>
        <w:t xml:space="preserve">eptuagésimo </w:t>
      </w:r>
      <w:r w:rsidRPr="00C472E2">
        <w:rPr>
          <w:rFonts w:ascii="Bookman Old Style" w:hAnsi="Bookman Old Style" w:cs="Tahoma"/>
          <w:b/>
          <w:bCs/>
          <w:color w:val="000000"/>
          <w:sz w:val="28"/>
          <w:szCs w:val="28"/>
        </w:rPr>
        <w:t xml:space="preserve">cuarto: </w:t>
      </w:r>
      <w:r w:rsidRPr="006E0E9C">
        <w:rPr>
          <w:rFonts w:ascii="Bookman Old Style" w:hAnsi="Bookman Old Style" w:cs="Tahoma"/>
          <w:bCs/>
          <w:sz w:val="28"/>
          <w:szCs w:val="28"/>
        </w:rPr>
        <w:t>exhortar</w:t>
      </w:r>
      <w:r w:rsidRPr="00C472E2">
        <w:rPr>
          <w:rFonts w:ascii="Bookman Old Style" w:hAnsi="Bookman Old Style" w:cs="Tahoma"/>
          <w:b/>
          <w:bCs/>
          <w:sz w:val="28"/>
          <w:szCs w:val="28"/>
        </w:rPr>
        <w:t xml:space="preserve"> </w:t>
      </w:r>
      <w:r w:rsidRPr="00C472E2">
        <w:rPr>
          <w:rFonts w:ascii="Bookman Old Style" w:hAnsi="Bookman Old Style" w:cs="Tahoma"/>
          <w:bCs/>
          <w:sz w:val="28"/>
          <w:szCs w:val="28"/>
        </w:rPr>
        <w:t xml:space="preserve">a la </w:t>
      </w:r>
      <w:r w:rsidRPr="00C472E2">
        <w:rPr>
          <w:rFonts w:ascii="Bookman Old Style" w:hAnsi="Bookman Old Style" w:cs="Tahoma"/>
          <w:sz w:val="28"/>
          <w:szCs w:val="28"/>
        </w:rPr>
        <w:t xml:space="preserve">Fiscalía General de la Nación para que investigue y persiga los bienes de los demás integrantes las Autodefensas Campesinas de Meta y Vichada, con el objeto de que sean destinados al Fondo de Reparación de las Víctimas, así mismo, para que se identifiquen los bienes pertenecientes a los ex congresistas que están siendo procesados por la  Sala de Casación Penal de la Corte Suprema de Justicia por parapolítica y soliciten las medidas cautelares pertinentes ante el Magistrado de Control de Garantías, para posibilitar su ingreso </w:t>
      </w:r>
      <w:r>
        <w:rPr>
          <w:rFonts w:ascii="Bookman Old Style" w:hAnsi="Bookman Old Style" w:cs="Tahoma"/>
          <w:sz w:val="28"/>
          <w:szCs w:val="28"/>
        </w:rPr>
        <w:t>al Fondo Nacional de Reparación.</w:t>
      </w:r>
    </w:p>
    <w:p w:rsidR="00AD777C" w:rsidRDefault="00AD777C" w:rsidP="00AD777C">
      <w:pPr>
        <w:spacing w:line="360" w:lineRule="auto"/>
        <w:ind w:firstLine="708"/>
        <w:jc w:val="both"/>
        <w:rPr>
          <w:rFonts w:ascii="Bookman Old Style" w:hAnsi="Bookman Old Style"/>
          <w:sz w:val="28"/>
          <w:szCs w:val="28"/>
        </w:rPr>
      </w:pPr>
    </w:p>
    <w:p w:rsidR="00AD777C" w:rsidRPr="00EE44ED" w:rsidRDefault="00AD777C" w:rsidP="00AD777C">
      <w:pPr>
        <w:spacing w:line="360" w:lineRule="auto"/>
        <w:jc w:val="center"/>
        <w:rPr>
          <w:rFonts w:ascii="Bookman Old Style" w:hAnsi="Bookman Old Style"/>
          <w:b/>
          <w:sz w:val="28"/>
          <w:szCs w:val="28"/>
        </w:rPr>
      </w:pPr>
      <w:r w:rsidRPr="00EE44ED">
        <w:rPr>
          <w:rFonts w:ascii="Bookman Old Style" w:hAnsi="Bookman Old Style"/>
          <w:b/>
          <w:sz w:val="28"/>
          <w:szCs w:val="28"/>
        </w:rPr>
        <w:t>SUSTENTACIÓN DE LOS RECURSOS</w:t>
      </w:r>
    </w:p>
    <w:p w:rsidR="00AD777C" w:rsidRPr="00EE44ED" w:rsidRDefault="00AD777C" w:rsidP="00AD777C">
      <w:pPr>
        <w:spacing w:line="360" w:lineRule="auto"/>
        <w:ind w:right="-187" w:firstLine="708"/>
        <w:rPr>
          <w:rFonts w:ascii="Bookman Old Style" w:hAnsi="Bookman Old Style"/>
          <w:b/>
          <w:sz w:val="28"/>
          <w:szCs w:val="28"/>
        </w:rPr>
      </w:pPr>
    </w:p>
    <w:p w:rsidR="00AD777C"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b/>
          <w:sz w:val="28"/>
          <w:szCs w:val="28"/>
        </w:rPr>
        <w:t>1. LOS ABOGADOS REPRESENTA</w:t>
      </w:r>
      <w:r w:rsidRPr="00E81231">
        <w:rPr>
          <w:rFonts w:ascii="Bookman Old Style" w:hAnsi="Bookman Old Style"/>
          <w:b/>
          <w:sz w:val="28"/>
          <w:szCs w:val="28"/>
        </w:rPr>
        <w:t>NTES DE VÍCTIMAS</w:t>
      </w:r>
      <w:r>
        <w:rPr>
          <w:rStyle w:val="Refdenotaalpie"/>
          <w:rFonts w:ascii="Bookman Old Style" w:hAnsi="Bookman Old Style"/>
          <w:sz w:val="28"/>
          <w:szCs w:val="28"/>
        </w:rPr>
        <w:footnoteReference w:id="22"/>
      </w:r>
    </w:p>
    <w:p w:rsidR="00AD777C" w:rsidRDefault="00AD777C" w:rsidP="00AD777C">
      <w:pPr>
        <w:spacing w:line="360" w:lineRule="auto"/>
        <w:ind w:right="-187" w:firstLine="708"/>
        <w:rPr>
          <w:rFonts w:ascii="Bookman Old Style" w:hAnsi="Bookman Old Style"/>
          <w:b/>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 xml:space="preserve">Se muestran en desacuerdo con la aplicación de los artículos de la Ley 1592 de 2012 que dispusieron la reparación de las víctimas a través de la vía administrativa, por considerar que vulneran la Constitución Política colombiana y la Convención Americana de Derechos Humanos, al afectar derechos fundamentales de las personas que pretenden el reconocimiento de los perjuicios ocasionados por los grupos armados ilegales, dentro del proceso penal. </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Conforme con esa apreciación, solicitan la inaplicación de esta ley a través de la excepción de inconstitucionalidad para que, en su lugar, se acuda a la Ley 975 de 2005.</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Adicionalmente, atendiendo sus intereses y legitimidad para actuar, se centraron puntualmente en cada caso señalando las inconformidades con la sentencia, así:</w:t>
      </w:r>
    </w:p>
    <w:p w:rsidR="00AD777C" w:rsidRDefault="00AD777C" w:rsidP="00AD777C">
      <w:pPr>
        <w:spacing w:line="360" w:lineRule="auto"/>
        <w:ind w:right="-187" w:firstLine="708"/>
        <w:jc w:val="both"/>
        <w:rPr>
          <w:rFonts w:ascii="Bookman Old Style" w:hAnsi="Bookman Old Style"/>
          <w:sz w:val="28"/>
          <w:szCs w:val="28"/>
        </w:rPr>
      </w:pPr>
    </w:p>
    <w:p w:rsidR="00AD777C" w:rsidRPr="00D960C2" w:rsidRDefault="00AD777C" w:rsidP="00AD777C">
      <w:pPr>
        <w:pStyle w:val="Textonotapie"/>
        <w:spacing w:line="360" w:lineRule="auto"/>
        <w:ind w:firstLine="708"/>
        <w:jc w:val="both"/>
        <w:rPr>
          <w:rFonts w:ascii="Bookman Old Style" w:hAnsi="Bookman Old Style"/>
          <w:lang w:val="es-CO"/>
        </w:rPr>
      </w:pPr>
      <w:r>
        <w:rPr>
          <w:rFonts w:ascii="Bookman Old Style" w:hAnsi="Bookman Old Style"/>
          <w:b/>
          <w:sz w:val="28"/>
          <w:szCs w:val="28"/>
        </w:rPr>
        <w:t xml:space="preserve">1.1. Doctor </w:t>
      </w:r>
      <w:r w:rsidRPr="00F51CDE">
        <w:rPr>
          <w:rFonts w:ascii="Bookman Old Style" w:hAnsi="Bookman Old Style"/>
          <w:b/>
          <w:sz w:val="28"/>
          <w:szCs w:val="28"/>
        </w:rPr>
        <w:t>José Alberto Leguízamo Velásquez</w:t>
      </w:r>
      <w:r w:rsidRPr="00F51CDE">
        <w:rPr>
          <w:rStyle w:val="Refdenotaalpie"/>
          <w:rFonts w:ascii="Bookman Old Style" w:hAnsi="Bookman Old Style"/>
          <w:b/>
          <w:sz w:val="28"/>
          <w:szCs w:val="28"/>
        </w:rPr>
        <w:footnoteReference w:id="23"/>
      </w:r>
      <w:r w:rsidRPr="00F51CDE">
        <w:rPr>
          <w:rFonts w:ascii="Bookman Old Style" w:hAnsi="Bookman Old Style"/>
          <w:b/>
          <w:sz w:val="28"/>
          <w:szCs w:val="28"/>
        </w:rPr>
        <w:t xml:space="preserve"> </w:t>
      </w:r>
      <w:r w:rsidRPr="00E37E76">
        <w:rPr>
          <w:rFonts w:ascii="Bookman Old Style" w:hAnsi="Bookman Old Style"/>
          <w:sz w:val="28"/>
          <w:szCs w:val="28"/>
        </w:rPr>
        <w:t>(Abogado que</w:t>
      </w:r>
      <w:r w:rsidRPr="00E37E76">
        <w:rPr>
          <w:rFonts w:ascii="Bookman Old Style" w:hAnsi="Bookman Old Style"/>
          <w:sz w:val="28"/>
          <w:szCs w:val="28"/>
          <w:lang w:val="es-CO"/>
        </w:rPr>
        <w:t xml:space="preserve"> repres</w:t>
      </w:r>
      <w:r>
        <w:rPr>
          <w:rFonts w:ascii="Bookman Old Style" w:hAnsi="Bookman Old Style"/>
          <w:sz w:val="28"/>
          <w:szCs w:val="28"/>
          <w:lang w:val="es-CO"/>
        </w:rPr>
        <w:t xml:space="preserve">enta a las víctimas de los </w:t>
      </w:r>
      <w:r w:rsidRPr="00A5431D">
        <w:rPr>
          <w:rFonts w:ascii="Bookman Old Style" w:hAnsi="Bookman Old Style"/>
          <w:b/>
          <w:sz w:val="28"/>
          <w:szCs w:val="28"/>
          <w:lang w:val="es-CO"/>
        </w:rPr>
        <w:t>hechos 11, 50, 97 y 102.</w:t>
      </w:r>
      <w:r w:rsidRPr="00E37E76">
        <w:rPr>
          <w:rFonts w:ascii="Bookman Old Style" w:hAnsi="Bookman Old Style"/>
          <w:sz w:val="28"/>
          <w:szCs w:val="28"/>
          <w:lang w:val="es-CO"/>
        </w:rPr>
        <w:t>)</w:t>
      </w:r>
    </w:p>
    <w:p w:rsidR="00AD777C" w:rsidRPr="00F51CDE" w:rsidRDefault="00AD777C" w:rsidP="00AD777C">
      <w:pPr>
        <w:spacing w:line="360" w:lineRule="auto"/>
        <w:ind w:left="708" w:right="-187"/>
        <w:jc w:val="both"/>
        <w:rPr>
          <w:rFonts w:ascii="Bookman Old Style" w:hAnsi="Bookman Old Style"/>
          <w:b/>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Sobre el </w:t>
      </w:r>
      <w:r w:rsidRPr="000E52EC">
        <w:rPr>
          <w:rFonts w:ascii="Bookman Old Style" w:hAnsi="Bookman Old Style"/>
          <w:b/>
          <w:sz w:val="28"/>
          <w:szCs w:val="28"/>
        </w:rPr>
        <w:t xml:space="preserve">hecho </w:t>
      </w:r>
      <w:r>
        <w:rPr>
          <w:rFonts w:ascii="Bookman Old Style" w:hAnsi="Bookman Old Style"/>
          <w:b/>
          <w:sz w:val="28"/>
          <w:szCs w:val="28"/>
        </w:rPr>
        <w:t xml:space="preserve">No. </w:t>
      </w:r>
      <w:r w:rsidRPr="000E52EC">
        <w:rPr>
          <w:rFonts w:ascii="Bookman Old Style" w:hAnsi="Bookman Old Style"/>
          <w:b/>
          <w:sz w:val="28"/>
          <w:szCs w:val="28"/>
        </w:rPr>
        <w:t>11</w:t>
      </w:r>
      <w:r>
        <w:rPr>
          <w:rFonts w:ascii="Bookman Old Style" w:hAnsi="Bookman Old Style"/>
          <w:b/>
          <w:sz w:val="28"/>
          <w:szCs w:val="28"/>
        </w:rPr>
        <w:t>:</w:t>
      </w:r>
      <w:r>
        <w:rPr>
          <w:rFonts w:ascii="Bookman Old Style" w:hAnsi="Bookman Old Style"/>
          <w:sz w:val="28"/>
          <w:szCs w:val="28"/>
        </w:rPr>
        <w:t xml:space="preserve"> Solicita a la Corte que se reconozca el delito de desplazamiento forzado y el hurto del automotor tipo camioneta y del </w:t>
      </w:r>
      <w:r w:rsidRPr="00B173C9">
        <w:rPr>
          <w:rFonts w:ascii="Bookman Old Style" w:hAnsi="Bookman Old Style"/>
          <w:i/>
          <w:sz w:val="28"/>
          <w:szCs w:val="28"/>
        </w:rPr>
        <w:t>‘SAI</w:t>
      </w:r>
      <w:r>
        <w:rPr>
          <w:rFonts w:ascii="Bookman Old Style" w:hAnsi="Bookman Old Style"/>
          <w:sz w:val="28"/>
          <w:szCs w:val="28"/>
        </w:rPr>
        <w:t xml:space="preserve">’ de propiedad de la familia Villarreal Cadena, toda vez que con posterioridad a la muerte de Dey Germán Villarreal, su familia fue objeto de seguimientos y </w:t>
      </w:r>
      <w:r w:rsidRPr="005E2A7D">
        <w:rPr>
          <w:rFonts w:ascii="Bookman Old Style" w:hAnsi="Bookman Old Style"/>
          <w:i/>
          <w:sz w:val="24"/>
          <w:szCs w:val="24"/>
        </w:rPr>
        <w:t>“obligados a dejar todos los bienes inmuebles, bienes muebles y enseres de que eran propietarios en la vereda Alto Pompeya.”</w:t>
      </w:r>
      <w:r>
        <w:rPr>
          <w:rStyle w:val="Refdenotaalpie"/>
          <w:rFonts w:ascii="Bookman Old Style" w:hAnsi="Bookman Old Style"/>
          <w:i/>
          <w:sz w:val="24"/>
          <w:szCs w:val="24"/>
        </w:rPr>
        <w:footnoteReference w:id="24"/>
      </w:r>
      <w:r>
        <w:rPr>
          <w:rFonts w:ascii="Bookman Old Style" w:hAnsi="Bookman Old Style"/>
          <w:sz w:val="28"/>
          <w:szCs w:val="28"/>
        </w:rPr>
        <w:t xml:space="preserve"> . Ningún sustento aporta de cara a que se incluya también el delito de hurto. </w:t>
      </w:r>
    </w:p>
    <w:p w:rsidR="00AD777C" w:rsidRDefault="00AD777C" w:rsidP="00AD777C">
      <w:pPr>
        <w:spacing w:line="360" w:lineRule="auto"/>
        <w:ind w:right="-187"/>
        <w:jc w:val="both"/>
        <w:rPr>
          <w:rFonts w:ascii="Bookman Old Style" w:hAnsi="Bookman Old Style"/>
          <w:sz w:val="28"/>
          <w:szCs w:val="28"/>
        </w:rPr>
      </w:pPr>
    </w:p>
    <w:p w:rsidR="00AD777C" w:rsidRPr="0081419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Sobre el </w:t>
      </w:r>
      <w:r>
        <w:rPr>
          <w:rFonts w:ascii="Bookman Old Style" w:hAnsi="Bookman Old Style"/>
          <w:b/>
          <w:sz w:val="28"/>
          <w:szCs w:val="28"/>
        </w:rPr>
        <w:t xml:space="preserve">hecho No. 50: </w:t>
      </w:r>
      <w:r>
        <w:rPr>
          <w:rFonts w:ascii="Bookman Old Style" w:hAnsi="Bookman Old Style"/>
          <w:sz w:val="28"/>
          <w:szCs w:val="28"/>
        </w:rPr>
        <w:t>q</w:t>
      </w:r>
      <w:r w:rsidRPr="005E2A7D">
        <w:rPr>
          <w:rFonts w:ascii="Bookman Old Style" w:hAnsi="Bookman Old Style"/>
          <w:sz w:val="28"/>
          <w:szCs w:val="28"/>
        </w:rPr>
        <w:t>ue se reconozca, además del delito</w:t>
      </w:r>
      <w:r>
        <w:rPr>
          <w:rFonts w:ascii="Bookman Old Style" w:hAnsi="Bookman Old Style"/>
          <w:b/>
          <w:sz w:val="28"/>
          <w:szCs w:val="28"/>
        </w:rPr>
        <w:t xml:space="preserve"> </w:t>
      </w:r>
      <w:r>
        <w:rPr>
          <w:rFonts w:ascii="Bookman Old Style" w:hAnsi="Bookman Old Style"/>
          <w:sz w:val="28"/>
          <w:szCs w:val="28"/>
        </w:rPr>
        <w:t xml:space="preserve">de desplazamiento forzado, el punible de hurto de una motocicleta, un lote de terreno y la vivienda donde residía la familia Ponare Herrenuma, toda vez que las amenazas de los paramilitares cuando realizaron la incursión a la inspección de San Teodoro, generaron que esta familia dejara </w:t>
      </w:r>
      <w:r w:rsidRPr="0081419C">
        <w:rPr>
          <w:rFonts w:ascii="Bookman Old Style" w:hAnsi="Bookman Old Style"/>
          <w:i/>
          <w:sz w:val="24"/>
          <w:szCs w:val="24"/>
        </w:rPr>
        <w:t>“sus predios y bienes abandonados</w:t>
      </w:r>
      <w:r>
        <w:rPr>
          <w:rFonts w:ascii="Bookman Old Style" w:hAnsi="Bookman Old Style"/>
          <w:i/>
          <w:sz w:val="24"/>
          <w:szCs w:val="24"/>
        </w:rPr>
        <w:t>, los cuales fueron objeto de saqueo y destrucción</w:t>
      </w:r>
      <w:r w:rsidRPr="0081419C">
        <w:rPr>
          <w:rFonts w:ascii="Bookman Old Style" w:hAnsi="Bookman Old Style"/>
          <w:i/>
          <w:sz w:val="24"/>
          <w:szCs w:val="24"/>
        </w:rPr>
        <w:t>”</w:t>
      </w:r>
      <w:r>
        <w:rPr>
          <w:rStyle w:val="Refdenotaalpie"/>
          <w:rFonts w:ascii="Bookman Old Style" w:hAnsi="Bookman Old Style"/>
          <w:i/>
          <w:sz w:val="24"/>
          <w:szCs w:val="24"/>
        </w:rPr>
        <w:footnoteReference w:id="25"/>
      </w:r>
      <w:r>
        <w:rPr>
          <w:rFonts w:ascii="Bookman Old Style" w:hAnsi="Bookman Old Style"/>
          <w:sz w:val="24"/>
          <w:szCs w:val="24"/>
        </w:rPr>
        <w:t>.</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Sobre el </w:t>
      </w:r>
      <w:r w:rsidRPr="00982091">
        <w:rPr>
          <w:rFonts w:ascii="Bookman Old Style" w:hAnsi="Bookman Old Style"/>
          <w:b/>
          <w:sz w:val="28"/>
          <w:szCs w:val="28"/>
        </w:rPr>
        <w:t xml:space="preserve">hecho </w:t>
      </w:r>
      <w:r>
        <w:rPr>
          <w:rFonts w:ascii="Bookman Old Style" w:hAnsi="Bookman Old Style"/>
          <w:b/>
          <w:sz w:val="28"/>
          <w:szCs w:val="28"/>
        </w:rPr>
        <w:t>No.</w:t>
      </w:r>
      <w:r w:rsidRPr="00982091">
        <w:rPr>
          <w:rFonts w:ascii="Bookman Old Style" w:hAnsi="Bookman Old Style"/>
          <w:b/>
          <w:sz w:val="28"/>
          <w:szCs w:val="28"/>
        </w:rPr>
        <w:t xml:space="preserve"> 97</w:t>
      </w:r>
      <w:r>
        <w:rPr>
          <w:rFonts w:ascii="Bookman Old Style" w:hAnsi="Bookman Old Style"/>
          <w:b/>
          <w:sz w:val="28"/>
          <w:szCs w:val="28"/>
        </w:rPr>
        <w:t>,</w:t>
      </w:r>
      <w:r>
        <w:rPr>
          <w:rFonts w:ascii="Bookman Old Style" w:hAnsi="Bookman Old Style"/>
          <w:sz w:val="28"/>
          <w:szCs w:val="28"/>
        </w:rPr>
        <w:t xml:space="preserve"> pide tener como víctima a Jairo Humberto Cubides Zamora, pues su ingreso a las filas de los grupos armados al margen de la ley obedeció al reclutamiento en contra de su voluntad, por lo que decidió desertar, motivando ello su muerte. </w:t>
      </w:r>
    </w:p>
    <w:p w:rsidR="00AD777C" w:rsidRPr="00D93388" w:rsidRDefault="00AD777C" w:rsidP="00AD777C">
      <w:pPr>
        <w:spacing w:line="360" w:lineRule="auto"/>
        <w:ind w:right="-187" w:firstLine="708"/>
        <w:jc w:val="both"/>
        <w:rPr>
          <w:rFonts w:ascii="Bookman Old Style" w:hAnsi="Bookman Old Style"/>
        </w:rPr>
      </w:pPr>
    </w:p>
    <w:p w:rsidR="00AD777C" w:rsidRPr="00C949B2"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Sobre el </w:t>
      </w:r>
      <w:r w:rsidRPr="00982091">
        <w:rPr>
          <w:rFonts w:ascii="Bookman Old Style" w:hAnsi="Bookman Old Style"/>
          <w:b/>
          <w:sz w:val="28"/>
          <w:szCs w:val="28"/>
        </w:rPr>
        <w:t>hecho</w:t>
      </w:r>
      <w:r>
        <w:rPr>
          <w:rFonts w:ascii="Bookman Old Style" w:hAnsi="Bookman Old Style"/>
          <w:b/>
          <w:sz w:val="28"/>
          <w:szCs w:val="28"/>
        </w:rPr>
        <w:t xml:space="preserve"> No.</w:t>
      </w:r>
      <w:r w:rsidRPr="00982091">
        <w:rPr>
          <w:rFonts w:ascii="Bookman Old Style" w:hAnsi="Bookman Old Style"/>
          <w:b/>
          <w:sz w:val="28"/>
          <w:szCs w:val="28"/>
        </w:rPr>
        <w:t xml:space="preserve"> 102</w:t>
      </w:r>
      <w:r>
        <w:rPr>
          <w:rFonts w:ascii="Bookman Old Style" w:hAnsi="Bookman Old Style"/>
          <w:sz w:val="28"/>
          <w:szCs w:val="28"/>
        </w:rPr>
        <w:t xml:space="preserve">, se muestra en desacuerdo con el Tribunal al negarse a reconocer como víctima a Jorge Iván Guerrero Murillo, bajo el argumento de ser un integrante de la organización armada ilegal ACMV, pues acorde con la versión de JOSÉ BALDOMERO LINARES, el mencionado no hacía parte de ese grupo. </w:t>
      </w:r>
    </w:p>
    <w:p w:rsidR="00AD777C" w:rsidRPr="00D93388" w:rsidRDefault="00AD777C" w:rsidP="00AD777C">
      <w:pPr>
        <w:spacing w:line="360" w:lineRule="auto"/>
        <w:ind w:right="-187" w:firstLine="708"/>
        <w:jc w:val="both"/>
        <w:rPr>
          <w:rFonts w:ascii="Bookman Old Style" w:hAnsi="Bookman Old Style"/>
          <w:sz w:val="22"/>
          <w:szCs w:val="22"/>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Culmina con las liquidaciones de los perjuicios materiales e inmateriales, que, entiende, deben ser reconocidos a las víctimas indirectas en estos casos.</w:t>
      </w:r>
    </w:p>
    <w:p w:rsidR="00AD777C" w:rsidRPr="00D93388" w:rsidRDefault="00AD777C" w:rsidP="00AD777C">
      <w:pPr>
        <w:spacing w:line="360" w:lineRule="auto"/>
        <w:ind w:right="-187" w:firstLine="708"/>
        <w:jc w:val="both"/>
        <w:rPr>
          <w:rFonts w:ascii="Bookman Old Style" w:hAnsi="Bookman Old Style"/>
          <w:sz w:val="22"/>
          <w:szCs w:val="22"/>
        </w:rPr>
      </w:pPr>
    </w:p>
    <w:p w:rsidR="00AD777C" w:rsidRPr="00412DF5" w:rsidRDefault="00AD777C" w:rsidP="00AD777C">
      <w:pPr>
        <w:spacing w:line="360" w:lineRule="auto"/>
        <w:ind w:right="-187" w:firstLine="708"/>
        <w:jc w:val="both"/>
        <w:rPr>
          <w:rFonts w:ascii="Bookman Old Style" w:hAnsi="Bookman Old Style"/>
          <w:sz w:val="28"/>
          <w:szCs w:val="28"/>
        </w:rPr>
      </w:pPr>
      <w:r>
        <w:rPr>
          <w:rFonts w:ascii="Bookman Old Style" w:hAnsi="Bookman Old Style"/>
          <w:b/>
          <w:sz w:val="28"/>
          <w:szCs w:val="28"/>
        </w:rPr>
        <w:t>1.2.</w:t>
      </w:r>
      <w:r w:rsidRPr="00F51CDE">
        <w:rPr>
          <w:rFonts w:ascii="Bookman Old Style" w:hAnsi="Bookman Old Style"/>
          <w:b/>
          <w:sz w:val="28"/>
          <w:szCs w:val="28"/>
        </w:rPr>
        <w:t xml:space="preserve"> </w:t>
      </w:r>
      <w:r>
        <w:rPr>
          <w:rFonts w:ascii="Bookman Old Style" w:hAnsi="Bookman Old Style"/>
          <w:b/>
          <w:sz w:val="28"/>
          <w:szCs w:val="28"/>
        </w:rPr>
        <w:t xml:space="preserve">Doctor </w:t>
      </w:r>
      <w:r w:rsidRPr="00F51CDE">
        <w:rPr>
          <w:rFonts w:ascii="Bookman Old Style" w:hAnsi="Bookman Old Style"/>
          <w:b/>
          <w:sz w:val="28"/>
          <w:szCs w:val="28"/>
        </w:rPr>
        <w:t>Edilberto Carrero López</w:t>
      </w:r>
      <w:r>
        <w:rPr>
          <w:rStyle w:val="Refdenotaalpie"/>
          <w:rFonts w:ascii="Bookman Old Style" w:hAnsi="Bookman Old Style"/>
          <w:sz w:val="28"/>
          <w:szCs w:val="28"/>
        </w:rPr>
        <w:footnoteReference w:id="26"/>
      </w:r>
      <w:r>
        <w:rPr>
          <w:rFonts w:ascii="Bookman Old Style" w:hAnsi="Bookman Old Style"/>
          <w:b/>
          <w:sz w:val="28"/>
          <w:szCs w:val="28"/>
        </w:rPr>
        <w:t xml:space="preserve"> </w:t>
      </w:r>
      <w:r w:rsidRPr="00412DF5">
        <w:rPr>
          <w:rFonts w:ascii="Bookman Old Style" w:hAnsi="Bookman Old Style"/>
          <w:sz w:val="28"/>
          <w:szCs w:val="28"/>
        </w:rPr>
        <w:t>(Apoderado de las v</w:t>
      </w:r>
      <w:r>
        <w:rPr>
          <w:rFonts w:ascii="Bookman Old Style" w:hAnsi="Bookman Old Style"/>
          <w:sz w:val="28"/>
          <w:szCs w:val="28"/>
        </w:rPr>
        <w:t xml:space="preserve">íctimas en los </w:t>
      </w:r>
      <w:r w:rsidRPr="00793B0B">
        <w:rPr>
          <w:rFonts w:ascii="Bookman Old Style" w:hAnsi="Bookman Old Style"/>
          <w:b/>
          <w:sz w:val="28"/>
          <w:szCs w:val="28"/>
        </w:rPr>
        <w:t>hechos 56, 58, 59, 62, 63, 64, 65-1, 65-2,   67, 69, 70, 71 y 72</w:t>
      </w:r>
      <w:r>
        <w:rPr>
          <w:rFonts w:ascii="Bookman Old Style" w:hAnsi="Bookman Old Style"/>
          <w:sz w:val="28"/>
          <w:szCs w:val="28"/>
        </w:rPr>
        <w:t>)</w:t>
      </w:r>
    </w:p>
    <w:p w:rsidR="00AD777C" w:rsidRPr="00D93388" w:rsidRDefault="00AD777C" w:rsidP="00AD777C">
      <w:pPr>
        <w:spacing w:line="360" w:lineRule="auto"/>
        <w:ind w:right="-187" w:firstLine="708"/>
        <w:jc w:val="both"/>
        <w:rPr>
          <w:rFonts w:ascii="Bookman Old Style" w:hAnsi="Bookman Old Style"/>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Estima equivocados los argumentos del Tribunal al no reconocer el perjuicio sufrido por los hermanos de las víctimas directas en los </w:t>
      </w:r>
      <w:r w:rsidRPr="00412DF5">
        <w:rPr>
          <w:rFonts w:ascii="Bookman Old Style" w:hAnsi="Bookman Old Style"/>
          <w:b/>
          <w:sz w:val="28"/>
          <w:szCs w:val="28"/>
        </w:rPr>
        <w:t xml:space="preserve">hechos </w:t>
      </w:r>
      <w:r>
        <w:rPr>
          <w:rFonts w:ascii="Bookman Old Style" w:hAnsi="Bookman Old Style"/>
          <w:sz w:val="28"/>
          <w:szCs w:val="28"/>
        </w:rPr>
        <w:t xml:space="preserve">identificados con los números </w:t>
      </w:r>
      <w:r w:rsidRPr="00412DF5">
        <w:rPr>
          <w:rFonts w:ascii="Bookman Old Style" w:hAnsi="Bookman Old Style"/>
          <w:b/>
          <w:sz w:val="28"/>
          <w:szCs w:val="28"/>
        </w:rPr>
        <w:t>56, 58, 62, 63, 64 y 67</w:t>
      </w:r>
      <w:r>
        <w:rPr>
          <w:rFonts w:ascii="Bookman Old Style" w:hAnsi="Bookman Old Style"/>
          <w:sz w:val="28"/>
          <w:szCs w:val="28"/>
        </w:rPr>
        <w:t xml:space="preserve">, pues la legislación foránea ha reconocido a estas personas como víctimas indirectas, y, si bien es cierto, en Colombia, a partir de la Ley 1592 de 2012, se excluyó a los hermanos como sujetos de indemnización dentro del proceso de justicia y paz, ello obedece a la falta de dinero del Estado, lo cual genera discriminación y desconocimiento de los derechos de las víctimas indirectas.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Solicita pronunciamiento frente a las víctimas indirectas (nietos) </w:t>
      </w:r>
      <w:r w:rsidRPr="00BB02AE">
        <w:rPr>
          <w:rFonts w:ascii="Bookman Old Style" w:hAnsi="Bookman Old Style"/>
          <w:b/>
          <w:sz w:val="28"/>
          <w:szCs w:val="28"/>
        </w:rPr>
        <w:t>del hecho 69</w:t>
      </w:r>
      <w:r>
        <w:rPr>
          <w:rFonts w:ascii="Bookman Old Style" w:hAnsi="Bookman Old Style"/>
          <w:sz w:val="28"/>
          <w:szCs w:val="28"/>
        </w:rPr>
        <w:t>, por cuanto el Tribunal no realizó la argumentación a partir de la cual se conozcan las razones para excluir a estos menores de edad, quienes se encuentran bajo la custodia de una tía por el fallecimiento de la madre.</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Finalmente, demanda el reconocimiento de las víctimas de los </w:t>
      </w:r>
      <w:r w:rsidRPr="00BB02AE">
        <w:rPr>
          <w:rFonts w:ascii="Bookman Old Style" w:hAnsi="Bookman Old Style"/>
          <w:b/>
          <w:sz w:val="28"/>
          <w:szCs w:val="28"/>
        </w:rPr>
        <w:t>hechos 59, 65-1, 65-2, 70, 71, y 72</w:t>
      </w:r>
      <w:r w:rsidRPr="00BB02AE">
        <w:rPr>
          <w:rFonts w:ascii="Bookman Old Style" w:hAnsi="Bookman Old Style"/>
          <w:sz w:val="28"/>
          <w:szCs w:val="28"/>
        </w:rPr>
        <w:t>,</w:t>
      </w:r>
      <w:r>
        <w:rPr>
          <w:rFonts w:ascii="Bookman Old Style" w:hAnsi="Bookman Old Style"/>
          <w:sz w:val="28"/>
          <w:szCs w:val="28"/>
        </w:rPr>
        <w:t xml:space="preserve"> a quienes el Tribunal excluyó por ser miembros del grupo armado ilegal ACMV, pues, alega, no se tuvo en cuenta el contexto sociopolítico dentro del cual operaba esta organización.  Así mismo, recuerda que la Ley 975 de 2005 reconocía también a los miembros activos de estos grupos como víctimas del conflicto.</w:t>
      </w:r>
    </w:p>
    <w:p w:rsidR="00AD777C" w:rsidRDefault="00AD777C" w:rsidP="00AD777C">
      <w:pPr>
        <w:spacing w:line="360" w:lineRule="auto"/>
        <w:ind w:right="-187" w:firstLine="708"/>
        <w:jc w:val="both"/>
        <w:rPr>
          <w:rFonts w:ascii="Bookman Old Style" w:hAnsi="Bookman Old Style"/>
          <w:sz w:val="28"/>
          <w:szCs w:val="28"/>
        </w:rPr>
      </w:pPr>
    </w:p>
    <w:p w:rsidR="00AD777C" w:rsidRPr="00F51CDE" w:rsidRDefault="00AD777C" w:rsidP="00AD777C">
      <w:pPr>
        <w:spacing w:line="360" w:lineRule="auto"/>
        <w:ind w:right="-187" w:firstLine="708"/>
        <w:jc w:val="both"/>
        <w:rPr>
          <w:rFonts w:ascii="Bookman Old Style" w:hAnsi="Bookman Old Style"/>
          <w:b/>
          <w:sz w:val="28"/>
          <w:szCs w:val="28"/>
        </w:rPr>
      </w:pPr>
      <w:r w:rsidRPr="00BB02AE">
        <w:rPr>
          <w:rFonts w:ascii="Bookman Old Style" w:hAnsi="Bookman Old Style"/>
          <w:b/>
          <w:sz w:val="28"/>
          <w:szCs w:val="28"/>
        </w:rPr>
        <w:t>1.3.</w:t>
      </w:r>
      <w:r>
        <w:rPr>
          <w:rFonts w:ascii="Bookman Old Style" w:hAnsi="Bookman Old Style"/>
          <w:b/>
          <w:sz w:val="28"/>
          <w:szCs w:val="28"/>
        </w:rPr>
        <w:t xml:space="preserve"> Doctor </w:t>
      </w:r>
      <w:r w:rsidRPr="00F51CDE">
        <w:rPr>
          <w:rFonts w:ascii="Bookman Old Style" w:hAnsi="Bookman Old Style"/>
          <w:b/>
          <w:sz w:val="28"/>
          <w:szCs w:val="28"/>
        </w:rPr>
        <w:t>Ismael Vicente Urazán González</w:t>
      </w:r>
      <w:r>
        <w:rPr>
          <w:rFonts w:ascii="Bookman Old Style" w:hAnsi="Bookman Old Style"/>
          <w:b/>
          <w:sz w:val="28"/>
          <w:szCs w:val="28"/>
        </w:rPr>
        <w:t xml:space="preserve"> </w:t>
      </w:r>
      <w:r w:rsidRPr="00BB02AE">
        <w:rPr>
          <w:rFonts w:ascii="Bookman Old Style" w:hAnsi="Bookman Old Style"/>
          <w:sz w:val="28"/>
          <w:szCs w:val="28"/>
        </w:rPr>
        <w:t>(Apoderado de víctima</w:t>
      </w:r>
      <w:r>
        <w:rPr>
          <w:rFonts w:ascii="Bookman Old Style" w:hAnsi="Bookman Old Style"/>
          <w:sz w:val="28"/>
          <w:szCs w:val="28"/>
        </w:rPr>
        <w:t xml:space="preserve">s en el </w:t>
      </w:r>
      <w:r w:rsidRPr="00A5431D">
        <w:rPr>
          <w:rFonts w:ascii="Bookman Old Style" w:hAnsi="Bookman Old Style"/>
          <w:b/>
          <w:sz w:val="28"/>
          <w:szCs w:val="28"/>
        </w:rPr>
        <w:t>hecho</w:t>
      </w:r>
      <w:r w:rsidRPr="00BB02AE">
        <w:rPr>
          <w:rFonts w:ascii="Bookman Old Style" w:hAnsi="Bookman Old Style"/>
          <w:b/>
          <w:sz w:val="28"/>
          <w:szCs w:val="28"/>
        </w:rPr>
        <w:t xml:space="preserve"> </w:t>
      </w:r>
      <w:r>
        <w:rPr>
          <w:rFonts w:ascii="Bookman Old Style" w:hAnsi="Bookman Old Style"/>
          <w:b/>
          <w:sz w:val="28"/>
          <w:szCs w:val="28"/>
        </w:rPr>
        <w:t xml:space="preserve">No. </w:t>
      </w:r>
      <w:r w:rsidRPr="00BB02AE">
        <w:rPr>
          <w:rFonts w:ascii="Bookman Old Style" w:hAnsi="Bookman Old Style"/>
          <w:b/>
          <w:sz w:val="28"/>
          <w:szCs w:val="28"/>
        </w:rPr>
        <w:t>4</w:t>
      </w:r>
      <w:r>
        <w:rPr>
          <w:rFonts w:ascii="Bookman Old Style" w:hAnsi="Bookman Old Style"/>
          <w:sz w:val="28"/>
          <w:szCs w:val="28"/>
        </w:rPr>
        <w:t xml:space="preserve">) </w:t>
      </w:r>
    </w:p>
    <w:p w:rsidR="00AD777C" w:rsidRDefault="00AD777C" w:rsidP="00AD777C">
      <w:pPr>
        <w:spacing w:line="360" w:lineRule="auto"/>
        <w:ind w:left="1428" w:right="-187"/>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Apoya los planteamientos de </w:t>
      </w:r>
      <w:r w:rsidRPr="000F6BDA">
        <w:rPr>
          <w:rFonts w:ascii="Bookman Old Style" w:hAnsi="Bookman Old Style"/>
          <w:i/>
          <w:sz w:val="24"/>
          <w:szCs w:val="24"/>
        </w:rPr>
        <w:t>«todos los apelantes»</w:t>
      </w:r>
      <w:r w:rsidRPr="00BB02AE">
        <w:rPr>
          <w:rFonts w:ascii="Bookman Old Style" w:hAnsi="Bookman Old Style"/>
          <w:sz w:val="28"/>
          <w:szCs w:val="28"/>
        </w:rPr>
        <w:t>,</w:t>
      </w:r>
      <w:r>
        <w:rPr>
          <w:rFonts w:ascii="Bookman Old Style" w:hAnsi="Bookman Old Style"/>
          <w:sz w:val="28"/>
          <w:szCs w:val="28"/>
        </w:rPr>
        <w:t xml:space="preserve"> solicitando la revocatoria íntegra de la sentencia de primera instancia. Seguidamente se refiere al caso concreto de sus poderdantes, para concluir que resulta </w:t>
      </w:r>
      <w:r w:rsidRPr="000F6BDA">
        <w:rPr>
          <w:rFonts w:ascii="Bookman Old Style" w:hAnsi="Bookman Old Style"/>
          <w:i/>
          <w:sz w:val="24"/>
          <w:szCs w:val="24"/>
        </w:rPr>
        <w:t>«descabellado»</w:t>
      </w:r>
      <w:r>
        <w:rPr>
          <w:rFonts w:ascii="Bookman Old Style" w:hAnsi="Bookman Old Style"/>
          <w:sz w:val="28"/>
          <w:szCs w:val="28"/>
        </w:rPr>
        <w:t xml:space="preserve"> que el Tribunal entienda que los miembros de los grupos armados ilegales no tienen la calidad de víctima, razón por la cual solicita se revoque el numeral quincuagésimo octavo de la sentencia.</w:t>
      </w:r>
    </w:p>
    <w:p w:rsidR="00AD777C" w:rsidRDefault="00AD777C" w:rsidP="00AD777C">
      <w:pPr>
        <w:spacing w:line="360" w:lineRule="auto"/>
        <w:ind w:right="-187" w:firstLine="708"/>
        <w:jc w:val="both"/>
        <w:rPr>
          <w:rFonts w:ascii="Bookman Old Style" w:hAnsi="Bookman Old Style"/>
          <w:sz w:val="28"/>
          <w:szCs w:val="28"/>
        </w:rPr>
      </w:pPr>
    </w:p>
    <w:p w:rsidR="00AD777C" w:rsidRPr="00F51CDE"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b/>
          <w:sz w:val="28"/>
          <w:szCs w:val="28"/>
        </w:rPr>
        <w:t>1.4.</w:t>
      </w:r>
      <w:r w:rsidRPr="00F51CDE">
        <w:rPr>
          <w:rFonts w:ascii="Bookman Old Style" w:hAnsi="Bookman Old Style"/>
          <w:b/>
          <w:sz w:val="28"/>
          <w:szCs w:val="28"/>
        </w:rPr>
        <w:t xml:space="preserve"> </w:t>
      </w:r>
      <w:r>
        <w:rPr>
          <w:rFonts w:ascii="Bookman Old Style" w:hAnsi="Bookman Old Style"/>
          <w:b/>
          <w:sz w:val="28"/>
          <w:szCs w:val="28"/>
        </w:rPr>
        <w:t xml:space="preserve">Doctor </w:t>
      </w:r>
      <w:r w:rsidRPr="00F51CDE">
        <w:rPr>
          <w:rFonts w:ascii="Bookman Old Style" w:hAnsi="Bookman Old Style"/>
          <w:b/>
          <w:sz w:val="28"/>
          <w:szCs w:val="28"/>
        </w:rPr>
        <w:t>Álvaro Maldonado Chaya</w:t>
      </w:r>
      <w:r>
        <w:rPr>
          <w:rFonts w:ascii="Bookman Old Style" w:hAnsi="Bookman Old Style"/>
          <w:b/>
          <w:sz w:val="28"/>
          <w:szCs w:val="28"/>
        </w:rPr>
        <w:t xml:space="preserve"> </w:t>
      </w:r>
      <w:r w:rsidRPr="00BB02AE">
        <w:rPr>
          <w:rFonts w:ascii="Bookman Old Style" w:hAnsi="Bookman Old Style"/>
          <w:sz w:val="28"/>
          <w:szCs w:val="28"/>
        </w:rPr>
        <w:t xml:space="preserve">(Apoderado de las víctimas en los </w:t>
      </w:r>
      <w:r w:rsidRPr="00A5431D">
        <w:rPr>
          <w:rFonts w:ascii="Bookman Old Style" w:hAnsi="Bookman Old Style"/>
          <w:b/>
          <w:sz w:val="28"/>
          <w:szCs w:val="28"/>
        </w:rPr>
        <w:t>hechos números 5, 6, 7, 10, 14, 18, 19, 20, 21, 22, 24, 25, 26, 27, 30, 31 y 34</w:t>
      </w:r>
      <w:r w:rsidRPr="00793B0B">
        <w:rPr>
          <w:rFonts w:ascii="Bookman Old Style" w:hAnsi="Bookman Old Style"/>
          <w:sz w:val="28"/>
          <w:szCs w:val="28"/>
        </w:rPr>
        <w:t>)</w:t>
      </w:r>
      <w:r>
        <w:rPr>
          <w:rFonts w:ascii="Bookman Old Style" w:hAnsi="Bookman Old Style"/>
          <w:b/>
          <w:sz w:val="28"/>
          <w:szCs w:val="28"/>
        </w:rPr>
        <w:t xml:space="preserve">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Solicita como medida subsidiaria, frente a la no prosperidad de la inaplicación de la Ley 1592 de 2012, se declare la nulidad de lo actuado por violación del derecho de defensa y debido proceso en aspectos sustanciales, en cuanto considera que la audiencia de formulación de cargos debió continuar bajo la égida de la Ley 975 de 2005, habida cuenta que con ésta se inició el trámite. Por lo tanto, reclama que los derechos de las víctimas se tengan en cuenta y, consecuencialmente, se ordene a la Sala de Conocimiento del Tribunal Superior de Bogotá, emitir el pronunciamiento que corresponde a la legalización de los cargos.</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Solicita</w:t>
      </w:r>
      <w:r>
        <w:rPr>
          <w:rFonts w:ascii="Bookman Old Style" w:hAnsi="Bookman Old Style"/>
          <w:sz w:val="28"/>
          <w:szCs w:val="28"/>
        </w:rPr>
        <w:tab/>
        <w:t>el reconocimiento de todas las víctimas indirectas que fueron excluidas por la primera instancia, por tratarse de hermanos de las víctimas directas (</w:t>
      </w:r>
      <w:r w:rsidRPr="00793B0B">
        <w:rPr>
          <w:rFonts w:ascii="Bookman Old Style" w:hAnsi="Bookman Old Style"/>
          <w:b/>
          <w:sz w:val="28"/>
          <w:szCs w:val="28"/>
        </w:rPr>
        <w:t xml:space="preserve">hechos </w:t>
      </w:r>
      <w:r w:rsidRPr="00A5431D">
        <w:rPr>
          <w:rFonts w:ascii="Bookman Old Style" w:hAnsi="Bookman Old Style"/>
          <w:b/>
          <w:sz w:val="28"/>
          <w:szCs w:val="28"/>
        </w:rPr>
        <w:t>5, 6, 7, 10, 14, 18, 19, 20, 21, 22, 24, 25, 26, 27, 30, 31 y 34</w:t>
      </w:r>
      <w:r>
        <w:rPr>
          <w:rFonts w:ascii="Bookman Old Style" w:hAnsi="Bookman Old Style"/>
          <w:sz w:val="28"/>
          <w:szCs w:val="28"/>
        </w:rPr>
        <w:t>), pese a que demostraron su parentesco y afectaciones.</w:t>
      </w:r>
    </w:p>
    <w:p w:rsidR="00AD777C" w:rsidRDefault="00AD777C" w:rsidP="00AD777C">
      <w:pPr>
        <w:spacing w:line="360" w:lineRule="auto"/>
        <w:ind w:right="-187" w:firstLine="708"/>
        <w:jc w:val="both"/>
        <w:rPr>
          <w:rFonts w:ascii="Bookman Old Style" w:hAnsi="Bookman Old Style"/>
          <w:sz w:val="28"/>
          <w:szCs w:val="28"/>
        </w:rPr>
      </w:pPr>
    </w:p>
    <w:p w:rsidR="00AD777C" w:rsidRPr="00F51CDE"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b/>
          <w:sz w:val="28"/>
          <w:szCs w:val="28"/>
        </w:rPr>
        <w:t>1.5.</w:t>
      </w:r>
      <w:r w:rsidRPr="00F51CDE">
        <w:rPr>
          <w:rFonts w:ascii="Bookman Old Style" w:hAnsi="Bookman Old Style"/>
          <w:b/>
          <w:sz w:val="28"/>
          <w:szCs w:val="28"/>
        </w:rPr>
        <w:t xml:space="preserve"> </w:t>
      </w:r>
      <w:r>
        <w:rPr>
          <w:rFonts w:ascii="Bookman Old Style" w:hAnsi="Bookman Old Style"/>
          <w:b/>
          <w:sz w:val="28"/>
          <w:szCs w:val="28"/>
        </w:rPr>
        <w:t xml:space="preserve"> Doctor </w:t>
      </w:r>
      <w:r w:rsidRPr="00F51CDE">
        <w:rPr>
          <w:rFonts w:ascii="Bookman Old Style" w:hAnsi="Bookman Old Style"/>
          <w:b/>
          <w:sz w:val="28"/>
          <w:szCs w:val="28"/>
        </w:rPr>
        <w:t>Juan Carlos Córdoba Correa</w:t>
      </w:r>
      <w:r>
        <w:rPr>
          <w:rFonts w:ascii="Bookman Old Style" w:hAnsi="Bookman Old Style"/>
          <w:b/>
          <w:sz w:val="28"/>
          <w:szCs w:val="28"/>
        </w:rPr>
        <w:t xml:space="preserve"> </w:t>
      </w:r>
      <w:r w:rsidRPr="00A5431D">
        <w:rPr>
          <w:rFonts w:ascii="Bookman Old Style" w:hAnsi="Bookman Old Style"/>
          <w:sz w:val="28"/>
          <w:szCs w:val="28"/>
        </w:rPr>
        <w:t>(Apoderado de víctimas en</w:t>
      </w:r>
      <w:r>
        <w:rPr>
          <w:rFonts w:ascii="Bookman Old Style" w:hAnsi="Bookman Old Style"/>
          <w:b/>
          <w:sz w:val="28"/>
          <w:szCs w:val="28"/>
        </w:rPr>
        <w:t xml:space="preserve"> los hechos 98, 99, 100, 101, 102, 103, 105, 108, 109, 110, 111, 112, 117, 118 y 119)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 Muestra su inconformidad con el hecho que en la sentencia impugnada no se condenara a los postulados al pago de las medidas de reparación, consecuencia de las afectaciones causadas a las víctimas.</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Solicita, igualmente, la revocatoria del numeral quincuagésimo octavo, para que en su lugar se reconozca a las víctimas de los hechos 102 y 103, por cuanto fueron excluidas bajo el argumento de pertenecer a los grupos armados al margen de la ley; sin embargo, considera que tal determinación se aparta de disposiciones de carácter constitucional.</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Agrega que las víctimas directas en estos hechos, ya no hacían parte del grupo de autodefensas y que </w:t>
      </w:r>
      <w:r w:rsidRPr="002F64DE">
        <w:rPr>
          <w:rFonts w:ascii="Bookman Old Style" w:hAnsi="Bookman Old Style"/>
          <w:sz w:val="24"/>
          <w:szCs w:val="24"/>
        </w:rPr>
        <w:t>“</w:t>
      </w:r>
      <w:r w:rsidRPr="002F64DE">
        <w:rPr>
          <w:rFonts w:ascii="Bookman Old Style" w:hAnsi="Bookman Old Style"/>
          <w:i/>
          <w:sz w:val="24"/>
          <w:szCs w:val="24"/>
        </w:rPr>
        <w:t>su participación en esos momentos no era significativa para ser considerada como pertenecientes a esa organización ilegal”</w:t>
      </w:r>
      <w:r>
        <w:rPr>
          <w:rStyle w:val="Refdenotaalpie"/>
          <w:rFonts w:ascii="Bookman Old Style" w:hAnsi="Bookman Old Style"/>
          <w:i/>
          <w:sz w:val="24"/>
          <w:szCs w:val="24"/>
        </w:rPr>
        <w:footnoteReference w:id="27"/>
      </w:r>
      <w:r w:rsidRPr="009E7291">
        <w:rPr>
          <w:rFonts w:ascii="Bookman Old Style" w:hAnsi="Bookman Old Style"/>
          <w:sz w:val="28"/>
          <w:szCs w:val="28"/>
        </w:rPr>
        <w:t xml:space="preserve">, razón por la cual, </w:t>
      </w:r>
      <w:r>
        <w:rPr>
          <w:rFonts w:ascii="Bookman Old Style" w:hAnsi="Bookman Old Style"/>
          <w:sz w:val="28"/>
          <w:szCs w:val="28"/>
        </w:rPr>
        <w:t>entiende que deben ser reconocidas las víctimas indirectas, con miras a la indemnización.</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Culmina la sustentación argumentando que las versiones otorgadas por los postulados, en las que señalan a Edwin Pulido Mendoza y Jorge Eliécer Torres Guevara como integrantes de las ACMV, no cuentan con acreditación probatoria y fueron desvirtuadas por los familiares de los occisos, quienes señalan que sus seres queridos no pertenecían a ningún grupo organizado al margen de la ley. </w:t>
      </w:r>
    </w:p>
    <w:p w:rsidR="00AD777C" w:rsidRDefault="00AD777C" w:rsidP="00AD777C">
      <w:pPr>
        <w:spacing w:line="360" w:lineRule="auto"/>
        <w:ind w:right="-187"/>
        <w:jc w:val="both"/>
        <w:rPr>
          <w:rFonts w:ascii="Bookman Old Style" w:hAnsi="Bookman Old Style"/>
          <w:sz w:val="28"/>
          <w:szCs w:val="28"/>
        </w:rPr>
      </w:pPr>
    </w:p>
    <w:p w:rsidR="00AD777C" w:rsidRPr="009E7291"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sz w:val="28"/>
          <w:szCs w:val="28"/>
        </w:rPr>
        <w:t xml:space="preserve">Solicita que el fallo se adicione en el sentido de declarar que las víctimas de los </w:t>
      </w:r>
      <w:r>
        <w:rPr>
          <w:rFonts w:ascii="Bookman Old Style" w:hAnsi="Bookman Old Style"/>
          <w:b/>
          <w:sz w:val="28"/>
          <w:szCs w:val="28"/>
        </w:rPr>
        <w:t>hechos Nos. 98, 99, 100, 101, 102, 103 105, 108, 109, 110, 111, 112, 117,</w:t>
      </w:r>
      <w:r w:rsidRPr="009E7291">
        <w:rPr>
          <w:rFonts w:ascii="Bookman Old Style" w:hAnsi="Bookman Old Style"/>
          <w:b/>
          <w:sz w:val="28"/>
          <w:szCs w:val="28"/>
        </w:rPr>
        <w:t xml:space="preserve"> 118 y 119</w:t>
      </w:r>
      <w:r>
        <w:rPr>
          <w:rFonts w:ascii="Bookman Old Style" w:hAnsi="Bookman Old Style"/>
          <w:sz w:val="28"/>
          <w:szCs w:val="28"/>
        </w:rPr>
        <w:t>, no pertenecían ni auxiliaban a grupos guerrilleros.</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Reclama que la Corte se pronuncie sobre el procedimiento que deberán seguir las víctimas indirectas que no aportaron oportunamente los documentos que acreditaban el parentesco y, por tanto, perderían el derecho a ser reparadas, como sucede en el caso 118, cuyos documentos faltantes aporta junto con el escrito sustentatorio del recurso de alzada.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Continúa explicando los motivos de desacuerdo con la posición del Tribunal al imponer a las víctimas indirectas – hermanos- una carga adicional de probar las afectaciones causadas, pues entiende que para ello es suficiente con la acreditación del parentesco.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sz w:val="28"/>
          <w:szCs w:val="28"/>
        </w:rPr>
        <w:t xml:space="preserve">Para terminar, le solicita a la Corte revisar todos los documentos que tanto él como la Fiscalía anexaron, por cuanto </w:t>
      </w:r>
      <w:r w:rsidRPr="0088227C">
        <w:rPr>
          <w:rFonts w:ascii="Bookman Old Style" w:hAnsi="Bookman Old Style"/>
          <w:i/>
          <w:sz w:val="24"/>
          <w:szCs w:val="24"/>
        </w:rPr>
        <w:t>«en los casos que me son rechazados</w:t>
      </w:r>
      <w:r w:rsidRPr="0088227C">
        <w:rPr>
          <w:rFonts w:ascii="Sakkal Majalla" w:hAnsi="Sakkal Majalla" w:cs="Sakkal Majalla"/>
          <w:i/>
          <w:sz w:val="24"/>
          <w:szCs w:val="24"/>
        </w:rPr>
        <w:t>»</w:t>
      </w:r>
      <w:r>
        <w:rPr>
          <w:rFonts w:ascii="Bookman Old Style" w:hAnsi="Bookman Old Style" w:cs="Sakkal Majalla"/>
          <w:sz w:val="28"/>
          <w:szCs w:val="28"/>
        </w:rPr>
        <w:t xml:space="preserve"> -sin señalar a cuáles se refiere-, los soportes se encuentran en el proceso.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Pr="00A50704"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b/>
          <w:sz w:val="28"/>
          <w:szCs w:val="28"/>
        </w:rPr>
        <w:t xml:space="preserve">1.6. Doctor </w:t>
      </w:r>
      <w:r w:rsidRPr="00F51CDE">
        <w:rPr>
          <w:rFonts w:ascii="Bookman Old Style" w:hAnsi="Bookman Old Style" w:cs="Sakkal Majalla"/>
          <w:b/>
          <w:sz w:val="28"/>
          <w:szCs w:val="28"/>
        </w:rPr>
        <w:t>Jairo Alberto Moya Moya</w:t>
      </w:r>
      <w:r>
        <w:rPr>
          <w:rFonts w:ascii="Bookman Old Style" w:hAnsi="Bookman Old Style" w:cs="Sakkal Majalla"/>
          <w:sz w:val="28"/>
          <w:szCs w:val="28"/>
        </w:rPr>
        <w:t xml:space="preserve"> (Apoderado de las víctimas en los </w:t>
      </w:r>
      <w:r w:rsidRPr="00A50704">
        <w:rPr>
          <w:rFonts w:ascii="Bookman Old Style" w:hAnsi="Bookman Old Style" w:cs="Sakkal Majalla"/>
          <w:b/>
          <w:sz w:val="28"/>
          <w:szCs w:val="28"/>
        </w:rPr>
        <w:t xml:space="preserve">hechos </w:t>
      </w:r>
      <w:r>
        <w:rPr>
          <w:rFonts w:ascii="Bookman Old Style" w:hAnsi="Bookman Old Style" w:cs="Sakkal Majalla"/>
          <w:b/>
          <w:sz w:val="28"/>
          <w:szCs w:val="28"/>
        </w:rPr>
        <w:t>Nos.</w:t>
      </w:r>
      <w:r w:rsidRPr="00A50704">
        <w:rPr>
          <w:rFonts w:ascii="Bookman Old Style" w:hAnsi="Bookman Old Style" w:cs="Sakkal Majalla"/>
          <w:b/>
          <w:sz w:val="28"/>
          <w:szCs w:val="28"/>
          <w:vertAlign w:val="superscript"/>
        </w:rPr>
        <w:t xml:space="preserve">  </w:t>
      </w:r>
      <w:r w:rsidRPr="00A50704">
        <w:rPr>
          <w:rFonts w:ascii="Bookman Old Style" w:hAnsi="Bookman Old Style" w:cs="Sakkal Majalla"/>
          <w:b/>
          <w:sz w:val="28"/>
          <w:szCs w:val="28"/>
        </w:rPr>
        <w:t>37, 39, 40, 44, 49, 52 y 54</w:t>
      </w:r>
      <w:r>
        <w:rPr>
          <w:rFonts w:ascii="Bookman Old Style" w:hAnsi="Bookman Old Style" w:cs="Sakkal Majalla"/>
          <w:sz w:val="28"/>
          <w:szCs w:val="28"/>
        </w:rPr>
        <w:t xml:space="preserve">)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Impetra la nulidad de la actuación a partir del inicio de la audiencia de identificación de las afectaciones, dado que se omitió continuar con el trámite ya iniciado en vigencia de la Ley 975 de 2005, restando solo el pronunciamiento de legalización de cargos.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Expone que para este caso no aplica la decisión de la Corte Suprema de Justicia –sin que indique a cuál se refiere-, pues en el trámite de justicia y paz se </w:t>
      </w:r>
      <w:r w:rsidRPr="00274412">
        <w:rPr>
          <w:rFonts w:ascii="Bookman Old Style" w:hAnsi="Bookman Old Style" w:cs="Sakkal Majalla"/>
          <w:i/>
          <w:sz w:val="24"/>
          <w:szCs w:val="24"/>
        </w:rPr>
        <w:t>«propende por los derechos de las víctimas, los cuales deben prevalecer por encima de las formas procesales y de la celeridad de un acto.»</w:t>
      </w:r>
      <w:r w:rsidRPr="00D958C2">
        <w:rPr>
          <w:rFonts w:ascii="Bookman Old Style" w:hAnsi="Bookman Old Style" w:cs="Sakkal Majalla"/>
          <w:i/>
          <w:sz w:val="28"/>
          <w:szCs w:val="28"/>
        </w:rPr>
        <w:t xml:space="preserve">.  </w:t>
      </w:r>
      <w:r w:rsidRPr="00D958C2">
        <w:rPr>
          <w:rFonts w:ascii="Bookman Old Style" w:hAnsi="Bookman Old Style" w:cs="Sakkal Majalla"/>
          <w:sz w:val="28"/>
          <w:szCs w:val="28"/>
        </w:rPr>
        <w:t>Por lo tanto, re</w:t>
      </w:r>
      <w:r>
        <w:rPr>
          <w:rFonts w:ascii="Bookman Old Style" w:hAnsi="Bookman Old Style" w:cs="Sakkal Majalla"/>
          <w:sz w:val="28"/>
          <w:szCs w:val="28"/>
        </w:rPr>
        <w:t>clama</w:t>
      </w:r>
      <w:r w:rsidRPr="00D958C2">
        <w:rPr>
          <w:rFonts w:ascii="Bookman Old Style" w:hAnsi="Bookman Old Style" w:cs="Sakkal Majalla"/>
          <w:sz w:val="28"/>
          <w:szCs w:val="28"/>
        </w:rPr>
        <w:t xml:space="preserve"> que el expediente sea devuelto a la primera instancia con el fin de subsanar el grave yerro que afecta el debido proceso de las víctimas, lo cual se hará con el proferimiento de la decisión de legalización de cargos, como lo ordena la Ley 975 de 2005.</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Pasando a los casos en los que actúa como apoderado, hace las siguientes postulaciones:</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sidRPr="00A36F17">
        <w:rPr>
          <w:rFonts w:ascii="Bookman Old Style" w:hAnsi="Bookman Old Style" w:cs="Sakkal Majalla"/>
          <w:b/>
          <w:sz w:val="28"/>
          <w:szCs w:val="28"/>
        </w:rPr>
        <w:t xml:space="preserve">Hecho </w:t>
      </w:r>
      <w:r>
        <w:rPr>
          <w:rFonts w:ascii="Bookman Old Style" w:hAnsi="Bookman Old Style" w:cs="Sakkal Majalla"/>
          <w:b/>
          <w:sz w:val="28"/>
          <w:szCs w:val="28"/>
        </w:rPr>
        <w:t xml:space="preserve">No. </w:t>
      </w:r>
      <w:r w:rsidRPr="00A36F17">
        <w:rPr>
          <w:rFonts w:ascii="Bookman Old Style" w:hAnsi="Bookman Old Style" w:cs="Sakkal Majalla"/>
          <w:b/>
          <w:sz w:val="28"/>
          <w:szCs w:val="28"/>
        </w:rPr>
        <w:t>37</w:t>
      </w:r>
      <w:r>
        <w:rPr>
          <w:rFonts w:ascii="Bookman Old Style" w:hAnsi="Bookman Old Style" w:cs="Sakkal Majalla"/>
          <w:sz w:val="28"/>
          <w:szCs w:val="28"/>
        </w:rPr>
        <w:t>: Legalizar los delitos de desplazamiento forzado e incendio, conforme a la descripción fáctica que realizara la Fiscalía 59 adscrita a la Unidad para la Justicia y la Paz. Pide pronunciamiento frente a la solicitud de la Fiscalía de legalizar el delito de hurto agravado, hecho sobre el cual el Tribunal guardó silencio.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sidRPr="00A36F17">
        <w:rPr>
          <w:rFonts w:ascii="Bookman Old Style" w:hAnsi="Bookman Old Style" w:cs="Sakkal Majalla"/>
          <w:b/>
          <w:sz w:val="28"/>
          <w:szCs w:val="28"/>
        </w:rPr>
        <w:t xml:space="preserve">Hechos </w:t>
      </w:r>
      <w:r>
        <w:rPr>
          <w:rFonts w:ascii="Bookman Old Style" w:hAnsi="Bookman Old Style" w:cs="Sakkal Majalla"/>
          <w:b/>
          <w:sz w:val="28"/>
          <w:szCs w:val="28"/>
        </w:rPr>
        <w:t>Nos.</w:t>
      </w:r>
      <w:r w:rsidRPr="00A36F17">
        <w:rPr>
          <w:rFonts w:ascii="Bookman Old Style" w:hAnsi="Bookman Old Style" w:cs="Sakkal Majalla"/>
          <w:b/>
          <w:sz w:val="28"/>
          <w:szCs w:val="28"/>
        </w:rPr>
        <w:t xml:space="preserve"> 39 y 40</w:t>
      </w:r>
      <w:r>
        <w:rPr>
          <w:rFonts w:ascii="Bookman Old Style" w:hAnsi="Bookman Old Style" w:cs="Sakkal Majalla"/>
          <w:sz w:val="28"/>
          <w:szCs w:val="28"/>
        </w:rPr>
        <w:t>: Solicita tener como víctima a la señora Emma Amaya, toda vez que se aportaron los documentos que acreditan el parentesco con la víctima directa Libardo Amaya. De igual manera, pide el reconocimiento de Ana María y Gerardo Amaya como víctimas indirectas del homicidio de Eliseo Amaya, en su condición de compañera permanente e hijo, respectivamente.</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sidRPr="00A36F17">
        <w:rPr>
          <w:rFonts w:ascii="Bookman Old Style" w:hAnsi="Bookman Old Style" w:cs="Sakkal Majalla"/>
          <w:b/>
          <w:sz w:val="28"/>
          <w:szCs w:val="28"/>
        </w:rPr>
        <w:t xml:space="preserve">Hecho </w:t>
      </w:r>
      <w:r>
        <w:rPr>
          <w:rFonts w:ascii="Bookman Old Style" w:hAnsi="Bookman Old Style" w:cs="Sakkal Majalla"/>
          <w:b/>
          <w:sz w:val="28"/>
          <w:szCs w:val="28"/>
        </w:rPr>
        <w:t xml:space="preserve">No. </w:t>
      </w:r>
      <w:r w:rsidRPr="00A36F17">
        <w:rPr>
          <w:rFonts w:ascii="Bookman Old Style" w:hAnsi="Bookman Old Style" w:cs="Sakkal Majalla"/>
          <w:b/>
          <w:sz w:val="28"/>
          <w:szCs w:val="28"/>
        </w:rPr>
        <w:t>44</w:t>
      </w:r>
      <w:r>
        <w:rPr>
          <w:rFonts w:ascii="Bookman Old Style" w:hAnsi="Bookman Old Style" w:cs="Sakkal Majalla"/>
          <w:sz w:val="28"/>
          <w:szCs w:val="28"/>
        </w:rPr>
        <w:t>: Pide el reconocimiento como víctima indirecta de Blanca Mariela González, por el homicidio de sus familiares Juan Carlos Gutiérrez y Carlos Simón Gutiérrez Ladino, de los cuales dependía económica y afectivamente como lo indica el informe pericial de sicología.</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b/>
          <w:sz w:val="28"/>
          <w:szCs w:val="28"/>
        </w:rPr>
        <w:t>Hecho No.</w:t>
      </w:r>
      <w:r w:rsidRPr="00A36F17">
        <w:rPr>
          <w:rFonts w:ascii="Bookman Old Style" w:hAnsi="Bookman Old Style" w:cs="Sakkal Majalla"/>
          <w:b/>
          <w:sz w:val="28"/>
          <w:szCs w:val="28"/>
        </w:rPr>
        <w:t xml:space="preserve"> 49</w:t>
      </w:r>
      <w:r>
        <w:rPr>
          <w:rFonts w:ascii="Bookman Old Style" w:hAnsi="Bookman Old Style" w:cs="Sakkal Majalla"/>
          <w:sz w:val="28"/>
          <w:szCs w:val="28"/>
        </w:rPr>
        <w:t xml:space="preserve">: Pide se reconozca a sus </w:t>
      </w:r>
      <w:r w:rsidRPr="009744A8">
        <w:rPr>
          <w:rFonts w:ascii="Bookman Old Style" w:hAnsi="Bookman Old Style" w:cs="Sakkal Majalla"/>
          <w:i/>
          <w:sz w:val="24"/>
          <w:szCs w:val="24"/>
        </w:rPr>
        <w:t>«poderdantes»</w:t>
      </w:r>
      <w:r>
        <w:rPr>
          <w:rFonts w:ascii="Bookman Old Style" w:hAnsi="Bookman Old Style" w:cs="Sakkal Majalla"/>
          <w:i/>
          <w:sz w:val="24"/>
          <w:szCs w:val="24"/>
        </w:rPr>
        <w:t xml:space="preserve"> </w:t>
      </w:r>
      <w:r>
        <w:rPr>
          <w:rFonts w:ascii="Bookman Old Style" w:hAnsi="Bookman Old Style" w:cs="Sakkal Majalla"/>
          <w:sz w:val="28"/>
          <w:szCs w:val="28"/>
        </w:rPr>
        <w:t>como víctimas del delito de desplazamiento forzado, que no fue legalizado en la sentencia y se pronuncie respecto a la solicitud de reconocimiento de lucro cesante para Uriel Moncada Infante.</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sidRPr="00A36F17">
        <w:rPr>
          <w:rFonts w:ascii="Bookman Old Style" w:hAnsi="Bookman Old Style" w:cs="Sakkal Majalla"/>
          <w:b/>
          <w:sz w:val="28"/>
          <w:szCs w:val="28"/>
        </w:rPr>
        <w:t xml:space="preserve">Hecho </w:t>
      </w:r>
      <w:r>
        <w:rPr>
          <w:rFonts w:ascii="Bookman Old Style" w:hAnsi="Bookman Old Style" w:cs="Sakkal Majalla"/>
          <w:b/>
          <w:sz w:val="28"/>
          <w:szCs w:val="28"/>
        </w:rPr>
        <w:t xml:space="preserve">No. </w:t>
      </w:r>
      <w:r w:rsidRPr="00A36F17">
        <w:rPr>
          <w:rFonts w:ascii="Bookman Old Style" w:hAnsi="Bookman Old Style" w:cs="Sakkal Majalla"/>
          <w:b/>
          <w:sz w:val="28"/>
          <w:szCs w:val="28"/>
        </w:rPr>
        <w:t>52</w:t>
      </w:r>
      <w:r>
        <w:rPr>
          <w:rFonts w:ascii="Bookman Old Style" w:hAnsi="Bookman Old Style" w:cs="Sakkal Majalla"/>
          <w:sz w:val="28"/>
          <w:szCs w:val="28"/>
        </w:rPr>
        <w:t>: solicita la legalización del punible de desplazamiento forzado del que fueron víctimas directas sus representados Rafael Humberto Santos Ponare, Elizabeth Bareño y Emilio Santos Bareño, atendiendo la descripción fáctica que realizó la Fiscalía.  También solicita reconocer como víctima directa del desplazamiento forzado y los actos de terrorismo a Elizabeth Bereño Humeje, pues contrario a lo sostenido por el Tribunal, se aportaron las pruebas documentales (poder y fotocopia de la cédula de ciudadanía).</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b/>
          <w:sz w:val="28"/>
          <w:szCs w:val="28"/>
        </w:rPr>
        <w:t>Hecho No.</w:t>
      </w:r>
      <w:r w:rsidRPr="00A36F17">
        <w:rPr>
          <w:rFonts w:ascii="Bookman Old Style" w:hAnsi="Bookman Old Style" w:cs="Sakkal Majalla"/>
          <w:b/>
          <w:sz w:val="28"/>
          <w:szCs w:val="28"/>
        </w:rPr>
        <w:t xml:space="preserve"> 54</w:t>
      </w:r>
      <w:r>
        <w:rPr>
          <w:rFonts w:ascii="Bookman Old Style" w:hAnsi="Bookman Old Style" w:cs="Sakkal Majalla"/>
          <w:sz w:val="28"/>
          <w:szCs w:val="28"/>
        </w:rPr>
        <w:t xml:space="preserve">: Pide la legalización del delito de desplazamiento forzado del que fueron víctimas Silvia María Godoy Colina, Hernán Figueroa y Carlos Hernán Figueroa Godoy, toda vez que el Tribunal solo legalizó los actos de terrorismo. Así mismo, señala que el Tribunal </w:t>
      </w:r>
      <w:r w:rsidRPr="00A21882">
        <w:rPr>
          <w:rFonts w:ascii="Bookman Old Style" w:hAnsi="Bookman Old Style" w:cs="Sakkal Majalla"/>
          <w:i/>
          <w:sz w:val="28"/>
          <w:szCs w:val="28"/>
        </w:rPr>
        <w:t>A-quo</w:t>
      </w:r>
      <w:r>
        <w:rPr>
          <w:rFonts w:ascii="Bookman Old Style" w:hAnsi="Bookman Old Style" w:cs="Sakkal Majalla"/>
          <w:sz w:val="28"/>
          <w:szCs w:val="28"/>
        </w:rPr>
        <w:t xml:space="preserve"> tampoco impartió legalidad al delito de hurto agravado, pese a las pruebas aportadas.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Pr="002A24C3" w:rsidRDefault="00AD777C" w:rsidP="00AD777C">
      <w:pPr>
        <w:spacing w:line="360" w:lineRule="auto"/>
        <w:ind w:right="-187" w:firstLine="708"/>
        <w:jc w:val="both"/>
        <w:rPr>
          <w:rFonts w:ascii="Bookman Old Style" w:hAnsi="Bookman Old Style" w:cs="Sakkal Majalla"/>
          <w:b/>
          <w:sz w:val="28"/>
          <w:szCs w:val="28"/>
        </w:rPr>
      </w:pPr>
      <w:r>
        <w:rPr>
          <w:rFonts w:ascii="Bookman Old Style" w:hAnsi="Bookman Old Style" w:cs="Sakkal Majalla"/>
          <w:b/>
          <w:sz w:val="28"/>
          <w:szCs w:val="28"/>
        </w:rPr>
        <w:t>1.7.</w:t>
      </w:r>
      <w:r w:rsidRPr="00F51CDE">
        <w:rPr>
          <w:rFonts w:ascii="Bookman Old Style" w:hAnsi="Bookman Old Style" w:cs="Sakkal Majalla"/>
          <w:b/>
          <w:sz w:val="28"/>
          <w:szCs w:val="28"/>
        </w:rPr>
        <w:t xml:space="preserve"> </w:t>
      </w:r>
      <w:r>
        <w:rPr>
          <w:rFonts w:ascii="Bookman Old Style" w:hAnsi="Bookman Old Style" w:cs="Sakkal Majalla"/>
          <w:b/>
          <w:sz w:val="28"/>
          <w:szCs w:val="28"/>
        </w:rPr>
        <w:t xml:space="preserve">Doctora </w:t>
      </w:r>
      <w:r w:rsidRPr="00F51CDE">
        <w:rPr>
          <w:rFonts w:ascii="Bookman Old Style" w:hAnsi="Bookman Old Style" w:cs="Sakkal Majalla"/>
          <w:b/>
          <w:sz w:val="28"/>
          <w:szCs w:val="28"/>
        </w:rPr>
        <w:t>Yudy Marinella Castillo Africano</w:t>
      </w:r>
      <w:r w:rsidRPr="00A36F17">
        <w:rPr>
          <w:rStyle w:val="Refdenotaalpie"/>
          <w:rFonts w:ascii="Bookman Old Style" w:hAnsi="Bookman Old Style" w:cs="Sakkal Majalla"/>
          <w:sz w:val="28"/>
          <w:szCs w:val="28"/>
        </w:rPr>
        <w:footnoteReference w:id="28"/>
      </w:r>
      <w:r w:rsidRPr="00A36F17">
        <w:rPr>
          <w:rFonts w:ascii="Bookman Old Style" w:hAnsi="Bookman Old Style" w:cs="Sakkal Majalla"/>
          <w:sz w:val="28"/>
          <w:szCs w:val="28"/>
        </w:rPr>
        <w:t xml:space="preserve"> </w:t>
      </w:r>
      <w:r>
        <w:rPr>
          <w:rFonts w:ascii="Bookman Old Style" w:hAnsi="Bookman Old Style" w:cs="Sakkal Majalla"/>
          <w:sz w:val="28"/>
          <w:szCs w:val="28"/>
        </w:rPr>
        <w:t xml:space="preserve">(Apoderada de víctimas de los </w:t>
      </w:r>
      <w:r w:rsidRPr="002A24C3">
        <w:rPr>
          <w:rFonts w:ascii="Bookman Old Style" w:hAnsi="Bookman Old Style" w:cs="Sakkal Majalla"/>
          <w:b/>
          <w:sz w:val="28"/>
          <w:szCs w:val="28"/>
        </w:rPr>
        <w:t xml:space="preserve">hechos </w:t>
      </w:r>
      <w:r>
        <w:rPr>
          <w:rFonts w:ascii="Bookman Old Style" w:hAnsi="Bookman Old Style" w:cs="Sakkal Majalla"/>
          <w:b/>
          <w:sz w:val="28"/>
          <w:szCs w:val="28"/>
        </w:rPr>
        <w:t>Nos.</w:t>
      </w:r>
      <w:r w:rsidRPr="002A24C3">
        <w:rPr>
          <w:rFonts w:ascii="Bookman Old Style" w:hAnsi="Bookman Old Style" w:cs="Sakkal Majalla"/>
          <w:b/>
          <w:sz w:val="28"/>
          <w:szCs w:val="28"/>
          <w:vertAlign w:val="superscript"/>
        </w:rPr>
        <w:t xml:space="preserve"> </w:t>
      </w:r>
      <w:r w:rsidRPr="002A24C3">
        <w:rPr>
          <w:rFonts w:ascii="Bookman Old Style" w:hAnsi="Bookman Old Style" w:cs="Sakkal Majalla"/>
          <w:b/>
          <w:sz w:val="28"/>
          <w:szCs w:val="28"/>
        </w:rPr>
        <w:t xml:space="preserve"> 75, 76, 77, 78, 79, 80, 81, 82, 83, 84, 85, 86, 87, 88, 89, 90, 91, 92, 93, 94, 95 y 96</w:t>
      </w:r>
      <w:r w:rsidRPr="002C6C20">
        <w:rPr>
          <w:rFonts w:ascii="Bookman Old Style" w:hAnsi="Bookman Old Style" w:cs="Sakkal Majalla"/>
          <w:sz w:val="28"/>
          <w:szCs w:val="28"/>
        </w:rPr>
        <w:t>)</w:t>
      </w:r>
      <w:r w:rsidRPr="002A24C3">
        <w:rPr>
          <w:rFonts w:ascii="Bookman Old Style" w:hAnsi="Bookman Old Style" w:cs="Sakkal Majalla"/>
          <w:b/>
          <w:sz w:val="28"/>
          <w:szCs w:val="28"/>
        </w:rPr>
        <w:t xml:space="preserve"> </w:t>
      </w:r>
    </w:p>
    <w:p w:rsidR="00AD777C" w:rsidRDefault="00AD777C" w:rsidP="00AD777C">
      <w:pPr>
        <w:spacing w:line="360" w:lineRule="auto"/>
        <w:ind w:right="-187" w:firstLine="708"/>
        <w:jc w:val="both"/>
        <w:rPr>
          <w:rFonts w:ascii="Bookman Old Style" w:hAnsi="Bookman Old Style" w:cs="Sakkal Majalla"/>
          <w:b/>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S</w:t>
      </w:r>
      <w:r w:rsidRPr="00F51CDE">
        <w:rPr>
          <w:rFonts w:ascii="Bookman Old Style" w:hAnsi="Bookman Old Style" w:cs="Sakkal Majalla"/>
          <w:sz w:val="28"/>
          <w:szCs w:val="28"/>
        </w:rPr>
        <w:t>e aparta de las razones expuestas por el Tribunal de</w:t>
      </w:r>
      <w:r>
        <w:rPr>
          <w:rFonts w:ascii="Bookman Old Style" w:hAnsi="Bookman Old Style" w:cs="Sakkal Majalla"/>
          <w:sz w:val="28"/>
          <w:szCs w:val="28"/>
        </w:rPr>
        <w:t xml:space="preserve"> primera instancia para negar la nulidad de la actuación, pues considera que la irregularidad presentada al omitirse el pronunciamiento sobre la legalidad de los cargos previo a iniciar la audiencia de incidente de afectaciones, genera grave vulneración a los derechos de las víctimas, que necesitaban saber si su caso fue o no legalizado.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Agrega que tal omisión va en contravía de las reglas de aplicación de las leyes señaladas en la Ley 153 de 1887 y el Código General del Proceso.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A continuación presenta –en cuadros- una relación de los </w:t>
      </w:r>
      <w:r w:rsidRPr="002A24C3">
        <w:rPr>
          <w:rFonts w:ascii="Bookman Old Style" w:hAnsi="Bookman Old Style" w:cs="Sakkal Majalla"/>
          <w:b/>
          <w:sz w:val="28"/>
          <w:szCs w:val="28"/>
        </w:rPr>
        <w:t xml:space="preserve">hechos que corresponden a los casos 75, 76, 77, 78, 79, 80, 81, 82, 83, 84, 85, 86, 88, 89, 90, 91, 92, 93, 94, 95 y 96, </w:t>
      </w:r>
      <w:r>
        <w:rPr>
          <w:rFonts w:ascii="Bookman Old Style" w:hAnsi="Bookman Old Style" w:cs="Sakkal Majalla"/>
          <w:sz w:val="28"/>
          <w:szCs w:val="28"/>
        </w:rPr>
        <w:t>incluyendo los nombres de las víctimas directas e indirectas que pretenden el reconocimiento de los perjuicios causados con el accionar ilegal ya reconocido por los cuatro postulados en este proceso. Así mismo, se refirió a la documentación entregada en carpetas para acreditar tanto el parentesco como las afectaciones.</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Concluye que en los casos 75 y 92, el Tribunal no reconoció a las víctimas indirectas por cuanto las directas pertenecían al grupo ilegal, argumento que considera erróneo dado que el Estado es el mayor responsable de la creación y desarrollo de estas estructuras ilegales, luego, su exclusión vulnera el principio de igualdad.</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Sostiene que la exclusión de quienes acreditaron ser hermanos o hijos de crianza, desconoce la </w:t>
      </w:r>
      <w:r w:rsidRPr="00D80F5F">
        <w:rPr>
          <w:rFonts w:ascii="Bookman Old Style" w:hAnsi="Bookman Old Style" w:cs="Sakkal Majalla"/>
          <w:i/>
          <w:sz w:val="24"/>
          <w:szCs w:val="24"/>
        </w:rPr>
        <w:t>«numerosa</w:t>
      </w:r>
      <w:r w:rsidRPr="00D80F5F">
        <w:rPr>
          <w:rFonts w:ascii="Sakkal Majalla" w:hAnsi="Sakkal Majalla" w:cs="Sakkal Majalla"/>
          <w:i/>
          <w:sz w:val="24"/>
          <w:szCs w:val="24"/>
        </w:rPr>
        <w:t>»</w:t>
      </w:r>
      <w:r>
        <w:rPr>
          <w:rFonts w:ascii="Bookman Old Style" w:hAnsi="Bookman Old Style" w:cs="Sakkal Majalla"/>
          <w:sz w:val="28"/>
          <w:szCs w:val="28"/>
        </w:rPr>
        <w:t xml:space="preserve"> jurisprudencia de la justicia ordinaria que presume la afectación moral.  Incluso en sentencias de justicia y paz se presentó el reconocimiento de hijos de crianza, lo que también conlleva infracción al principio de igualdad.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Como peticiones especiales, solicita que la Corte, en sede de segunda instancia, resuelva dos aspectos que no fueron objeto de pronunciamiento por parte del Tribunal, referidos al seguimiento del cumplimiento del derecho a la reparación integral y una petición que realizara dentro de un proceso que se adelantó contra Fredy Rendón Herrera y que ahora reitera en este, con miras a que las víctimas a quienes les faltó el recaudo de documentación para ser aportada al proceso, obtengan un plazo de 24 meses contados a partir de la ejecutoria de la sentencia para cumplir con esa exigencia.</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Finalmente, solicita que se condene al pago y compensaciones debidas, a cada uno de los postulados que aceptaron cargos dentro de esta actuación y a todos aquéllos exintegrantes del bloque o frente armado ilegal (ACMV).</w:t>
      </w:r>
    </w:p>
    <w:p w:rsidR="00AD777C" w:rsidRPr="002149FC" w:rsidRDefault="00AD777C" w:rsidP="00AD777C">
      <w:pPr>
        <w:spacing w:line="360" w:lineRule="auto"/>
        <w:ind w:right="-187"/>
        <w:jc w:val="both"/>
        <w:rPr>
          <w:rFonts w:ascii="Bookman Old Style" w:hAnsi="Bookman Old Style" w:cs="Sakkal Majalla"/>
          <w:b/>
          <w:sz w:val="28"/>
          <w:szCs w:val="28"/>
        </w:rPr>
      </w:pPr>
    </w:p>
    <w:p w:rsidR="00AD777C" w:rsidRPr="00CD55C4" w:rsidRDefault="00AD777C" w:rsidP="00AD777C">
      <w:pPr>
        <w:spacing w:line="360" w:lineRule="auto"/>
        <w:ind w:right="-187" w:firstLine="708"/>
        <w:jc w:val="both"/>
        <w:rPr>
          <w:rFonts w:ascii="Bookman Old Style" w:hAnsi="Bookman Old Style" w:cs="Sakkal Majalla"/>
          <w:b/>
          <w:sz w:val="28"/>
          <w:szCs w:val="28"/>
        </w:rPr>
      </w:pPr>
      <w:r w:rsidRPr="00CD55C4">
        <w:rPr>
          <w:rFonts w:ascii="Bookman Old Style" w:hAnsi="Bookman Old Style" w:cs="Sakkal Majalla"/>
          <w:b/>
          <w:sz w:val="28"/>
          <w:szCs w:val="28"/>
        </w:rPr>
        <w:t>2. LA FISCALÍA.</w:t>
      </w:r>
    </w:p>
    <w:p w:rsidR="00AD777C" w:rsidRPr="00D95D60" w:rsidRDefault="00AD777C" w:rsidP="00AD777C">
      <w:pPr>
        <w:spacing w:line="360" w:lineRule="auto"/>
        <w:ind w:right="-187" w:firstLine="708"/>
        <w:jc w:val="both"/>
        <w:rPr>
          <w:rFonts w:ascii="Bookman Old Style" w:hAnsi="Bookman Old Style" w:cs="Sakkal Majalla"/>
          <w:color w:val="7030A0"/>
          <w:sz w:val="28"/>
          <w:szCs w:val="28"/>
        </w:rPr>
      </w:pPr>
    </w:p>
    <w:p w:rsidR="00AD777C" w:rsidRPr="00CD55C4" w:rsidRDefault="00AD777C" w:rsidP="00AD777C">
      <w:pPr>
        <w:spacing w:line="360" w:lineRule="auto"/>
        <w:ind w:right="-187" w:firstLine="708"/>
        <w:jc w:val="both"/>
        <w:rPr>
          <w:rFonts w:ascii="Bookman Old Style" w:hAnsi="Bookman Old Style" w:cs="Sakkal Majalla"/>
          <w:sz w:val="28"/>
          <w:szCs w:val="28"/>
        </w:rPr>
      </w:pPr>
      <w:r w:rsidRPr="00CD55C4">
        <w:rPr>
          <w:rFonts w:ascii="Bookman Old Style" w:hAnsi="Bookman Old Style" w:cs="Sakkal Majalla"/>
          <w:sz w:val="28"/>
          <w:szCs w:val="28"/>
        </w:rPr>
        <w:t>Solicita que la sentencia sea modificada y adicionada,</w:t>
      </w:r>
      <w:r>
        <w:rPr>
          <w:rFonts w:ascii="Bookman Old Style" w:hAnsi="Bookman Old Style" w:cs="Sakkal Majalla"/>
          <w:sz w:val="28"/>
          <w:szCs w:val="28"/>
        </w:rPr>
        <w:t xml:space="preserve"> pues</w:t>
      </w:r>
      <w:r w:rsidRPr="00CD55C4">
        <w:rPr>
          <w:rFonts w:ascii="Bookman Old Style" w:hAnsi="Bookman Old Style" w:cs="Sakkal Majalla"/>
          <w:sz w:val="28"/>
          <w:szCs w:val="28"/>
        </w:rPr>
        <w:t xml:space="preserve"> el Tribunal reconoc</w:t>
      </w:r>
      <w:r>
        <w:rPr>
          <w:rFonts w:ascii="Bookman Old Style" w:hAnsi="Bookman Old Style" w:cs="Sakkal Majalla"/>
          <w:sz w:val="28"/>
          <w:szCs w:val="28"/>
        </w:rPr>
        <w:t>ió</w:t>
      </w:r>
      <w:r w:rsidRPr="00CD55C4">
        <w:rPr>
          <w:rFonts w:ascii="Bookman Old Style" w:hAnsi="Bookman Old Style" w:cs="Sakkal Majalla"/>
          <w:sz w:val="28"/>
          <w:szCs w:val="28"/>
        </w:rPr>
        <w:t xml:space="preserve"> a algunas personas como víctimas</w:t>
      </w:r>
      <w:r>
        <w:rPr>
          <w:rFonts w:ascii="Bookman Old Style" w:hAnsi="Bookman Old Style" w:cs="Sakkal Majalla"/>
          <w:sz w:val="28"/>
          <w:szCs w:val="28"/>
        </w:rPr>
        <w:t>,</w:t>
      </w:r>
      <w:r w:rsidRPr="00CD55C4">
        <w:rPr>
          <w:rFonts w:ascii="Bookman Old Style" w:hAnsi="Bookman Old Style" w:cs="Sakkal Majalla"/>
          <w:sz w:val="28"/>
          <w:szCs w:val="28"/>
        </w:rPr>
        <w:t xml:space="preserve"> pese a que fueron identificadas como miembros del Grupo Autodefensas Campesinas del Meta y Vichada</w:t>
      </w:r>
      <w:r>
        <w:rPr>
          <w:rFonts w:ascii="Bookman Old Style" w:hAnsi="Bookman Old Style" w:cs="Sakkal Majalla"/>
          <w:sz w:val="28"/>
          <w:szCs w:val="28"/>
        </w:rPr>
        <w:t xml:space="preserve">, específicamente en el </w:t>
      </w:r>
      <w:r>
        <w:rPr>
          <w:rFonts w:ascii="Bookman Old Style" w:hAnsi="Bookman Old Style" w:cs="Sakkal Majalla"/>
          <w:b/>
          <w:sz w:val="28"/>
          <w:szCs w:val="28"/>
        </w:rPr>
        <w:t>hecho No.</w:t>
      </w:r>
      <w:r w:rsidRPr="00877A98">
        <w:rPr>
          <w:rFonts w:ascii="Bookman Old Style" w:hAnsi="Bookman Old Style" w:cs="Sakkal Majalla"/>
          <w:b/>
          <w:sz w:val="28"/>
          <w:szCs w:val="28"/>
        </w:rPr>
        <w:t xml:space="preserve"> 9.</w:t>
      </w:r>
      <w:r w:rsidRPr="00CD55C4">
        <w:rPr>
          <w:rFonts w:ascii="Bookman Old Style" w:hAnsi="Bookman Old Style" w:cs="Sakkal Majalla"/>
          <w:sz w:val="28"/>
          <w:szCs w:val="28"/>
        </w:rPr>
        <w:t xml:space="preserve"> </w:t>
      </w:r>
    </w:p>
    <w:p w:rsidR="00AD777C" w:rsidRPr="00D95D60" w:rsidRDefault="00AD777C" w:rsidP="00AD777C">
      <w:pPr>
        <w:spacing w:line="360" w:lineRule="auto"/>
        <w:ind w:right="-187" w:firstLine="708"/>
        <w:jc w:val="both"/>
        <w:rPr>
          <w:rFonts w:ascii="Bookman Old Style" w:hAnsi="Bookman Old Style" w:cs="Sakkal Majalla"/>
          <w:color w:val="7030A0"/>
          <w:sz w:val="28"/>
          <w:szCs w:val="28"/>
        </w:rPr>
      </w:pPr>
    </w:p>
    <w:p w:rsidR="00AD777C" w:rsidRPr="00CD55C4" w:rsidRDefault="00AD777C" w:rsidP="00AD777C">
      <w:pPr>
        <w:spacing w:line="360" w:lineRule="auto"/>
        <w:ind w:right="-187" w:firstLine="708"/>
        <w:jc w:val="both"/>
        <w:rPr>
          <w:rFonts w:ascii="Bookman Old Style" w:hAnsi="Bookman Old Style" w:cs="Sakkal Majalla"/>
          <w:sz w:val="28"/>
          <w:szCs w:val="28"/>
        </w:rPr>
      </w:pPr>
      <w:r w:rsidRPr="00CD55C4">
        <w:rPr>
          <w:rFonts w:ascii="Bookman Old Style" w:hAnsi="Bookman Old Style" w:cs="Sakkal Majalla"/>
          <w:sz w:val="28"/>
          <w:szCs w:val="28"/>
        </w:rPr>
        <w:t xml:space="preserve">Frente al </w:t>
      </w:r>
      <w:r w:rsidRPr="00877A98">
        <w:rPr>
          <w:rFonts w:ascii="Bookman Old Style" w:hAnsi="Bookman Old Style" w:cs="Sakkal Majalla"/>
          <w:b/>
          <w:sz w:val="28"/>
          <w:szCs w:val="28"/>
        </w:rPr>
        <w:t>hecho 14</w:t>
      </w:r>
      <w:r w:rsidRPr="00CD55C4">
        <w:rPr>
          <w:rFonts w:ascii="Bookman Old Style" w:hAnsi="Bookman Old Style" w:cs="Sakkal Majalla"/>
          <w:sz w:val="28"/>
          <w:szCs w:val="28"/>
        </w:rPr>
        <w:t xml:space="preserve">, señala su inconformidad con las argumentaciones de la primera instancia, </w:t>
      </w:r>
      <w:r>
        <w:rPr>
          <w:rFonts w:ascii="Bookman Old Style" w:hAnsi="Bookman Old Style" w:cs="Sakkal Majalla"/>
          <w:sz w:val="28"/>
          <w:szCs w:val="28"/>
        </w:rPr>
        <w:t>pues se aduce que se trató</w:t>
      </w:r>
      <w:r w:rsidRPr="00CD55C4">
        <w:rPr>
          <w:rFonts w:ascii="Bookman Old Style" w:hAnsi="Bookman Old Style" w:cs="Sakkal Majalla"/>
          <w:sz w:val="28"/>
          <w:szCs w:val="28"/>
        </w:rPr>
        <w:t xml:space="preserve"> de un</w:t>
      </w:r>
      <w:r>
        <w:rPr>
          <w:rFonts w:ascii="Bookman Old Style" w:hAnsi="Bookman Old Style" w:cs="Sakkal Majalla"/>
          <w:sz w:val="28"/>
          <w:szCs w:val="28"/>
        </w:rPr>
        <w:t xml:space="preserve"> evento aislado</w:t>
      </w:r>
      <w:r w:rsidRPr="00CD55C4">
        <w:rPr>
          <w:rFonts w:ascii="Bookman Old Style" w:hAnsi="Bookman Old Style" w:cs="Sakkal Majalla"/>
          <w:sz w:val="28"/>
          <w:szCs w:val="28"/>
        </w:rPr>
        <w:t xml:space="preserve"> p</w:t>
      </w:r>
      <w:r>
        <w:rPr>
          <w:rFonts w:ascii="Bookman Old Style" w:hAnsi="Bookman Old Style" w:cs="Sakkal Majalla"/>
          <w:sz w:val="28"/>
          <w:szCs w:val="28"/>
        </w:rPr>
        <w:t>ara negar su</w:t>
      </w:r>
      <w:r w:rsidRPr="00CD55C4">
        <w:rPr>
          <w:rFonts w:ascii="Bookman Old Style" w:hAnsi="Bookman Old Style" w:cs="Sakkal Majalla"/>
          <w:sz w:val="28"/>
          <w:szCs w:val="28"/>
        </w:rPr>
        <w:t xml:space="preserve"> legalización, desconociendo que en realidad hubo amenazas en contra de la señora Stella Ramírez Rodríguez, quien como consecuencia de ellas, se desplazó dentro de la misma localidad.</w:t>
      </w:r>
    </w:p>
    <w:p w:rsidR="00AD777C" w:rsidRPr="00D95D60" w:rsidRDefault="00AD777C" w:rsidP="00AD777C">
      <w:pPr>
        <w:spacing w:line="360" w:lineRule="auto"/>
        <w:ind w:right="-187" w:firstLine="708"/>
        <w:jc w:val="both"/>
        <w:rPr>
          <w:rFonts w:ascii="Bookman Old Style" w:hAnsi="Bookman Old Style" w:cs="Sakkal Majalla"/>
          <w:color w:val="7030A0"/>
          <w:sz w:val="28"/>
          <w:szCs w:val="28"/>
        </w:rPr>
      </w:pPr>
    </w:p>
    <w:p w:rsidR="00AD777C" w:rsidRPr="00CD55C4"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Frente al </w:t>
      </w:r>
      <w:r w:rsidRPr="00877A98">
        <w:rPr>
          <w:rFonts w:ascii="Bookman Old Style" w:hAnsi="Bookman Old Style" w:cs="Sakkal Majalla"/>
          <w:b/>
          <w:sz w:val="28"/>
          <w:szCs w:val="28"/>
        </w:rPr>
        <w:t xml:space="preserve">hecho </w:t>
      </w:r>
      <w:r>
        <w:rPr>
          <w:rFonts w:ascii="Bookman Old Style" w:hAnsi="Bookman Old Style" w:cs="Sakkal Majalla"/>
          <w:b/>
          <w:sz w:val="28"/>
          <w:szCs w:val="28"/>
        </w:rPr>
        <w:t xml:space="preserve">No. </w:t>
      </w:r>
      <w:r w:rsidRPr="00877A98">
        <w:rPr>
          <w:rFonts w:ascii="Bookman Old Style" w:hAnsi="Bookman Old Style" w:cs="Sakkal Majalla"/>
          <w:b/>
          <w:sz w:val="28"/>
          <w:szCs w:val="28"/>
        </w:rPr>
        <w:t>22</w:t>
      </w:r>
      <w:r>
        <w:rPr>
          <w:rFonts w:ascii="Bookman Old Style" w:hAnsi="Bookman Old Style" w:cs="Sakkal Majalla"/>
          <w:sz w:val="28"/>
          <w:szCs w:val="28"/>
        </w:rPr>
        <w:t>, s</w:t>
      </w:r>
      <w:r w:rsidRPr="00CD55C4">
        <w:rPr>
          <w:rFonts w:ascii="Bookman Old Style" w:hAnsi="Bookman Old Style" w:cs="Sakkal Majalla"/>
          <w:sz w:val="28"/>
          <w:szCs w:val="28"/>
        </w:rPr>
        <w:t>olicita se legalice el delito de homicidio en persona protegida cometido en Nilson Alirio Torres Cuyares, dado que la sit</w:t>
      </w:r>
      <w:r>
        <w:rPr>
          <w:rFonts w:ascii="Bookman Old Style" w:hAnsi="Bookman Old Style" w:cs="Sakkal Majalla"/>
          <w:sz w:val="28"/>
          <w:szCs w:val="28"/>
        </w:rPr>
        <w:t>uación fáctica lo registra pero</w:t>
      </w:r>
      <w:r w:rsidRPr="00CD55C4">
        <w:rPr>
          <w:rFonts w:ascii="Bookman Old Style" w:hAnsi="Bookman Old Style" w:cs="Sakkal Majalla"/>
          <w:sz w:val="28"/>
          <w:szCs w:val="28"/>
        </w:rPr>
        <w:t xml:space="preserve"> tan sólo se impartió legalidad al punible de tortura en persona protegida.  Requiere que, en consecuencia, se incluya a </w:t>
      </w:r>
      <w:r>
        <w:rPr>
          <w:rFonts w:ascii="Bookman Old Style" w:hAnsi="Bookman Old Style" w:cs="Sakkal Majalla"/>
          <w:sz w:val="28"/>
          <w:szCs w:val="28"/>
        </w:rPr>
        <w:t>su núcleo familiar como víctima</w:t>
      </w:r>
      <w:r w:rsidRPr="00CD55C4">
        <w:rPr>
          <w:rFonts w:ascii="Bookman Old Style" w:hAnsi="Bookman Old Style" w:cs="Sakkal Majalla"/>
          <w:sz w:val="28"/>
          <w:szCs w:val="28"/>
        </w:rPr>
        <w:t>.</w:t>
      </w:r>
    </w:p>
    <w:p w:rsidR="00AD777C" w:rsidRPr="00CD55C4" w:rsidRDefault="00AD777C" w:rsidP="00AD777C">
      <w:pPr>
        <w:spacing w:line="360" w:lineRule="auto"/>
        <w:ind w:right="-187" w:firstLine="708"/>
        <w:jc w:val="both"/>
        <w:rPr>
          <w:rFonts w:ascii="Bookman Old Style" w:hAnsi="Bookman Old Style" w:cs="Sakkal Majalla"/>
          <w:sz w:val="28"/>
          <w:szCs w:val="28"/>
        </w:rPr>
      </w:pPr>
    </w:p>
    <w:p w:rsidR="00AD777C" w:rsidRPr="00CD55C4" w:rsidRDefault="00AD777C" w:rsidP="00AD777C">
      <w:pPr>
        <w:spacing w:line="360" w:lineRule="auto"/>
        <w:ind w:right="-187" w:firstLine="708"/>
        <w:jc w:val="both"/>
        <w:rPr>
          <w:rFonts w:ascii="Bookman Old Style" w:hAnsi="Bookman Old Style" w:cs="Sakkal Majalla"/>
          <w:sz w:val="28"/>
          <w:szCs w:val="28"/>
        </w:rPr>
      </w:pPr>
      <w:r w:rsidRPr="00CD55C4">
        <w:rPr>
          <w:rFonts w:ascii="Bookman Old Style" w:hAnsi="Bookman Old Style" w:cs="Sakkal Majalla"/>
          <w:sz w:val="28"/>
          <w:szCs w:val="28"/>
        </w:rPr>
        <w:t xml:space="preserve">En cuanto al </w:t>
      </w:r>
      <w:r w:rsidRPr="00877A98">
        <w:rPr>
          <w:rFonts w:ascii="Bookman Old Style" w:hAnsi="Bookman Old Style" w:cs="Sakkal Majalla"/>
          <w:b/>
          <w:sz w:val="28"/>
          <w:szCs w:val="28"/>
        </w:rPr>
        <w:t>hecho 23</w:t>
      </w:r>
      <w:r>
        <w:rPr>
          <w:rFonts w:ascii="Bookman Old Style" w:hAnsi="Bookman Old Style" w:cs="Sakkal Majalla"/>
          <w:sz w:val="28"/>
          <w:szCs w:val="28"/>
        </w:rPr>
        <w:t>,</w:t>
      </w:r>
      <w:r w:rsidRPr="00CD55C4">
        <w:rPr>
          <w:rFonts w:ascii="Bookman Old Style" w:hAnsi="Bookman Old Style" w:cs="Sakkal Majalla"/>
          <w:sz w:val="28"/>
          <w:szCs w:val="28"/>
        </w:rPr>
        <w:t xml:space="preserve"> </w:t>
      </w:r>
      <w:r>
        <w:rPr>
          <w:rFonts w:ascii="Bookman Old Style" w:hAnsi="Bookman Old Style" w:cs="Sakkal Majalla"/>
          <w:sz w:val="28"/>
          <w:szCs w:val="28"/>
        </w:rPr>
        <w:t>requiere</w:t>
      </w:r>
      <w:r w:rsidRPr="00CD55C4">
        <w:rPr>
          <w:rFonts w:ascii="Bookman Old Style" w:hAnsi="Bookman Old Style" w:cs="Sakkal Majalla"/>
          <w:sz w:val="28"/>
          <w:szCs w:val="28"/>
        </w:rPr>
        <w:t xml:space="preserve"> que la víctima directa –Alirio Rodríguez Ramírez-, junto con su núcleo familiar, se</w:t>
      </w:r>
      <w:r>
        <w:rPr>
          <w:rFonts w:ascii="Bookman Old Style" w:hAnsi="Bookman Old Style" w:cs="Sakkal Majalla"/>
          <w:sz w:val="28"/>
          <w:szCs w:val="28"/>
        </w:rPr>
        <w:t xml:space="preserve"> incluyan</w:t>
      </w:r>
      <w:r w:rsidRPr="00CD55C4">
        <w:rPr>
          <w:rFonts w:ascii="Bookman Old Style" w:hAnsi="Bookman Old Style" w:cs="Sakkal Majalla"/>
          <w:sz w:val="28"/>
          <w:szCs w:val="28"/>
        </w:rPr>
        <w:t xml:space="preserve"> en el listado que será remitido a la U</w:t>
      </w:r>
      <w:r>
        <w:rPr>
          <w:rFonts w:ascii="Bookman Old Style" w:hAnsi="Bookman Old Style" w:cs="Sakkal Majalla"/>
          <w:sz w:val="28"/>
          <w:szCs w:val="28"/>
        </w:rPr>
        <w:t xml:space="preserve">nidad </w:t>
      </w:r>
      <w:r>
        <w:rPr>
          <w:rFonts w:ascii="Bookman Old Style" w:hAnsi="Bookman Old Style"/>
          <w:sz w:val="28"/>
          <w:szCs w:val="28"/>
        </w:rPr>
        <w:t>para la Atención y Reparación Integral a las Víctimas</w:t>
      </w:r>
      <w:r w:rsidRPr="00CD55C4">
        <w:rPr>
          <w:rFonts w:ascii="Bookman Old Style" w:hAnsi="Bookman Old Style" w:cs="Sakkal Majalla"/>
          <w:sz w:val="28"/>
          <w:szCs w:val="28"/>
        </w:rPr>
        <w:t xml:space="preserve"> </w:t>
      </w:r>
      <w:r>
        <w:rPr>
          <w:rFonts w:ascii="Bookman Old Style" w:hAnsi="Bookman Old Style" w:cs="Sakkal Majalla"/>
          <w:sz w:val="28"/>
          <w:szCs w:val="28"/>
        </w:rPr>
        <w:t>–U</w:t>
      </w:r>
      <w:r w:rsidRPr="00CD55C4">
        <w:rPr>
          <w:rFonts w:ascii="Bookman Old Style" w:hAnsi="Bookman Old Style" w:cs="Sakkal Majalla"/>
          <w:sz w:val="28"/>
          <w:szCs w:val="28"/>
        </w:rPr>
        <w:t>ARIV</w:t>
      </w:r>
      <w:r>
        <w:rPr>
          <w:rFonts w:ascii="Bookman Old Style" w:hAnsi="Bookman Old Style" w:cs="Sakkal Majalla"/>
          <w:sz w:val="28"/>
          <w:szCs w:val="28"/>
        </w:rPr>
        <w:t>-</w:t>
      </w:r>
      <w:r w:rsidRPr="00CD55C4">
        <w:rPr>
          <w:rFonts w:ascii="Bookman Old Style" w:hAnsi="Bookman Old Style" w:cs="Sakkal Majalla"/>
          <w:sz w:val="28"/>
          <w:szCs w:val="28"/>
        </w:rPr>
        <w:t>, con el fin de obtener las medidas que permitan su reparación.</w:t>
      </w:r>
    </w:p>
    <w:p w:rsidR="00AD777C" w:rsidRPr="00CD55C4"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sidRPr="00CD55C4">
        <w:rPr>
          <w:rFonts w:ascii="Bookman Old Style" w:hAnsi="Bookman Old Style" w:cs="Sakkal Majalla"/>
          <w:sz w:val="28"/>
          <w:szCs w:val="28"/>
        </w:rPr>
        <w:t xml:space="preserve">Similares pretensiones realiza frente a los </w:t>
      </w:r>
      <w:r w:rsidRPr="00877A98">
        <w:rPr>
          <w:rFonts w:ascii="Bookman Old Style" w:hAnsi="Bookman Old Style" w:cs="Sakkal Majalla"/>
          <w:b/>
          <w:sz w:val="28"/>
          <w:szCs w:val="28"/>
        </w:rPr>
        <w:t>hechos 35, 39, 40, 44, 84 y 86</w:t>
      </w:r>
      <w:r>
        <w:rPr>
          <w:rFonts w:ascii="Bookman Old Style" w:hAnsi="Bookman Old Style" w:cs="Sakkal Majalla"/>
          <w:sz w:val="28"/>
          <w:szCs w:val="28"/>
        </w:rPr>
        <w:t>,</w:t>
      </w:r>
      <w:r w:rsidRPr="00877A98">
        <w:rPr>
          <w:rFonts w:ascii="Bookman Old Style" w:hAnsi="Bookman Old Style" w:cs="Sakkal Majalla"/>
          <w:b/>
          <w:sz w:val="28"/>
          <w:szCs w:val="28"/>
        </w:rPr>
        <w:t xml:space="preserve"> </w:t>
      </w:r>
      <w:r w:rsidRPr="00CD55C4">
        <w:rPr>
          <w:rFonts w:ascii="Bookman Old Style" w:hAnsi="Bookman Old Style" w:cs="Sakkal Majalla"/>
          <w:sz w:val="28"/>
          <w:szCs w:val="28"/>
        </w:rPr>
        <w:t>para que se incluya a todas las víctimas, puesto que no aparecen pese a que se allegó documentación con la cual se prueba el parentesco.</w:t>
      </w:r>
    </w:p>
    <w:p w:rsidR="00AD777C" w:rsidRPr="00CD55C4" w:rsidRDefault="00AD777C" w:rsidP="00AD777C">
      <w:pPr>
        <w:spacing w:line="360" w:lineRule="auto"/>
        <w:ind w:right="-187" w:firstLine="708"/>
        <w:jc w:val="both"/>
        <w:rPr>
          <w:rFonts w:ascii="Bookman Old Style" w:hAnsi="Bookman Old Style" w:cs="Sakkal Majalla"/>
          <w:sz w:val="28"/>
          <w:szCs w:val="28"/>
        </w:rPr>
      </w:pPr>
    </w:p>
    <w:p w:rsidR="00AD777C" w:rsidRPr="00877A98" w:rsidRDefault="00AD777C" w:rsidP="00AD777C">
      <w:pPr>
        <w:spacing w:line="360" w:lineRule="auto"/>
        <w:ind w:right="-187" w:firstLine="708"/>
        <w:jc w:val="both"/>
        <w:rPr>
          <w:rFonts w:ascii="Bookman Old Style" w:hAnsi="Bookman Old Style" w:cs="Sakkal Majalla"/>
          <w:sz w:val="28"/>
          <w:szCs w:val="28"/>
        </w:rPr>
      </w:pPr>
      <w:r w:rsidRPr="00D35986">
        <w:rPr>
          <w:rFonts w:ascii="Bookman Old Style" w:hAnsi="Bookman Old Style" w:cs="Sakkal Majalla"/>
          <w:sz w:val="28"/>
          <w:szCs w:val="28"/>
        </w:rPr>
        <w:t xml:space="preserve">Solicita rectificación frente a imprecisiones que se presentan en los </w:t>
      </w:r>
      <w:r w:rsidRPr="00877A98">
        <w:rPr>
          <w:rFonts w:ascii="Bookman Old Style" w:hAnsi="Bookman Old Style" w:cs="Sakkal Majalla"/>
          <w:b/>
          <w:sz w:val="28"/>
          <w:szCs w:val="28"/>
        </w:rPr>
        <w:t>he</w:t>
      </w:r>
      <w:r>
        <w:rPr>
          <w:rFonts w:ascii="Bookman Old Style" w:hAnsi="Bookman Old Style" w:cs="Sakkal Majalla"/>
          <w:b/>
          <w:sz w:val="28"/>
          <w:szCs w:val="28"/>
        </w:rPr>
        <w:t>chos 52, 71, 72, 101, 102 y 103</w:t>
      </w:r>
      <w:r>
        <w:rPr>
          <w:rFonts w:ascii="Bookman Old Style" w:hAnsi="Bookman Old Style" w:cs="Sakkal Majalla"/>
          <w:sz w:val="28"/>
          <w:szCs w:val="28"/>
        </w:rPr>
        <w:t>, los cuales menciona específicamente.</w:t>
      </w:r>
    </w:p>
    <w:p w:rsidR="00AD777C" w:rsidRPr="00877A98" w:rsidRDefault="00AD777C" w:rsidP="00AD777C">
      <w:pPr>
        <w:spacing w:line="360" w:lineRule="auto"/>
        <w:ind w:right="-187" w:firstLine="708"/>
        <w:jc w:val="both"/>
        <w:rPr>
          <w:rFonts w:ascii="Bookman Old Style" w:hAnsi="Bookman Old Style" w:cs="Sakkal Majalla"/>
          <w:b/>
          <w:sz w:val="28"/>
          <w:szCs w:val="28"/>
        </w:rPr>
      </w:pPr>
    </w:p>
    <w:p w:rsidR="00AD777C" w:rsidRPr="00D35986" w:rsidRDefault="00AD777C" w:rsidP="00AD777C">
      <w:pPr>
        <w:spacing w:line="360" w:lineRule="auto"/>
        <w:ind w:right="-187" w:firstLine="708"/>
        <w:jc w:val="both"/>
        <w:rPr>
          <w:rFonts w:ascii="Bookman Old Style" w:hAnsi="Bookman Old Style" w:cs="Sakkal Majalla"/>
          <w:sz w:val="28"/>
          <w:szCs w:val="28"/>
        </w:rPr>
      </w:pPr>
      <w:r w:rsidRPr="00D35986">
        <w:rPr>
          <w:rFonts w:ascii="Bookman Old Style" w:hAnsi="Bookman Old Style" w:cs="Sakkal Majalla"/>
          <w:sz w:val="28"/>
          <w:szCs w:val="28"/>
        </w:rPr>
        <w:t xml:space="preserve">Sobre el </w:t>
      </w:r>
      <w:r w:rsidRPr="00877A98">
        <w:rPr>
          <w:rFonts w:ascii="Bookman Old Style" w:hAnsi="Bookman Old Style" w:cs="Sakkal Majalla"/>
          <w:b/>
          <w:sz w:val="28"/>
          <w:szCs w:val="28"/>
        </w:rPr>
        <w:t>hecho 108</w:t>
      </w:r>
      <w:r>
        <w:rPr>
          <w:rFonts w:ascii="Bookman Old Style" w:hAnsi="Bookman Old Style" w:cs="Sakkal Majalla"/>
          <w:sz w:val="28"/>
          <w:szCs w:val="28"/>
        </w:rPr>
        <w:t>, expone que a pesar de que la F</w:t>
      </w:r>
      <w:r w:rsidRPr="00D35986">
        <w:rPr>
          <w:rFonts w:ascii="Bookman Old Style" w:hAnsi="Bookman Old Style" w:cs="Sakkal Majalla"/>
          <w:sz w:val="28"/>
          <w:szCs w:val="28"/>
        </w:rPr>
        <w:t>iscalía lo presentó como homicidio en persona protegida en concurso con desaparición forzada, este último punible no fue incluido en la parte resolutiva de la sentencia, por lo que solicita la adición</w:t>
      </w:r>
      <w:r>
        <w:rPr>
          <w:rFonts w:ascii="Bookman Old Style" w:hAnsi="Bookman Old Style" w:cs="Sakkal Majalla"/>
          <w:sz w:val="28"/>
          <w:szCs w:val="28"/>
        </w:rPr>
        <w:t xml:space="preserve"> de la misma</w:t>
      </w:r>
      <w:r w:rsidRPr="00D35986">
        <w:rPr>
          <w:rFonts w:ascii="Bookman Old Style" w:hAnsi="Bookman Old Style" w:cs="Sakkal Majalla"/>
          <w:sz w:val="28"/>
          <w:szCs w:val="28"/>
        </w:rPr>
        <w:t>.</w:t>
      </w:r>
    </w:p>
    <w:p w:rsidR="00AD777C" w:rsidRPr="00D35986" w:rsidRDefault="00AD777C" w:rsidP="00AD777C">
      <w:pPr>
        <w:spacing w:line="360" w:lineRule="auto"/>
        <w:ind w:right="-187" w:firstLine="708"/>
        <w:jc w:val="both"/>
        <w:rPr>
          <w:rFonts w:ascii="Bookman Old Style" w:hAnsi="Bookman Old Style" w:cs="Sakkal Majalla"/>
          <w:sz w:val="28"/>
          <w:szCs w:val="28"/>
        </w:rPr>
      </w:pPr>
    </w:p>
    <w:p w:rsidR="00AD777C" w:rsidRPr="00D35986" w:rsidRDefault="00AD777C" w:rsidP="00AD777C">
      <w:pPr>
        <w:spacing w:line="360" w:lineRule="auto"/>
        <w:ind w:right="-187" w:firstLine="708"/>
        <w:jc w:val="both"/>
        <w:rPr>
          <w:rFonts w:ascii="Bookman Old Style" w:hAnsi="Bookman Old Style" w:cs="Sakkal Majalla"/>
          <w:sz w:val="28"/>
          <w:szCs w:val="28"/>
        </w:rPr>
      </w:pPr>
      <w:r w:rsidRPr="00D35986">
        <w:rPr>
          <w:rFonts w:ascii="Bookman Old Style" w:hAnsi="Bookman Old Style" w:cs="Sakkal Majalla"/>
          <w:sz w:val="28"/>
          <w:szCs w:val="28"/>
        </w:rPr>
        <w:t xml:space="preserve">Termina la sustentación refiriéndose a los </w:t>
      </w:r>
      <w:r w:rsidRPr="00877A98">
        <w:rPr>
          <w:rFonts w:ascii="Bookman Old Style" w:hAnsi="Bookman Old Style" w:cs="Sakkal Majalla"/>
          <w:b/>
          <w:sz w:val="28"/>
          <w:szCs w:val="28"/>
        </w:rPr>
        <w:t xml:space="preserve">hechos 59, 65 y 70 </w:t>
      </w:r>
      <w:r w:rsidRPr="00D35986">
        <w:rPr>
          <w:rFonts w:ascii="Bookman Old Style" w:hAnsi="Bookman Old Style" w:cs="Sakkal Majalla"/>
          <w:sz w:val="28"/>
          <w:szCs w:val="28"/>
        </w:rPr>
        <w:t>que tienen en común víctimas dir</w:t>
      </w:r>
      <w:r>
        <w:rPr>
          <w:rFonts w:ascii="Bookman Old Style" w:hAnsi="Bookman Old Style" w:cs="Sakkal Majalla"/>
          <w:sz w:val="28"/>
          <w:szCs w:val="28"/>
        </w:rPr>
        <w:t>ectas menores de edad</w:t>
      </w:r>
      <w:r w:rsidRPr="00D35986">
        <w:rPr>
          <w:rFonts w:ascii="Bookman Old Style" w:hAnsi="Bookman Old Style" w:cs="Sakkal Majalla"/>
          <w:sz w:val="28"/>
          <w:szCs w:val="28"/>
        </w:rPr>
        <w:t xml:space="preserve"> reclutadas ilícitamente y que perdieron la vida haciendo parte de la organización armada ilegal.  Solicita la reparación de las víctimas indirectas, dadas las características especiales de los hechos.</w:t>
      </w:r>
    </w:p>
    <w:p w:rsidR="00AD777C" w:rsidRPr="00D95D60" w:rsidRDefault="00AD777C" w:rsidP="00AD777C">
      <w:pPr>
        <w:spacing w:line="360" w:lineRule="auto"/>
        <w:ind w:right="-187"/>
        <w:jc w:val="both"/>
        <w:rPr>
          <w:rFonts w:ascii="Bookman Old Style" w:hAnsi="Bookman Old Style" w:cs="Sakkal Majalla"/>
          <w:b/>
          <w:color w:val="7030A0"/>
          <w:sz w:val="28"/>
          <w:szCs w:val="28"/>
        </w:rPr>
      </w:pPr>
    </w:p>
    <w:p w:rsidR="00AD777C" w:rsidRDefault="00AD777C" w:rsidP="00AD777C">
      <w:pPr>
        <w:spacing w:line="360" w:lineRule="auto"/>
        <w:ind w:right="-187" w:firstLine="570"/>
        <w:jc w:val="both"/>
        <w:rPr>
          <w:rFonts w:ascii="Bookman Old Style" w:hAnsi="Bookman Old Style" w:cs="Sakkal Majalla"/>
          <w:b/>
          <w:sz w:val="28"/>
          <w:szCs w:val="28"/>
        </w:rPr>
      </w:pPr>
      <w:r>
        <w:rPr>
          <w:rFonts w:ascii="Bookman Old Style" w:hAnsi="Bookman Old Style" w:cs="Sakkal Majalla"/>
          <w:b/>
          <w:sz w:val="28"/>
          <w:szCs w:val="28"/>
        </w:rPr>
        <w:t xml:space="preserve">3. </w:t>
      </w:r>
      <w:r w:rsidRPr="00F372C8">
        <w:rPr>
          <w:rFonts w:ascii="Bookman Old Style" w:hAnsi="Bookman Old Style" w:cs="Sakkal Majalla"/>
          <w:b/>
          <w:sz w:val="28"/>
          <w:szCs w:val="28"/>
        </w:rPr>
        <w:t>EL MINISTERIO PÚBLICO.</w:t>
      </w:r>
    </w:p>
    <w:p w:rsidR="00AD777C" w:rsidRDefault="00AD777C" w:rsidP="00AD777C">
      <w:pPr>
        <w:spacing w:line="360" w:lineRule="auto"/>
        <w:ind w:right="-187"/>
        <w:jc w:val="both"/>
        <w:rPr>
          <w:rFonts w:ascii="Bookman Old Style" w:hAnsi="Bookman Old Style" w:cs="Sakkal Majalla"/>
          <w:b/>
          <w:sz w:val="28"/>
          <w:szCs w:val="28"/>
        </w:rPr>
      </w:pPr>
    </w:p>
    <w:p w:rsidR="00AD777C" w:rsidRDefault="00AD777C" w:rsidP="00AD777C">
      <w:pPr>
        <w:spacing w:line="360" w:lineRule="auto"/>
        <w:ind w:right="-187" w:firstLine="570"/>
        <w:jc w:val="both"/>
        <w:rPr>
          <w:rFonts w:ascii="Bookman Old Style" w:hAnsi="Bookman Old Style" w:cs="Sakkal Majalla"/>
          <w:sz w:val="28"/>
          <w:szCs w:val="28"/>
        </w:rPr>
      </w:pPr>
      <w:r>
        <w:rPr>
          <w:rFonts w:ascii="Bookman Old Style" w:hAnsi="Bookman Old Style" w:cs="Sakkal Majalla"/>
          <w:sz w:val="28"/>
          <w:szCs w:val="28"/>
        </w:rPr>
        <w:t xml:space="preserve">La representación de la Procuraduría no comparte que en la sentencia se omitiera la determinación y cuantificación del daño, obligación que por mandato legal (artículo 11 literal C de la Ley 906 de 2004 y 2341- 2343 del Código Civil) corresponde asumir, en primer lugar, a los perpetradores de las conductas punibles. </w:t>
      </w:r>
    </w:p>
    <w:p w:rsidR="00AD777C" w:rsidRDefault="00AD777C" w:rsidP="00AD777C">
      <w:pPr>
        <w:spacing w:line="360" w:lineRule="auto"/>
        <w:ind w:right="-187" w:firstLine="570"/>
        <w:jc w:val="both"/>
        <w:rPr>
          <w:rFonts w:ascii="Bookman Old Style" w:hAnsi="Bookman Old Style" w:cs="Sakkal Majalla"/>
          <w:sz w:val="28"/>
          <w:szCs w:val="28"/>
        </w:rPr>
      </w:pPr>
    </w:p>
    <w:p w:rsidR="00AD777C" w:rsidRPr="00B7247A" w:rsidRDefault="00AD777C" w:rsidP="00AD777C">
      <w:pPr>
        <w:spacing w:line="360" w:lineRule="auto"/>
        <w:ind w:right="-187" w:firstLine="570"/>
        <w:jc w:val="both"/>
        <w:rPr>
          <w:rFonts w:ascii="Bookman Old Style" w:hAnsi="Bookman Old Style" w:cs="Sakkal Majalla"/>
          <w:sz w:val="28"/>
          <w:szCs w:val="28"/>
        </w:rPr>
      </w:pPr>
      <w:r>
        <w:rPr>
          <w:rFonts w:ascii="Bookman Old Style" w:hAnsi="Bookman Old Style" w:cs="Sakkal Majalla"/>
          <w:sz w:val="28"/>
          <w:szCs w:val="28"/>
        </w:rPr>
        <w:t>Respecto de las medidas de reparación colectiva que fueran solicitadas, cuestiona que la primera instancia haya guardado silencio en torno a la imposición a los postulados de la obligación de no regresar a la zona en la que delinquieron, mientras que considera que el exhorto a la Fiscalía General de la Nación para que elabore un informe sobre el estado de los bienes entregados para la reparación de las víctimas, es insuficiente por cuanto debe incluir la posible existencia de otros que no hubieren sido declarados, dado que la comunidad de la región así lo ha señalado.</w:t>
      </w:r>
    </w:p>
    <w:p w:rsidR="00AD777C" w:rsidRDefault="00AD777C" w:rsidP="00AD777C">
      <w:pPr>
        <w:spacing w:line="360" w:lineRule="auto"/>
        <w:ind w:right="-187"/>
        <w:jc w:val="both"/>
        <w:rPr>
          <w:rFonts w:ascii="Bookman Old Style" w:hAnsi="Bookman Old Style" w:cs="Sakkal Majalla"/>
          <w:b/>
          <w:sz w:val="28"/>
          <w:szCs w:val="28"/>
        </w:rPr>
      </w:pPr>
    </w:p>
    <w:p w:rsidR="00AD777C" w:rsidRDefault="00AD777C" w:rsidP="00AD777C">
      <w:pPr>
        <w:spacing w:line="360" w:lineRule="auto"/>
        <w:ind w:left="570" w:right="-187"/>
        <w:jc w:val="both"/>
        <w:rPr>
          <w:rFonts w:ascii="Bookman Old Style" w:hAnsi="Bookman Old Style" w:cs="Sakkal Majalla"/>
          <w:b/>
          <w:sz w:val="28"/>
          <w:szCs w:val="28"/>
        </w:rPr>
      </w:pPr>
      <w:r>
        <w:rPr>
          <w:rFonts w:ascii="Bookman Old Style" w:hAnsi="Bookman Old Style" w:cs="Sakkal Majalla"/>
          <w:b/>
          <w:sz w:val="28"/>
          <w:szCs w:val="28"/>
        </w:rPr>
        <w:t xml:space="preserve">4. LA DEFENSA. </w:t>
      </w:r>
    </w:p>
    <w:p w:rsidR="00AD777C" w:rsidRDefault="00AD777C" w:rsidP="00AD777C">
      <w:pPr>
        <w:spacing w:line="360" w:lineRule="auto"/>
        <w:ind w:left="570" w:right="-187"/>
        <w:jc w:val="both"/>
        <w:rPr>
          <w:rFonts w:ascii="Bookman Old Style" w:hAnsi="Bookman Old Style" w:cs="Sakkal Majalla"/>
          <w:b/>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b/>
          <w:sz w:val="28"/>
          <w:szCs w:val="28"/>
        </w:rPr>
        <w:tab/>
      </w:r>
      <w:r w:rsidRPr="00F372C8">
        <w:rPr>
          <w:rFonts w:ascii="Bookman Old Style" w:hAnsi="Bookman Old Style" w:cs="Sakkal Majalla"/>
          <w:sz w:val="28"/>
          <w:szCs w:val="28"/>
        </w:rPr>
        <w:t xml:space="preserve">Disiente, en primer término, </w:t>
      </w:r>
      <w:r>
        <w:rPr>
          <w:rFonts w:ascii="Bookman Old Style" w:hAnsi="Bookman Old Style" w:cs="Sakkal Majalla"/>
          <w:sz w:val="28"/>
          <w:szCs w:val="28"/>
        </w:rPr>
        <w:t xml:space="preserve">de la pena alternativa impuesta a RAFAEL SALGADO MERCHÁN y JOSÉ DELFÍN VILLALOBOS JIMÉNEZ, debido a que no se les reconoció la existencia de circunstancias de atenuación punitiva que impedían la imposición del </w:t>
      </w:r>
      <w:r w:rsidRPr="00DA5C92">
        <w:rPr>
          <w:rFonts w:ascii="Bookman Old Style" w:hAnsi="Bookman Old Style" w:cs="Sakkal Majalla"/>
          <w:i/>
          <w:sz w:val="28"/>
          <w:szCs w:val="28"/>
        </w:rPr>
        <w:t xml:space="preserve">quantum </w:t>
      </w:r>
      <w:r>
        <w:rPr>
          <w:rFonts w:ascii="Bookman Old Style" w:hAnsi="Bookman Old Style" w:cs="Sakkal Majalla"/>
          <w:sz w:val="28"/>
          <w:szCs w:val="28"/>
        </w:rPr>
        <w:t>máximo de ocho (8) años señalado en la Ley 975 de 2005.</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 xml:space="preserve">Considera que el </w:t>
      </w:r>
      <w:r w:rsidRPr="00D56734">
        <w:rPr>
          <w:rFonts w:ascii="Bookman Old Style" w:hAnsi="Bookman Old Style" w:cs="Sakkal Majalla"/>
          <w:i/>
          <w:sz w:val="28"/>
          <w:szCs w:val="28"/>
        </w:rPr>
        <w:t>A-quo</w:t>
      </w:r>
      <w:r>
        <w:rPr>
          <w:rFonts w:ascii="Bookman Old Style" w:hAnsi="Bookman Old Style" w:cs="Sakkal Majalla"/>
          <w:sz w:val="28"/>
          <w:szCs w:val="28"/>
        </w:rPr>
        <w:t xml:space="preserve"> debió fijar la pena privativa de la libertad atendiendo los criterios de la Ley 599 de 2000, que impiden la imposición de la máxima sanción cuando, como en este caso, sus defendidos no registran antecedentes penales. </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Agrega, sobre este punto, que se vulnera también el principio de igualdad, por cuanto en otras sentencias de justicia y paz</w:t>
      </w:r>
      <w:r>
        <w:rPr>
          <w:rStyle w:val="Refdenotaalpie"/>
          <w:rFonts w:ascii="Bookman Old Style" w:hAnsi="Bookman Old Style" w:cs="Sakkal Majalla"/>
          <w:sz w:val="28"/>
          <w:szCs w:val="28"/>
        </w:rPr>
        <w:footnoteReference w:id="29"/>
      </w:r>
      <w:r>
        <w:rPr>
          <w:rFonts w:ascii="Bookman Old Style" w:hAnsi="Bookman Old Style" w:cs="Sakkal Majalla"/>
          <w:sz w:val="28"/>
          <w:szCs w:val="28"/>
        </w:rPr>
        <w:t xml:space="preserve"> se impuso a los postulados penas de siete años de prisión.</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 xml:space="preserve">La segunda inconformidad con la decisión, recae en la negativa del Tribunal de primera instancia a declarar la extinción del dominio del inmueble denominado finca </w:t>
      </w:r>
      <w:r w:rsidRPr="00492482">
        <w:rPr>
          <w:rFonts w:ascii="Bookman Old Style" w:hAnsi="Bookman Old Style" w:cs="Sakkal Majalla"/>
          <w:sz w:val="28"/>
          <w:szCs w:val="28"/>
        </w:rPr>
        <w:t>‘La Porfía’</w:t>
      </w:r>
      <w:r>
        <w:rPr>
          <w:rFonts w:ascii="Bookman Old Style" w:hAnsi="Bookman Old Style" w:cs="Sakkal Majalla"/>
          <w:sz w:val="28"/>
          <w:szCs w:val="28"/>
        </w:rPr>
        <w:t>, ubicada en el municipio de Santa Rosalía (Vichada).</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Considera que la negligencia del Estado no puede perjudicar a sus postulados y tampoco a las víctimas, por cuanto el bien que fuera adquirido por BALDOMERO LINARES, fue ofrecido por él y la Fiscalía solicitó la imposición de medidas cautelares decretadas por el Magistrado con Función de Control de Garantías el 20 de enero de 2009, decisión en la cual se dispuso el embargo.  El secuestro del bien ocurrió el 10 de marzo de 2010, fecha en que fue entregado a Acción Social.</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Además, señala que durante las últimas versiones de LINARES MORENO, éste dio a conocer que el predio había sido tomado, con posterioridad a la entrega material, por terceras personas que lo estaban ocupando y explotando.</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De esa manera, concluye que no es posible que prevalezcan los derechos de personas que en su momento vendieron voluntariamente los predios y varios años después pretenden recuperarlos utilizando argumentos falaces, por lo que solicita declarar la extinción del derecho de dominio sobre dicho inmueble.</w:t>
      </w:r>
    </w:p>
    <w:p w:rsidR="00AD777C" w:rsidRDefault="00AD777C" w:rsidP="00AD777C">
      <w:pPr>
        <w:spacing w:line="360" w:lineRule="auto"/>
        <w:ind w:right="-187"/>
        <w:jc w:val="both"/>
        <w:rPr>
          <w:rFonts w:ascii="Bookman Old Style" w:hAnsi="Bookman Old Style" w:cs="Sakkal Majalla"/>
          <w:sz w:val="28"/>
          <w:szCs w:val="28"/>
        </w:rPr>
      </w:pPr>
    </w:p>
    <w:p w:rsidR="00AD777C" w:rsidRPr="00EE44ED" w:rsidRDefault="00AD777C" w:rsidP="00AD777C">
      <w:pPr>
        <w:spacing w:line="360" w:lineRule="auto"/>
        <w:ind w:right="-187"/>
        <w:jc w:val="center"/>
        <w:rPr>
          <w:rFonts w:ascii="Bookman Old Style" w:hAnsi="Bookman Old Style"/>
          <w:b/>
          <w:sz w:val="28"/>
          <w:szCs w:val="28"/>
        </w:rPr>
      </w:pPr>
      <w:r w:rsidRPr="00EE44ED">
        <w:rPr>
          <w:rFonts w:ascii="Bookman Old Style" w:hAnsi="Bookman Old Style"/>
          <w:b/>
          <w:sz w:val="28"/>
          <w:szCs w:val="28"/>
        </w:rPr>
        <w:t>CONSIDERACIONES</w:t>
      </w:r>
    </w:p>
    <w:p w:rsidR="00AD777C" w:rsidRPr="00EE44ED" w:rsidRDefault="00AD777C" w:rsidP="00AD777C">
      <w:pPr>
        <w:spacing w:line="360" w:lineRule="auto"/>
        <w:ind w:firstLine="708"/>
        <w:jc w:val="center"/>
        <w:rPr>
          <w:rFonts w:ascii="Bookman Old Style" w:hAnsi="Bookman Old Style"/>
          <w:b/>
          <w:sz w:val="28"/>
          <w:szCs w:val="28"/>
        </w:rPr>
      </w:pPr>
    </w:p>
    <w:p w:rsidR="00AD777C" w:rsidRPr="00B7247A" w:rsidRDefault="00AD777C" w:rsidP="00AD777C">
      <w:pPr>
        <w:spacing w:line="360" w:lineRule="auto"/>
        <w:ind w:firstLine="709"/>
        <w:jc w:val="both"/>
        <w:rPr>
          <w:rFonts w:ascii="Bookman Old Style" w:hAnsi="Bookman Old Style" w:cs="Arial"/>
          <w:sz w:val="28"/>
          <w:szCs w:val="28"/>
        </w:rPr>
      </w:pPr>
      <w:r w:rsidRPr="004B6809">
        <w:rPr>
          <w:rFonts w:ascii="Bookman Old Style" w:hAnsi="Bookman Old Style" w:cs="Arial"/>
          <w:sz w:val="28"/>
          <w:szCs w:val="28"/>
        </w:rPr>
        <w:t>De conformidad con los artículos 26, inciso 2º, de la Ley 975 del 2005 y 32, numeral 3º, de la Ley 906 del 2004, la Sala de Casación Penal de la Corte Suprema de Justicia es competente para resolver los recursos de apelación interpuestos contra la sentencia por medio de la cual la Sala de Justicia y Paz del Tribunal Superior de Bogotá condenó a</w:t>
      </w:r>
      <w:r>
        <w:rPr>
          <w:rFonts w:ascii="Bookman Old Style" w:hAnsi="Bookman Old Style" w:cs="Arial"/>
          <w:sz w:val="28"/>
          <w:szCs w:val="28"/>
        </w:rPr>
        <w:t xml:space="preserve"> JOSÉ BALDOMERO LINARES MORENO, JOSÉ DELFÍN VILLALOBOS JIMÉNEZ, RAFAEL SALGADO MERCHÁN y MIGUEL ÁNGEL ACHURY</w:t>
      </w:r>
      <w:r w:rsidRPr="004B6809">
        <w:rPr>
          <w:rFonts w:ascii="Bookman Old Style" w:hAnsi="Bookman Old Style" w:cs="Arial"/>
          <w:sz w:val="28"/>
          <w:szCs w:val="28"/>
        </w:rPr>
        <w:t xml:space="preserve">, lo cual hará en el entendido de que su competencia es funcional, esto es, se </w:t>
      </w:r>
      <w:r w:rsidRPr="00365833">
        <w:rPr>
          <w:rFonts w:ascii="Bookman Old Style" w:hAnsi="Bookman Old Style" w:cs="Arial"/>
          <w:sz w:val="28"/>
          <w:szCs w:val="28"/>
        </w:rPr>
        <w:t xml:space="preserve">limitará a los aspectos objeto de inconformidad y a los que </w:t>
      </w:r>
      <w:r w:rsidRPr="00B7247A">
        <w:rPr>
          <w:rFonts w:ascii="Bookman Old Style" w:hAnsi="Bookman Old Style" w:cs="Arial"/>
          <w:sz w:val="28"/>
          <w:szCs w:val="28"/>
        </w:rPr>
        <w:t>resulten inescindiblemente ligados a los mismos.</w:t>
      </w:r>
    </w:p>
    <w:p w:rsidR="00AD777C" w:rsidRPr="00FB05B5" w:rsidRDefault="00AD777C" w:rsidP="00AD777C">
      <w:pPr>
        <w:spacing w:line="360" w:lineRule="auto"/>
        <w:jc w:val="both"/>
        <w:rPr>
          <w:rFonts w:ascii="Bookman Old Style" w:hAnsi="Bookman Old Style" w:cs="Arial"/>
          <w:sz w:val="28"/>
          <w:szCs w:val="28"/>
        </w:rPr>
      </w:pPr>
    </w:p>
    <w:p w:rsidR="00AD777C" w:rsidRDefault="00AD777C" w:rsidP="00AD777C">
      <w:pPr>
        <w:spacing w:line="360" w:lineRule="auto"/>
        <w:ind w:right="-187" w:firstLine="709"/>
        <w:jc w:val="both"/>
        <w:rPr>
          <w:rFonts w:ascii="Bookman Old Style" w:hAnsi="Bookman Old Style"/>
          <w:sz w:val="28"/>
          <w:szCs w:val="28"/>
        </w:rPr>
      </w:pPr>
      <w:r w:rsidRPr="00FB05B5">
        <w:rPr>
          <w:rFonts w:ascii="Bookman Old Style" w:hAnsi="Bookman Old Style"/>
          <w:sz w:val="28"/>
          <w:szCs w:val="28"/>
        </w:rPr>
        <w:t>Con el fin de evitar repeticiones</w:t>
      </w:r>
      <w:r>
        <w:rPr>
          <w:rFonts w:ascii="Bookman Old Style" w:hAnsi="Bookman Old Style"/>
          <w:sz w:val="28"/>
          <w:szCs w:val="28"/>
        </w:rPr>
        <w:t xml:space="preserve"> innecesarias</w:t>
      </w:r>
      <w:r w:rsidRPr="00FB05B5">
        <w:rPr>
          <w:rFonts w:ascii="Bookman Old Style" w:hAnsi="Bookman Old Style"/>
          <w:sz w:val="28"/>
          <w:szCs w:val="28"/>
        </w:rPr>
        <w:t>, inicialmente la Sala se ocupará de los temas de inconformidad coincidente</w:t>
      </w:r>
      <w:r>
        <w:rPr>
          <w:rFonts w:ascii="Bookman Old Style" w:hAnsi="Bookman Old Style"/>
          <w:sz w:val="28"/>
          <w:szCs w:val="28"/>
        </w:rPr>
        <w:t>s</w:t>
      </w:r>
      <w:r w:rsidRPr="00FB05B5">
        <w:rPr>
          <w:rFonts w:ascii="Bookman Old Style" w:hAnsi="Bookman Old Style"/>
          <w:sz w:val="28"/>
          <w:szCs w:val="28"/>
        </w:rPr>
        <w:t xml:space="preserve"> entre los abogados representantes de las víctimas, para inmediatamente </w:t>
      </w:r>
      <w:r>
        <w:rPr>
          <w:rFonts w:ascii="Bookman Old Style" w:hAnsi="Bookman Old Style"/>
          <w:sz w:val="28"/>
          <w:szCs w:val="28"/>
        </w:rPr>
        <w:t xml:space="preserve">abordar los asuntos puntuales que exponen cada uno de </w:t>
      </w:r>
      <w:r w:rsidRPr="00FB05B5">
        <w:rPr>
          <w:rFonts w:ascii="Bookman Old Style" w:hAnsi="Bookman Old Style"/>
          <w:sz w:val="28"/>
          <w:szCs w:val="28"/>
        </w:rPr>
        <w:t xml:space="preserve">los impugnantes. </w:t>
      </w:r>
    </w:p>
    <w:p w:rsidR="00AD777C" w:rsidRPr="00FB05B5" w:rsidRDefault="00AD777C" w:rsidP="00AD777C">
      <w:pPr>
        <w:spacing w:line="360" w:lineRule="auto"/>
        <w:ind w:right="-187" w:firstLine="709"/>
        <w:jc w:val="both"/>
        <w:rPr>
          <w:rFonts w:ascii="Bookman Old Style" w:hAnsi="Bookman Old Style"/>
          <w:sz w:val="28"/>
          <w:szCs w:val="28"/>
        </w:rPr>
      </w:pPr>
    </w:p>
    <w:p w:rsidR="00AD777C" w:rsidRPr="00FB05B5" w:rsidRDefault="00AD777C" w:rsidP="00AD777C">
      <w:pPr>
        <w:numPr>
          <w:ilvl w:val="0"/>
          <w:numId w:val="24"/>
        </w:numPr>
        <w:spacing w:line="360" w:lineRule="auto"/>
        <w:ind w:right="-187"/>
        <w:jc w:val="both"/>
        <w:rPr>
          <w:rFonts w:ascii="Bookman Old Style" w:hAnsi="Bookman Old Style"/>
          <w:b/>
          <w:sz w:val="28"/>
          <w:szCs w:val="28"/>
        </w:rPr>
      </w:pPr>
      <w:r w:rsidRPr="00FB05B5">
        <w:rPr>
          <w:rFonts w:ascii="Bookman Old Style" w:hAnsi="Bookman Old Style"/>
          <w:b/>
          <w:sz w:val="28"/>
          <w:szCs w:val="28"/>
        </w:rPr>
        <w:t>Sobre la nulidad</w:t>
      </w:r>
      <w:r>
        <w:rPr>
          <w:rFonts w:ascii="Bookman Old Style" w:hAnsi="Bookman Old Style"/>
          <w:b/>
          <w:sz w:val="28"/>
          <w:szCs w:val="28"/>
        </w:rPr>
        <w:t>.</w:t>
      </w:r>
    </w:p>
    <w:p w:rsidR="00AD777C" w:rsidRDefault="00AD777C" w:rsidP="00AD777C">
      <w:pPr>
        <w:spacing w:line="360" w:lineRule="auto"/>
        <w:ind w:left="709" w:right="-187"/>
        <w:rPr>
          <w:rFonts w:ascii="Bookman Old Style" w:hAnsi="Bookman Old Style"/>
          <w:b/>
          <w:szCs w:val="28"/>
        </w:rPr>
      </w:pPr>
    </w:p>
    <w:p w:rsidR="00AD777C" w:rsidRPr="00FB05B5" w:rsidRDefault="00AD777C" w:rsidP="00AD777C">
      <w:pPr>
        <w:spacing w:line="360" w:lineRule="auto"/>
        <w:ind w:right="-187" w:firstLine="709"/>
        <w:jc w:val="both"/>
        <w:rPr>
          <w:rFonts w:ascii="Bookman Old Style" w:hAnsi="Bookman Old Style"/>
          <w:b/>
          <w:sz w:val="28"/>
          <w:szCs w:val="28"/>
        </w:rPr>
      </w:pPr>
      <w:r w:rsidRPr="00FB05B5">
        <w:rPr>
          <w:rFonts w:ascii="Bookman Old Style" w:hAnsi="Bookman Old Style"/>
          <w:sz w:val="28"/>
          <w:szCs w:val="28"/>
        </w:rPr>
        <w:t xml:space="preserve">Quienes representan los intereses de las víctimas, consideran que se ha configurado </w:t>
      </w:r>
      <w:r>
        <w:rPr>
          <w:rFonts w:ascii="Bookman Old Style" w:hAnsi="Bookman Old Style"/>
          <w:sz w:val="28"/>
          <w:szCs w:val="28"/>
        </w:rPr>
        <w:t xml:space="preserve">una causal de </w:t>
      </w:r>
      <w:r w:rsidRPr="00FB05B5">
        <w:rPr>
          <w:rFonts w:ascii="Bookman Old Style" w:hAnsi="Bookman Old Style"/>
          <w:sz w:val="28"/>
          <w:szCs w:val="28"/>
        </w:rPr>
        <w:t>nulidad de la actuación</w:t>
      </w:r>
      <w:r>
        <w:rPr>
          <w:rFonts w:ascii="Bookman Old Style" w:hAnsi="Bookman Old Style"/>
          <w:sz w:val="28"/>
          <w:szCs w:val="28"/>
        </w:rPr>
        <w:t>,</w:t>
      </w:r>
      <w:r w:rsidRPr="00FB05B5">
        <w:rPr>
          <w:rFonts w:ascii="Bookman Old Style" w:hAnsi="Bookman Old Style"/>
          <w:sz w:val="28"/>
          <w:szCs w:val="28"/>
        </w:rPr>
        <w:t xml:space="preserve"> por cuanto el proceso se inició al amparo de la Ley 975 de 2005 y</w:t>
      </w:r>
      <w:r>
        <w:rPr>
          <w:rFonts w:ascii="Bookman Old Style" w:hAnsi="Bookman Old Style"/>
          <w:sz w:val="28"/>
          <w:szCs w:val="28"/>
        </w:rPr>
        <w:t xml:space="preserve"> debió culminarse bajo su égida, pues </w:t>
      </w:r>
      <w:r w:rsidRPr="00FB05B5">
        <w:rPr>
          <w:rFonts w:ascii="Bookman Old Style" w:hAnsi="Bookman Old Style"/>
          <w:sz w:val="28"/>
          <w:szCs w:val="28"/>
        </w:rPr>
        <w:t>cuando empezó a regir la Ley 1592 de 2012 la actuación se hallaba a la espera de la determinación del Tribunal sobre la legalización de cargos</w:t>
      </w:r>
      <w:r>
        <w:rPr>
          <w:rFonts w:ascii="Bookman Old Style" w:hAnsi="Bookman Old Style"/>
          <w:sz w:val="28"/>
          <w:szCs w:val="28"/>
        </w:rPr>
        <w:t>. En ese orden, el trámite debió</w:t>
      </w:r>
      <w:r w:rsidRPr="00FB05B5">
        <w:rPr>
          <w:rFonts w:ascii="Bookman Old Style" w:hAnsi="Bookman Old Style"/>
          <w:sz w:val="28"/>
          <w:szCs w:val="28"/>
        </w:rPr>
        <w:t xml:space="preserve"> continuar rigiéndose por la</w:t>
      </w:r>
      <w:r>
        <w:rPr>
          <w:rFonts w:ascii="Bookman Old Style" w:hAnsi="Bookman Old Style"/>
          <w:sz w:val="28"/>
          <w:szCs w:val="28"/>
        </w:rPr>
        <w:t xml:space="preserve"> primera ley</w:t>
      </w:r>
      <w:r w:rsidRPr="00FB05B5">
        <w:rPr>
          <w:rFonts w:ascii="Bookman Old Style" w:hAnsi="Bookman Old Style"/>
          <w:sz w:val="28"/>
          <w:szCs w:val="28"/>
        </w:rPr>
        <w:t xml:space="preserve">, </w:t>
      </w:r>
      <w:r>
        <w:rPr>
          <w:rFonts w:ascii="Bookman Old Style" w:hAnsi="Bookman Old Style"/>
          <w:sz w:val="28"/>
          <w:szCs w:val="28"/>
        </w:rPr>
        <w:t xml:space="preserve">ya que </w:t>
      </w:r>
      <w:r w:rsidRPr="00FB05B5">
        <w:rPr>
          <w:rFonts w:ascii="Bookman Old Style" w:hAnsi="Bookman Old Style"/>
          <w:sz w:val="28"/>
          <w:szCs w:val="28"/>
        </w:rPr>
        <w:t xml:space="preserve">el artículo 40 de la Ley 153 de 1887 establece que los procedimientos iniciados bajo </w:t>
      </w:r>
      <w:r>
        <w:rPr>
          <w:rFonts w:ascii="Bookman Old Style" w:hAnsi="Bookman Old Style"/>
          <w:sz w:val="28"/>
          <w:szCs w:val="28"/>
        </w:rPr>
        <w:t xml:space="preserve">cierta </w:t>
      </w:r>
      <w:r w:rsidRPr="00FB05B5">
        <w:rPr>
          <w:rFonts w:ascii="Bookman Old Style" w:hAnsi="Bookman Old Style"/>
          <w:sz w:val="28"/>
          <w:szCs w:val="28"/>
        </w:rPr>
        <w:t xml:space="preserve">normatividad deben culminarse </w:t>
      </w:r>
      <w:r>
        <w:rPr>
          <w:rFonts w:ascii="Bookman Old Style" w:hAnsi="Bookman Old Style"/>
          <w:sz w:val="28"/>
          <w:szCs w:val="28"/>
        </w:rPr>
        <w:t xml:space="preserve">con </w:t>
      </w:r>
      <w:r w:rsidRPr="00FB05B5">
        <w:rPr>
          <w:rFonts w:ascii="Bookman Old Style" w:hAnsi="Bookman Old Style"/>
          <w:sz w:val="28"/>
          <w:szCs w:val="28"/>
        </w:rPr>
        <w:t>ella.</w:t>
      </w:r>
    </w:p>
    <w:p w:rsidR="00AD777C" w:rsidRPr="00FB05B5" w:rsidRDefault="00AD777C" w:rsidP="00AD777C">
      <w:pPr>
        <w:spacing w:line="360" w:lineRule="auto"/>
        <w:ind w:right="-187"/>
        <w:jc w:val="both"/>
        <w:rPr>
          <w:rFonts w:ascii="Bookman Old Style" w:hAnsi="Bookman Old Style"/>
          <w:sz w:val="28"/>
          <w:szCs w:val="28"/>
        </w:rPr>
      </w:pPr>
    </w:p>
    <w:p w:rsidR="00AD777C" w:rsidRPr="00FB05B5" w:rsidRDefault="00AD777C" w:rsidP="00AD777C">
      <w:pPr>
        <w:spacing w:line="360" w:lineRule="auto"/>
        <w:ind w:right="-187" w:firstLine="709"/>
        <w:jc w:val="both"/>
        <w:rPr>
          <w:rFonts w:ascii="Bookman Old Style" w:hAnsi="Bookman Old Style"/>
          <w:sz w:val="28"/>
          <w:szCs w:val="28"/>
        </w:rPr>
      </w:pPr>
      <w:r w:rsidRPr="00FB05B5">
        <w:rPr>
          <w:rFonts w:ascii="Bookman Old Style" w:hAnsi="Bookman Old Style"/>
          <w:sz w:val="28"/>
          <w:szCs w:val="28"/>
        </w:rPr>
        <w:t xml:space="preserve">En respaldo de su posición, exponen que el procedimiento señalado en la Ley 975 de 2005 es más beneficioso para </w:t>
      </w:r>
      <w:r>
        <w:rPr>
          <w:rFonts w:ascii="Bookman Old Style" w:hAnsi="Bookman Old Style"/>
          <w:sz w:val="28"/>
          <w:szCs w:val="28"/>
        </w:rPr>
        <w:t xml:space="preserve">los intereses de </w:t>
      </w:r>
      <w:r w:rsidRPr="00FB05B5">
        <w:rPr>
          <w:rFonts w:ascii="Bookman Old Style" w:hAnsi="Bookman Old Style"/>
          <w:sz w:val="28"/>
          <w:szCs w:val="28"/>
        </w:rPr>
        <w:t>las víctimas</w:t>
      </w:r>
      <w:r>
        <w:rPr>
          <w:rFonts w:ascii="Bookman Old Style" w:hAnsi="Bookman Old Style"/>
          <w:sz w:val="28"/>
          <w:szCs w:val="28"/>
        </w:rPr>
        <w:t>,</w:t>
      </w:r>
      <w:r w:rsidRPr="00FB05B5">
        <w:rPr>
          <w:rFonts w:ascii="Bookman Old Style" w:hAnsi="Bookman Old Style"/>
          <w:sz w:val="28"/>
          <w:szCs w:val="28"/>
        </w:rPr>
        <w:t xml:space="preserve"> porque antes de ini</w:t>
      </w:r>
      <w:r>
        <w:rPr>
          <w:rFonts w:ascii="Bookman Old Style" w:hAnsi="Bookman Old Style"/>
          <w:sz w:val="28"/>
          <w:szCs w:val="28"/>
        </w:rPr>
        <w:t>ciar el incidente de reparación puede conocer</w:t>
      </w:r>
      <w:r w:rsidRPr="00FB05B5">
        <w:rPr>
          <w:rFonts w:ascii="Bookman Old Style" w:hAnsi="Bookman Old Style"/>
          <w:sz w:val="28"/>
          <w:szCs w:val="28"/>
        </w:rPr>
        <w:t xml:space="preserve"> si el hecho y conducta punible con los cuales resultaron afectados, harán </w:t>
      </w:r>
      <w:r>
        <w:rPr>
          <w:rFonts w:ascii="Bookman Old Style" w:hAnsi="Bookman Old Style"/>
          <w:sz w:val="28"/>
          <w:szCs w:val="28"/>
        </w:rPr>
        <w:t xml:space="preserve">parte de ese trámite incidental, al punto que la omisión de esa prerrogativa impidió que las víctimas tuvieran la </w:t>
      </w:r>
      <w:r w:rsidRPr="00FB05B5">
        <w:rPr>
          <w:rFonts w:ascii="Bookman Old Style" w:hAnsi="Bookman Old Style"/>
          <w:sz w:val="28"/>
          <w:szCs w:val="28"/>
        </w:rPr>
        <w:t>oportunidad de impugnar la no legalización de algunos de los cargos formulados.</w:t>
      </w:r>
    </w:p>
    <w:p w:rsidR="00AD777C" w:rsidRPr="00FB05B5"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 xml:space="preserve">Ciertamente, la </w:t>
      </w:r>
      <w:r w:rsidRPr="00FB05B5">
        <w:rPr>
          <w:rFonts w:ascii="Bookman Old Style" w:hAnsi="Bookman Old Style"/>
          <w:sz w:val="28"/>
          <w:szCs w:val="28"/>
        </w:rPr>
        <w:t xml:space="preserve">actuación evidencia que cuando entró a regir la Ley 1592 de 2012 </w:t>
      </w:r>
      <w:r w:rsidRPr="00FB05B5">
        <w:rPr>
          <w:rFonts w:ascii="Bookman Old Style" w:hAnsi="Bookman Old Style"/>
          <w:sz w:val="24"/>
          <w:szCs w:val="24"/>
        </w:rPr>
        <w:t>(3 de diciembre de 2012)</w:t>
      </w:r>
      <w:r>
        <w:rPr>
          <w:rFonts w:ascii="Bookman Old Style" w:hAnsi="Bookman Old Style"/>
          <w:sz w:val="24"/>
          <w:szCs w:val="24"/>
        </w:rPr>
        <w:t>,</w:t>
      </w:r>
      <w:r w:rsidRPr="00FB05B5">
        <w:rPr>
          <w:rFonts w:ascii="Bookman Old Style" w:hAnsi="Bookman Old Style"/>
          <w:sz w:val="28"/>
          <w:szCs w:val="28"/>
        </w:rPr>
        <w:t xml:space="preserve"> </w:t>
      </w:r>
      <w:r>
        <w:rPr>
          <w:rFonts w:ascii="Bookman Old Style" w:hAnsi="Bookman Old Style"/>
          <w:sz w:val="28"/>
          <w:szCs w:val="28"/>
        </w:rPr>
        <w:t xml:space="preserve">que modificó la Ley 975 de 2005, </w:t>
      </w:r>
      <w:r w:rsidRPr="00FB05B5">
        <w:rPr>
          <w:rFonts w:ascii="Bookman Old Style" w:hAnsi="Bookman Old Style"/>
          <w:sz w:val="28"/>
          <w:szCs w:val="28"/>
        </w:rPr>
        <w:t>la Sala de Justicia y Paz del Tribunal Superior de Bogotá había agotado el trámite de la audiencia de legalización de cargos</w:t>
      </w:r>
      <w:r>
        <w:rPr>
          <w:rStyle w:val="Refdenotaalpie"/>
          <w:rFonts w:ascii="Bookman Old Style" w:hAnsi="Bookman Old Style"/>
          <w:sz w:val="28"/>
          <w:szCs w:val="28"/>
        </w:rPr>
        <w:footnoteReference w:id="30"/>
      </w:r>
      <w:r>
        <w:rPr>
          <w:rFonts w:ascii="Bookman Old Style" w:hAnsi="Bookman Old Style"/>
          <w:sz w:val="28"/>
          <w:szCs w:val="28"/>
        </w:rPr>
        <w:t xml:space="preserve">  y sólo restaba la correspondiente decisión.</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Por lo tanto, corresponde dilucidar si el diferir a la sentencia el pronunciamiento sobre la legalización de cargos, constituye vulneración a los derechos de las víctimas y afectación a la estructura propia del proceso.</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pStyle w:val="Textoindependiente31"/>
        <w:ind w:firstLine="708"/>
        <w:rPr>
          <w:rFonts w:ascii="Bookman Old Style" w:hAnsi="Bookman Old Style" w:cs="Arial"/>
          <w:szCs w:val="28"/>
        </w:rPr>
      </w:pPr>
      <w:r>
        <w:rPr>
          <w:rFonts w:ascii="Bookman Old Style" w:hAnsi="Bookman Old Style"/>
          <w:szCs w:val="28"/>
        </w:rPr>
        <w:t xml:space="preserve">En orden a resolver el punto, es necesario recordar que la </w:t>
      </w:r>
      <w:r>
        <w:rPr>
          <w:rFonts w:ascii="Bookman Old Style" w:hAnsi="Bookman Old Style" w:cs="Arial"/>
          <w:szCs w:val="28"/>
        </w:rPr>
        <w:t>Ley 1592 de 2012 se expidió con miras a agilizar las actuaciones que bajo el trámite establecido en la Ley 975 de 2005 no consiguieron avanzar como lo demandaba el país y particularmente las víctimas que anhelan obtener, después de muchos años, verdad, justicia, reparación y garantía de no repetición.</w:t>
      </w:r>
    </w:p>
    <w:p w:rsidR="00AD777C" w:rsidRDefault="00AD777C" w:rsidP="00AD777C">
      <w:pPr>
        <w:pStyle w:val="Textoindependiente31"/>
        <w:ind w:firstLine="708"/>
        <w:rPr>
          <w:rFonts w:ascii="Bookman Old Style" w:hAnsi="Bookman Old Style" w:cs="Arial"/>
          <w:szCs w:val="28"/>
        </w:rPr>
      </w:pPr>
    </w:p>
    <w:p w:rsidR="00AD777C" w:rsidRDefault="00AD777C" w:rsidP="00AD777C">
      <w:pPr>
        <w:spacing w:line="360" w:lineRule="auto"/>
        <w:ind w:firstLine="708"/>
        <w:jc w:val="both"/>
        <w:rPr>
          <w:rFonts w:ascii="Bookman Old Style" w:hAnsi="Bookman Old Style" w:cs="Arial"/>
          <w:sz w:val="28"/>
          <w:szCs w:val="28"/>
          <w:lang w:val="es-MX"/>
        </w:rPr>
      </w:pPr>
      <w:r w:rsidRPr="00771024">
        <w:rPr>
          <w:rFonts w:ascii="Bookman Old Style" w:hAnsi="Bookman Old Style" w:cs="Arial"/>
          <w:sz w:val="28"/>
          <w:szCs w:val="28"/>
          <w:lang w:val="es-MX"/>
        </w:rPr>
        <w:t xml:space="preserve">La </w:t>
      </w:r>
      <w:r>
        <w:rPr>
          <w:rFonts w:ascii="Bookman Old Style" w:hAnsi="Bookman Old Style" w:cs="Arial"/>
          <w:sz w:val="28"/>
          <w:szCs w:val="28"/>
          <w:lang w:val="es-MX"/>
        </w:rPr>
        <w:t>de</w:t>
      </w:r>
      <w:r w:rsidRPr="00771024">
        <w:rPr>
          <w:rFonts w:ascii="Bookman Old Style" w:hAnsi="Bookman Old Style" w:cs="Arial"/>
          <w:sz w:val="28"/>
          <w:szCs w:val="28"/>
          <w:lang w:val="es-MX"/>
        </w:rPr>
        <w:t xml:space="preserve">mora en el adelantamiento de los procesos de la justicia transicional, producida, en gran medida por la multiplicidad de audiencias, fue entendida por el legislador </w:t>
      </w:r>
      <w:r w:rsidRPr="00771024">
        <w:rPr>
          <w:rFonts w:ascii="Bookman Old Style" w:hAnsi="Bookman Old Style" w:cs="Arial"/>
          <w:sz w:val="28"/>
          <w:szCs w:val="28"/>
        </w:rPr>
        <w:t>de 2012</w:t>
      </w:r>
      <w:r>
        <w:rPr>
          <w:rFonts w:ascii="Bookman Old Style" w:hAnsi="Bookman Old Style" w:cs="Arial"/>
          <w:sz w:val="28"/>
          <w:szCs w:val="28"/>
        </w:rPr>
        <w:t xml:space="preserve">, que </w:t>
      </w:r>
      <w:r w:rsidRPr="00771024">
        <w:rPr>
          <w:rFonts w:ascii="Bookman Old Style" w:hAnsi="Bookman Old Style" w:cs="Arial"/>
          <w:sz w:val="28"/>
          <w:szCs w:val="28"/>
        </w:rPr>
        <w:t xml:space="preserve">a través de la </w:t>
      </w:r>
      <w:r>
        <w:rPr>
          <w:rFonts w:ascii="Bookman Old Style" w:hAnsi="Bookman Old Style" w:cs="Arial"/>
          <w:sz w:val="28"/>
          <w:szCs w:val="28"/>
        </w:rPr>
        <w:t>Ley 1592 modificó el procedimiento de la</w:t>
      </w:r>
      <w:r w:rsidRPr="00771024">
        <w:rPr>
          <w:rFonts w:ascii="Bookman Old Style" w:hAnsi="Bookman Old Style" w:cs="Arial"/>
          <w:sz w:val="28"/>
          <w:szCs w:val="28"/>
        </w:rPr>
        <w:t xml:space="preserve"> Ley 975 de 2005, para </w:t>
      </w:r>
      <w:r w:rsidRPr="00771024">
        <w:rPr>
          <w:rFonts w:ascii="Bookman Old Style" w:hAnsi="Bookman Old Style" w:cs="Arial"/>
          <w:sz w:val="28"/>
          <w:szCs w:val="28"/>
          <w:lang w:val="es-MX"/>
        </w:rPr>
        <w:t xml:space="preserve">imprimirle celeridad y obtener en el menor tiempo posible las sentencias que en </w:t>
      </w:r>
      <w:r>
        <w:rPr>
          <w:rFonts w:ascii="Bookman Old Style" w:hAnsi="Bookman Old Style" w:cs="Arial"/>
          <w:sz w:val="28"/>
          <w:szCs w:val="28"/>
          <w:lang w:val="es-MX"/>
        </w:rPr>
        <w:t xml:space="preserve">ese trámite transicional </w:t>
      </w:r>
      <w:r w:rsidRPr="00771024">
        <w:rPr>
          <w:rFonts w:ascii="Bookman Old Style" w:hAnsi="Bookman Old Style" w:cs="Arial"/>
          <w:sz w:val="28"/>
          <w:szCs w:val="28"/>
          <w:lang w:val="es-MX"/>
        </w:rPr>
        <w:t xml:space="preserve">realicen </w:t>
      </w:r>
      <w:r>
        <w:rPr>
          <w:rFonts w:ascii="Bookman Old Style" w:hAnsi="Bookman Old Style" w:cs="Arial"/>
          <w:sz w:val="28"/>
          <w:szCs w:val="28"/>
          <w:lang w:val="es-MX"/>
        </w:rPr>
        <w:t>los derechos reclamados y</w:t>
      </w:r>
      <w:r w:rsidRPr="00771024">
        <w:rPr>
          <w:rFonts w:ascii="Bookman Old Style" w:hAnsi="Bookman Old Style" w:cs="Arial"/>
          <w:sz w:val="28"/>
          <w:szCs w:val="28"/>
          <w:lang w:val="es-MX"/>
        </w:rPr>
        <w:t xml:space="preserve"> que permanecen incólumes</w:t>
      </w:r>
      <w:r>
        <w:rPr>
          <w:rFonts w:ascii="Bookman Old Style" w:hAnsi="Bookman Old Style" w:cs="Arial"/>
          <w:sz w:val="28"/>
          <w:szCs w:val="28"/>
          <w:lang w:val="es-MX"/>
        </w:rPr>
        <w:t xml:space="preserve"> en la ley del año 2012.  </w:t>
      </w:r>
    </w:p>
    <w:p w:rsidR="00AD777C" w:rsidRDefault="00AD777C" w:rsidP="00AD777C">
      <w:pPr>
        <w:spacing w:line="360" w:lineRule="auto"/>
        <w:ind w:firstLine="708"/>
        <w:jc w:val="both"/>
        <w:rPr>
          <w:rFonts w:ascii="Bookman Old Style" w:hAnsi="Bookman Old Style" w:cs="Arial"/>
          <w:sz w:val="28"/>
          <w:szCs w:val="28"/>
          <w:lang w:val="es-MX"/>
        </w:rPr>
      </w:pPr>
    </w:p>
    <w:p w:rsidR="00AD777C" w:rsidRDefault="00AD777C" w:rsidP="00AD777C">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Reiteradamente la Corte ha realzado la especial naturaleza del proceso de Justicia y Paz, señalando que la misma se encuentra:</w:t>
      </w:r>
    </w:p>
    <w:p w:rsidR="00AD777C" w:rsidRDefault="00AD777C" w:rsidP="00AD777C">
      <w:pPr>
        <w:spacing w:line="360" w:lineRule="auto"/>
        <w:ind w:firstLine="708"/>
        <w:jc w:val="both"/>
        <w:rPr>
          <w:rFonts w:ascii="Bookman Old Style" w:hAnsi="Bookman Old Style" w:cs="Arial"/>
          <w:sz w:val="28"/>
          <w:szCs w:val="28"/>
          <w:lang w:val="es-MX"/>
        </w:rPr>
      </w:pPr>
    </w:p>
    <w:p w:rsidR="00AD777C" w:rsidRPr="003A11ED" w:rsidRDefault="00AD777C" w:rsidP="00AD777C">
      <w:pPr>
        <w:spacing w:line="360" w:lineRule="auto"/>
        <w:ind w:left="708"/>
        <w:jc w:val="both"/>
        <w:rPr>
          <w:rFonts w:ascii="Bookman Old Style" w:hAnsi="Bookman Old Style"/>
          <w:i/>
          <w:sz w:val="24"/>
          <w:szCs w:val="24"/>
        </w:rPr>
      </w:pPr>
      <w:r>
        <w:rPr>
          <w:rFonts w:ascii="Bookman Old Style" w:hAnsi="Bookman Old Style"/>
          <w:i/>
          <w:sz w:val="24"/>
          <w:szCs w:val="24"/>
        </w:rPr>
        <w:t xml:space="preserve">(…) </w:t>
      </w:r>
      <w:r w:rsidRPr="003A11ED">
        <w:rPr>
          <w:rFonts w:ascii="Bookman Old Style" w:hAnsi="Bookman Old Style"/>
          <w:i/>
          <w:sz w:val="24"/>
          <w:szCs w:val="24"/>
        </w:rPr>
        <w:t xml:space="preserve">determinada por la necesidad de satisfacer fines superiores como la reconciliación nacional y los derechos de las víctimas respecto de las estructuras armadas ilegales, así como la de asegurar el cumplimiento de los compromisos de verdad, justicia, reparación, garantía de no repetición y fijar la memoria histórica, conduce a afirmar que tanto los postulados como las víctimas esperan decisiones prontas mediante las cuales se resuelvan sus expectativas procesales, como también que la sociedad reclama a la administración de justicia resultados en relación con la política pública de reconciliación con los grupos armados al margen de la ley.  </w:t>
      </w:r>
    </w:p>
    <w:p w:rsidR="00AD777C" w:rsidRPr="003A11ED" w:rsidRDefault="00AD777C" w:rsidP="00AD777C">
      <w:pPr>
        <w:spacing w:line="360" w:lineRule="auto"/>
        <w:ind w:left="708"/>
        <w:jc w:val="both"/>
        <w:rPr>
          <w:rFonts w:ascii="Bookman Old Style" w:hAnsi="Bookman Old Style" w:cs="Arial"/>
          <w:sz w:val="28"/>
          <w:szCs w:val="28"/>
          <w:lang w:val="es-MX"/>
        </w:rPr>
      </w:pPr>
    </w:p>
    <w:p w:rsidR="00AD777C" w:rsidRPr="003A11ED" w:rsidRDefault="00AD777C" w:rsidP="00AD777C">
      <w:pPr>
        <w:spacing w:line="360" w:lineRule="auto"/>
        <w:ind w:left="709" w:right="-187"/>
        <w:jc w:val="both"/>
        <w:rPr>
          <w:rFonts w:ascii="Bookman Old Style" w:hAnsi="Bookman Old Style"/>
          <w:szCs w:val="28"/>
        </w:rPr>
      </w:pPr>
      <w:r w:rsidRPr="003A11ED">
        <w:rPr>
          <w:rFonts w:ascii="Bookman Old Style" w:hAnsi="Bookman Old Style"/>
          <w:i/>
          <w:sz w:val="24"/>
          <w:szCs w:val="24"/>
        </w:rPr>
        <w:t>De manera que, teniendo claro que el tiempo juega en contra de todos los involucrados en este asunto, resulta indispensable agilizar las actuaciones, propósito al que se orientó la expedición de la Ley 1592 de 2012, pues lo cierto es que tras casi ocho años de vigencia y aplicación de la Ley 975 de 2005 resulta dudosa su efectividad para el cumplimiento de los fines para los que fue creada”</w:t>
      </w:r>
      <w:r w:rsidRPr="00914CF1">
        <w:rPr>
          <w:rFonts w:ascii="Bookman Old Style" w:hAnsi="Bookman Old Style"/>
          <w:sz w:val="28"/>
          <w:szCs w:val="28"/>
        </w:rPr>
        <w:t xml:space="preserve"> </w:t>
      </w:r>
      <w:r w:rsidRPr="003A11ED">
        <w:rPr>
          <w:rFonts w:ascii="Bookman Old Style" w:hAnsi="Bookman Old Style"/>
          <w:sz w:val="28"/>
          <w:szCs w:val="28"/>
        </w:rPr>
        <w:t>(CSJ AP 29 Mayo 2013, Rad. 41035</w:t>
      </w:r>
      <w:r w:rsidRPr="00021B47">
        <w:rPr>
          <w:rFonts w:ascii="Bookman Old Style" w:hAnsi="Bookman Old Style"/>
          <w:sz w:val="24"/>
          <w:szCs w:val="24"/>
        </w:rPr>
        <w:t>)</w:t>
      </w:r>
      <w:r>
        <w:rPr>
          <w:rFonts w:ascii="Bookman Old Style" w:hAnsi="Bookman Old Style"/>
          <w:sz w:val="24"/>
          <w:szCs w:val="24"/>
        </w:rPr>
        <w:t>.</w:t>
      </w:r>
    </w:p>
    <w:p w:rsidR="00AD777C" w:rsidRDefault="00AD777C" w:rsidP="00AD777C">
      <w:pPr>
        <w:spacing w:line="360" w:lineRule="auto"/>
        <w:ind w:firstLine="708"/>
        <w:jc w:val="both"/>
        <w:rPr>
          <w:rFonts w:ascii="Bookman Old Style" w:hAnsi="Bookman Old Style" w:cs="Arial"/>
          <w:sz w:val="28"/>
          <w:szCs w:val="28"/>
          <w:lang w:val="es-MX"/>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 xml:space="preserve">Buscando esa agilidad, se eliminó del trámite la audiencia preliminar de formulación de cargos, cuyo desarrollo acontecía ante el magistrado de control de garantías, para dar paso a una audiencia concentrada -presidida por el juez de conocimiento-, en la que se formulan los cargos y tras su aceptación por el postulado, </w:t>
      </w:r>
      <w:r w:rsidRPr="003428BA">
        <w:rPr>
          <w:rFonts w:ascii="Bookman Old Style" w:hAnsi="Bookman Old Style"/>
          <w:i/>
          <w:sz w:val="24"/>
          <w:szCs w:val="24"/>
        </w:rPr>
        <w:t xml:space="preserve">«en la misma audiencia en la que la Sala del Tribunal Superior de Distrito Judicial correspondiente declare la legalidad de la aceptación </w:t>
      </w:r>
      <w:r>
        <w:rPr>
          <w:rFonts w:ascii="Bookman Old Style" w:hAnsi="Bookman Old Style"/>
          <w:i/>
          <w:sz w:val="24"/>
          <w:szCs w:val="24"/>
        </w:rPr>
        <w:t xml:space="preserve">total o parcial </w:t>
      </w:r>
      <w:r w:rsidRPr="003428BA">
        <w:rPr>
          <w:rFonts w:ascii="Bookman Old Style" w:hAnsi="Bookman Old Style"/>
          <w:i/>
          <w:sz w:val="24"/>
          <w:szCs w:val="24"/>
        </w:rPr>
        <w:t>de</w:t>
      </w:r>
      <w:r>
        <w:rPr>
          <w:rFonts w:ascii="Bookman Old Style" w:hAnsi="Bookman Old Style"/>
          <w:i/>
          <w:sz w:val="24"/>
          <w:szCs w:val="24"/>
        </w:rPr>
        <w:t xml:space="preserve"> los</w:t>
      </w:r>
      <w:r w:rsidRPr="003428BA">
        <w:rPr>
          <w:rFonts w:ascii="Bookman Old Style" w:hAnsi="Bookman Old Style"/>
          <w:i/>
          <w:sz w:val="24"/>
          <w:szCs w:val="24"/>
        </w:rPr>
        <w:t xml:space="preserve"> cargos</w:t>
      </w:r>
      <w:r>
        <w:rPr>
          <w:rFonts w:ascii="Bookman Old Style" w:hAnsi="Bookman Old Style"/>
          <w:i/>
          <w:sz w:val="24"/>
          <w:szCs w:val="24"/>
        </w:rPr>
        <w:t xml:space="preserve"> formulados</w:t>
      </w:r>
      <w:r w:rsidRPr="003428BA">
        <w:rPr>
          <w:rFonts w:ascii="Bookman Old Style" w:hAnsi="Bookman Old Style"/>
          <w:i/>
          <w:sz w:val="24"/>
          <w:szCs w:val="24"/>
        </w:rPr>
        <w:t xml:space="preserve">, </w:t>
      </w:r>
      <w:r>
        <w:rPr>
          <w:rFonts w:ascii="Bookman Old Style" w:hAnsi="Bookman Old Style"/>
          <w:i/>
          <w:sz w:val="24"/>
          <w:szCs w:val="24"/>
        </w:rPr>
        <w:t>se dará inicio de oficio al incidente para la identificación de las afectaciones causadas a las víctimas con la conducta criminal…</w:t>
      </w:r>
      <w:r w:rsidRPr="003428BA">
        <w:rPr>
          <w:rFonts w:ascii="Bookman Old Style" w:hAnsi="Bookman Old Style"/>
          <w:i/>
          <w:sz w:val="24"/>
          <w:szCs w:val="24"/>
        </w:rPr>
        <w:t xml:space="preserve"> »</w:t>
      </w:r>
      <w:r>
        <w:rPr>
          <w:rFonts w:ascii="Bookman Old Style" w:hAnsi="Bookman Old Style"/>
          <w:sz w:val="28"/>
          <w:szCs w:val="28"/>
        </w:rPr>
        <w:t>.</w:t>
      </w:r>
      <w:r>
        <w:rPr>
          <w:rStyle w:val="Refdenotaalpie"/>
          <w:rFonts w:ascii="Bookman Old Style" w:hAnsi="Bookman Old Style"/>
          <w:sz w:val="28"/>
          <w:szCs w:val="28"/>
        </w:rPr>
        <w:footnoteReference w:id="31"/>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4D2652">
        <w:rPr>
          <w:rFonts w:ascii="Bookman Old Style" w:hAnsi="Bookman Old Style"/>
          <w:sz w:val="28"/>
          <w:szCs w:val="28"/>
        </w:rPr>
        <w:t>Aunque la norma en cita dispone que previo al incidente de identificación de afectaciones</w:t>
      </w:r>
      <w:r w:rsidRPr="004D2652">
        <w:rPr>
          <w:rStyle w:val="Refdenotaalpie"/>
          <w:rFonts w:ascii="Bookman Old Style" w:hAnsi="Bookman Old Style"/>
          <w:sz w:val="28"/>
          <w:szCs w:val="28"/>
        </w:rPr>
        <w:footnoteReference w:id="32"/>
      </w:r>
      <w:r w:rsidRPr="004D2652">
        <w:rPr>
          <w:rFonts w:ascii="Bookman Old Style" w:hAnsi="Bookman Old Style"/>
          <w:sz w:val="28"/>
          <w:szCs w:val="28"/>
        </w:rPr>
        <w:t>-actualmente de reparación integral-</w:t>
      </w:r>
      <w:r>
        <w:rPr>
          <w:rFonts w:ascii="Bookman Old Style" w:hAnsi="Bookman Old Style"/>
          <w:sz w:val="28"/>
          <w:szCs w:val="28"/>
        </w:rPr>
        <w:t>,</w:t>
      </w:r>
      <w:r w:rsidRPr="004D2652">
        <w:rPr>
          <w:rFonts w:ascii="Bookman Old Style" w:hAnsi="Bookman Old Style"/>
          <w:sz w:val="28"/>
          <w:szCs w:val="28"/>
        </w:rPr>
        <w:t xml:space="preserve"> debe declararse la legalidad de la aceptación de los cargos formulados, no</w:t>
      </w:r>
      <w:r>
        <w:rPr>
          <w:rFonts w:ascii="Bookman Old Style" w:hAnsi="Bookman Old Style"/>
          <w:sz w:val="28"/>
          <w:szCs w:val="28"/>
        </w:rPr>
        <w:t xml:space="preserve"> existe impedimento alguno para</w:t>
      </w:r>
      <w:r w:rsidRPr="004D2652">
        <w:rPr>
          <w:rFonts w:ascii="Bookman Old Style" w:hAnsi="Bookman Old Style"/>
          <w:sz w:val="28"/>
          <w:szCs w:val="28"/>
        </w:rPr>
        <w:t xml:space="preserve"> </w:t>
      </w:r>
      <w:r>
        <w:rPr>
          <w:rFonts w:ascii="Bookman Old Style" w:hAnsi="Bookman Old Style"/>
          <w:sz w:val="28"/>
          <w:szCs w:val="28"/>
        </w:rPr>
        <w:t xml:space="preserve">que, acorde con el objetivo de la reforma, se </w:t>
      </w:r>
      <w:r w:rsidRPr="004D2652">
        <w:rPr>
          <w:rFonts w:ascii="Bookman Old Style" w:hAnsi="Bookman Old Style"/>
          <w:sz w:val="28"/>
          <w:szCs w:val="28"/>
        </w:rPr>
        <w:t>adelant</w:t>
      </w:r>
      <w:r>
        <w:rPr>
          <w:rFonts w:ascii="Bookman Old Style" w:hAnsi="Bookman Old Style"/>
          <w:sz w:val="28"/>
          <w:szCs w:val="28"/>
        </w:rPr>
        <w:t>e</w:t>
      </w:r>
      <w:r w:rsidRPr="004D2652">
        <w:rPr>
          <w:rFonts w:ascii="Bookman Old Style" w:hAnsi="Bookman Old Style"/>
          <w:sz w:val="28"/>
          <w:szCs w:val="28"/>
        </w:rPr>
        <w:t xml:space="preserve"> el trámite inherente al incidente</w:t>
      </w:r>
      <w:r>
        <w:rPr>
          <w:rFonts w:ascii="Bookman Old Style" w:hAnsi="Bookman Old Style"/>
          <w:sz w:val="28"/>
          <w:szCs w:val="28"/>
        </w:rPr>
        <w:t>,</w:t>
      </w:r>
      <w:r w:rsidRPr="004D2652">
        <w:rPr>
          <w:rFonts w:ascii="Bookman Old Style" w:hAnsi="Bookman Old Style"/>
          <w:sz w:val="28"/>
          <w:szCs w:val="28"/>
        </w:rPr>
        <w:t xml:space="preserve"> </w:t>
      </w:r>
      <w:r>
        <w:rPr>
          <w:rFonts w:ascii="Bookman Old Style" w:hAnsi="Bookman Old Style"/>
          <w:sz w:val="28"/>
          <w:szCs w:val="28"/>
        </w:rPr>
        <w:t>posponiendo</w:t>
      </w:r>
      <w:r w:rsidRPr="004D2652">
        <w:rPr>
          <w:rFonts w:ascii="Bookman Old Style" w:hAnsi="Bookman Old Style"/>
          <w:sz w:val="28"/>
          <w:szCs w:val="28"/>
        </w:rPr>
        <w:t xml:space="preserve"> </w:t>
      </w:r>
      <w:r>
        <w:rPr>
          <w:rFonts w:ascii="Bookman Old Style" w:hAnsi="Bookman Old Style"/>
          <w:sz w:val="28"/>
          <w:szCs w:val="28"/>
        </w:rPr>
        <w:t>todas las decisiones para la sentencia, en aras de imprimir celeridad a la actuación.</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Así lo consideró la Sala en oportunidad anterior (CSJ. SP.5200-2014. 30 abr. 2014, Rad.42534):</w:t>
      </w:r>
    </w:p>
    <w:p w:rsidR="00AD777C" w:rsidRDefault="00AD777C" w:rsidP="00AD777C">
      <w:pPr>
        <w:spacing w:line="360" w:lineRule="auto"/>
        <w:ind w:right="-187" w:firstLine="708"/>
        <w:jc w:val="both"/>
        <w:rPr>
          <w:rFonts w:ascii="Bookman Old Style" w:hAnsi="Bookman Old Style"/>
          <w:sz w:val="28"/>
          <w:szCs w:val="28"/>
        </w:rPr>
      </w:pPr>
    </w:p>
    <w:p w:rsidR="00AD777C" w:rsidRPr="004D2652" w:rsidRDefault="00AD777C" w:rsidP="00AD777C">
      <w:pPr>
        <w:spacing w:line="360" w:lineRule="auto"/>
        <w:ind w:left="708" w:right="-187" w:firstLine="1"/>
        <w:jc w:val="both"/>
        <w:rPr>
          <w:rFonts w:ascii="Bookman Old Style" w:hAnsi="Bookman Old Style"/>
          <w:i/>
          <w:sz w:val="24"/>
          <w:szCs w:val="24"/>
        </w:rPr>
      </w:pPr>
      <w:r w:rsidRPr="004D2652">
        <w:rPr>
          <w:rFonts w:ascii="Bookman Old Style" w:hAnsi="Bookman Old Style"/>
          <w:i/>
          <w:sz w:val="24"/>
          <w:szCs w:val="24"/>
        </w:rPr>
        <w:t>Entonces, posponer la decisión sobre la legalización de cargos para la sentencia se ajusta al objetivo de la Ley 1592 de 2012 de agilizar la actuación en beneficio de las víctimas e intervinientes, ante la lentitud observada, hasta ese momento, en los procesos de justicia transicional. En tal sentido, la Sala ha expresado (CSJ AP 29 Mayo 2013, Rad. 41035), y lo ratifica ahora, que dicha normativa debe servir como instrumento jurídico para impulsar el proceso de Justicia y Paz y fijarle un nuevo contenido más acorde con las necesidades y realidades del país.</w:t>
      </w:r>
    </w:p>
    <w:p w:rsidR="00AD777C" w:rsidRPr="001B41F4"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 </w:t>
      </w:r>
    </w:p>
    <w:p w:rsidR="00AD777C" w:rsidRPr="007D01CA"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La argumentación que traen los impugnantes para sustentar la nulidad de lo actuado, de haber sido pretermitida la norma que dispone la declaración de legalidad de los cargos, previamente al proferimiento de la sentencia, no se acompaña, sin embargo, de una fundamentación que desarrolle los principios de residualidad y trascendencia que orientan la declaración de nulidades, dejando la discusión en el plano meramente formal</w:t>
      </w:r>
      <w:r w:rsidRPr="007D01CA">
        <w:rPr>
          <w:rFonts w:ascii="Bookman Old Style" w:hAnsi="Bookman Old Style"/>
          <w:sz w:val="28"/>
          <w:szCs w:val="28"/>
        </w:rPr>
        <w:t>.</w:t>
      </w:r>
    </w:p>
    <w:p w:rsidR="00AD777C" w:rsidRPr="007D01CA" w:rsidRDefault="00AD777C" w:rsidP="00AD777C">
      <w:pPr>
        <w:spacing w:line="360" w:lineRule="auto"/>
        <w:ind w:right="-187" w:firstLine="709"/>
        <w:jc w:val="both"/>
        <w:rPr>
          <w:rFonts w:ascii="Bookman Old Style" w:hAnsi="Bookman Old Style"/>
          <w:sz w:val="28"/>
          <w:szCs w:val="28"/>
        </w:rPr>
      </w:pPr>
    </w:p>
    <w:p w:rsidR="00AD777C" w:rsidRPr="005F1D02" w:rsidRDefault="00AD777C" w:rsidP="00AD777C">
      <w:pPr>
        <w:spacing w:line="372" w:lineRule="auto"/>
        <w:ind w:firstLine="708"/>
        <w:jc w:val="both"/>
        <w:rPr>
          <w:rFonts w:ascii="Bookman Old Style" w:hAnsi="Bookman Old Style" w:cs="Arial"/>
          <w:sz w:val="28"/>
          <w:szCs w:val="28"/>
        </w:rPr>
      </w:pPr>
      <w:r w:rsidRPr="007D01CA">
        <w:rPr>
          <w:rFonts w:ascii="Bookman Old Style" w:hAnsi="Bookman Old Style" w:cs="Arial"/>
          <w:sz w:val="28"/>
          <w:szCs w:val="28"/>
        </w:rPr>
        <w:t xml:space="preserve">En efecto, ha sido criterio reiterado de </w:t>
      </w:r>
      <w:smartTag w:uri="urn:schemas-microsoft-com:office:smarttags" w:element="PersonName">
        <w:smartTagPr>
          <w:attr w:name="ProductID" w:val="la Corporaci￳n"/>
        </w:smartTagPr>
        <w:r w:rsidRPr="007D01CA">
          <w:rPr>
            <w:rFonts w:ascii="Bookman Old Style" w:hAnsi="Bookman Old Style" w:cs="Arial"/>
            <w:sz w:val="28"/>
            <w:szCs w:val="28"/>
          </w:rPr>
          <w:t>la Corporación</w:t>
        </w:r>
      </w:smartTag>
      <w:r w:rsidRPr="007D01CA">
        <w:rPr>
          <w:rFonts w:ascii="Bookman Old Style" w:hAnsi="Bookman Old Style" w:cs="Arial"/>
          <w:sz w:val="28"/>
          <w:szCs w:val="28"/>
        </w:rPr>
        <w:t xml:space="preserve"> que cuando se reclama la nulidad de la actuación procesal, se debe precisar que los vicios de estructura o de garantía denunciados tienen la entidad suficiente para invalidarla, </w:t>
      </w:r>
      <w:r w:rsidRPr="005F1D02">
        <w:rPr>
          <w:rFonts w:ascii="Bookman Old Style" w:hAnsi="Bookman Old Style" w:cs="Arial"/>
          <w:sz w:val="28"/>
          <w:szCs w:val="28"/>
        </w:rPr>
        <w:t xml:space="preserve">pues no cualquier irregularidad conlleva a tal sanción. </w:t>
      </w:r>
    </w:p>
    <w:p w:rsidR="00AD777C" w:rsidRPr="005F1D02" w:rsidRDefault="00AD777C" w:rsidP="00AD777C">
      <w:pPr>
        <w:spacing w:line="372" w:lineRule="auto"/>
        <w:jc w:val="both"/>
        <w:rPr>
          <w:rFonts w:ascii="Bookman Old Style" w:hAnsi="Bookman Old Style" w:cs="Arial"/>
          <w:sz w:val="28"/>
          <w:szCs w:val="28"/>
        </w:rPr>
      </w:pPr>
    </w:p>
    <w:p w:rsidR="00AD777C" w:rsidRPr="005F1D02" w:rsidRDefault="00AD777C" w:rsidP="00AD777C">
      <w:pPr>
        <w:spacing w:line="372" w:lineRule="auto"/>
        <w:ind w:firstLine="708"/>
        <w:jc w:val="both"/>
        <w:rPr>
          <w:rFonts w:ascii="Bookman Old Style" w:hAnsi="Bookman Old Style" w:cs="Arial"/>
          <w:sz w:val="28"/>
          <w:szCs w:val="28"/>
        </w:rPr>
      </w:pPr>
      <w:r>
        <w:rPr>
          <w:rFonts w:ascii="Bookman Old Style" w:hAnsi="Bookman Old Style" w:cs="Arial"/>
          <w:sz w:val="28"/>
          <w:szCs w:val="28"/>
        </w:rPr>
        <w:t>Los solicitantes no cu</w:t>
      </w:r>
      <w:r w:rsidRPr="005F1D02">
        <w:rPr>
          <w:rFonts w:ascii="Bookman Old Style" w:hAnsi="Bookman Old Style" w:cs="Arial"/>
          <w:sz w:val="28"/>
          <w:szCs w:val="28"/>
        </w:rPr>
        <w:t xml:space="preserve">mplieron con la carga de </w:t>
      </w:r>
      <w:r>
        <w:rPr>
          <w:rFonts w:ascii="Bookman Old Style" w:hAnsi="Bookman Old Style" w:cs="Arial"/>
          <w:sz w:val="28"/>
          <w:szCs w:val="28"/>
        </w:rPr>
        <w:t>desarrollar las razones sustanciales de su p</w:t>
      </w:r>
      <w:r w:rsidRPr="005F1D02">
        <w:rPr>
          <w:rFonts w:ascii="Bookman Old Style" w:hAnsi="Bookman Old Style" w:cs="Arial"/>
          <w:sz w:val="28"/>
          <w:szCs w:val="28"/>
        </w:rPr>
        <w:t>r</w:t>
      </w:r>
      <w:r>
        <w:rPr>
          <w:rFonts w:ascii="Bookman Old Style" w:hAnsi="Bookman Old Style" w:cs="Arial"/>
          <w:sz w:val="28"/>
          <w:szCs w:val="28"/>
        </w:rPr>
        <w:t>e</w:t>
      </w:r>
      <w:r w:rsidRPr="005F1D02">
        <w:rPr>
          <w:rFonts w:ascii="Bookman Old Style" w:hAnsi="Bookman Old Style" w:cs="Arial"/>
          <w:sz w:val="28"/>
          <w:szCs w:val="28"/>
        </w:rPr>
        <w:t xml:space="preserve">tensión, </w:t>
      </w:r>
      <w:r>
        <w:rPr>
          <w:rFonts w:ascii="Bookman Old Style" w:hAnsi="Bookman Old Style" w:cs="Arial"/>
          <w:sz w:val="28"/>
          <w:szCs w:val="28"/>
        </w:rPr>
        <w:t>indicando, además de</w:t>
      </w:r>
      <w:r w:rsidRPr="005F1D02">
        <w:rPr>
          <w:rFonts w:ascii="Bookman Old Style" w:hAnsi="Bookman Old Style" w:cs="Arial"/>
          <w:sz w:val="28"/>
          <w:szCs w:val="28"/>
        </w:rPr>
        <w:t xml:space="preserve"> la irr</w:t>
      </w:r>
      <w:r>
        <w:rPr>
          <w:rFonts w:ascii="Bookman Old Style" w:hAnsi="Bookman Old Style" w:cs="Arial"/>
          <w:sz w:val="28"/>
          <w:szCs w:val="28"/>
        </w:rPr>
        <w:t>e</w:t>
      </w:r>
      <w:r w:rsidRPr="005F1D02">
        <w:rPr>
          <w:rFonts w:ascii="Bookman Old Style" w:hAnsi="Bookman Old Style" w:cs="Arial"/>
          <w:sz w:val="28"/>
          <w:szCs w:val="28"/>
        </w:rPr>
        <w:t>gularidad q</w:t>
      </w:r>
      <w:r>
        <w:rPr>
          <w:rFonts w:ascii="Bookman Old Style" w:hAnsi="Bookman Old Style" w:cs="Arial"/>
          <w:sz w:val="28"/>
          <w:szCs w:val="28"/>
        </w:rPr>
        <w:t>ue vislumbran -</w:t>
      </w:r>
      <w:r w:rsidRPr="005F1D02">
        <w:rPr>
          <w:rFonts w:ascii="Bookman Old Style" w:hAnsi="Bookman Old Style" w:cs="Arial"/>
          <w:sz w:val="28"/>
          <w:szCs w:val="28"/>
        </w:rPr>
        <w:t>no haber realizado una audiencia de lectura de legalización de los cargos</w:t>
      </w:r>
      <w:r>
        <w:rPr>
          <w:rFonts w:ascii="Bookman Old Style" w:hAnsi="Bookman Old Style" w:cs="Arial"/>
          <w:sz w:val="28"/>
          <w:szCs w:val="28"/>
        </w:rPr>
        <w:t>-</w:t>
      </w:r>
      <w:r w:rsidRPr="005F1D02">
        <w:rPr>
          <w:rFonts w:ascii="Bookman Old Style" w:hAnsi="Bookman Old Style" w:cs="Arial"/>
          <w:sz w:val="28"/>
          <w:szCs w:val="28"/>
        </w:rPr>
        <w:t xml:space="preserve">, </w:t>
      </w:r>
      <w:r>
        <w:rPr>
          <w:rFonts w:ascii="Bookman Old Style" w:hAnsi="Bookman Old Style" w:cs="Arial"/>
          <w:sz w:val="28"/>
          <w:szCs w:val="28"/>
        </w:rPr>
        <w:t>cuál fue la trascendencia revertida concretamente a los derechos de las víctimas y por</w:t>
      </w:r>
      <w:r w:rsidRPr="005F1D02">
        <w:rPr>
          <w:rFonts w:ascii="Bookman Old Style" w:hAnsi="Bookman Old Style" w:cs="Arial"/>
          <w:sz w:val="28"/>
          <w:szCs w:val="28"/>
        </w:rPr>
        <w:t>qué la anulación es el único remedio para enmendar el yerro.</w:t>
      </w:r>
    </w:p>
    <w:p w:rsidR="00AD777C" w:rsidRPr="005F1D02" w:rsidRDefault="00AD777C" w:rsidP="00AD777C">
      <w:pPr>
        <w:spacing w:line="372" w:lineRule="auto"/>
        <w:jc w:val="both"/>
        <w:rPr>
          <w:rFonts w:ascii="Bookman Old Style" w:hAnsi="Bookman Old Style" w:cs="Arial"/>
          <w:sz w:val="28"/>
          <w:szCs w:val="28"/>
        </w:rPr>
      </w:pPr>
    </w:p>
    <w:p w:rsidR="00AD777C" w:rsidRDefault="00AD777C" w:rsidP="00AD777C">
      <w:pPr>
        <w:spacing w:line="372" w:lineRule="auto"/>
        <w:ind w:firstLine="708"/>
        <w:jc w:val="both"/>
        <w:rPr>
          <w:rFonts w:ascii="Bookman Old Style" w:hAnsi="Bookman Old Style"/>
          <w:sz w:val="28"/>
        </w:rPr>
      </w:pPr>
      <w:r>
        <w:rPr>
          <w:rFonts w:ascii="Bookman Old Style" w:hAnsi="Bookman Old Style"/>
          <w:sz w:val="28"/>
        </w:rPr>
        <w:t xml:space="preserve">Se limitan a sostener que con esa omisión se </w:t>
      </w:r>
      <w:r w:rsidRPr="00711A62">
        <w:rPr>
          <w:rFonts w:ascii="Bookman Old Style" w:hAnsi="Bookman Old Style"/>
          <w:i/>
          <w:sz w:val="24"/>
          <w:szCs w:val="24"/>
        </w:rPr>
        <w:t>«vulneraron gravemente»</w:t>
      </w:r>
      <w:r w:rsidRPr="00711A62">
        <w:rPr>
          <w:rFonts w:ascii="Bookman Old Style" w:hAnsi="Bookman Old Style"/>
          <w:sz w:val="28"/>
        </w:rPr>
        <w:t xml:space="preserve"> l</w:t>
      </w:r>
      <w:r>
        <w:rPr>
          <w:rFonts w:ascii="Bookman Old Style" w:hAnsi="Bookman Old Style"/>
          <w:sz w:val="28"/>
        </w:rPr>
        <w:t>as garantías</w:t>
      </w:r>
      <w:r w:rsidRPr="00711A62">
        <w:rPr>
          <w:rFonts w:ascii="Bookman Old Style" w:hAnsi="Bookman Old Style"/>
          <w:sz w:val="28"/>
        </w:rPr>
        <w:t xml:space="preserve"> de las víctimas, </w:t>
      </w:r>
      <w:r>
        <w:rPr>
          <w:rFonts w:ascii="Bookman Old Style" w:hAnsi="Bookman Old Style"/>
          <w:sz w:val="28"/>
        </w:rPr>
        <w:t xml:space="preserve">pero no evidencia la Corte de qué manera se concretó esa vulneración ni cómo la declaratoria de nulidad logrará subsanar </w:t>
      </w:r>
      <w:r w:rsidRPr="00D35E68">
        <w:rPr>
          <w:rFonts w:ascii="Bookman Old Style" w:hAnsi="Bookman Old Style"/>
          <w:i/>
          <w:sz w:val="28"/>
        </w:rPr>
        <w:t>«el grave yerro»</w:t>
      </w:r>
      <w:r>
        <w:rPr>
          <w:rFonts w:ascii="Bookman Old Style" w:hAnsi="Bookman Old Style"/>
          <w:sz w:val="28"/>
        </w:rPr>
        <w:t>, cuando justamente la decisión del Tribunal de no emitir, previamente al trámite incidental, un auto de legalización de cargos, se hizo buscando la agilidad del trámite en procura de la prevalencia de los derechos de las víctimas.  Luego, resulta inentendible que quienes representan los intereses de un grupo de ellas, opte por rendir culto a la ritualidad, la que pretenden hacer prevalecer aún a costa del fin perseguido de la celeridad.</w:t>
      </w:r>
    </w:p>
    <w:p w:rsidR="00AD777C" w:rsidRPr="00554AA2" w:rsidRDefault="00AD777C" w:rsidP="00AD777C">
      <w:pPr>
        <w:spacing w:line="360" w:lineRule="auto"/>
        <w:jc w:val="both"/>
        <w:rPr>
          <w:rFonts w:ascii="Book Antiqua" w:hAnsi="Book Antiqua" w:cs="Arial"/>
          <w:color w:val="C00000"/>
          <w:sz w:val="30"/>
          <w:szCs w:val="30"/>
          <w:lang w:val="es-MX"/>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 xml:space="preserve">Y es que, si de proteger los derechos de las víctimas se trata, debe insistirse en que ningún menoscabo a ellos ocurrió con el diferimiento que la Sala de Justicia y Paz hizo de la decisión de legalización de cargos para la sentencia, pues si lo que se busca con la emisión de la determinación en audiencia separada y antes de iniciar el incidente, es </w:t>
      </w:r>
      <w:r w:rsidRPr="00D35986">
        <w:rPr>
          <w:rFonts w:ascii="Bookman Old Style" w:hAnsi="Bookman Old Style"/>
          <w:i/>
          <w:sz w:val="28"/>
          <w:szCs w:val="28"/>
        </w:rPr>
        <w:t>i)</w:t>
      </w:r>
      <w:r>
        <w:rPr>
          <w:rFonts w:ascii="Bookman Old Style" w:hAnsi="Bookman Old Style"/>
          <w:sz w:val="28"/>
          <w:szCs w:val="28"/>
        </w:rPr>
        <w:t xml:space="preserve"> que la decisión pueda ser recurrida; y,</w:t>
      </w:r>
      <w:r w:rsidRPr="00D35986">
        <w:rPr>
          <w:rFonts w:ascii="Bookman Old Style" w:hAnsi="Bookman Old Style"/>
          <w:i/>
          <w:sz w:val="28"/>
          <w:szCs w:val="28"/>
        </w:rPr>
        <w:t xml:space="preserve"> ii)</w:t>
      </w:r>
      <w:r>
        <w:rPr>
          <w:rFonts w:ascii="Bookman Old Style" w:hAnsi="Bookman Old Style"/>
          <w:sz w:val="28"/>
          <w:szCs w:val="28"/>
        </w:rPr>
        <w:t xml:space="preserve"> que se conozca qué cargos fueron legalizados antes de empezar el incidente, es claro que ambas situaciones se superan con el trámite aquí surtido.  </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Frente a lo primero, baste reseñar que tal derecho se efectiviza cuando la decisión se integra a la sentencia, de la misma forma a que se hubiera emitido en audiencia y providencia diferentes, muestra de lo cual es precisamente el pronunciamiento que ocupa la atención de la Sala.</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 xml:space="preserve">De tal manera que en decisión separada o como parte de la sentencia, la legalización de cargos ocurre después de la formulación y la aceptación que de ellos realicen los postulados, siendo susceptible, en cualquiera de los casos,  de ser debatida a través de los recursos previstos en la ley. </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En relación con el segundo punto, el derecho que tienen las víctimas a intervenir en las audiencias de incidente de reparación en forma directa o a través de apoderado, se cumple al margen de que para el momento de su realización se conozca el pronunciamiento acerca de los cargos legalizados, por lo que tampoco se vulneran garantías sustanciales con el diferimiento que se demanda.</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9"/>
        <w:jc w:val="both"/>
        <w:rPr>
          <w:rFonts w:ascii="Bookman Old Style" w:hAnsi="Bookman Old Style"/>
          <w:sz w:val="28"/>
          <w:szCs w:val="28"/>
        </w:rPr>
      </w:pPr>
      <w:r>
        <w:rPr>
          <w:rFonts w:ascii="Bookman Old Style" w:hAnsi="Bookman Old Style"/>
          <w:sz w:val="28"/>
          <w:szCs w:val="28"/>
        </w:rPr>
        <w:t xml:space="preserve">Es que ninguna garantía adicional obtienen las partes cuando concurren a una audiencia con el único fin de escuchar la lectura de la legalización de los cargos, para luego dar curso a las sesiones de incidente de reparación integral; en cambio, considerables retrasos se presentan con las fallidas fechas para oralizar la decisión y con mayor razón, tratándose de procesos en los que la multiplicidad de postulados, hechos, cargos, víctimas y apoderados, no permiten ni siquiera el consenso de la data para su rápida evacuación. </w:t>
      </w:r>
    </w:p>
    <w:p w:rsidR="00AD777C" w:rsidRDefault="00AD777C" w:rsidP="00AD777C">
      <w:pPr>
        <w:spacing w:line="360" w:lineRule="auto"/>
        <w:ind w:right="-187" w:firstLine="709"/>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Justamente, bajo el mismo derrotero, -agilidad procesal- el Decreto 3011 de 2013 reglamentó el trámite de la audiencia concentrada de formulación y aceptación de cargos, en los siguientes términos:</w:t>
      </w:r>
    </w:p>
    <w:p w:rsidR="00AD777C" w:rsidRDefault="00AD777C" w:rsidP="00AD777C">
      <w:pPr>
        <w:spacing w:line="360" w:lineRule="auto"/>
        <w:ind w:right="-187" w:firstLine="708"/>
        <w:jc w:val="both"/>
        <w:rPr>
          <w:rFonts w:ascii="Bookman Old Style" w:hAnsi="Bookman Old Style"/>
          <w:sz w:val="28"/>
          <w:szCs w:val="28"/>
        </w:rPr>
      </w:pPr>
    </w:p>
    <w:p w:rsidR="00AD777C" w:rsidRPr="00430301" w:rsidRDefault="00AD777C" w:rsidP="00AD777C">
      <w:pPr>
        <w:shd w:val="clear" w:color="auto" w:fill="FFFFFF"/>
        <w:spacing w:line="360" w:lineRule="auto"/>
        <w:ind w:left="708"/>
        <w:jc w:val="both"/>
        <w:rPr>
          <w:rFonts w:ascii="Bookman Old Style" w:hAnsi="Bookman Old Style"/>
          <w:i/>
          <w:sz w:val="24"/>
          <w:szCs w:val="24"/>
        </w:rPr>
      </w:pPr>
      <w:r w:rsidRPr="00430301">
        <w:rPr>
          <w:rFonts w:ascii="Bookman Old Style" w:hAnsi="Bookman Old Style"/>
          <w:i/>
          <w:sz w:val="24"/>
          <w:szCs w:val="24"/>
        </w:rPr>
        <w:t>ART. 24</w:t>
      </w:r>
      <w:r>
        <w:rPr>
          <w:rFonts w:ascii="Bookman Old Style" w:hAnsi="Bookman Old Style"/>
          <w:i/>
          <w:sz w:val="24"/>
          <w:szCs w:val="24"/>
        </w:rPr>
        <w:t xml:space="preserve"> (…) </w:t>
      </w:r>
      <w:r w:rsidRPr="00430301">
        <w:rPr>
          <w:rFonts w:ascii="Bookman Old Style" w:hAnsi="Bookman Old Style" w:cs="Arial"/>
          <w:b/>
          <w:i/>
          <w:color w:val="000000"/>
          <w:sz w:val="24"/>
          <w:szCs w:val="24"/>
        </w:rPr>
        <w:t>Todas las actuaciones que se lleven a cabo en la audiencia concentrada de formulación y aceptación de cargos y en el incidente de identificación de afectaciones causadas, deben atender a su naturaleza concentrada. En tal sentido, todas las decisiones judiciales de esta audiencia concentrada se tomarán en la sentencia.</w:t>
      </w:r>
      <w:r>
        <w:rPr>
          <w:rStyle w:val="Refdenotaalpie"/>
          <w:rFonts w:ascii="Bookman Old Style" w:hAnsi="Bookman Old Style" w:cs="Arial"/>
          <w:b/>
          <w:i/>
          <w:color w:val="000000"/>
          <w:sz w:val="24"/>
          <w:szCs w:val="24"/>
        </w:rPr>
        <w:footnoteReference w:id="33"/>
      </w:r>
    </w:p>
    <w:p w:rsidR="00AD777C" w:rsidRPr="00430301" w:rsidRDefault="00AD777C" w:rsidP="00AD777C">
      <w:pPr>
        <w:shd w:val="clear" w:color="auto" w:fill="FFFFFF"/>
        <w:spacing w:line="360" w:lineRule="auto"/>
        <w:jc w:val="both"/>
        <w:rPr>
          <w:rFonts w:ascii="Bookman Old Style" w:hAnsi="Bookman Old Style"/>
          <w:i/>
          <w:color w:val="000000"/>
          <w:sz w:val="22"/>
          <w:szCs w:val="22"/>
        </w:rPr>
      </w:pPr>
      <w:r w:rsidRPr="00430301">
        <w:rPr>
          <w:rFonts w:ascii="Bookman Old Style" w:hAnsi="Bookman Old Style" w:cs="Arial"/>
          <w:i/>
          <w:color w:val="000000"/>
          <w:sz w:val="24"/>
          <w:szCs w:val="24"/>
        </w:rPr>
        <w:t>  </w:t>
      </w:r>
    </w:p>
    <w:p w:rsidR="00AD777C" w:rsidRDefault="00AD777C" w:rsidP="00AD777C">
      <w:pPr>
        <w:spacing w:line="360" w:lineRule="auto"/>
        <w:ind w:firstLine="708"/>
        <w:jc w:val="both"/>
        <w:rPr>
          <w:rFonts w:ascii="Bookman Old Style" w:hAnsi="Bookman Old Style"/>
          <w:sz w:val="28"/>
          <w:szCs w:val="28"/>
        </w:rPr>
      </w:pPr>
      <w:r w:rsidRPr="0012552B">
        <w:rPr>
          <w:rFonts w:ascii="Bookman Old Style" w:hAnsi="Bookman Old Style"/>
          <w:sz w:val="28"/>
          <w:szCs w:val="28"/>
        </w:rPr>
        <w:t xml:space="preserve">Por lo tanto, </w:t>
      </w:r>
      <w:r>
        <w:rPr>
          <w:rFonts w:ascii="Bookman Old Style" w:hAnsi="Bookman Old Style"/>
          <w:sz w:val="28"/>
          <w:szCs w:val="28"/>
        </w:rPr>
        <w:t>no resulta acertada la tesis de los abogados de las víctimas, según la cual la L</w:t>
      </w:r>
      <w:r w:rsidRPr="0012552B">
        <w:rPr>
          <w:rFonts w:ascii="Bookman Old Style" w:hAnsi="Bookman Old Style"/>
          <w:sz w:val="28"/>
          <w:szCs w:val="28"/>
        </w:rPr>
        <w:t xml:space="preserve">ey 1592 de 2012 </w:t>
      </w:r>
      <w:r>
        <w:rPr>
          <w:rFonts w:ascii="Bookman Old Style" w:hAnsi="Bookman Old Style"/>
          <w:sz w:val="28"/>
          <w:szCs w:val="28"/>
        </w:rPr>
        <w:t xml:space="preserve">solo es aplicable a las actuaciones que iniciaron a partir del 3 de diciembre de ese año, </w:t>
      </w:r>
      <w:r w:rsidRPr="0012552B">
        <w:rPr>
          <w:rFonts w:ascii="Bookman Old Style" w:hAnsi="Bookman Old Style"/>
          <w:sz w:val="28"/>
          <w:szCs w:val="28"/>
        </w:rPr>
        <w:t>fecha de su expedici</w:t>
      </w:r>
      <w:r>
        <w:rPr>
          <w:rFonts w:ascii="Bookman Old Style" w:hAnsi="Bookman Old Style"/>
          <w:sz w:val="28"/>
          <w:szCs w:val="28"/>
        </w:rPr>
        <w:t>ón, pues de ninguna forma podría cumplir con la finalidad de avanzar eficazmente en los procesos de Justicia y Paz.</w:t>
      </w:r>
    </w:p>
    <w:p w:rsidR="00AD777C" w:rsidRDefault="00AD777C" w:rsidP="00AD777C">
      <w:pPr>
        <w:spacing w:line="360" w:lineRule="auto"/>
        <w:ind w:firstLine="708"/>
        <w:jc w:val="both"/>
        <w:rPr>
          <w:rFonts w:ascii="Bookman Old Style" w:hAnsi="Bookman Old Style"/>
          <w:sz w:val="28"/>
          <w:szCs w:val="28"/>
        </w:rPr>
      </w:pPr>
    </w:p>
    <w:p w:rsidR="00AD777C" w:rsidRPr="00884026" w:rsidRDefault="00AD777C" w:rsidP="00AD777C">
      <w:pPr>
        <w:spacing w:line="360" w:lineRule="auto"/>
        <w:ind w:right="-187" w:firstLine="709"/>
        <w:jc w:val="both"/>
        <w:rPr>
          <w:rFonts w:ascii="Bookman Old Style" w:hAnsi="Bookman Old Style"/>
          <w:sz w:val="28"/>
          <w:szCs w:val="28"/>
        </w:rPr>
      </w:pPr>
      <w:r w:rsidRPr="002E1259">
        <w:rPr>
          <w:rFonts w:ascii="Bookman Old Style" w:hAnsi="Bookman Old Style"/>
          <w:sz w:val="28"/>
          <w:szCs w:val="28"/>
        </w:rPr>
        <w:t xml:space="preserve">Tampoco prospera el argumento a partir del cual el proceso debió continuar con el procedimiento previsto en la Ley 975 de 2005, </w:t>
      </w:r>
      <w:r>
        <w:rPr>
          <w:rFonts w:ascii="Bookman Old Style" w:hAnsi="Bookman Old Style"/>
          <w:sz w:val="28"/>
          <w:szCs w:val="28"/>
        </w:rPr>
        <w:t xml:space="preserve">porque así se deriva de la </w:t>
      </w:r>
      <w:r w:rsidRPr="002E1259">
        <w:rPr>
          <w:rFonts w:ascii="Bookman Old Style" w:hAnsi="Bookman Old Style"/>
          <w:sz w:val="28"/>
          <w:szCs w:val="28"/>
        </w:rPr>
        <w:t>Ley 153 de 1887</w:t>
      </w:r>
      <w:r>
        <w:rPr>
          <w:rFonts w:ascii="Bookman Old Style" w:hAnsi="Bookman Old Style"/>
          <w:sz w:val="28"/>
          <w:szCs w:val="28"/>
        </w:rPr>
        <w:t xml:space="preserve">. Ello porque conforme al artículo 40 de esta última, modificado por el artículo 624 de la Ley 1564 de 2012, </w:t>
      </w:r>
      <w:r>
        <w:rPr>
          <w:rFonts w:ascii="Bookman Old Style" w:hAnsi="Bookman Old Style" w:cs="Arial"/>
          <w:i/>
          <w:color w:val="000000"/>
          <w:sz w:val="24"/>
          <w:szCs w:val="24"/>
          <w:shd w:val="clear" w:color="auto" w:fill="FFFFFF"/>
        </w:rPr>
        <w:t>«l</w:t>
      </w:r>
      <w:r w:rsidRPr="00FC242E">
        <w:rPr>
          <w:rFonts w:ascii="Bookman Old Style" w:hAnsi="Bookman Old Style" w:cs="Arial"/>
          <w:i/>
          <w:color w:val="000000"/>
          <w:sz w:val="24"/>
          <w:szCs w:val="24"/>
          <w:shd w:val="clear" w:color="auto" w:fill="FFFFFF"/>
        </w:rPr>
        <w:t>as leyes concernientes a la sustanciación y ritualidad de los juicios prevalecen sobre las anteriores desde el momento en que deben empezar a regir. Pero los términos que hubieren empezado a correr, y las actuaciones y diligencias que ya estuvieren iniciadas, se regirán por la ley vig</w:t>
      </w:r>
      <w:r>
        <w:rPr>
          <w:rFonts w:ascii="Bookman Old Style" w:hAnsi="Bookman Old Style" w:cs="Arial"/>
          <w:i/>
          <w:color w:val="000000"/>
          <w:sz w:val="24"/>
          <w:szCs w:val="24"/>
          <w:shd w:val="clear" w:color="auto" w:fill="FFFFFF"/>
        </w:rPr>
        <w:t>ente al tiempo de su iniciación</w:t>
      </w:r>
      <w:r w:rsidRPr="00FC242E">
        <w:rPr>
          <w:rFonts w:ascii="Bookman Old Style" w:hAnsi="Bookman Old Style" w:cs="Arial"/>
          <w:i/>
          <w:color w:val="000000"/>
          <w:sz w:val="24"/>
          <w:szCs w:val="24"/>
          <w:shd w:val="clear" w:color="auto" w:fill="FFFFFF"/>
        </w:rPr>
        <w:t>»</w:t>
      </w:r>
      <w:r>
        <w:rPr>
          <w:rFonts w:ascii="Bookman Old Style" w:hAnsi="Bookman Old Style" w:cs="Arial"/>
          <w:i/>
          <w:color w:val="000000"/>
          <w:sz w:val="24"/>
          <w:szCs w:val="24"/>
          <w:shd w:val="clear" w:color="auto" w:fill="FFFFFF"/>
        </w:rPr>
        <w:t xml:space="preserve"> </w:t>
      </w:r>
      <w:r>
        <w:rPr>
          <w:rFonts w:ascii="Bookman Old Style" w:hAnsi="Bookman Old Style"/>
          <w:sz w:val="28"/>
          <w:szCs w:val="28"/>
        </w:rPr>
        <w:t xml:space="preserve">y precisamente en este caso, cuando entró a regir la nueva disposición, </w:t>
      </w:r>
      <w:r w:rsidRPr="002E1259">
        <w:rPr>
          <w:rFonts w:ascii="Bookman Old Style" w:hAnsi="Bookman Old Style"/>
          <w:sz w:val="28"/>
          <w:szCs w:val="28"/>
        </w:rPr>
        <w:t xml:space="preserve">la audiencia de formulación y aceptación de cargos había culminado hacía más de año y </w:t>
      </w:r>
      <w:r>
        <w:rPr>
          <w:rFonts w:ascii="Bookman Old Style" w:hAnsi="Bookman Old Style"/>
          <w:sz w:val="28"/>
          <w:szCs w:val="28"/>
        </w:rPr>
        <w:t xml:space="preserve">medio </w:t>
      </w:r>
      <w:r w:rsidRPr="002E1259">
        <w:rPr>
          <w:rFonts w:ascii="Bookman Old Style" w:hAnsi="Bookman Old Style"/>
          <w:sz w:val="28"/>
          <w:szCs w:val="28"/>
        </w:rPr>
        <w:t>y sólo restaba</w:t>
      </w:r>
      <w:r>
        <w:rPr>
          <w:rFonts w:ascii="Bookman Old Style" w:hAnsi="Bookman Old Style"/>
          <w:sz w:val="28"/>
          <w:szCs w:val="28"/>
        </w:rPr>
        <w:t xml:space="preserve"> la decisión sobre los mismos.</w:t>
      </w:r>
    </w:p>
    <w:p w:rsidR="00AD777C" w:rsidRDefault="00AD777C" w:rsidP="00AD777C">
      <w:pPr>
        <w:spacing w:line="360" w:lineRule="auto"/>
        <w:ind w:right="-187" w:firstLine="709"/>
        <w:jc w:val="both"/>
        <w:rPr>
          <w:rFonts w:ascii="Arial" w:hAnsi="Arial" w:cs="Arial"/>
          <w:color w:val="000000"/>
          <w:sz w:val="27"/>
          <w:szCs w:val="27"/>
          <w:shd w:val="clear" w:color="auto" w:fill="FFFFFF"/>
        </w:rPr>
      </w:pPr>
    </w:p>
    <w:p w:rsidR="00AD777C" w:rsidRDefault="00AD777C" w:rsidP="00AD777C">
      <w:pPr>
        <w:pStyle w:val="NormalWeb"/>
        <w:spacing w:before="0" w:beforeAutospacing="0" w:after="0" w:afterAutospacing="0" w:line="360" w:lineRule="auto"/>
        <w:ind w:firstLine="708"/>
        <w:jc w:val="both"/>
        <w:rPr>
          <w:rFonts w:ascii="Bookman Old Style" w:hAnsi="Bookman Old Style"/>
          <w:i/>
          <w:sz w:val="28"/>
          <w:szCs w:val="28"/>
        </w:rPr>
      </w:pPr>
      <w:r>
        <w:rPr>
          <w:rFonts w:ascii="Bookman Old Style" w:hAnsi="Bookman Old Style"/>
          <w:sz w:val="28"/>
          <w:szCs w:val="28"/>
        </w:rPr>
        <w:t xml:space="preserve">Cabe recordar que la Ley 1592 de 2012 por ser de carácter procesal es de orden público y, por tanto, las disposiciones instrumentales allí contenidas debían aplicarse de manera inmediata a los procesos en trámite tan pronto entraron en vigencia. Precisamente, los artículos 36 y </w:t>
      </w:r>
      <w:r w:rsidRPr="00C2506E">
        <w:rPr>
          <w:rFonts w:ascii="Bookman Old Style" w:hAnsi="Bookman Old Style"/>
          <w:sz w:val="28"/>
          <w:szCs w:val="28"/>
        </w:rPr>
        <w:t xml:space="preserve">41 de la </w:t>
      </w:r>
      <w:r>
        <w:rPr>
          <w:rFonts w:ascii="Bookman Old Style" w:hAnsi="Bookman Old Style"/>
          <w:sz w:val="28"/>
          <w:szCs w:val="28"/>
        </w:rPr>
        <w:t xml:space="preserve">misma </w:t>
      </w:r>
      <w:r w:rsidRPr="00C2506E">
        <w:rPr>
          <w:rFonts w:ascii="Bookman Old Style" w:hAnsi="Bookman Old Style"/>
          <w:sz w:val="28"/>
          <w:szCs w:val="28"/>
        </w:rPr>
        <w:t>señalan que</w:t>
      </w:r>
      <w:r>
        <w:rPr>
          <w:rFonts w:ascii="Bookman Old Style" w:hAnsi="Bookman Old Style"/>
          <w:sz w:val="28"/>
          <w:szCs w:val="28"/>
        </w:rPr>
        <w:t xml:space="preserve"> </w:t>
      </w:r>
      <w:r w:rsidRPr="008F6EB6">
        <w:rPr>
          <w:rFonts w:ascii="Bookman Old Style" w:hAnsi="Bookman Old Style"/>
          <w:i/>
        </w:rPr>
        <w:t>«</w:t>
      </w:r>
      <w:r>
        <w:rPr>
          <w:rFonts w:ascii="Bookman Old Style" w:hAnsi="Bookman Old Style"/>
          <w:i/>
        </w:rPr>
        <w:t xml:space="preserve"> la presente ley </w:t>
      </w:r>
      <w:r w:rsidRPr="008F6EB6">
        <w:rPr>
          <w:rFonts w:ascii="Bookman Old Style" w:hAnsi="Bookman Old Style"/>
          <w:i/>
        </w:rPr>
        <w:t>rige a partir de la fecha de su promulgación</w:t>
      </w:r>
      <w:r>
        <w:rPr>
          <w:rStyle w:val="Refdenotaalpie"/>
          <w:rFonts w:ascii="Bookman Old Style" w:hAnsi="Bookman Old Style"/>
          <w:i/>
        </w:rPr>
        <w:footnoteReference w:id="34"/>
      </w:r>
      <w:r w:rsidRPr="008F6EB6">
        <w:rPr>
          <w:rFonts w:ascii="Bookman Old Style" w:hAnsi="Bookman Old Style"/>
        </w:rPr>
        <w:t xml:space="preserve"> </w:t>
      </w:r>
      <w:r w:rsidRPr="008F6EB6">
        <w:rPr>
          <w:rFonts w:ascii="Bookman Old Style" w:hAnsi="Bookman Old Style"/>
          <w:i/>
        </w:rPr>
        <w:t xml:space="preserve">y deroga todas las disposiciones que le sean contrarias, en particular los artículos 7º, 8º, 42, 43, 45, 47, 48, 49, 55 y 69 de </w:t>
      </w:r>
      <w:smartTag w:uri="urn:schemas-microsoft-com:office:smarttags" w:element="PersonName">
        <w:smartTagPr>
          <w:attr w:name="ProductID" w:val="la Ley"/>
        </w:smartTagPr>
        <w:r w:rsidRPr="008F6EB6">
          <w:rPr>
            <w:rFonts w:ascii="Bookman Old Style" w:hAnsi="Bookman Old Style"/>
            <w:i/>
          </w:rPr>
          <w:t xml:space="preserve">la </w:t>
        </w:r>
        <w:r w:rsidRPr="00D00F9C">
          <w:rPr>
            <w:rFonts w:ascii="Bookman Old Style" w:hAnsi="Bookman Old Style"/>
            <w:i/>
          </w:rPr>
          <w:t>Ley</w:t>
        </w:r>
      </w:smartTag>
      <w:r w:rsidRPr="00D00F9C">
        <w:rPr>
          <w:rFonts w:ascii="Bookman Old Style" w:hAnsi="Bookman Old Style"/>
          <w:i/>
        </w:rPr>
        <w:t xml:space="preserve"> 975 de 2005».</w:t>
      </w:r>
    </w:p>
    <w:p w:rsidR="00AD777C" w:rsidRDefault="00AD777C" w:rsidP="00AD777C">
      <w:pPr>
        <w:spacing w:line="360" w:lineRule="auto"/>
        <w:ind w:firstLine="708"/>
        <w:jc w:val="both"/>
        <w:rPr>
          <w:rFonts w:ascii="Bookman Old Style" w:hAnsi="Bookman Old Style"/>
          <w:sz w:val="28"/>
          <w:szCs w:val="28"/>
        </w:rPr>
      </w:pPr>
    </w:p>
    <w:p w:rsidR="00AD777C" w:rsidRPr="00D00F9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En oportunidad anterior, frente a la aplicación de la nueva ley, la Sala señaló:</w:t>
      </w:r>
      <w:r w:rsidRPr="009E4F79">
        <w:rPr>
          <w:rFonts w:ascii="Bookman Old Style" w:hAnsi="Bookman Old Style"/>
          <w:i/>
          <w:sz w:val="24"/>
          <w:szCs w:val="24"/>
        </w:rPr>
        <w:t xml:space="preserve">  </w:t>
      </w:r>
    </w:p>
    <w:p w:rsidR="00AD777C" w:rsidRPr="009E4F79" w:rsidRDefault="00AD777C" w:rsidP="00AD777C">
      <w:pPr>
        <w:spacing w:line="360" w:lineRule="auto"/>
        <w:jc w:val="both"/>
        <w:rPr>
          <w:rFonts w:ascii="Bookman Old Style" w:hAnsi="Bookman Old Style"/>
          <w:i/>
          <w:sz w:val="24"/>
          <w:szCs w:val="24"/>
        </w:rPr>
      </w:pPr>
    </w:p>
    <w:p w:rsidR="00AD777C" w:rsidRPr="009E4F79" w:rsidRDefault="00AD777C" w:rsidP="00AD777C">
      <w:pPr>
        <w:spacing w:line="360" w:lineRule="auto"/>
        <w:ind w:left="708"/>
        <w:jc w:val="both"/>
        <w:rPr>
          <w:rFonts w:ascii="Bookman Old Style" w:hAnsi="Bookman Old Style"/>
          <w:i/>
          <w:sz w:val="24"/>
          <w:szCs w:val="24"/>
        </w:rPr>
      </w:pPr>
      <w:r w:rsidRPr="009E4F79">
        <w:rPr>
          <w:rFonts w:ascii="Bookman Old Style" w:hAnsi="Bookman Old Style"/>
          <w:i/>
          <w:sz w:val="24"/>
          <w:szCs w:val="24"/>
        </w:rPr>
        <w:t xml:space="preserve">En similar sentido, el artículo 36, sobre vigencia, derogatoria y aplicación temporal de </w:t>
      </w:r>
      <w:smartTag w:uri="urn:schemas-microsoft-com:office:smarttags" w:element="PersonName">
        <w:smartTagPr>
          <w:attr w:name="ProductID" w:val="la Ley"/>
        </w:smartTagPr>
        <w:r w:rsidRPr="009E4F79">
          <w:rPr>
            <w:rFonts w:ascii="Bookman Old Style" w:hAnsi="Bookman Old Style"/>
            <w:i/>
            <w:sz w:val="24"/>
            <w:szCs w:val="24"/>
          </w:rPr>
          <w:t>la Ley</w:t>
        </w:r>
      </w:smartTag>
      <w:r w:rsidRPr="009E4F79">
        <w:rPr>
          <w:rFonts w:ascii="Bookman Old Style" w:hAnsi="Bookman Old Style"/>
          <w:i/>
          <w:sz w:val="24"/>
          <w:szCs w:val="24"/>
        </w:rPr>
        <w:t xml:space="preserve"> 1592, dispone lo siguiente:</w:t>
      </w:r>
    </w:p>
    <w:p w:rsidR="00AD777C" w:rsidRPr="009E4F79" w:rsidRDefault="00AD777C" w:rsidP="00AD777C">
      <w:pPr>
        <w:spacing w:line="360" w:lineRule="auto"/>
        <w:jc w:val="both"/>
        <w:rPr>
          <w:rFonts w:ascii="Bookman Old Style" w:hAnsi="Bookman Old Style"/>
          <w:i/>
          <w:sz w:val="24"/>
          <w:szCs w:val="24"/>
        </w:rPr>
      </w:pPr>
    </w:p>
    <w:p w:rsidR="00AD777C" w:rsidRPr="009E4F79" w:rsidRDefault="00AD777C" w:rsidP="00AD777C">
      <w:pPr>
        <w:pStyle w:val="NormalWeb"/>
        <w:spacing w:before="0" w:beforeAutospacing="0" w:after="0" w:afterAutospacing="0" w:line="360" w:lineRule="auto"/>
        <w:ind w:left="708"/>
        <w:jc w:val="both"/>
        <w:rPr>
          <w:rFonts w:ascii="Bookman Old Style" w:hAnsi="Bookman Old Style"/>
          <w:i/>
        </w:rPr>
      </w:pPr>
      <w:r w:rsidRPr="009E4F79">
        <w:rPr>
          <w:rFonts w:ascii="Bookman Old Style" w:hAnsi="Bookman Old Style"/>
          <w:i/>
        </w:rPr>
        <w:t xml:space="preserve">“La presente ley deroga todas las disposiciones que le sean contrarias y rige a partir de su promulgación. Para el caso de desmovilizados colectivos en el marco de acuerdos de paz con el Gobierno nacional, la presente ley se aplicará únicamente a hechos ocurridos con anterioridad a la fecha de su desmovilización”. </w:t>
      </w:r>
    </w:p>
    <w:p w:rsidR="00AD777C" w:rsidRPr="009E4F79" w:rsidRDefault="00AD777C" w:rsidP="00AD777C">
      <w:pPr>
        <w:pStyle w:val="NormalWeb"/>
        <w:spacing w:before="0" w:beforeAutospacing="0" w:after="0" w:afterAutospacing="0" w:line="360" w:lineRule="auto"/>
        <w:jc w:val="both"/>
        <w:rPr>
          <w:rFonts w:ascii="Bookman Old Style" w:hAnsi="Bookman Old Style"/>
          <w:i/>
        </w:rPr>
      </w:pPr>
      <w:r>
        <w:rPr>
          <w:rFonts w:ascii="Bookman Old Style" w:hAnsi="Bookman Old Style"/>
          <w:i/>
        </w:rPr>
        <w:tab/>
        <w:t>(…)</w:t>
      </w:r>
    </w:p>
    <w:p w:rsidR="00AD777C" w:rsidRPr="009E4F79" w:rsidRDefault="00AD777C" w:rsidP="00AD777C">
      <w:pPr>
        <w:spacing w:line="360" w:lineRule="auto"/>
        <w:ind w:left="708"/>
        <w:jc w:val="both"/>
        <w:rPr>
          <w:rFonts w:ascii="Bookman Old Style" w:hAnsi="Bookman Old Style"/>
          <w:i/>
          <w:sz w:val="24"/>
          <w:szCs w:val="24"/>
        </w:rPr>
      </w:pPr>
      <w:r w:rsidRPr="009E4F79">
        <w:rPr>
          <w:rFonts w:ascii="Bookman Old Style" w:hAnsi="Bookman Old Style"/>
          <w:i/>
          <w:sz w:val="24"/>
          <w:szCs w:val="24"/>
        </w:rPr>
        <w:t xml:space="preserve">Por otra parte, su artículo 40 reitera la aplicación inmediata a los casos en trámite, pues estipula que el incidente de reparación integral (artículo 23 original de </w:t>
      </w:r>
      <w:smartTag w:uri="urn:schemas-microsoft-com:office:smarttags" w:element="PersonName">
        <w:smartTagPr>
          <w:attr w:name="ProductID" w:val="la Ley"/>
        </w:smartTagPr>
        <w:r w:rsidRPr="009E4F79">
          <w:rPr>
            <w:rFonts w:ascii="Bookman Old Style" w:hAnsi="Bookman Old Style"/>
            <w:i/>
            <w:sz w:val="24"/>
            <w:szCs w:val="24"/>
          </w:rPr>
          <w:t>la Ley</w:t>
        </w:r>
      </w:smartTag>
      <w:r w:rsidRPr="009E4F79">
        <w:rPr>
          <w:rFonts w:ascii="Bookman Old Style" w:hAnsi="Bookman Old Style"/>
          <w:i/>
          <w:sz w:val="24"/>
          <w:szCs w:val="24"/>
        </w:rPr>
        <w:t xml:space="preserve"> 975 de 2005) ya iniciado habrá de continuar su desarrollo en los términos de la modificación que le introduce el artículo 23 de la ley modificatoria. Así dice la norma en comento: “Los incidentes de reparación integral del proceso penal especial de justicia y paz que hubiesen sido abiertos con anterioridad a la entrada en vigencia de la presente ley, continuarán su desarrollo conforme al procedimiento, alcance y objetivos de lo dispuesto en el incidente de identificación de las afectaciones causadas que contempla e1 artículo 23 de esta ley, el cual modifica el artículo 23 de </w:t>
      </w:r>
      <w:smartTag w:uri="urn:schemas-microsoft-com:office:smarttags" w:element="PersonName">
        <w:smartTagPr>
          <w:attr w:name="ProductID" w:val="la Ley"/>
        </w:smartTagPr>
        <w:r w:rsidRPr="009E4F79">
          <w:rPr>
            <w:rFonts w:ascii="Bookman Old Style" w:hAnsi="Bookman Old Style"/>
            <w:i/>
            <w:sz w:val="24"/>
            <w:szCs w:val="24"/>
          </w:rPr>
          <w:t>la Ley</w:t>
        </w:r>
      </w:smartTag>
      <w:r w:rsidRPr="009E4F79">
        <w:rPr>
          <w:rFonts w:ascii="Bookman Old Style" w:hAnsi="Bookman Old Style"/>
          <w:i/>
          <w:sz w:val="24"/>
          <w:szCs w:val="24"/>
        </w:rPr>
        <w:t xml:space="preserve"> 975 de 2005”. </w:t>
      </w:r>
    </w:p>
    <w:p w:rsidR="00AD777C" w:rsidRPr="009E4F79" w:rsidRDefault="00AD777C" w:rsidP="00AD777C">
      <w:pPr>
        <w:spacing w:line="360" w:lineRule="auto"/>
        <w:jc w:val="both"/>
        <w:rPr>
          <w:rFonts w:ascii="Bookman Old Style" w:hAnsi="Bookman Old Style"/>
          <w:i/>
          <w:sz w:val="24"/>
          <w:szCs w:val="24"/>
        </w:rPr>
      </w:pPr>
    </w:p>
    <w:p w:rsidR="00AD777C" w:rsidRPr="009E4F79" w:rsidRDefault="00AD777C" w:rsidP="00AD777C">
      <w:pPr>
        <w:spacing w:line="360" w:lineRule="auto"/>
        <w:ind w:left="708"/>
        <w:jc w:val="both"/>
        <w:rPr>
          <w:rFonts w:ascii="Bookman Old Style" w:hAnsi="Bookman Old Style"/>
          <w:i/>
          <w:sz w:val="22"/>
          <w:szCs w:val="22"/>
        </w:rPr>
      </w:pPr>
      <w:r w:rsidRPr="009E4F79">
        <w:rPr>
          <w:rFonts w:ascii="Bookman Old Style" w:hAnsi="Bookman Old Style"/>
          <w:i/>
          <w:sz w:val="24"/>
          <w:szCs w:val="24"/>
        </w:rPr>
        <w:t xml:space="preserve">Por lo tanto, insiste </w:t>
      </w:r>
      <w:smartTag w:uri="urn:schemas-microsoft-com:office:smarttags" w:element="PersonName">
        <w:smartTagPr>
          <w:attr w:name="ProductID" w:val="la Corte"/>
        </w:smartTagPr>
        <w:r w:rsidRPr="009E4F79">
          <w:rPr>
            <w:rFonts w:ascii="Bookman Old Style" w:hAnsi="Bookman Old Style"/>
            <w:i/>
            <w:sz w:val="24"/>
            <w:szCs w:val="24"/>
          </w:rPr>
          <w:t>la Corte</w:t>
        </w:r>
      </w:smartTag>
      <w:r w:rsidRPr="009E4F79">
        <w:rPr>
          <w:rFonts w:ascii="Bookman Old Style" w:hAnsi="Bookman Old Style"/>
          <w:i/>
          <w:sz w:val="24"/>
          <w:szCs w:val="24"/>
        </w:rPr>
        <w:t xml:space="preserve">, es bajo los precisos lineamientos de </w:t>
      </w:r>
      <w:smartTag w:uri="urn:schemas-microsoft-com:office:smarttags" w:element="PersonName">
        <w:smartTagPr>
          <w:attr w:name="ProductID" w:val="la Ley"/>
        </w:smartTagPr>
        <w:r w:rsidRPr="009E4F79">
          <w:rPr>
            <w:rFonts w:ascii="Bookman Old Style" w:hAnsi="Bookman Old Style"/>
            <w:i/>
            <w:sz w:val="24"/>
            <w:szCs w:val="24"/>
          </w:rPr>
          <w:t>la Ley</w:t>
        </w:r>
      </w:smartTag>
      <w:r w:rsidRPr="009E4F79">
        <w:rPr>
          <w:rFonts w:ascii="Bookman Old Style" w:hAnsi="Bookman Old Style"/>
          <w:i/>
          <w:sz w:val="24"/>
          <w:szCs w:val="24"/>
        </w:rPr>
        <w:t xml:space="preserve"> 1592 de 2012, cuyos efectos rigen a partir del 3 de diciembre de 2012, y no bajo el esquema procesal originalmente dispuesto en </w:t>
      </w:r>
      <w:smartTag w:uri="urn:schemas-microsoft-com:office:smarttags" w:element="PersonName">
        <w:smartTagPr>
          <w:attr w:name="ProductID" w:val="la Ley"/>
        </w:smartTagPr>
        <w:r w:rsidRPr="009E4F79">
          <w:rPr>
            <w:rFonts w:ascii="Bookman Old Style" w:hAnsi="Bookman Old Style"/>
            <w:i/>
            <w:sz w:val="24"/>
            <w:szCs w:val="24"/>
          </w:rPr>
          <w:t>la Ley</w:t>
        </w:r>
      </w:smartTag>
      <w:r w:rsidRPr="009E4F79">
        <w:rPr>
          <w:rFonts w:ascii="Bookman Old Style" w:hAnsi="Bookman Old Style"/>
          <w:i/>
          <w:sz w:val="24"/>
          <w:szCs w:val="24"/>
        </w:rPr>
        <w:t xml:space="preserve"> 975 de 2005, que la presente actuación habrá de continuar su curso, pues no de otra manera se hará efectiva la intención del legislador de avanzar de manera eficaz en la obtención de los fines del proceso de Justicia y Paz.</w:t>
      </w:r>
      <w:r w:rsidRPr="009E4F79">
        <w:rPr>
          <w:rFonts w:ascii="Bookman Old Style" w:hAnsi="Bookman Old Style"/>
          <w:sz w:val="28"/>
          <w:szCs w:val="28"/>
        </w:rPr>
        <w:t xml:space="preserve"> (CSJ AP. 41035. 29 may. 2013).</w:t>
      </w:r>
    </w:p>
    <w:p w:rsidR="00AD777C" w:rsidRPr="00D00F9C" w:rsidRDefault="00AD777C" w:rsidP="00AD777C">
      <w:pPr>
        <w:spacing w:line="360" w:lineRule="auto"/>
        <w:ind w:right="-187"/>
        <w:jc w:val="both"/>
        <w:rPr>
          <w:rFonts w:ascii="Bookman Old Style" w:hAnsi="Bookman Old Style"/>
          <w:sz w:val="28"/>
          <w:szCs w:val="28"/>
        </w:rPr>
      </w:pPr>
    </w:p>
    <w:p w:rsidR="00AD777C" w:rsidRPr="000D03DB" w:rsidRDefault="00AD777C" w:rsidP="00AD777C">
      <w:pPr>
        <w:spacing w:line="360" w:lineRule="auto"/>
        <w:ind w:right="-187" w:firstLine="709"/>
        <w:jc w:val="both"/>
        <w:rPr>
          <w:rFonts w:ascii="Bookman Old Style" w:hAnsi="Bookman Old Style"/>
          <w:sz w:val="28"/>
          <w:szCs w:val="28"/>
        </w:rPr>
      </w:pPr>
      <w:r w:rsidRPr="00D00F9C">
        <w:rPr>
          <w:rFonts w:ascii="Bookman Old Style" w:hAnsi="Bookman Old Style"/>
          <w:sz w:val="28"/>
          <w:szCs w:val="28"/>
        </w:rPr>
        <w:t>Con fundamento en estas consideraciones la Sala desestima la nulidad deprecada por cuanto no se observa la afectación de derechos de las víctimas</w:t>
      </w:r>
      <w:r>
        <w:rPr>
          <w:rFonts w:ascii="Bookman Old Style" w:hAnsi="Bookman Old Style"/>
          <w:sz w:val="28"/>
          <w:szCs w:val="28"/>
        </w:rPr>
        <w:t>, pregonada en la impugnación, razón por la cual se confirmará el numeral 4º de la sentencia apelada.</w:t>
      </w:r>
    </w:p>
    <w:p w:rsidR="00AD777C" w:rsidRDefault="00AD777C" w:rsidP="00AD777C">
      <w:pPr>
        <w:spacing w:line="360" w:lineRule="auto"/>
        <w:ind w:right="-187"/>
        <w:jc w:val="both"/>
        <w:rPr>
          <w:rFonts w:ascii="Bookman Old Style" w:hAnsi="Bookman Old Style"/>
          <w:sz w:val="28"/>
          <w:szCs w:val="28"/>
        </w:rPr>
      </w:pPr>
    </w:p>
    <w:p w:rsidR="00AD777C" w:rsidRPr="000D03DB"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b/>
          <w:sz w:val="28"/>
          <w:szCs w:val="28"/>
        </w:rPr>
        <w:t>2. Sobre el control de legalidad de los c</w:t>
      </w:r>
      <w:r w:rsidRPr="000D03DB">
        <w:rPr>
          <w:rFonts w:ascii="Bookman Old Style" w:hAnsi="Bookman Old Style"/>
          <w:b/>
          <w:sz w:val="28"/>
          <w:szCs w:val="28"/>
        </w:rPr>
        <w:t>argo</w:t>
      </w:r>
      <w:r>
        <w:rPr>
          <w:rFonts w:ascii="Bookman Old Style" w:hAnsi="Bookman Old Style"/>
          <w:b/>
          <w:sz w:val="28"/>
          <w:szCs w:val="28"/>
        </w:rPr>
        <w:t>s</w:t>
      </w:r>
    </w:p>
    <w:p w:rsidR="00AD777C" w:rsidRDefault="00AD777C" w:rsidP="00AD777C">
      <w:pPr>
        <w:spacing w:line="360" w:lineRule="auto"/>
        <w:ind w:right="-187"/>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 xml:space="preserve">Previo a adentrarse la Corte en el estudio de los hechos sobre los cuales se presentaron reproches en torno de la adecuación típica o la no legalización de algunos de los cargos formulados, resulta oportuno reiterar que la Fiscalía General de la Nación ostenta en el proceso de Justicia y Paz regido por la Ley 975 de 2005, la titularidad de la acción penal; de ahí que no puedan, ni la judicatura ni las demás partes, imputar hechos o cargos que previamente no hayan sido expuestos y discernidos por el ente instructor, y además, confesados y aceptados por los postulados. </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 xml:space="preserve">Sobre el tema, la Sala ha sostenido: </w:t>
      </w:r>
    </w:p>
    <w:p w:rsidR="00AD777C" w:rsidRDefault="00AD777C" w:rsidP="00AD777C">
      <w:pPr>
        <w:spacing w:line="360" w:lineRule="auto"/>
        <w:ind w:firstLine="708"/>
        <w:jc w:val="both"/>
        <w:rPr>
          <w:rFonts w:ascii="Bookman Old Style" w:hAnsi="Bookman Old Style"/>
          <w:sz w:val="28"/>
          <w:szCs w:val="28"/>
        </w:rPr>
      </w:pPr>
    </w:p>
    <w:p w:rsidR="00AD777C" w:rsidRPr="0054683C" w:rsidRDefault="00AD777C" w:rsidP="00AD777C">
      <w:pPr>
        <w:spacing w:line="360" w:lineRule="auto"/>
        <w:ind w:left="708"/>
        <w:jc w:val="both"/>
        <w:rPr>
          <w:rFonts w:ascii="Bookman Old Style" w:hAnsi="Bookman Old Style"/>
          <w:i/>
          <w:sz w:val="24"/>
          <w:szCs w:val="24"/>
          <w:lang w:val="es-ES_tradnl"/>
        </w:rPr>
      </w:pPr>
      <w:r>
        <w:rPr>
          <w:rFonts w:ascii="Bookman Old Style" w:hAnsi="Bookman Old Style"/>
          <w:i/>
          <w:sz w:val="24"/>
          <w:szCs w:val="24"/>
          <w:lang w:val="es-ES_tradnl"/>
        </w:rPr>
        <w:t>(…)</w:t>
      </w:r>
      <w:r w:rsidRPr="0054683C">
        <w:rPr>
          <w:rFonts w:ascii="Bookman Old Style" w:hAnsi="Bookman Old Style"/>
          <w:i/>
          <w:sz w:val="24"/>
          <w:szCs w:val="24"/>
          <w:lang w:val="es-ES_tradnl"/>
        </w:rPr>
        <w:t>La Fiscalía, entonces, es la que presenta los hechos y delitos confesados, sus perpetradores, las víctimas y el sustento probatorio con el cual formulará las imputaciones fáctica y jurídica en cada una de las etapas procesales.</w:t>
      </w:r>
    </w:p>
    <w:p w:rsidR="00AD777C" w:rsidRPr="0054683C" w:rsidRDefault="00AD777C" w:rsidP="00AD777C">
      <w:pPr>
        <w:spacing w:line="360" w:lineRule="auto"/>
        <w:ind w:firstLine="708"/>
        <w:jc w:val="both"/>
        <w:rPr>
          <w:rFonts w:ascii="Bookman Old Style" w:hAnsi="Bookman Old Style"/>
          <w:i/>
          <w:sz w:val="24"/>
          <w:szCs w:val="24"/>
          <w:lang w:val="es-ES_tradnl"/>
        </w:rPr>
      </w:pPr>
    </w:p>
    <w:p w:rsidR="00AD777C" w:rsidRPr="0054683C" w:rsidRDefault="00AD777C" w:rsidP="00AD777C">
      <w:pPr>
        <w:spacing w:line="360" w:lineRule="auto"/>
        <w:ind w:left="708"/>
        <w:jc w:val="both"/>
        <w:rPr>
          <w:rFonts w:ascii="Bookman Old Style" w:hAnsi="Bookman Old Style"/>
          <w:i/>
          <w:sz w:val="24"/>
          <w:szCs w:val="24"/>
          <w:lang w:val="es-ES_tradnl"/>
        </w:rPr>
      </w:pPr>
      <w:r w:rsidRPr="0054683C">
        <w:rPr>
          <w:rFonts w:ascii="Bookman Old Style" w:hAnsi="Bookman Old Style"/>
          <w:i/>
          <w:sz w:val="24"/>
          <w:szCs w:val="24"/>
          <w:lang w:val="es-ES_tradnl"/>
        </w:rPr>
        <w:t>También es, como se dice en el citado proveído, la encargada de distribuir la totalidad de los casos que habrán de reflejarse en las sentencias, calificándolos jurídicamente y seleccionando el orden de su presentación.</w:t>
      </w:r>
    </w:p>
    <w:p w:rsidR="00AD777C" w:rsidRPr="0054683C" w:rsidRDefault="00AD777C" w:rsidP="00AD777C">
      <w:pPr>
        <w:spacing w:line="360" w:lineRule="auto"/>
        <w:ind w:firstLine="708"/>
        <w:jc w:val="both"/>
        <w:rPr>
          <w:rFonts w:ascii="Bookman Old Style" w:hAnsi="Bookman Old Style"/>
          <w:i/>
          <w:sz w:val="24"/>
          <w:szCs w:val="24"/>
          <w:lang w:val="es-ES_tradnl"/>
        </w:rPr>
      </w:pPr>
    </w:p>
    <w:p w:rsidR="00AD777C" w:rsidRPr="0054683C" w:rsidRDefault="00AD777C" w:rsidP="00AD777C">
      <w:pPr>
        <w:spacing w:line="360" w:lineRule="auto"/>
        <w:ind w:left="708"/>
        <w:jc w:val="both"/>
        <w:rPr>
          <w:rFonts w:ascii="Bookman Old Style" w:hAnsi="Bookman Old Style"/>
          <w:i/>
          <w:sz w:val="24"/>
          <w:szCs w:val="24"/>
        </w:rPr>
      </w:pPr>
      <w:r w:rsidRPr="0054683C">
        <w:rPr>
          <w:rFonts w:ascii="Bookman Old Style" w:hAnsi="Bookman Old Style"/>
          <w:i/>
          <w:sz w:val="24"/>
          <w:szCs w:val="24"/>
        </w:rPr>
        <w:t xml:space="preserve">En esa medida, razón tuvo </w:t>
      </w:r>
      <w:smartTag w:uri="urn:schemas-microsoft-com:office:smarttags" w:element="PersonName">
        <w:smartTagPr>
          <w:attr w:name="ProductID" w:val="la Sala"/>
        </w:smartTagPr>
        <w:r w:rsidRPr="0054683C">
          <w:rPr>
            <w:rFonts w:ascii="Bookman Old Style" w:hAnsi="Bookman Old Style"/>
            <w:i/>
            <w:sz w:val="24"/>
            <w:szCs w:val="24"/>
          </w:rPr>
          <w:t>la Sala</w:t>
        </w:r>
      </w:smartTag>
      <w:r w:rsidRPr="0054683C">
        <w:rPr>
          <w:rFonts w:ascii="Bookman Old Style" w:hAnsi="Bookman Old Style"/>
          <w:i/>
          <w:sz w:val="24"/>
          <w:szCs w:val="24"/>
        </w:rPr>
        <w:t xml:space="preserve"> de Conocimiento cuando al ser requerida por el representante de las víctimas para que en el hecho tercero incluyera el homicidio de la menor, respondiera negativamente, con el sólido argumento de que ese episodio delictivo no había sido objeto de incriminación por parte del fiscal de conocimiento, quien, se repite, es el único llamado a determinar qué casos presenta ante el Tribunal de Justicia y Paz.</w:t>
      </w:r>
      <w:r w:rsidRPr="00144B14">
        <w:rPr>
          <w:rFonts w:ascii="Bookman Old Style" w:hAnsi="Bookman Old Style"/>
          <w:sz w:val="28"/>
          <w:szCs w:val="28"/>
        </w:rPr>
        <w:t xml:space="preserve"> </w:t>
      </w:r>
      <w:r>
        <w:rPr>
          <w:rFonts w:ascii="Bookman Old Style" w:hAnsi="Bookman Old Style"/>
          <w:sz w:val="28"/>
          <w:szCs w:val="28"/>
        </w:rPr>
        <w:t>(CSJ. AP. 7 nov. 2012. Radicado 39472).</w:t>
      </w:r>
    </w:p>
    <w:p w:rsidR="00AD777C" w:rsidRDefault="00AD777C" w:rsidP="00AD777C">
      <w:pPr>
        <w:spacing w:line="360" w:lineRule="auto"/>
        <w:jc w:val="both"/>
        <w:rPr>
          <w:rFonts w:ascii="Bookman Old Style" w:hAnsi="Bookman Old Style"/>
          <w:i/>
          <w:sz w:val="24"/>
          <w:szCs w:val="24"/>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Fijado el marco que delimita las facultades de la magistratura para variar las adecuaciones típicas que la Fiscalía realiza una vez traza su plan general del caso que le permite imputar y acusar bajo criterios de priorización, el análisis de la Sala se dirigirá a los puntos que fueron objeto de objeción, con miras a determinar si les asiste razón a los postulantes.</w:t>
      </w:r>
    </w:p>
    <w:p w:rsidR="00AD777C" w:rsidRDefault="00AD777C" w:rsidP="00AD777C">
      <w:pPr>
        <w:spacing w:line="360" w:lineRule="auto"/>
        <w:ind w:left="708"/>
        <w:jc w:val="both"/>
        <w:rPr>
          <w:rFonts w:ascii="Bookman Old Style" w:hAnsi="Bookman Old Style"/>
          <w:sz w:val="28"/>
          <w:szCs w:val="28"/>
        </w:rPr>
      </w:pPr>
    </w:p>
    <w:p w:rsidR="00AD777C" w:rsidRPr="00F51CDE"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b/>
          <w:sz w:val="28"/>
          <w:szCs w:val="28"/>
        </w:rPr>
        <w:t xml:space="preserve">2.1. Sobre la impugnación del apoderado de víctimas </w:t>
      </w:r>
      <w:r w:rsidRPr="00F51CDE">
        <w:rPr>
          <w:rFonts w:ascii="Bookman Old Style" w:hAnsi="Bookman Old Style"/>
          <w:b/>
          <w:sz w:val="28"/>
          <w:szCs w:val="28"/>
        </w:rPr>
        <w:t xml:space="preserve">José Alberto Leguízamo Velásquez </w:t>
      </w:r>
    </w:p>
    <w:p w:rsidR="00AD777C" w:rsidRPr="00F51CDE" w:rsidRDefault="00AD777C" w:rsidP="00AD777C">
      <w:pPr>
        <w:spacing w:line="360" w:lineRule="auto"/>
        <w:ind w:right="-187" w:firstLine="708"/>
        <w:jc w:val="both"/>
        <w:rPr>
          <w:rFonts w:ascii="Bookman Old Style" w:hAnsi="Bookman Old Style"/>
          <w:b/>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Solicita que en la sentencia se reconozca, frente al </w:t>
      </w:r>
      <w:r w:rsidRPr="0017063B">
        <w:rPr>
          <w:rFonts w:ascii="Bookman Old Style" w:hAnsi="Bookman Old Style"/>
          <w:b/>
          <w:sz w:val="28"/>
          <w:szCs w:val="28"/>
        </w:rPr>
        <w:t>hecho</w:t>
      </w:r>
      <w:r>
        <w:rPr>
          <w:rFonts w:ascii="Bookman Old Style" w:hAnsi="Bookman Old Style"/>
          <w:sz w:val="28"/>
          <w:szCs w:val="28"/>
        </w:rPr>
        <w:t xml:space="preserve"> </w:t>
      </w:r>
      <w:r w:rsidRPr="0017063B">
        <w:rPr>
          <w:rFonts w:ascii="Bookman Old Style" w:hAnsi="Bookman Old Style"/>
          <w:b/>
          <w:sz w:val="28"/>
          <w:szCs w:val="28"/>
        </w:rPr>
        <w:t>número 11</w:t>
      </w:r>
      <w:r>
        <w:rPr>
          <w:rFonts w:ascii="Bookman Old Style" w:hAnsi="Bookman Old Style"/>
          <w:b/>
          <w:sz w:val="28"/>
          <w:szCs w:val="28"/>
        </w:rPr>
        <w:t>,</w:t>
      </w:r>
      <w:r>
        <w:rPr>
          <w:rFonts w:ascii="Bookman Old Style" w:hAnsi="Bookman Old Style"/>
          <w:sz w:val="28"/>
          <w:szCs w:val="28"/>
        </w:rPr>
        <w:t xml:space="preserve"> el delito de desplazamiento forzado y el hurto del automotor tipo camioneta y del </w:t>
      </w:r>
      <w:r w:rsidRPr="00B173C9">
        <w:rPr>
          <w:rFonts w:ascii="Bookman Old Style" w:hAnsi="Bookman Old Style"/>
          <w:i/>
          <w:sz w:val="28"/>
          <w:szCs w:val="28"/>
        </w:rPr>
        <w:t>‘SAI</w:t>
      </w:r>
      <w:r>
        <w:rPr>
          <w:rFonts w:ascii="Bookman Old Style" w:hAnsi="Bookman Old Style"/>
          <w:sz w:val="28"/>
          <w:szCs w:val="28"/>
        </w:rPr>
        <w:t xml:space="preserve">’ de propiedad de la familia Villarreal Cadena. </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Verificado el registro técnico de las audiencias de imputación y formulación parcial de cargos</w:t>
      </w:r>
      <w:r>
        <w:rPr>
          <w:rStyle w:val="Refdenotaalpie"/>
          <w:rFonts w:ascii="Bookman Old Style" w:hAnsi="Bookman Old Style"/>
          <w:sz w:val="28"/>
          <w:szCs w:val="28"/>
        </w:rPr>
        <w:footnoteReference w:id="35"/>
      </w:r>
      <w:r>
        <w:rPr>
          <w:rFonts w:ascii="Bookman Old Style" w:hAnsi="Bookman Old Style"/>
          <w:sz w:val="28"/>
          <w:szCs w:val="28"/>
        </w:rPr>
        <w:t>, se establece que los postulados no confesaron y por ende tampoco aceptaron que la organización al margen de la ley a la que pertenecían, tuviera relación alguna con el hurto de la camioneta</w:t>
      </w:r>
      <w:r>
        <w:rPr>
          <w:rStyle w:val="Refdenotaalpie"/>
          <w:rFonts w:ascii="Bookman Old Style" w:hAnsi="Bookman Old Style"/>
          <w:sz w:val="28"/>
          <w:szCs w:val="28"/>
        </w:rPr>
        <w:footnoteReference w:id="36"/>
      </w:r>
      <w:r>
        <w:rPr>
          <w:rFonts w:ascii="Bookman Old Style" w:hAnsi="Bookman Old Style"/>
          <w:sz w:val="28"/>
          <w:szCs w:val="28"/>
        </w:rPr>
        <w:t xml:space="preserve"> de propiedad del señor Diomedes Villarreal Heredia, padre de Diomedes Villarreal Cadena; hecho que ocurrió quince días antes de la muerte de éste y que, en opinión de la familia Villarreal Cadena, sería el móvil para el asesinato de Diomedes hijo, dado que éste se dedicó a indagar sobre quiénes habían cometido el hurto del automotor. Y tampoco reconocen que con posterioridad a la muerte de Diomedes Villarreal Cadena, hubieran amenazado a los padres de éste o a su hermano.</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Motivo suficiente para que la Fiscalía marginara de las formulaciones de imputación los cargos por los delitos de hurto y desplazamiento forzado. Adicionalmente, al ser requerido por el Magistrado de Control de Garantías del Tribunal de Bogotá para que respondiera la inquietud del representante de las víctimas indirectas, el Fiscal delegado informó que no contaba con elementos materiales que vincularan a la organización con estos delitos.</w:t>
      </w:r>
    </w:p>
    <w:p w:rsidR="00AD777C" w:rsidRDefault="00AD777C" w:rsidP="00AD777C">
      <w:pPr>
        <w:spacing w:line="360" w:lineRule="auto"/>
        <w:ind w:right="-187"/>
        <w:jc w:val="both"/>
        <w:rPr>
          <w:rFonts w:ascii="Bookman Old Style" w:hAnsi="Bookman Old Style"/>
          <w:sz w:val="28"/>
          <w:szCs w:val="28"/>
        </w:rPr>
      </w:pPr>
      <w:r>
        <w:rPr>
          <w:rFonts w:ascii="Bookman Old Style" w:hAnsi="Bookman Old Style"/>
          <w:sz w:val="28"/>
          <w:szCs w:val="28"/>
        </w:rPr>
        <w:t xml:space="preserve"> </w:t>
      </w: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De tal forma que no podía el Tribunal </w:t>
      </w:r>
      <w:r w:rsidRPr="000D03DB">
        <w:rPr>
          <w:rFonts w:ascii="Bookman Old Style" w:hAnsi="Bookman Old Style"/>
          <w:i/>
          <w:sz w:val="28"/>
          <w:szCs w:val="28"/>
        </w:rPr>
        <w:t>A quo</w:t>
      </w:r>
      <w:r>
        <w:rPr>
          <w:rFonts w:ascii="Bookman Old Style" w:hAnsi="Bookman Old Style"/>
          <w:sz w:val="28"/>
          <w:szCs w:val="28"/>
        </w:rPr>
        <w:t xml:space="preserve"> legalizar cargos que no fueron confesados, imputados y por los que tampoco se acusó a los postulados, por lo tanto, no se investigaron ni debatieron dentro de este proceso, situación que debió quedarle clara al profesional del derecho que siempre ha representado a las víctimas indirectas de este caso, por cuanto en la audiencia de formulación y aceptación de cargos (29 de junio de 2010 en vigencia de la Ley 975 de 2005), ante idéntico reclamo, el Magistrado con Función de Control de Garantías le recordó:</w:t>
      </w:r>
    </w:p>
    <w:p w:rsidR="00AD777C" w:rsidRDefault="00AD777C" w:rsidP="00AD777C">
      <w:pPr>
        <w:spacing w:line="360" w:lineRule="auto"/>
        <w:ind w:right="-187" w:firstLine="708"/>
        <w:jc w:val="both"/>
        <w:rPr>
          <w:rFonts w:ascii="Bookman Old Style" w:hAnsi="Bookman Old Style"/>
          <w:sz w:val="28"/>
          <w:szCs w:val="28"/>
        </w:rPr>
      </w:pPr>
    </w:p>
    <w:p w:rsidR="00AD777C" w:rsidRPr="00865DE3" w:rsidRDefault="00AD777C" w:rsidP="00AD777C">
      <w:pPr>
        <w:spacing w:line="360" w:lineRule="auto"/>
        <w:ind w:left="708" w:right="-187"/>
        <w:jc w:val="both"/>
        <w:rPr>
          <w:rFonts w:ascii="Bookman Old Style" w:hAnsi="Bookman Old Style"/>
          <w:i/>
          <w:sz w:val="24"/>
          <w:szCs w:val="24"/>
        </w:rPr>
      </w:pPr>
      <w:r>
        <w:rPr>
          <w:rFonts w:ascii="Bookman Old Style" w:hAnsi="Bookman Old Style"/>
          <w:i/>
          <w:sz w:val="24"/>
          <w:szCs w:val="24"/>
          <w:lang w:val="es-CO"/>
        </w:rPr>
        <w:t>«S</w:t>
      </w:r>
      <w:r w:rsidRPr="00865DE3">
        <w:rPr>
          <w:rFonts w:ascii="Bookman Old Style" w:hAnsi="Bookman Old Style"/>
          <w:i/>
          <w:sz w:val="24"/>
          <w:szCs w:val="24"/>
          <w:lang w:val="es-CO"/>
        </w:rPr>
        <w:t>i los desmoviliz</w:t>
      </w:r>
      <w:r>
        <w:rPr>
          <w:rFonts w:ascii="Bookman Old Style" w:hAnsi="Bookman Old Style"/>
          <w:i/>
          <w:sz w:val="24"/>
          <w:szCs w:val="24"/>
          <w:lang w:val="es-CO"/>
        </w:rPr>
        <w:t>ad</w:t>
      </w:r>
      <w:r w:rsidRPr="00865DE3">
        <w:rPr>
          <w:rFonts w:ascii="Bookman Old Style" w:hAnsi="Bookman Old Style"/>
          <w:i/>
          <w:sz w:val="24"/>
          <w:szCs w:val="24"/>
          <w:lang w:val="es-CO"/>
        </w:rPr>
        <w:t xml:space="preserve">os postulados no </w:t>
      </w:r>
      <w:r>
        <w:rPr>
          <w:rFonts w:ascii="Bookman Old Style" w:hAnsi="Bookman Old Style"/>
          <w:i/>
          <w:sz w:val="24"/>
          <w:szCs w:val="24"/>
          <w:lang w:val="es-CO"/>
        </w:rPr>
        <w:t>confesaron el hurto de la camio</w:t>
      </w:r>
      <w:r w:rsidRPr="00865DE3">
        <w:rPr>
          <w:rFonts w:ascii="Bookman Old Style" w:hAnsi="Bookman Old Style"/>
          <w:i/>
          <w:sz w:val="24"/>
          <w:szCs w:val="24"/>
          <w:lang w:val="es-CO"/>
        </w:rPr>
        <w:t>n</w:t>
      </w:r>
      <w:r>
        <w:rPr>
          <w:rFonts w:ascii="Bookman Old Style" w:hAnsi="Bookman Old Style"/>
          <w:i/>
          <w:sz w:val="24"/>
          <w:szCs w:val="24"/>
          <w:lang w:val="es-CO"/>
        </w:rPr>
        <w:t>e</w:t>
      </w:r>
      <w:r w:rsidRPr="00865DE3">
        <w:rPr>
          <w:rFonts w:ascii="Bookman Old Style" w:hAnsi="Bookman Old Style"/>
          <w:i/>
          <w:sz w:val="24"/>
          <w:szCs w:val="24"/>
          <w:lang w:val="es-CO"/>
        </w:rPr>
        <w:t>ta</w:t>
      </w:r>
      <w:r>
        <w:rPr>
          <w:rFonts w:ascii="Bookman Old Style" w:hAnsi="Bookman Old Style"/>
          <w:i/>
          <w:sz w:val="24"/>
          <w:szCs w:val="24"/>
          <w:lang w:val="es-CO"/>
        </w:rPr>
        <w:t>,</w:t>
      </w:r>
      <w:r w:rsidRPr="00865DE3">
        <w:rPr>
          <w:rFonts w:ascii="Bookman Old Style" w:hAnsi="Bookman Old Style"/>
          <w:i/>
          <w:sz w:val="24"/>
          <w:szCs w:val="24"/>
          <w:lang w:val="es-CO"/>
        </w:rPr>
        <w:t xml:space="preserve"> esa situación tiene que ser investigada por la justicia ordinaria como está siendo, es así de sencillo y de llano, sobre eso no hay discusión.</w:t>
      </w:r>
      <w:r>
        <w:rPr>
          <w:rFonts w:ascii="Bookman Old Style" w:hAnsi="Bookman Old Style"/>
          <w:i/>
          <w:sz w:val="24"/>
          <w:szCs w:val="24"/>
          <w:lang w:val="es-CO"/>
        </w:rPr>
        <w:t xml:space="preserve">  Para que aquí se investigue ví</w:t>
      </w:r>
      <w:r w:rsidRPr="00865DE3">
        <w:rPr>
          <w:rFonts w:ascii="Bookman Old Style" w:hAnsi="Bookman Old Style"/>
          <w:i/>
          <w:sz w:val="24"/>
          <w:szCs w:val="24"/>
          <w:lang w:val="es-CO"/>
        </w:rPr>
        <w:t>a proceso de j y p un comportamiento ilícito es necesario</w:t>
      </w:r>
      <w:r>
        <w:rPr>
          <w:rFonts w:ascii="Bookman Old Style" w:hAnsi="Bookman Old Style"/>
          <w:i/>
          <w:sz w:val="24"/>
          <w:szCs w:val="24"/>
          <w:lang w:val="es-CO"/>
        </w:rPr>
        <w:t>,</w:t>
      </w:r>
      <w:r w:rsidRPr="00865DE3">
        <w:rPr>
          <w:rFonts w:ascii="Bookman Old Style" w:hAnsi="Bookman Old Style"/>
          <w:i/>
          <w:sz w:val="24"/>
          <w:szCs w:val="24"/>
          <w:lang w:val="es-CO"/>
        </w:rPr>
        <w:t xml:space="preserve"> condición in</w:t>
      </w:r>
      <w:r>
        <w:rPr>
          <w:rFonts w:ascii="Bookman Old Style" w:hAnsi="Bookman Old Style"/>
          <w:i/>
          <w:sz w:val="24"/>
          <w:szCs w:val="24"/>
          <w:lang w:val="es-CO"/>
        </w:rPr>
        <w:t>dispensable, no hay otra manera</w:t>
      </w:r>
      <w:r w:rsidRPr="00865DE3">
        <w:rPr>
          <w:rFonts w:ascii="Bookman Old Style" w:hAnsi="Bookman Old Style"/>
          <w:i/>
          <w:sz w:val="24"/>
          <w:szCs w:val="24"/>
          <w:lang w:val="es-CO"/>
        </w:rPr>
        <w:t xml:space="preserve"> de así concebirlo, que los desmovilizados postulados lo acepten, lo confiesen y como no lo están confesando p</w:t>
      </w:r>
      <w:r>
        <w:rPr>
          <w:rFonts w:ascii="Bookman Old Style" w:hAnsi="Bookman Old Style"/>
          <w:i/>
          <w:sz w:val="24"/>
          <w:szCs w:val="24"/>
          <w:lang w:val="es-CO"/>
        </w:rPr>
        <w:t>ues entonces eso es objeto de i</w:t>
      </w:r>
      <w:r w:rsidRPr="00865DE3">
        <w:rPr>
          <w:rFonts w:ascii="Bookman Old Style" w:hAnsi="Bookman Old Style"/>
          <w:i/>
          <w:sz w:val="24"/>
          <w:szCs w:val="24"/>
          <w:lang w:val="es-CO"/>
        </w:rPr>
        <w:t>n</w:t>
      </w:r>
      <w:r>
        <w:rPr>
          <w:rFonts w:ascii="Bookman Old Style" w:hAnsi="Bookman Old Style"/>
          <w:i/>
          <w:sz w:val="24"/>
          <w:szCs w:val="24"/>
          <w:lang w:val="es-CO"/>
        </w:rPr>
        <w:t>vestigació</w:t>
      </w:r>
      <w:r w:rsidRPr="00865DE3">
        <w:rPr>
          <w:rFonts w:ascii="Bookman Old Style" w:hAnsi="Bookman Old Style"/>
          <w:i/>
          <w:sz w:val="24"/>
          <w:szCs w:val="24"/>
          <w:lang w:val="es-CO"/>
        </w:rPr>
        <w:t>n por la justicia ordinaria.  Sencillo, Usted allá tendrá las posibil</w:t>
      </w:r>
      <w:r>
        <w:rPr>
          <w:rFonts w:ascii="Bookman Old Style" w:hAnsi="Bookman Old Style"/>
          <w:i/>
          <w:sz w:val="24"/>
          <w:szCs w:val="24"/>
          <w:lang w:val="es-CO"/>
        </w:rPr>
        <w:t>idades</w:t>
      </w:r>
      <w:r w:rsidRPr="00865DE3">
        <w:rPr>
          <w:rFonts w:ascii="Bookman Old Style" w:hAnsi="Bookman Old Style"/>
          <w:i/>
          <w:sz w:val="24"/>
          <w:szCs w:val="24"/>
          <w:lang w:val="es-CO"/>
        </w:rPr>
        <w:t xml:space="preserve"> de convertirse e</w:t>
      </w:r>
      <w:r>
        <w:rPr>
          <w:rFonts w:ascii="Bookman Old Style" w:hAnsi="Bookman Old Style"/>
          <w:i/>
          <w:sz w:val="24"/>
          <w:szCs w:val="24"/>
          <w:lang w:val="es-CO"/>
        </w:rPr>
        <w:t>n parte civil, hacer las gestio</w:t>
      </w:r>
      <w:r w:rsidRPr="00865DE3">
        <w:rPr>
          <w:rFonts w:ascii="Bookman Old Style" w:hAnsi="Bookman Old Style"/>
          <w:i/>
          <w:sz w:val="24"/>
          <w:szCs w:val="24"/>
          <w:lang w:val="es-CO"/>
        </w:rPr>
        <w:t>n</w:t>
      </w:r>
      <w:r>
        <w:rPr>
          <w:rFonts w:ascii="Bookman Old Style" w:hAnsi="Bookman Old Style"/>
          <w:i/>
          <w:sz w:val="24"/>
          <w:szCs w:val="24"/>
          <w:lang w:val="es-CO"/>
        </w:rPr>
        <w:t>e</w:t>
      </w:r>
      <w:r w:rsidRPr="00865DE3">
        <w:rPr>
          <w:rFonts w:ascii="Bookman Old Style" w:hAnsi="Bookman Old Style"/>
          <w:i/>
          <w:sz w:val="24"/>
          <w:szCs w:val="24"/>
          <w:lang w:val="es-CO"/>
        </w:rPr>
        <w:t>s que a bien tenga, recaudar elementos materiales probatorios, i</w:t>
      </w:r>
      <w:r>
        <w:rPr>
          <w:rFonts w:ascii="Bookman Old Style" w:hAnsi="Bookman Old Style"/>
          <w:i/>
          <w:sz w:val="24"/>
          <w:szCs w:val="24"/>
          <w:lang w:val="es-CO"/>
        </w:rPr>
        <w:t>nformación</w:t>
      </w:r>
      <w:r w:rsidRPr="00865DE3">
        <w:rPr>
          <w:rFonts w:ascii="Bookman Old Style" w:hAnsi="Bookman Old Style"/>
          <w:i/>
          <w:sz w:val="24"/>
          <w:szCs w:val="24"/>
          <w:lang w:val="es-CO"/>
        </w:rPr>
        <w:t xml:space="preserve"> rel</w:t>
      </w:r>
      <w:r>
        <w:rPr>
          <w:rFonts w:ascii="Bookman Old Style" w:hAnsi="Bookman Old Style"/>
          <w:i/>
          <w:sz w:val="24"/>
          <w:szCs w:val="24"/>
          <w:lang w:val="es-CO"/>
        </w:rPr>
        <w:t>e</w:t>
      </w:r>
      <w:r w:rsidRPr="00865DE3">
        <w:rPr>
          <w:rFonts w:ascii="Bookman Old Style" w:hAnsi="Bookman Old Style"/>
          <w:i/>
          <w:sz w:val="24"/>
          <w:szCs w:val="24"/>
          <w:lang w:val="es-CO"/>
        </w:rPr>
        <w:t>vante,</w:t>
      </w:r>
      <w:r>
        <w:rPr>
          <w:rFonts w:ascii="Bookman Old Style" w:hAnsi="Bookman Old Style"/>
          <w:i/>
          <w:sz w:val="24"/>
          <w:szCs w:val="24"/>
          <w:lang w:val="es-CO"/>
        </w:rPr>
        <w:t xml:space="preserve"> pruebas, todo lo que</w:t>
      </w:r>
      <w:r w:rsidRPr="00865DE3">
        <w:rPr>
          <w:rFonts w:ascii="Bookman Old Style" w:hAnsi="Bookman Old Style"/>
          <w:i/>
          <w:sz w:val="24"/>
          <w:szCs w:val="24"/>
          <w:lang w:val="es-CO"/>
        </w:rPr>
        <w:t xml:space="preserve"> a bien tenga para demostrar, si es que está con</w:t>
      </w:r>
      <w:r>
        <w:rPr>
          <w:rFonts w:ascii="Bookman Old Style" w:hAnsi="Bookman Old Style"/>
          <w:i/>
          <w:sz w:val="24"/>
          <w:szCs w:val="24"/>
          <w:lang w:val="es-CO"/>
        </w:rPr>
        <w:t xml:space="preserve">vencido de ello.  Por ejemplo, que estas personas son </w:t>
      </w:r>
      <w:r w:rsidRPr="00865DE3">
        <w:rPr>
          <w:rFonts w:ascii="Bookman Old Style" w:hAnsi="Bookman Old Style"/>
          <w:i/>
          <w:sz w:val="24"/>
          <w:szCs w:val="24"/>
          <w:lang w:val="es-CO"/>
        </w:rPr>
        <w:t>l</w:t>
      </w:r>
      <w:r>
        <w:rPr>
          <w:rFonts w:ascii="Bookman Old Style" w:hAnsi="Bookman Old Style"/>
          <w:i/>
          <w:sz w:val="24"/>
          <w:szCs w:val="24"/>
          <w:lang w:val="es-CO"/>
        </w:rPr>
        <w:t>a</w:t>
      </w:r>
      <w:r w:rsidRPr="00865DE3">
        <w:rPr>
          <w:rFonts w:ascii="Bookman Old Style" w:hAnsi="Bookman Old Style"/>
          <w:i/>
          <w:sz w:val="24"/>
          <w:szCs w:val="24"/>
          <w:lang w:val="es-CO"/>
        </w:rPr>
        <w:t xml:space="preserve">s responsables </w:t>
      </w:r>
      <w:r>
        <w:rPr>
          <w:rFonts w:ascii="Bookman Old Style" w:hAnsi="Bookman Old Style"/>
          <w:i/>
          <w:sz w:val="24"/>
          <w:szCs w:val="24"/>
          <w:lang w:val="es-CO"/>
        </w:rPr>
        <w:t>de esos hechos o quienes l</w:t>
      </w:r>
      <w:r w:rsidRPr="00865DE3">
        <w:rPr>
          <w:rFonts w:ascii="Bookman Old Style" w:hAnsi="Bookman Old Style"/>
          <w:i/>
          <w:sz w:val="24"/>
          <w:szCs w:val="24"/>
          <w:lang w:val="es-CO"/>
        </w:rPr>
        <w:t>o sea</w:t>
      </w:r>
      <w:r>
        <w:rPr>
          <w:rFonts w:ascii="Bookman Old Style" w:hAnsi="Bookman Old Style"/>
          <w:i/>
          <w:sz w:val="24"/>
          <w:szCs w:val="24"/>
          <w:lang w:val="es-CO"/>
        </w:rPr>
        <w:t>n, pero</w:t>
      </w:r>
      <w:r w:rsidRPr="00865DE3">
        <w:rPr>
          <w:rFonts w:ascii="Bookman Old Style" w:hAnsi="Bookman Old Style"/>
          <w:i/>
          <w:sz w:val="24"/>
          <w:szCs w:val="24"/>
          <w:lang w:val="es-CO"/>
        </w:rPr>
        <w:t xml:space="preserve"> que quede absolutamente claro, la fiscalía no puede bajo ningún </w:t>
      </w:r>
      <w:r>
        <w:rPr>
          <w:rFonts w:ascii="Bookman Old Style" w:hAnsi="Bookman Old Style"/>
          <w:i/>
          <w:sz w:val="24"/>
          <w:szCs w:val="24"/>
          <w:lang w:val="es-CO"/>
        </w:rPr>
        <w:t>re</w:t>
      </w:r>
      <w:r w:rsidRPr="00865DE3">
        <w:rPr>
          <w:rFonts w:ascii="Bookman Old Style" w:hAnsi="Bookman Old Style"/>
          <w:i/>
          <w:sz w:val="24"/>
          <w:szCs w:val="24"/>
          <w:lang w:val="es-CO"/>
        </w:rPr>
        <w:t>specto, le es impos</w:t>
      </w:r>
      <w:r>
        <w:rPr>
          <w:rFonts w:ascii="Bookman Old Style" w:hAnsi="Bookman Old Style"/>
          <w:i/>
          <w:sz w:val="24"/>
          <w:szCs w:val="24"/>
          <w:lang w:val="es-CO"/>
        </w:rPr>
        <w:t>ible</w:t>
      </w:r>
      <w:r w:rsidRPr="00865DE3">
        <w:rPr>
          <w:rFonts w:ascii="Bookman Old Style" w:hAnsi="Bookman Old Style"/>
          <w:i/>
          <w:sz w:val="24"/>
          <w:szCs w:val="24"/>
          <w:lang w:val="es-CO"/>
        </w:rPr>
        <w:t xml:space="preserve"> jurídicamente, formular imputación y mucho menos, cargos, si los de</w:t>
      </w:r>
      <w:r>
        <w:rPr>
          <w:rFonts w:ascii="Bookman Old Style" w:hAnsi="Bookman Old Style"/>
          <w:i/>
          <w:sz w:val="24"/>
          <w:szCs w:val="24"/>
          <w:lang w:val="es-CO"/>
        </w:rPr>
        <w:t>smovilizados</w:t>
      </w:r>
      <w:r w:rsidRPr="00865DE3">
        <w:rPr>
          <w:rFonts w:ascii="Bookman Old Style" w:hAnsi="Bookman Old Style"/>
          <w:i/>
          <w:sz w:val="24"/>
          <w:szCs w:val="24"/>
          <w:lang w:val="es-CO"/>
        </w:rPr>
        <w:t xml:space="preserve"> no aceptan el hecho.  Las consecuencias nefastas ya </w:t>
      </w:r>
      <w:r>
        <w:rPr>
          <w:rFonts w:ascii="Bookman Old Style" w:hAnsi="Bookman Old Style"/>
          <w:i/>
          <w:sz w:val="24"/>
          <w:szCs w:val="24"/>
          <w:lang w:val="es-CO"/>
        </w:rPr>
        <w:t>a</w:t>
      </w:r>
      <w:r w:rsidRPr="00865DE3">
        <w:rPr>
          <w:rFonts w:ascii="Bookman Old Style" w:hAnsi="Bookman Old Style"/>
          <w:i/>
          <w:sz w:val="24"/>
          <w:szCs w:val="24"/>
          <w:lang w:val="es-CO"/>
        </w:rPr>
        <w:t>dversas sería</w:t>
      </w:r>
      <w:r>
        <w:rPr>
          <w:rFonts w:ascii="Bookman Old Style" w:hAnsi="Bookman Old Style"/>
          <w:i/>
          <w:sz w:val="24"/>
          <w:szCs w:val="24"/>
          <w:lang w:val="es-CO"/>
        </w:rPr>
        <w:t>n</w:t>
      </w:r>
      <w:r w:rsidRPr="00865DE3">
        <w:rPr>
          <w:rFonts w:ascii="Bookman Old Style" w:hAnsi="Bookman Old Style"/>
          <w:i/>
          <w:sz w:val="24"/>
          <w:szCs w:val="24"/>
          <w:lang w:val="es-CO"/>
        </w:rPr>
        <w:t xml:space="preserve"> eventualme</w:t>
      </w:r>
      <w:r>
        <w:rPr>
          <w:rFonts w:ascii="Bookman Old Style" w:hAnsi="Bookman Old Style"/>
          <w:i/>
          <w:sz w:val="24"/>
          <w:szCs w:val="24"/>
          <w:lang w:val="es-CO"/>
        </w:rPr>
        <w:t>nte</w:t>
      </w:r>
      <w:r w:rsidRPr="00865DE3">
        <w:rPr>
          <w:rFonts w:ascii="Bookman Old Style" w:hAnsi="Bookman Old Style"/>
          <w:i/>
          <w:sz w:val="24"/>
          <w:szCs w:val="24"/>
          <w:lang w:val="es-CO"/>
        </w:rPr>
        <w:t xml:space="preserve"> para ellos, en el</w:t>
      </w:r>
      <w:r>
        <w:rPr>
          <w:rFonts w:ascii="Bookman Old Style" w:hAnsi="Bookman Old Style"/>
          <w:i/>
          <w:sz w:val="24"/>
          <w:szCs w:val="24"/>
          <w:lang w:val="es-CO"/>
        </w:rPr>
        <w:t xml:space="preserve"> c</w:t>
      </w:r>
      <w:r w:rsidRPr="00865DE3">
        <w:rPr>
          <w:rFonts w:ascii="Bookman Old Style" w:hAnsi="Bookman Old Style"/>
          <w:i/>
          <w:sz w:val="24"/>
          <w:szCs w:val="24"/>
          <w:lang w:val="es-CO"/>
        </w:rPr>
        <w:t xml:space="preserve">aso que no lo </w:t>
      </w:r>
      <w:r>
        <w:rPr>
          <w:rFonts w:ascii="Bookman Old Style" w:hAnsi="Bookman Old Style"/>
          <w:i/>
          <w:sz w:val="24"/>
          <w:szCs w:val="24"/>
          <w:lang w:val="es-CO"/>
        </w:rPr>
        <w:t>a</w:t>
      </w:r>
      <w:r w:rsidRPr="00865DE3">
        <w:rPr>
          <w:rFonts w:ascii="Bookman Old Style" w:hAnsi="Bookman Old Style"/>
          <w:i/>
          <w:sz w:val="24"/>
          <w:szCs w:val="24"/>
          <w:lang w:val="es-CO"/>
        </w:rPr>
        <w:t>cepten porque se exponen a una pena ordinaria con todas sus consecuenci</w:t>
      </w:r>
      <w:r>
        <w:rPr>
          <w:rFonts w:ascii="Bookman Old Style" w:hAnsi="Bookman Old Style"/>
          <w:i/>
          <w:sz w:val="24"/>
          <w:szCs w:val="24"/>
          <w:lang w:val="es-CO"/>
        </w:rPr>
        <w:t xml:space="preserve">as, pero esa es la situación». </w:t>
      </w:r>
    </w:p>
    <w:p w:rsidR="00AD777C" w:rsidRPr="00865DE3" w:rsidRDefault="00AD777C" w:rsidP="00AD777C">
      <w:pPr>
        <w:spacing w:line="360" w:lineRule="auto"/>
        <w:ind w:right="-187" w:firstLine="708"/>
        <w:jc w:val="both"/>
        <w:rPr>
          <w:rFonts w:ascii="Bookman Old Style" w:hAnsi="Bookman Old Style"/>
          <w:sz w:val="24"/>
          <w:szCs w:val="24"/>
        </w:rPr>
      </w:pPr>
    </w:p>
    <w:p w:rsidR="00AD777C" w:rsidRPr="009643D3"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El mismo escenario</w:t>
      </w:r>
      <w:r w:rsidRPr="009643D3">
        <w:rPr>
          <w:rFonts w:ascii="Bookman Old Style" w:hAnsi="Bookman Old Style"/>
          <w:sz w:val="28"/>
          <w:szCs w:val="28"/>
          <w:lang w:val="es-CO"/>
        </w:rPr>
        <w:t xml:space="preserve"> se presenta con el delito de desplazamiento forzado por el que tampoco se formuló cargos a los imputados, </w:t>
      </w:r>
      <w:r>
        <w:rPr>
          <w:rFonts w:ascii="Bookman Old Style" w:hAnsi="Bookman Old Style"/>
          <w:sz w:val="28"/>
          <w:szCs w:val="28"/>
          <w:lang w:val="es-CO"/>
        </w:rPr>
        <w:t>lo cual explicó el F</w:t>
      </w:r>
      <w:r w:rsidRPr="009643D3">
        <w:rPr>
          <w:rFonts w:ascii="Bookman Old Style" w:hAnsi="Bookman Old Style"/>
          <w:sz w:val="28"/>
          <w:szCs w:val="28"/>
          <w:lang w:val="es-CO"/>
        </w:rPr>
        <w:t>iscal en los siguientes términos:</w:t>
      </w:r>
    </w:p>
    <w:p w:rsidR="00AD777C" w:rsidRPr="009643D3" w:rsidRDefault="00AD777C" w:rsidP="00AD777C">
      <w:pPr>
        <w:spacing w:line="360" w:lineRule="auto"/>
        <w:ind w:firstLine="708"/>
        <w:jc w:val="both"/>
        <w:rPr>
          <w:rFonts w:ascii="Bookman Old Style" w:hAnsi="Bookman Old Style"/>
          <w:sz w:val="28"/>
          <w:szCs w:val="28"/>
          <w:lang w:val="es-CO"/>
        </w:rPr>
      </w:pPr>
    </w:p>
    <w:p w:rsidR="00AD777C" w:rsidRPr="009643D3" w:rsidRDefault="00AD777C" w:rsidP="00AD777C">
      <w:pPr>
        <w:spacing w:line="360" w:lineRule="auto"/>
        <w:ind w:left="708"/>
        <w:jc w:val="both"/>
        <w:rPr>
          <w:rFonts w:ascii="Bookman Old Style" w:hAnsi="Bookman Old Style"/>
          <w:b/>
          <w:i/>
          <w:sz w:val="24"/>
          <w:szCs w:val="24"/>
          <w:lang w:val="es-CO"/>
        </w:rPr>
      </w:pPr>
      <w:r>
        <w:rPr>
          <w:rFonts w:ascii="Bookman Old Style" w:hAnsi="Bookman Old Style"/>
          <w:i/>
          <w:sz w:val="24"/>
          <w:szCs w:val="24"/>
          <w:lang w:val="es-CO"/>
        </w:rPr>
        <w:t>«</w:t>
      </w:r>
      <w:r w:rsidRPr="009643D3">
        <w:rPr>
          <w:rFonts w:ascii="Bookman Old Style" w:hAnsi="Bookman Old Style"/>
          <w:i/>
          <w:sz w:val="24"/>
          <w:szCs w:val="24"/>
          <w:lang w:val="es-CO"/>
        </w:rPr>
        <w:t xml:space="preserve">Señoría estamos en eso y fue lo que manifestó el representante de víctimas, estamos haciendo constatación de la información, convocando a las personas que supuestamente… porque no solamente sería en este evento del hermano del señor Dey Germán que sería un episodio anexo al delito de homicidio, sino estamos confrontando esa información para, una vez establecida, ponerlo en la palestra de los postulados que fungieron allí como parte urbana en el municipio de Puerto López y exponer el tema de desplazamiento en versión de enunciación y en versión de confesión de hechos para que las victimas tengan la oportunidad de saber por qué fue que los desplazaron; quien le hizo los seguimientos; cuál era el móvil y qué objetivo tenía la organización de hacer esos seguimientos. Yo Creo señoría, que el proceso de verdad, todos estamos convencidos de ello, es precisamente hacer esas corroboraciones y estamos en ese trance de hacer esas corroboraciones. </w:t>
      </w:r>
      <w:r w:rsidRPr="009643D3">
        <w:rPr>
          <w:rFonts w:ascii="Bookman Old Style" w:hAnsi="Bookman Old Style"/>
          <w:b/>
          <w:i/>
          <w:sz w:val="24"/>
          <w:szCs w:val="24"/>
          <w:lang w:val="es-CO"/>
        </w:rPr>
        <w:t>Posteriormente, si logramos establecer ya esas informaciones a través de los postulados con las corroboraciones que la misma fiscalía ha decantado, indefectiblemente ante su magistratura elaboraremos las pertinentes solicitudes de imputación y formulación de cargos.</w:t>
      </w:r>
      <w:r>
        <w:rPr>
          <w:rFonts w:ascii="Bookman Old Style" w:hAnsi="Bookman Old Style"/>
          <w:b/>
          <w:i/>
          <w:sz w:val="24"/>
          <w:szCs w:val="24"/>
          <w:lang w:val="es-CO"/>
        </w:rPr>
        <w:t>»</w:t>
      </w:r>
    </w:p>
    <w:p w:rsidR="00AD777C" w:rsidRPr="009643D3" w:rsidRDefault="00AD777C" w:rsidP="00AD777C">
      <w:pPr>
        <w:spacing w:line="360" w:lineRule="auto"/>
        <w:ind w:left="708"/>
        <w:jc w:val="both"/>
        <w:rPr>
          <w:rFonts w:ascii="Bookman Old Style" w:hAnsi="Bookman Old Style"/>
          <w:i/>
          <w:sz w:val="24"/>
          <w:szCs w:val="24"/>
          <w:lang w:val="es-CO"/>
        </w:rPr>
      </w:pPr>
    </w:p>
    <w:p w:rsidR="00AD777C" w:rsidRPr="009643D3" w:rsidRDefault="00AD777C" w:rsidP="00AD777C">
      <w:pPr>
        <w:spacing w:line="360" w:lineRule="auto"/>
        <w:ind w:firstLine="708"/>
        <w:jc w:val="both"/>
        <w:rPr>
          <w:rFonts w:ascii="Bookman Old Style" w:hAnsi="Bookman Old Style"/>
          <w:sz w:val="28"/>
          <w:szCs w:val="28"/>
          <w:lang w:val="es-CO"/>
        </w:rPr>
      </w:pPr>
      <w:r w:rsidRPr="009643D3">
        <w:rPr>
          <w:rFonts w:ascii="Bookman Old Style" w:hAnsi="Bookman Old Style"/>
          <w:sz w:val="28"/>
          <w:szCs w:val="28"/>
          <w:lang w:val="es-CO"/>
        </w:rPr>
        <w:t>Dos años después</w:t>
      </w:r>
      <w:r>
        <w:rPr>
          <w:rStyle w:val="Refdenotaalpie"/>
          <w:rFonts w:ascii="Bookman Old Style" w:hAnsi="Bookman Old Style"/>
          <w:sz w:val="28"/>
          <w:szCs w:val="28"/>
          <w:lang w:val="es-CO"/>
        </w:rPr>
        <w:footnoteReference w:id="37"/>
      </w:r>
      <w:r>
        <w:rPr>
          <w:rFonts w:ascii="Bookman Old Style" w:hAnsi="Bookman Old Style"/>
          <w:sz w:val="28"/>
          <w:szCs w:val="28"/>
          <w:lang w:val="es-CO"/>
        </w:rPr>
        <w:t>,</w:t>
      </w:r>
      <w:r w:rsidRPr="009643D3">
        <w:rPr>
          <w:rFonts w:ascii="Bookman Old Style" w:hAnsi="Bookman Old Style"/>
          <w:sz w:val="28"/>
          <w:szCs w:val="28"/>
          <w:lang w:val="es-CO"/>
        </w:rPr>
        <w:t xml:space="preserve"> durante la audiencia de legalización de cargos, una vez la Fiscalía reiteró la descripción fáctica conocida</w:t>
      </w:r>
      <w:r>
        <w:rPr>
          <w:rFonts w:ascii="Bookman Old Style" w:hAnsi="Bookman Old Style"/>
          <w:sz w:val="28"/>
          <w:szCs w:val="28"/>
          <w:lang w:val="es-CO"/>
        </w:rPr>
        <w:t xml:space="preserve"> en el caso 11,</w:t>
      </w:r>
      <w:r w:rsidRPr="009643D3">
        <w:rPr>
          <w:rFonts w:ascii="Bookman Old Style" w:hAnsi="Bookman Old Style"/>
          <w:sz w:val="28"/>
          <w:szCs w:val="28"/>
          <w:lang w:val="es-CO"/>
        </w:rPr>
        <w:t xml:space="preserve"> el apoderado de las víctimas señaló:</w:t>
      </w:r>
    </w:p>
    <w:p w:rsidR="00AD777C" w:rsidRPr="009643D3" w:rsidRDefault="00AD777C" w:rsidP="00AD777C">
      <w:pPr>
        <w:spacing w:line="360" w:lineRule="auto"/>
        <w:ind w:left="708"/>
        <w:jc w:val="both"/>
        <w:rPr>
          <w:rFonts w:ascii="Bookman Old Style" w:hAnsi="Bookman Old Style"/>
          <w:sz w:val="28"/>
          <w:szCs w:val="28"/>
          <w:lang w:val="es-CO"/>
        </w:rPr>
      </w:pPr>
    </w:p>
    <w:p w:rsidR="00AD777C" w:rsidRPr="00844D4C" w:rsidRDefault="00AD777C" w:rsidP="00AD777C">
      <w:pPr>
        <w:spacing w:line="360" w:lineRule="auto"/>
        <w:ind w:left="708"/>
        <w:jc w:val="both"/>
        <w:rPr>
          <w:rFonts w:ascii="Bookman Old Style" w:hAnsi="Bookman Old Style"/>
          <w:i/>
          <w:sz w:val="24"/>
          <w:szCs w:val="24"/>
          <w:lang w:val="es-CO"/>
        </w:rPr>
      </w:pPr>
      <w:r w:rsidRPr="00844D4C">
        <w:rPr>
          <w:rFonts w:ascii="Bookman Old Style" w:hAnsi="Bookman Old Style"/>
          <w:i/>
          <w:sz w:val="24"/>
          <w:szCs w:val="24"/>
          <w:lang w:val="es-CO"/>
        </w:rPr>
        <w:t xml:space="preserve">Como en este caso se ha reconocido el homicidio por parte del grupo, yo creí que debíamos volver a presentar el caso del hurto para que en la fiscalía se siga investigando además porque hay personas nuevas que van a ingresar como versionados y también pues como estábamos muy cerca de Villavicencio pudo también haber sido otro bloque u otro grupo, es decir, uno no descarta, tampoco es ingenuo pero tampoco se descarta que hayan podido pasar otras cosas, entonces vamos a volver a presentar el hurto del vehículo ya lo hicimos y vamos a presentar… </w:t>
      </w:r>
      <w:r w:rsidRPr="00844D4C">
        <w:rPr>
          <w:rFonts w:ascii="Bookman Old Style" w:hAnsi="Bookman Old Style"/>
          <w:b/>
          <w:i/>
          <w:sz w:val="24"/>
          <w:szCs w:val="24"/>
          <w:lang w:val="es-CO"/>
        </w:rPr>
        <w:t>pues, no se, yo estaba convencido que se iba a presentar el desplazamiento pero veo que solo están presentando el homicidio. En ese caso entonces el desplazamiento también lo dejo para que se presente en posterior oportunidad,</w:t>
      </w:r>
      <w:r w:rsidRPr="00844D4C">
        <w:rPr>
          <w:rFonts w:ascii="Bookman Old Style" w:hAnsi="Bookman Old Style"/>
          <w:i/>
          <w:sz w:val="24"/>
          <w:szCs w:val="24"/>
          <w:lang w:val="es-CO"/>
        </w:rPr>
        <w:t xml:space="preserve"> aunque pienso que sería bueno preguntarles a los postulados presentes si asumirían, si estarían en capacidad de reconocer y asumir el desplazamiento que pudo haber sido como lo mencionó la señora y además, por el hecho de que la situación de peligro fue muy grande, muy inminente y el solo miedo era suficiente para que esa familia se hubiera desplazado... </w:t>
      </w:r>
    </w:p>
    <w:p w:rsidR="00AD777C" w:rsidRPr="00844D4C" w:rsidRDefault="00AD777C" w:rsidP="00AD777C">
      <w:pPr>
        <w:spacing w:line="360" w:lineRule="auto"/>
        <w:ind w:left="708"/>
        <w:jc w:val="both"/>
        <w:rPr>
          <w:rFonts w:ascii="Bookman Old Style" w:hAnsi="Bookman Old Style"/>
          <w:sz w:val="28"/>
          <w:szCs w:val="28"/>
          <w:lang w:val="es-CO"/>
        </w:rPr>
      </w:pPr>
    </w:p>
    <w:p w:rsidR="00AD777C" w:rsidRDefault="00AD777C" w:rsidP="00AD777C">
      <w:pPr>
        <w:spacing w:line="360" w:lineRule="auto"/>
        <w:jc w:val="both"/>
        <w:rPr>
          <w:rFonts w:ascii="Bookman Old Style" w:hAnsi="Bookman Old Style"/>
          <w:sz w:val="28"/>
          <w:szCs w:val="28"/>
          <w:lang w:val="es-CO"/>
        </w:rPr>
      </w:pPr>
      <w:r w:rsidRPr="00844D4C">
        <w:rPr>
          <w:rFonts w:ascii="Bookman Old Style" w:hAnsi="Bookman Old Style"/>
          <w:sz w:val="28"/>
          <w:szCs w:val="28"/>
          <w:lang w:val="es-CO"/>
        </w:rPr>
        <w:tab/>
        <w:t xml:space="preserve">Entonces, no le asiste razón al representante de víctimas, cuando afirma que </w:t>
      </w:r>
      <w:r w:rsidRPr="007E596F">
        <w:rPr>
          <w:rFonts w:ascii="Bookman Old Style" w:hAnsi="Bookman Old Style"/>
          <w:i/>
          <w:sz w:val="24"/>
          <w:szCs w:val="24"/>
          <w:lang w:val="es-CO"/>
        </w:rPr>
        <w:t>«ACHURY también reconoció que quince días antes del homicidio, a los padres de las víctimas, les habían hurtado una camioneta»</w:t>
      </w:r>
      <w:r>
        <w:rPr>
          <w:rStyle w:val="Refdenotaalpie"/>
          <w:rFonts w:ascii="Bookman Old Style" w:hAnsi="Bookman Old Style"/>
          <w:i/>
          <w:sz w:val="24"/>
          <w:szCs w:val="24"/>
          <w:lang w:val="es-CO"/>
        </w:rPr>
        <w:footnoteReference w:id="38"/>
      </w:r>
      <w:r>
        <w:rPr>
          <w:rFonts w:ascii="Bookman Old Style" w:hAnsi="Bookman Old Style"/>
          <w:i/>
          <w:sz w:val="28"/>
          <w:szCs w:val="28"/>
          <w:lang w:val="es-CO"/>
        </w:rPr>
        <w:t xml:space="preserve">, </w:t>
      </w:r>
      <w:r>
        <w:rPr>
          <w:rFonts w:ascii="Bookman Old Style" w:hAnsi="Bookman Old Style"/>
          <w:sz w:val="28"/>
          <w:szCs w:val="28"/>
          <w:lang w:val="es-CO"/>
        </w:rPr>
        <w:t xml:space="preserve">por el contrario, siempre se afirmó que, si bien no se discutía la existencia de un delito de hurto sobre el mencionado vehículo, éste no lo realizó la organización y por lo tanto no lo reconocen como el hecho que originó el homicidio de Diomedes Villarreal Cadena:  </w:t>
      </w:r>
    </w:p>
    <w:p w:rsidR="00AD777C" w:rsidRDefault="00AD777C" w:rsidP="00AD777C">
      <w:pPr>
        <w:spacing w:line="360" w:lineRule="auto"/>
        <w:jc w:val="both"/>
        <w:rPr>
          <w:rFonts w:ascii="Bookman Old Style" w:hAnsi="Bookman Old Style"/>
          <w:sz w:val="28"/>
          <w:szCs w:val="28"/>
          <w:lang w:val="es-CO"/>
        </w:rPr>
      </w:pPr>
    </w:p>
    <w:p w:rsidR="00AD777C" w:rsidRPr="00844D4C" w:rsidRDefault="00AD777C" w:rsidP="00AD777C">
      <w:pPr>
        <w:spacing w:line="360" w:lineRule="auto"/>
        <w:ind w:left="708"/>
        <w:jc w:val="both"/>
        <w:rPr>
          <w:rFonts w:ascii="Bookman Old Style" w:hAnsi="Bookman Old Style"/>
          <w:sz w:val="28"/>
          <w:szCs w:val="28"/>
          <w:lang w:val="es-CO"/>
        </w:rPr>
      </w:pPr>
      <w:r>
        <w:rPr>
          <w:rFonts w:ascii="Bookman Old Style" w:hAnsi="Bookman Old Style"/>
          <w:i/>
          <w:sz w:val="24"/>
          <w:szCs w:val="24"/>
          <w:lang w:val="es-CO"/>
        </w:rPr>
        <w:t>..S</w:t>
      </w:r>
      <w:r w:rsidRPr="007E596F">
        <w:rPr>
          <w:rFonts w:ascii="Bookman Old Style" w:hAnsi="Bookman Old Style"/>
          <w:i/>
          <w:sz w:val="24"/>
          <w:szCs w:val="24"/>
          <w:lang w:val="es-CO"/>
        </w:rPr>
        <w:t>i señor</w:t>
      </w:r>
      <w:r>
        <w:rPr>
          <w:rFonts w:ascii="Bookman Old Style" w:hAnsi="Bookman Old Style"/>
          <w:i/>
          <w:sz w:val="24"/>
          <w:szCs w:val="24"/>
          <w:lang w:val="es-CO"/>
        </w:rPr>
        <w:t>ía,</w:t>
      </w:r>
      <w:r w:rsidRPr="007E596F">
        <w:rPr>
          <w:rFonts w:ascii="Bookman Old Style" w:hAnsi="Bookman Old Style"/>
          <w:i/>
          <w:sz w:val="24"/>
          <w:szCs w:val="24"/>
          <w:lang w:val="es-CO"/>
        </w:rPr>
        <w:t xml:space="preserve"> el hecho no fue reconocido por la organización</w:t>
      </w:r>
      <w:r>
        <w:rPr>
          <w:rFonts w:ascii="Bookman Old Style" w:hAnsi="Bookman Old Style"/>
          <w:i/>
          <w:sz w:val="24"/>
          <w:szCs w:val="24"/>
          <w:lang w:val="es-CO"/>
        </w:rPr>
        <w:t>. Manifiestan  que ellos no tienen nada q</w:t>
      </w:r>
      <w:r w:rsidRPr="007E596F">
        <w:rPr>
          <w:rFonts w:ascii="Bookman Old Style" w:hAnsi="Bookman Old Style"/>
          <w:i/>
          <w:sz w:val="24"/>
          <w:szCs w:val="24"/>
          <w:lang w:val="es-CO"/>
        </w:rPr>
        <w:t>ue ver con el tema, se ha tocado el</w:t>
      </w:r>
      <w:r>
        <w:rPr>
          <w:rFonts w:ascii="Bookman Old Style" w:hAnsi="Bookman Old Style"/>
          <w:i/>
          <w:sz w:val="24"/>
          <w:szCs w:val="24"/>
          <w:lang w:val="es-CO"/>
        </w:rPr>
        <w:t xml:space="preserve"> te</w:t>
      </w:r>
      <w:r w:rsidRPr="007E596F">
        <w:rPr>
          <w:rFonts w:ascii="Bookman Old Style" w:hAnsi="Bookman Old Style"/>
          <w:i/>
          <w:sz w:val="24"/>
          <w:szCs w:val="24"/>
          <w:lang w:val="es-CO"/>
        </w:rPr>
        <w:t xml:space="preserve">ma de desplazamiento pero no fue objeto de imputación estamos adosando elementos de juicio para traerlos eventualmente al proceso y…. lo que ellos han sostenido </w:t>
      </w:r>
      <w:r>
        <w:rPr>
          <w:rFonts w:ascii="Bookman Old Style" w:hAnsi="Bookman Old Style"/>
          <w:i/>
          <w:sz w:val="24"/>
          <w:szCs w:val="24"/>
          <w:lang w:val="es-CO"/>
        </w:rPr>
        <w:t>es que el móvil no era relacion</w:t>
      </w:r>
      <w:r w:rsidRPr="007E596F">
        <w:rPr>
          <w:rFonts w:ascii="Bookman Old Style" w:hAnsi="Bookman Old Style"/>
          <w:i/>
          <w:sz w:val="24"/>
          <w:szCs w:val="24"/>
          <w:lang w:val="es-CO"/>
        </w:rPr>
        <w:t xml:space="preserve">ado con que el señor Dey </w:t>
      </w:r>
      <w:r>
        <w:rPr>
          <w:rFonts w:ascii="Bookman Old Style" w:hAnsi="Bookman Old Style"/>
          <w:i/>
          <w:sz w:val="24"/>
          <w:szCs w:val="24"/>
          <w:lang w:val="es-CO"/>
        </w:rPr>
        <w:t>Germá</w:t>
      </w:r>
      <w:r w:rsidRPr="007E596F">
        <w:rPr>
          <w:rFonts w:ascii="Bookman Old Style" w:hAnsi="Bookman Old Style"/>
          <w:i/>
          <w:sz w:val="24"/>
          <w:szCs w:val="24"/>
          <w:lang w:val="es-CO"/>
        </w:rPr>
        <w:t xml:space="preserve">n </w:t>
      </w:r>
      <w:r>
        <w:rPr>
          <w:rFonts w:ascii="Bookman Old Style" w:hAnsi="Bookman Old Style"/>
          <w:i/>
          <w:sz w:val="24"/>
          <w:szCs w:val="24"/>
          <w:lang w:val="es-CO"/>
        </w:rPr>
        <w:t>estuviera o no bu</w:t>
      </w:r>
      <w:r w:rsidRPr="007E596F">
        <w:rPr>
          <w:rFonts w:ascii="Bookman Old Style" w:hAnsi="Bookman Old Style"/>
          <w:i/>
          <w:sz w:val="24"/>
          <w:szCs w:val="24"/>
          <w:lang w:val="es-CO"/>
        </w:rPr>
        <w:t>s</w:t>
      </w:r>
      <w:r>
        <w:rPr>
          <w:rFonts w:ascii="Bookman Old Style" w:hAnsi="Bookman Old Style"/>
          <w:i/>
          <w:sz w:val="24"/>
          <w:szCs w:val="24"/>
          <w:lang w:val="es-CO"/>
        </w:rPr>
        <w:t>c</w:t>
      </w:r>
      <w:r w:rsidRPr="007E596F">
        <w:rPr>
          <w:rFonts w:ascii="Bookman Old Style" w:hAnsi="Bookman Old Style"/>
          <w:i/>
          <w:sz w:val="24"/>
          <w:szCs w:val="24"/>
          <w:lang w:val="es-CO"/>
        </w:rPr>
        <w:t>ando la</w:t>
      </w:r>
      <w:r>
        <w:rPr>
          <w:rFonts w:ascii="Bookman Old Style" w:hAnsi="Bookman Old Style"/>
          <w:i/>
          <w:sz w:val="24"/>
          <w:szCs w:val="24"/>
          <w:lang w:val="es-CO"/>
        </w:rPr>
        <w:t xml:space="preserve"> c</w:t>
      </w:r>
      <w:r w:rsidRPr="007E596F">
        <w:rPr>
          <w:rFonts w:ascii="Bookman Old Style" w:hAnsi="Bookman Old Style"/>
          <w:i/>
          <w:sz w:val="24"/>
          <w:szCs w:val="24"/>
          <w:lang w:val="es-CO"/>
        </w:rPr>
        <w:t>amion</w:t>
      </w:r>
      <w:r>
        <w:rPr>
          <w:rFonts w:ascii="Bookman Old Style" w:hAnsi="Bookman Old Style"/>
          <w:i/>
          <w:sz w:val="24"/>
          <w:szCs w:val="24"/>
          <w:lang w:val="es-CO"/>
        </w:rPr>
        <w:t>e</w:t>
      </w:r>
      <w:r w:rsidRPr="007E596F">
        <w:rPr>
          <w:rFonts w:ascii="Bookman Old Style" w:hAnsi="Bookman Old Style"/>
          <w:i/>
          <w:sz w:val="24"/>
          <w:szCs w:val="24"/>
          <w:lang w:val="es-CO"/>
        </w:rPr>
        <w:t>ta sino p</w:t>
      </w:r>
      <w:r>
        <w:rPr>
          <w:rFonts w:ascii="Bookman Old Style" w:hAnsi="Bookman Old Style"/>
          <w:i/>
          <w:sz w:val="24"/>
          <w:szCs w:val="24"/>
          <w:lang w:val="es-CO"/>
        </w:rPr>
        <w:t>orque se le ado</w:t>
      </w:r>
      <w:r w:rsidRPr="007E596F">
        <w:rPr>
          <w:rFonts w:ascii="Bookman Old Style" w:hAnsi="Bookman Old Style"/>
          <w:i/>
          <w:sz w:val="24"/>
          <w:szCs w:val="24"/>
          <w:lang w:val="es-CO"/>
        </w:rPr>
        <w:t>saban unas condu</w:t>
      </w:r>
      <w:r>
        <w:rPr>
          <w:rFonts w:ascii="Bookman Old Style" w:hAnsi="Bookman Old Style"/>
          <w:i/>
          <w:sz w:val="24"/>
          <w:szCs w:val="24"/>
          <w:lang w:val="es-CO"/>
        </w:rPr>
        <w:t>c</w:t>
      </w:r>
      <w:r w:rsidRPr="007E596F">
        <w:rPr>
          <w:rFonts w:ascii="Bookman Old Style" w:hAnsi="Bookman Old Style"/>
          <w:i/>
          <w:sz w:val="24"/>
          <w:szCs w:val="24"/>
          <w:lang w:val="es-CO"/>
        </w:rPr>
        <w:t>ta</w:t>
      </w:r>
      <w:r>
        <w:rPr>
          <w:rFonts w:ascii="Bookman Old Style" w:hAnsi="Bookman Old Style"/>
          <w:i/>
          <w:sz w:val="24"/>
          <w:szCs w:val="24"/>
          <w:lang w:val="es-CO"/>
        </w:rPr>
        <w:t>s</w:t>
      </w:r>
      <w:r w:rsidRPr="007E596F">
        <w:rPr>
          <w:rFonts w:ascii="Bookman Old Style" w:hAnsi="Bookman Old Style"/>
          <w:i/>
          <w:sz w:val="24"/>
          <w:szCs w:val="24"/>
          <w:lang w:val="es-CO"/>
        </w:rPr>
        <w:t xml:space="preserve"> ilícitas </w:t>
      </w:r>
      <w:r>
        <w:rPr>
          <w:rFonts w:ascii="Bookman Old Style" w:hAnsi="Bookman Old Style"/>
          <w:i/>
          <w:sz w:val="24"/>
          <w:szCs w:val="24"/>
          <w:lang w:val="es-CO"/>
        </w:rPr>
        <w:t>cuando él las cometió.</w:t>
      </w:r>
      <w:r>
        <w:rPr>
          <w:rStyle w:val="Refdenotaalpie"/>
          <w:rFonts w:ascii="Bookman Old Style" w:hAnsi="Bookman Old Style"/>
          <w:i/>
          <w:sz w:val="24"/>
          <w:szCs w:val="24"/>
          <w:lang w:val="es-CO"/>
        </w:rPr>
        <w:footnoteReference w:id="39"/>
      </w:r>
    </w:p>
    <w:p w:rsidR="00AD777C" w:rsidRPr="005B037B" w:rsidRDefault="00AD777C" w:rsidP="00AD777C">
      <w:pPr>
        <w:spacing w:line="360" w:lineRule="auto"/>
        <w:ind w:left="708"/>
        <w:jc w:val="both"/>
        <w:rPr>
          <w:rFonts w:ascii="Bookman Old Style" w:hAnsi="Bookman Old Style"/>
          <w:i/>
          <w:sz w:val="28"/>
          <w:szCs w:val="28"/>
          <w:lang w:val="es-CO"/>
        </w:rPr>
      </w:pPr>
    </w:p>
    <w:p w:rsidR="00AD777C" w:rsidRPr="005B037B" w:rsidRDefault="00AD777C" w:rsidP="00AD777C">
      <w:pPr>
        <w:spacing w:line="360" w:lineRule="auto"/>
        <w:jc w:val="both"/>
        <w:rPr>
          <w:rFonts w:ascii="Bookman Old Style" w:hAnsi="Bookman Old Style"/>
          <w:sz w:val="28"/>
          <w:szCs w:val="28"/>
          <w:lang w:val="es-CO"/>
        </w:rPr>
      </w:pPr>
      <w:r w:rsidRPr="005B037B">
        <w:rPr>
          <w:rFonts w:ascii="Bookman Old Style" w:hAnsi="Bookman Old Style"/>
          <w:sz w:val="28"/>
          <w:szCs w:val="28"/>
          <w:lang w:val="es-CO"/>
        </w:rPr>
        <w:tab/>
        <w:t>Por lo expuesto, se negará la pretensión del abog</w:t>
      </w:r>
      <w:r>
        <w:rPr>
          <w:rFonts w:ascii="Bookman Old Style" w:hAnsi="Bookman Old Style"/>
          <w:sz w:val="28"/>
          <w:szCs w:val="28"/>
          <w:lang w:val="es-CO"/>
        </w:rPr>
        <w:t>a</w:t>
      </w:r>
      <w:r w:rsidRPr="005B037B">
        <w:rPr>
          <w:rFonts w:ascii="Bookman Old Style" w:hAnsi="Bookman Old Style"/>
          <w:sz w:val="28"/>
          <w:szCs w:val="28"/>
          <w:lang w:val="es-CO"/>
        </w:rPr>
        <w:t>do de legalizar los delitos de hurto y desplazamiento forzado</w:t>
      </w:r>
      <w:r>
        <w:rPr>
          <w:rFonts w:ascii="Bookman Old Style" w:hAnsi="Bookman Old Style"/>
          <w:sz w:val="28"/>
          <w:szCs w:val="28"/>
          <w:lang w:val="es-CO"/>
        </w:rPr>
        <w:t xml:space="preserve"> en los </w:t>
      </w:r>
      <w:r w:rsidRPr="001F60F6">
        <w:rPr>
          <w:rFonts w:ascii="Bookman Old Style" w:hAnsi="Bookman Old Style"/>
          <w:b/>
          <w:sz w:val="28"/>
          <w:szCs w:val="28"/>
          <w:lang w:val="es-CO"/>
        </w:rPr>
        <w:t xml:space="preserve">hechos </w:t>
      </w:r>
      <w:r w:rsidRPr="00F27589">
        <w:rPr>
          <w:rFonts w:ascii="Bookman Old Style" w:hAnsi="Bookman Old Style"/>
          <w:sz w:val="28"/>
          <w:szCs w:val="28"/>
          <w:lang w:val="es-CO"/>
        </w:rPr>
        <w:t xml:space="preserve">rotulados bajo </w:t>
      </w:r>
      <w:r>
        <w:rPr>
          <w:rFonts w:ascii="Bookman Old Style" w:hAnsi="Bookman Old Style"/>
          <w:b/>
          <w:sz w:val="28"/>
          <w:szCs w:val="28"/>
          <w:lang w:val="es-CO"/>
        </w:rPr>
        <w:t xml:space="preserve">el No. </w:t>
      </w:r>
      <w:r w:rsidRPr="001F60F6">
        <w:rPr>
          <w:rFonts w:ascii="Bookman Old Style" w:hAnsi="Bookman Old Style"/>
          <w:b/>
          <w:sz w:val="28"/>
          <w:szCs w:val="28"/>
          <w:lang w:val="es-CO"/>
        </w:rPr>
        <w:t>11</w:t>
      </w:r>
      <w:r>
        <w:rPr>
          <w:rFonts w:ascii="Bookman Old Style" w:hAnsi="Bookman Old Style"/>
          <w:b/>
          <w:sz w:val="28"/>
          <w:szCs w:val="28"/>
          <w:lang w:val="es-CO"/>
        </w:rPr>
        <w:t>.</w:t>
      </w:r>
    </w:p>
    <w:p w:rsidR="00AD777C" w:rsidRPr="005B037B"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Diversa situación se presenta con los </w:t>
      </w:r>
      <w:r w:rsidRPr="001F60F6">
        <w:rPr>
          <w:rFonts w:ascii="Bookman Old Style" w:hAnsi="Bookman Old Style"/>
          <w:b/>
          <w:sz w:val="28"/>
          <w:szCs w:val="28"/>
        </w:rPr>
        <w:t>hechos 50,</w:t>
      </w:r>
      <w:r>
        <w:rPr>
          <w:rFonts w:ascii="Bookman Old Style" w:hAnsi="Bookman Old Style"/>
          <w:sz w:val="28"/>
          <w:szCs w:val="28"/>
        </w:rPr>
        <w:t xml:space="preserve"> expuestos en conjunto con los </w:t>
      </w:r>
      <w:r w:rsidRPr="00F27589">
        <w:rPr>
          <w:rFonts w:ascii="Bookman Old Style" w:hAnsi="Bookman Old Style"/>
          <w:b/>
          <w:sz w:val="28"/>
          <w:szCs w:val="28"/>
        </w:rPr>
        <w:t>Nos.</w:t>
      </w:r>
      <w:r>
        <w:rPr>
          <w:rFonts w:ascii="Bookman Old Style" w:hAnsi="Bookman Old Style"/>
          <w:sz w:val="28"/>
          <w:szCs w:val="28"/>
        </w:rPr>
        <w:t xml:space="preserve"> </w:t>
      </w:r>
      <w:r w:rsidRPr="001F60F6">
        <w:rPr>
          <w:rFonts w:ascii="Bookman Old Style" w:hAnsi="Bookman Old Style"/>
          <w:b/>
          <w:sz w:val="28"/>
          <w:szCs w:val="28"/>
        </w:rPr>
        <w:t>46 a 54</w:t>
      </w:r>
      <w:r>
        <w:rPr>
          <w:rFonts w:ascii="Bookman Old Style" w:hAnsi="Bookman Old Style"/>
          <w:sz w:val="28"/>
          <w:szCs w:val="28"/>
        </w:rPr>
        <w:t xml:space="preserve"> y que se relaciona con los ocurridos el 3 de mayo de 1999 en la inspección de San Teodoro, jurisdicción del municipio La Primavera del Departamento de Vichada, en el que el representante de las víctimas solicita que se reconozca, </w:t>
      </w:r>
      <w:r w:rsidRPr="006A0469">
        <w:rPr>
          <w:rFonts w:ascii="Bookman Old Style" w:hAnsi="Bookman Old Style"/>
          <w:i/>
          <w:sz w:val="24"/>
          <w:szCs w:val="24"/>
        </w:rPr>
        <w:t>«además del delito de desplazamiento forzado, el punible de hurto de una motocicleta, un lote de terreno y la vivienda donde residía la familia PONARE HERRENUMA».</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La descripción fáctica por la cual se formuló acusación en contra de JOSÉ BALDOMERO LINARES y RAFAEL SALGADO MERCHÁN, fue narrada así por la Fiscalía</w:t>
      </w:r>
      <w:r>
        <w:rPr>
          <w:rStyle w:val="Refdenotaalpie"/>
          <w:rFonts w:ascii="Bookman Old Style" w:hAnsi="Bookman Old Style"/>
          <w:sz w:val="28"/>
          <w:szCs w:val="28"/>
        </w:rPr>
        <w:footnoteReference w:id="40"/>
      </w:r>
      <w:r>
        <w:rPr>
          <w:rFonts w:ascii="Bookman Old Style" w:hAnsi="Bookman Old Style"/>
          <w:sz w:val="28"/>
          <w:szCs w:val="28"/>
        </w:rPr>
        <w:t xml:space="preserve">: </w:t>
      </w:r>
    </w:p>
    <w:p w:rsidR="00AD777C" w:rsidRPr="006A0469" w:rsidRDefault="00AD777C" w:rsidP="00AD777C">
      <w:pPr>
        <w:spacing w:line="360" w:lineRule="auto"/>
        <w:ind w:right="-187" w:firstLine="708"/>
        <w:jc w:val="both"/>
        <w:rPr>
          <w:rFonts w:ascii="Bookman Old Style" w:hAnsi="Bookman Old Style"/>
          <w:i/>
          <w:sz w:val="24"/>
          <w:szCs w:val="24"/>
        </w:rPr>
      </w:pPr>
    </w:p>
    <w:p w:rsidR="00AD777C" w:rsidRDefault="00AD777C" w:rsidP="00AD777C">
      <w:pPr>
        <w:spacing w:line="360" w:lineRule="auto"/>
        <w:ind w:left="708"/>
        <w:jc w:val="both"/>
        <w:rPr>
          <w:rFonts w:ascii="Bookman Old Style" w:hAnsi="Bookman Old Style"/>
          <w:i/>
          <w:sz w:val="24"/>
          <w:szCs w:val="24"/>
          <w:lang w:val="es-CO"/>
        </w:rPr>
      </w:pPr>
      <w:r w:rsidRPr="006A0469">
        <w:rPr>
          <w:rFonts w:ascii="Bookman Old Style" w:hAnsi="Bookman Old Style"/>
          <w:i/>
          <w:sz w:val="24"/>
          <w:szCs w:val="24"/>
          <w:lang w:val="es-CO"/>
        </w:rPr>
        <w:t xml:space="preserve">El 3 de mayo de 1999 en San Teodoro </w:t>
      </w:r>
      <w:r>
        <w:rPr>
          <w:rFonts w:ascii="Bookman Old Style" w:hAnsi="Bookman Old Style"/>
          <w:i/>
          <w:sz w:val="24"/>
          <w:szCs w:val="24"/>
          <w:lang w:val="es-CO"/>
        </w:rPr>
        <w:t>–</w:t>
      </w:r>
      <w:r w:rsidRPr="006A0469">
        <w:rPr>
          <w:rFonts w:ascii="Bookman Old Style" w:hAnsi="Bookman Old Style"/>
          <w:i/>
          <w:sz w:val="24"/>
          <w:szCs w:val="24"/>
          <w:lang w:val="es-CO"/>
        </w:rPr>
        <w:t>Vichada</w:t>
      </w:r>
      <w:r>
        <w:rPr>
          <w:rFonts w:ascii="Bookman Old Style" w:hAnsi="Bookman Old Style"/>
          <w:i/>
          <w:sz w:val="24"/>
          <w:szCs w:val="24"/>
          <w:lang w:val="es-CO"/>
        </w:rPr>
        <w:t>-.</w:t>
      </w:r>
      <w:r w:rsidRPr="006A0469">
        <w:rPr>
          <w:rFonts w:ascii="Bookman Old Style" w:hAnsi="Bookman Old Style"/>
          <w:i/>
          <w:sz w:val="24"/>
          <w:szCs w:val="24"/>
          <w:lang w:val="es-CO"/>
        </w:rPr>
        <w:t xml:space="preserve"> La información es que sobre el medio día a la inspección de San Teodoro del </w:t>
      </w:r>
      <w:r>
        <w:rPr>
          <w:rFonts w:ascii="Bookman Old Style" w:hAnsi="Bookman Old Style"/>
          <w:i/>
          <w:sz w:val="24"/>
          <w:szCs w:val="24"/>
          <w:lang w:val="es-CO"/>
        </w:rPr>
        <w:t>municipio la P</w:t>
      </w:r>
      <w:r w:rsidRPr="006A0469">
        <w:rPr>
          <w:rFonts w:ascii="Bookman Old Style" w:hAnsi="Bookman Old Style"/>
          <w:i/>
          <w:sz w:val="24"/>
          <w:szCs w:val="24"/>
          <w:lang w:val="es-CO"/>
        </w:rPr>
        <w:t xml:space="preserve">rimavera del </w:t>
      </w:r>
      <w:r>
        <w:rPr>
          <w:rFonts w:ascii="Bookman Old Style" w:hAnsi="Bookman Old Style"/>
          <w:i/>
          <w:sz w:val="24"/>
          <w:szCs w:val="24"/>
          <w:lang w:val="es-CO"/>
        </w:rPr>
        <w:t>departamento d</w:t>
      </w:r>
      <w:r w:rsidRPr="006A0469">
        <w:rPr>
          <w:rFonts w:ascii="Bookman Old Style" w:hAnsi="Bookman Old Style"/>
          <w:i/>
          <w:sz w:val="24"/>
          <w:szCs w:val="24"/>
          <w:lang w:val="es-CO"/>
        </w:rPr>
        <w:t xml:space="preserve">e </w:t>
      </w:r>
      <w:r>
        <w:rPr>
          <w:rFonts w:ascii="Bookman Old Style" w:hAnsi="Bookman Old Style"/>
          <w:i/>
          <w:sz w:val="24"/>
          <w:szCs w:val="24"/>
          <w:lang w:val="es-CO"/>
        </w:rPr>
        <w:t>V</w:t>
      </w:r>
      <w:r w:rsidRPr="006A0469">
        <w:rPr>
          <w:rFonts w:ascii="Bookman Old Style" w:hAnsi="Bookman Old Style"/>
          <w:i/>
          <w:sz w:val="24"/>
          <w:szCs w:val="24"/>
          <w:lang w:val="es-CO"/>
        </w:rPr>
        <w:t>ichada es atacada por varios sujetos armados vestidos con uniforme verde, al parecer militar</w:t>
      </w:r>
      <w:r>
        <w:rPr>
          <w:rFonts w:ascii="Bookman Old Style" w:hAnsi="Bookman Old Style"/>
          <w:i/>
          <w:sz w:val="24"/>
          <w:szCs w:val="24"/>
          <w:lang w:val="es-CO"/>
        </w:rPr>
        <w:t>. Traían armas como 60, fusiles</w:t>
      </w:r>
      <w:r w:rsidRPr="006A0469">
        <w:rPr>
          <w:rFonts w:ascii="Bookman Old Style" w:hAnsi="Bookman Old Style"/>
          <w:i/>
          <w:sz w:val="24"/>
          <w:szCs w:val="24"/>
          <w:lang w:val="es-CO"/>
        </w:rPr>
        <w:t xml:space="preserve"> y otros que rodeaban</w:t>
      </w:r>
      <w:r>
        <w:rPr>
          <w:rFonts w:ascii="Bookman Old Style" w:hAnsi="Bookman Old Style"/>
          <w:i/>
          <w:sz w:val="24"/>
          <w:szCs w:val="24"/>
          <w:lang w:val="es-CO"/>
        </w:rPr>
        <w:t xml:space="preserve"> </w:t>
      </w:r>
      <w:r w:rsidRPr="00E41426">
        <w:rPr>
          <w:rFonts w:ascii="Bookman Old Style" w:hAnsi="Bookman Old Style"/>
          <w:sz w:val="28"/>
          <w:szCs w:val="28"/>
          <w:lang w:val="es-CO"/>
        </w:rPr>
        <w:t>(sic)</w:t>
      </w:r>
      <w:r w:rsidRPr="006A0469">
        <w:rPr>
          <w:rFonts w:ascii="Bookman Old Style" w:hAnsi="Bookman Old Style"/>
          <w:i/>
          <w:sz w:val="24"/>
          <w:szCs w:val="24"/>
          <w:lang w:val="es-CO"/>
        </w:rPr>
        <w:t xml:space="preserve"> en camion</w:t>
      </w:r>
      <w:r>
        <w:rPr>
          <w:rFonts w:ascii="Bookman Old Style" w:hAnsi="Bookman Old Style"/>
          <w:i/>
          <w:sz w:val="24"/>
          <w:szCs w:val="24"/>
          <w:lang w:val="es-CO"/>
        </w:rPr>
        <w:t>etas,</w:t>
      </w:r>
      <w:r w:rsidRPr="006A0469">
        <w:rPr>
          <w:rFonts w:ascii="Bookman Old Style" w:hAnsi="Bookman Old Style"/>
          <w:i/>
          <w:sz w:val="24"/>
          <w:szCs w:val="24"/>
          <w:lang w:val="es-CO"/>
        </w:rPr>
        <w:t xml:space="preserve"> volquetas</w:t>
      </w:r>
      <w:r>
        <w:rPr>
          <w:rFonts w:ascii="Bookman Old Style" w:hAnsi="Bookman Old Style"/>
          <w:i/>
          <w:sz w:val="24"/>
          <w:szCs w:val="24"/>
          <w:lang w:val="es-CO"/>
        </w:rPr>
        <w:t>,</w:t>
      </w:r>
      <w:r w:rsidRPr="006A0469">
        <w:rPr>
          <w:rFonts w:ascii="Bookman Old Style" w:hAnsi="Bookman Old Style"/>
          <w:i/>
          <w:sz w:val="24"/>
          <w:szCs w:val="24"/>
          <w:lang w:val="es-CO"/>
        </w:rPr>
        <w:t xml:space="preserve"> motocicletas que rodean la población civil y los encie</w:t>
      </w:r>
      <w:r>
        <w:rPr>
          <w:rFonts w:ascii="Bookman Old Style" w:hAnsi="Bookman Old Style"/>
          <w:i/>
          <w:sz w:val="24"/>
          <w:szCs w:val="24"/>
          <w:lang w:val="es-CO"/>
        </w:rPr>
        <w:t>r</w:t>
      </w:r>
      <w:r w:rsidRPr="006A0469">
        <w:rPr>
          <w:rFonts w:ascii="Bookman Old Style" w:hAnsi="Bookman Old Style"/>
          <w:i/>
          <w:sz w:val="24"/>
          <w:szCs w:val="24"/>
          <w:lang w:val="es-CO"/>
        </w:rPr>
        <w:t xml:space="preserve">ran </w:t>
      </w:r>
      <w:r>
        <w:rPr>
          <w:rFonts w:ascii="Bookman Old Style" w:hAnsi="Bookman Old Style"/>
          <w:i/>
          <w:sz w:val="24"/>
          <w:szCs w:val="24"/>
          <w:lang w:val="es-CO"/>
        </w:rPr>
        <w:t>en u</w:t>
      </w:r>
      <w:r w:rsidRPr="006A0469">
        <w:rPr>
          <w:rFonts w:ascii="Bookman Old Style" w:hAnsi="Bookman Old Style"/>
          <w:i/>
          <w:sz w:val="24"/>
          <w:szCs w:val="24"/>
          <w:lang w:val="es-CO"/>
        </w:rPr>
        <w:t>n kiosco</w:t>
      </w:r>
      <w:r>
        <w:rPr>
          <w:rFonts w:ascii="Bookman Old Style" w:hAnsi="Bookman Old Style"/>
          <w:i/>
          <w:sz w:val="24"/>
          <w:szCs w:val="24"/>
          <w:lang w:val="es-CO"/>
        </w:rPr>
        <w:t>. En</w:t>
      </w:r>
      <w:r w:rsidRPr="006A0469">
        <w:rPr>
          <w:rFonts w:ascii="Bookman Old Style" w:hAnsi="Bookman Old Style"/>
          <w:i/>
          <w:sz w:val="24"/>
          <w:szCs w:val="24"/>
          <w:lang w:val="es-CO"/>
        </w:rPr>
        <w:t xml:space="preserve"> esa incursión accionan sus armas de fuego en contra de dos mil</w:t>
      </w:r>
      <w:r>
        <w:rPr>
          <w:rFonts w:ascii="Bookman Old Style" w:hAnsi="Bookman Old Style"/>
          <w:i/>
          <w:sz w:val="24"/>
          <w:szCs w:val="24"/>
          <w:lang w:val="es-CO"/>
        </w:rPr>
        <w:t>itantes</w:t>
      </w:r>
      <w:r w:rsidRPr="006A0469">
        <w:rPr>
          <w:rFonts w:ascii="Bookman Old Style" w:hAnsi="Bookman Old Style"/>
          <w:i/>
          <w:sz w:val="24"/>
          <w:szCs w:val="24"/>
          <w:lang w:val="es-CO"/>
        </w:rPr>
        <w:t xml:space="preserve"> de la guerrilla y según los pobladores a quienes se movían con ligereza. Algunos de los habitantes procedieron a salir corr</w:t>
      </w:r>
      <w:r>
        <w:rPr>
          <w:rFonts w:ascii="Bookman Old Style" w:hAnsi="Bookman Old Style"/>
          <w:i/>
          <w:sz w:val="24"/>
          <w:szCs w:val="24"/>
          <w:lang w:val="es-CO"/>
        </w:rPr>
        <w:t>iendo para refugiarse, además</w:t>
      </w:r>
      <w:r w:rsidRPr="006A0469">
        <w:rPr>
          <w:rFonts w:ascii="Bookman Old Style" w:hAnsi="Bookman Old Style"/>
          <w:i/>
          <w:sz w:val="24"/>
          <w:szCs w:val="24"/>
          <w:lang w:val="es-CO"/>
        </w:rPr>
        <w:t xml:space="preserve"> porque según come</w:t>
      </w:r>
      <w:r>
        <w:rPr>
          <w:rFonts w:ascii="Bookman Old Style" w:hAnsi="Bookman Old Style"/>
          <w:i/>
          <w:sz w:val="24"/>
          <w:szCs w:val="24"/>
          <w:lang w:val="es-CO"/>
        </w:rPr>
        <w:t xml:space="preserve">ntarios, habían escuchado que los </w:t>
      </w:r>
      <w:r w:rsidRPr="006A0469">
        <w:rPr>
          <w:rFonts w:ascii="Bookman Old Style" w:hAnsi="Bookman Old Style"/>
          <w:i/>
          <w:sz w:val="24"/>
          <w:szCs w:val="24"/>
          <w:lang w:val="es-CO"/>
        </w:rPr>
        <w:t>p</w:t>
      </w:r>
      <w:r>
        <w:rPr>
          <w:rFonts w:ascii="Bookman Old Style" w:hAnsi="Bookman Old Style"/>
          <w:i/>
          <w:sz w:val="24"/>
          <w:szCs w:val="24"/>
          <w:lang w:val="es-CO"/>
        </w:rPr>
        <w:t>a</w:t>
      </w:r>
      <w:r w:rsidRPr="006A0469">
        <w:rPr>
          <w:rFonts w:ascii="Bookman Old Style" w:hAnsi="Bookman Old Style"/>
          <w:i/>
          <w:sz w:val="24"/>
          <w:szCs w:val="24"/>
          <w:lang w:val="es-CO"/>
        </w:rPr>
        <w:t>ramilitares iban a acabar con san Teodoro. Quienes de alguna manera no alcanzaron a huir fueron alcanzados con l</w:t>
      </w:r>
      <w:r>
        <w:rPr>
          <w:rFonts w:ascii="Bookman Old Style" w:hAnsi="Bookman Old Style"/>
          <w:i/>
          <w:sz w:val="24"/>
          <w:szCs w:val="24"/>
          <w:lang w:val="es-CO"/>
        </w:rPr>
        <w:t>as balas.  H</w:t>
      </w:r>
      <w:r w:rsidRPr="006A0469">
        <w:rPr>
          <w:rFonts w:ascii="Bookman Old Style" w:hAnsi="Bookman Old Style"/>
          <w:i/>
          <w:sz w:val="24"/>
          <w:szCs w:val="24"/>
          <w:lang w:val="es-CO"/>
        </w:rPr>
        <w:t>ay otros que manifiestan que simp</w:t>
      </w:r>
      <w:r>
        <w:rPr>
          <w:rFonts w:ascii="Bookman Old Style" w:hAnsi="Bookman Old Style"/>
          <w:i/>
          <w:sz w:val="24"/>
          <w:szCs w:val="24"/>
          <w:lang w:val="es-CO"/>
        </w:rPr>
        <w:t>l</w:t>
      </w:r>
      <w:r w:rsidRPr="006A0469">
        <w:rPr>
          <w:rFonts w:ascii="Bookman Old Style" w:hAnsi="Bookman Old Style"/>
          <w:i/>
          <w:sz w:val="24"/>
          <w:szCs w:val="24"/>
          <w:lang w:val="es-CO"/>
        </w:rPr>
        <w:t>emente no huyeron esperando paciente</w:t>
      </w:r>
      <w:r>
        <w:rPr>
          <w:rFonts w:ascii="Bookman Old Style" w:hAnsi="Bookman Old Style"/>
          <w:i/>
          <w:sz w:val="24"/>
          <w:szCs w:val="24"/>
          <w:lang w:val="es-CO"/>
        </w:rPr>
        <w:t>s</w:t>
      </w:r>
      <w:r w:rsidRPr="006A0469">
        <w:rPr>
          <w:rFonts w:ascii="Bookman Old Style" w:hAnsi="Bookman Old Style"/>
          <w:i/>
          <w:sz w:val="24"/>
          <w:szCs w:val="24"/>
          <w:lang w:val="es-CO"/>
        </w:rPr>
        <w:t xml:space="preserve"> su sue</w:t>
      </w:r>
      <w:r>
        <w:rPr>
          <w:rFonts w:ascii="Bookman Old Style" w:hAnsi="Bookman Old Style"/>
          <w:i/>
          <w:sz w:val="24"/>
          <w:szCs w:val="24"/>
          <w:lang w:val="es-CO"/>
        </w:rPr>
        <w:t>rte;</w:t>
      </w:r>
      <w:r w:rsidRPr="006A0469">
        <w:rPr>
          <w:rFonts w:ascii="Bookman Old Style" w:hAnsi="Bookman Old Style"/>
          <w:i/>
          <w:sz w:val="24"/>
          <w:szCs w:val="24"/>
          <w:lang w:val="es-CO"/>
        </w:rPr>
        <w:t xml:space="preserve"> sin embargo</w:t>
      </w:r>
      <w:r>
        <w:rPr>
          <w:rFonts w:ascii="Bookman Old Style" w:hAnsi="Bookman Old Style"/>
          <w:i/>
          <w:sz w:val="24"/>
          <w:szCs w:val="24"/>
          <w:lang w:val="es-CO"/>
        </w:rPr>
        <w:t>,</w:t>
      </w:r>
      <w:r w:rsidRPr="006A0469">
        <w:rPr>
          <w:rFonts w:ascii="Bookman Old Style" w:hAnsi="Bookman Old Style"/>
          <w:i/>
          <w:sz w:val="24"/>
          <w:szCs w:val="24"/>
          <w:lang w:val="es-CO"/>
        </w:rPr>
        <w:t xml:space="preserve"> aducen que fueron reunidos por los grupos armados i</w:t>
      </w:r>
      <w:r>
        <w:rPr>
          <w:rFonts w:ascii="Bookman Old Style" w:hAnsi="Bookman Old Style"/>
          <w:i/>
          <w:sz w:val="24"/>
          <w:szCs w:val="24"/>
          <w:lang w:val="es-CO"/>
        </w:rPr>
        <w:t>leg</w:t>
      </w:r>
      <w:r w:rsidRPr="006A0469">
        <w:rPr>
          <w:rFonts w:ascii="Bookman Old Style" w:hAnsi="Bookman Old Style"/>
          <w:i/>
          <w:sz w:val="24"/>
          <w:szCs w:val="24"/>
          <w:lang w:val="es-CO"/>
        </w:rPr>
        <w:t>ales dándosele una hora par</w:t>
      </w:r>
      <w:r>
        <w:rPr>
          <w:rFonts w:ascii="Bookman Old Style" w:hAnsi="Bookman Old Style"/>
          <w:i/>
          <w:sz w:val="24"/>
          <w:szCs w:val="24"/>
          <w:lang w:val="es-CO"/>
        </w:rPr>
        <w:t>a</w:t>
      </w:r>
      <w:r w:rsidRPr="006A0469">
        <w:rPr>
          <w:rFonts w:ascii="Bookman Old Style" w:hAnsi="Bookman Old Style"/>
          <w:i/>
          <w:sz w:val="24"/>
          <w:szCs w:val="24"/>
          <w:lang w:val="es-CO"/>
        </w:rPr>
        <w:t xml:space="preserve"> que egresaran de la población. Dicen que mientras unos usaban sus armas, otros se metían </w:t>
      </w:r>
      <w:r>
        <w:rPr>
          <w:rFonts w:ascii="Bookman Old Style" w:hAnsi="Bookman Old Style"/>
          <w:i/>
          <w:sz w:val="24"/>
          <w:szCs w:val="24"/>
          <w:lang w:val="es-CO"/>
        </w:rPr>
        <w:t xml:space="preserve">en sus viviendas y </w:t>
      </w:r>
      <w:r w:rsidRPr="006A0469">
        <w:rPr>
          <w:rFonts w:ascii="Bookman Old Style" w:hAnsi="Bookman Old Style"/>
          <w:i/>
          <w:sz w:val="24"/>
          <w:szCs w:val="24"/>
          <w:lang w:val="es-CO"/>
        </w:rPr>
        <w:t>l</w:t>
      </w:r>
      <w:r>
        <w:rPr>
          <w:rFonts w:ascii="Bookman Old Style" w:hAnsi="Bookman Old Style"/>
          <w:i/>
          <w:sz w:val="24"/>
          <w:szCs w:val="24"/>
          <w:lang w:val="es-CO"/>
        </w:rPr>
        <w:t>as saqueaban, también existe</w:t>
      </w:r>
      <w:r w:rsidRPr="006A0469">
        <w:rPr>
          <w:rFonts w:ascii="Bookman Old Style" w:hAnsi="Bookman Old Style"/>
          <w:i/>
          <w:sz w:val="24"/>
          <w:szCs w:val="24"/>
          <w:lang w:val="es-CO"/>
        </w:rPr>
        <w:t xml:space="preserve"> i</w:t>
      </w:r>
      <w:r>
        <w:rPr>
          <w:rFonts w:ascii="Bookman Old Style" w:hAnsi="Bookman Old Style"/>
          <w:i/>
          <w:sz w:val="24"/>
          <w:szCs w:val="24"/>
          <w:lang w:val="es-CO"/>
        </w:rPr>
        <w:t>nformación que el grupo atentaría contra la i</w:t>
      </w:r>
      <w:r w:rsidRPr="006A0469">
        <w:rPr>
          <w:rFonts w:ascii="Bookman Old Style" w:hAnsi="Bookman Old Style"/>
          <w:i/>
          <w:sz w:val="24"/>
          <w:szCs w:val="24"/>
          <w:lang w:val="es-CO"/>
        </w:rPr>
        <w:t>n</w:t>
      </w:r>
      <w:r>
        <w:rPr>
          <w:rFonts w:ascii="Bookman Old Style" w:hAnsi="Bookman Old Style"/>
          <w:i/>
          <w:sz w:val="24"/>
          <w:szCs w:val="24"/>
          <w:lang w:val="es-CO"/>
        </w:rPr>
        <w:t>t</w:t>
      </w:r>
      <w:r w:rsidRPr="006A0469">
        <w:rPr>
          <w:rFonts w:ascii="Bookman Old Style" w:hAnsi="Bookman Old Style"/>
          <w:i/>
          <w:sz w:val="24"/>
          <w:szCs w:val="24"/>
          <w:lang w:val="es-CO"/>
        </w:rPr>
        <w:t>egridad física de la inspectora de la población</w:t>
      </w:r>
      <w:r>
        <w:rPr>
          <w:rFonts w:ascii="Bookman Old Style" w:hAnsi="Bookman Old Style"/>
          <w:i/>
          <w:sz w:val="24"/>
          <w:szCs w:val="24"/>
          <w:lang w:val="es-CO"/>
        </w:rPr>
        <w:t>,</w:t>
      </w:r>
      <w:r w:rsidRPr="006A0469">
        <w:rPr>
          <w:rFonts w:ascii="Bookman Old Style" w:hAnsi="Bookman Old Style"/>
          <w:i/>
          <w:sz w:val="24"/>
          <w:szCs w:val="24"/>
          <w:lang w:val="es-CO"/>
        </w:rPr>
        <w:t xml:space="preserve"> sin embargo</w:t>
      </w:r>
      <w:r>
        <w:rPr>
          <w:rFonts w:ascii="Bookman Old Style" w:hAnsi="Bookman Old Style"/>
          <w:i/>
          <w:sz w:val="24"/>
          <w:szCs w:val="24"/>
          <w:lang w:val="es-CO"/>
        </w:rPr>
        <w:t>,</w:t>
      </w:r>
      <w:r w:rsidRPr="006A0469">
        <w:rPr>
          <w:rFonts w:ascii="Bookman Old Style" w:hAnsi="Bookman Old Style"/>
          <w:i/>
          <w:sz w:val="24"/>
          <w:szCs w:val="24"/>
          <w:lang w:val="es-CO"/>
        </w:rPr>
        <w:t xml:space="preserve"> indican que alias Guillermo </w:t>
      </w:r>
      <w:r>
        <w:rPr>
          <w:rFonts w:ascii="Bookman Old Style" w:hAnsi="Bookman Old Style"/>
          <w:i/>
          <w:sz w:val="24"/>
          <w:szCs w:val="24"/>
          <w:lang w:val="es-CO"/>
        </w:rPr>
        <w:t>T</w:t>
      </w:r>
      <w:r w:rsidRPr="006A0469">
        <w:rPr>
          <w:rFonts w:ascii="Bookman Old Style" w:hAnsi="Bookman Old Style"/>
          <w:i/>
          <w:sz w:val="24"/>
          <w:szCs w:val="24"/>
          <w:lang w:val="es-CO"/>
        </w:rPr>
        <w:t>orres se opuso a su ejecución</w:t>
      </w:r>
      <w:r>
        <w:rPr>
          <w:rFonts w:ascii="Bookman Old Style" w:hAnsi="Bookman Old Style"/>
          <w:i/>
          <w:sz w:val="24"/>
          <w:szCs w:val="24"/>
          <w:lang w:val="es-CO"/>
        </w:rPr>
        <w:t>.  Otros r</w:t>
      </w:r>
      <w:r w:rsidRPr="006A0469">
        <w:rPr>
          <w:rFonts w:ascii="Bookman Old Style" w:hAnsi="Bookman Old Style"/>
          <w:i/>
          <w:sz w:val="24"/>
          <w:szCs w:val="24"/>
          <w:lang w:val="es-CO"/>
        </w:rPr>
        <w:t>efieren que no la ejecutaban porque tenía una niña de brazos</w:t>
      </w:r>
      <w:r>
        <w:rPr>
          <w:rFonts w:ascii="Bookman Old Style" w:hAnsi="Bookman Old Style"/>
          <w:i/>
          <w:sz w:val="24"/>
          <w:szCs w:val="24"/>
          <w:lang w:val="es-CO"/>
        </w:rPr>
        <w:t>… a su tu</w:t>
      </w:r>
      <w:r w:rsidRPr="006A0469">
        <w:rPr>
          <w:rFonts w:ascii="Bookman Old Style" w:hAnsi="Bookman Old Style"/>
          <w:i/>
          <w:sz w:val="24"/>
          <w:szCs w:val="24"/>
          <w:lang w:val="es-CO"/>
        </w:rPr>
        <w:t>rno los postulados de los de</w:t>
      </w:r>
      <w:r>
        <w:rPr>
          <w:rFonts w:ascii="Bookman Old Style" w:hAnsi="Bookman Old Style"/>
          <w:i/>
          <w:sz w:val="24"/>
          <w:szCs w:val="24"/>
          <w:lang w:val="es-CO"/>
        </w:rPr>
        <w:t>s</w:t>
      </w:r>
      <w:r w:rsidRPr="006A0469">
        <w:rPr>
          <w:rFonts w:ascii="Bookman Old Style" w:hAnsi="Bookman Old Style"/>
          <w:i/>
          <w:sz w:val="24"/>
          <w:szCs w:val="24"/>
          <w:lang w:val="es-CO"/>
        </w:rPr>
        <w:t>movilizados</w:t>
      </w:r>
      <w:r>
        <w:rPr>
          <w:rFonts w:ascii="Bookman Old Style" w:hAnsi="Bookman Old Style"/>
          <w:i/>
          <w:sz w:val="24"/>
          <w:szCs w:val="24"/>
          <w:lang w:val="es-CO"/>
        </w:rPr>
        <w:t>..</w:t>
      </w:r>
      <w:r w:rsidRPr="006A0469">
        <w:rPr>
          <w:rFonts w:ascii="Bookman Old Style" w:hAnsi="Bookman Old Style"/>
          <w:i/>
          <w:sz w:val="24"/>
          <w:szCs w:val="24"/>
          <w:lang w:val="es-CO"/>
        </w:rPr>
        <w:t>. Agregan quienes estuvieron allí</w:t>
      </w:r>
      <w:r>
        <w:rPr>
          <w:rFonts w:ascii="Bookman Old Style" w:hAnsi="Bookman Old Style"/>
          <w:i/>
          <w:sz w:val="24"/>
          <w:szCs w:val="24"/>
          <w:lang w:val="es-CO"/>
        </w:rPr>
        <w:t>,</w:t>
      </w:r>
      <w:r w:rsidRPr="006A0469">
        <w:rPr>
          <w:rFonts w:ascii="Bookman Old Style" w:hAnsi="Bookman Old Style"/>
          <w:i/>
          <w:sz w:val="24"/>
          <w:szCs w:val="24"/>
          <w:lang w:val="es-CO"/>
        </w:rPr>
        <w:t xml:space="preserve"> que los grupos arm</w:t>
      </w:r>
      <w:r>
        <w:rPr>
          <w:rFonts w:ascii="Bookman Old Style" w:hAnsi="Bookman Old Style"/>
          <w:i/>
          <w:sz w:val="24"/>
          <w:szCs w:val="24"/>
          <w:lang w:val="es-CO"/>
        </w:rPr>
        <w:t>ados ilegales tomaban las motos</w:t>
      </w:r>
      <w:r w:rsidRPr="006A0469">
        <w:rPr>
          <w:rFonts w:ascii="Bookman Old Style" w:hAnsi="Bookman Old Style"/>
          <w:i/>
          <w:sz w:val="24"/>
          <w:szCs w:val="24"/>
          <w:lang w:val="es-CO"/>
        </w:rPr>
        <w:t xml:space="preserve"> que podían ence</w:t>
      </w:r>
      <w:r>
        <w:rPr>
          <w:rFonts w:ascii="Bookman Old Style" w:hAnsi="Bookman Old Style"/>
          <w:i/>
          <w:sz w:val="24"/>
          <w:szCs w:val="24"/>
          <w:lang w:val="es-CO"/>
        </w:rPr>
        <w:t>n</w:t>
      </w:r>
      <w:r w:rsidRPr="006A0469">
        <w:rPr>
          <w:rFonts w:ascii="Bookman Old Style" w:hAnsi="Bookman Old Style"/>
          <w:i/>
          <w:sz w:val="24"/>
          <w:szCs w:val="24"/>
          <w:lang w:val="es-CO"/>
        </w:rPr>
        <w:t>der para apropiarse de ellas, las que no</w:t>
      </w:r>
      <w:r>
        <w:rPr>
          <w:rFonts w:ascii="Bookman Old Style" w:hAnsi="Bookman Old Style"/>
          <w:i/>
          <w:sz w:val="24"/>
          <w:szCs w:val="24"/>
          <w:lang w:val="es-CO"/>
        </w:rPr>
        <w:t>, las quemaban</w:t>
      </w:r>
      <w:r w:rsidRPr="006A0469">
        <w:rPr>
          <w:rFonts w:ascii="Bookman Old Style" w:hAnsi="Bookman Old Style"/>
          <w:i/>
          <w:sz w:val="24"/>
          <w:szCs w:val="24"/>
          <w:lang w:val="es-CO"/>
        </w:rPr>
        <w:t>, igualmente dicen testigo</w:t>
      </w:r>
      <w:r>
        <w:rPr>
          <w:rFonts w:ascii="Bookman Old Style" w:hAnsi="Bookman Old Style"/>
          <w:i/>
          <w:sz w:val="24"/>
          <w:szCs w:val="24"/>
          <w:lang w:val="es-CO"/>
        </w:rPr>
        <w:t>s que cuando huí</w:t>
      </w:r>
      <w:r w:rsidRPr="006A0469">
        <w:rPr>
          <w:rFonts w:ascii="Bookman Old Style" w:hAnsi="Bookman Old Style"/>
          <w:i/>
          <w:sz w:val="24"/>
          <w:szCs w:val="24"/>
          <w:lang w:val="es-CO"/>
        </w:rPr>
        <w:t>an para refugiarse le</w:t>
      </w:r>
      <w:r>
        <w:rPr>
          <w:rFonts w:ascii="Bookman Old Style" w:hAnsi="Bookman Old Style"/>
          <w:i/>
          <w:sz w:val="24"/>
          <w:szCs w:val="24"/>
          <w:lang w:val="es-CO"/>
        </w:rPr>
        <w:t>s</w:t>
      </w:r>
      <w:r w:rsidRPr="006A0469">
        <w:rPr>
          <w:rFonts w:ascii="Bookman Old Style" w:hAnsi="Bookman Old Style"/>
          <w:i/>
          <w:sz w:val="24"/>
          <w:szCs w:val="24"/>
          <w:lang w:val="es-CO"/>
        </w:rPr>
        <w:t xml:space="preserve"> h</w:t>
      </w:r>
      <w:r>
        <w:rPr>
          <w:rFonts w:ascii="Bookman Old Style" w:hAnsi="Bookman Old Style"/>
          <w:i/>
          <w:sz w:val="24"/>
          <w:szCs w:val="24"/>
          <w:lang w:val="es-CO"/>
        </w:rPr>
        <w:t>ici</w:t>
      </w:r>
      <w:r w:rsidRPr="006A0469">
        <w:rPr>
          <w:rFonts w:ascii="Bookman Old Style" w:hAnsi="Bookman Old Style"/>
          <w:i/>
          <w:sz w:val="24"/>
          <w:szCs w:val="24"/>
          <w:lang w:val="es-CO"/>
        </w:rPr>
        <w:t>eron disparos en varias oportunidades. Otros argumentan que le lanzaron una granada, de tal suerte que tuvieron que meterse en la m</w:t>
      </w:r>
      <w:r>
        <w:rPr>
          <w:rFonts w:ascii="Bookman Old Style" w:hAnsi="Bookman Old Style"/>
          <w:i/>
          <w:sz w:val="24"/>
          <w:szCs w:val="24"/>
          <w:lang w:val="es-CO"/>
        </w:rPr>
        <w:t>ata de monte y salen hacia el i</w:t>
      </w:r>
      <w:r w:rsidRPr="006A0469">
        <w:rPr>
          <w:rFonts w:ascii="Bookman Old Style" w:hAnsi="Bookman Old Style"/>
          <w:i/>
          <w:sz w:val="24"/>
          <w:szCs w:val="24"/>
          <w:lang w:val="es-CO"/>
        </w:rPr>
        <w:t>n</w:t>
      </w:r>
      <w:r>
        <w:rPr>
          <w:rFonts w:ascii="Bookman Old Style" w:hAnsi="Bookman Old Style"/>
          <w:i/>
          <w:sz w:val="24"/>
          <w:szCs w:val="24"/>
          <w:lang w:val="es-CO"/>
        </w:rPr>
        <w:t>ternado de no</w:t>
      </w:r>
      <w:r w:rsidRPr="006A0469">
        <w:rPr>
          <w:rFonts w:ascii="Bookman Old Style" w:hAnsi="Bookman Old Style"/>
          <w:i/>
          <w:sz w:val="24"/>
          <w:szCs w:val="24"/>
          <w:lang w:val="es-CO"/>
        </w:rPr>
        <w:t>m</w:t>
      </w:r>
      <w:r>
        <w:rPr>
          <w:rFonts w:ascii="Bookman Old Style" w:hAnsi="Bookman Old Style"/>
          <w:i/>
          <w:sz w:val="24"/>
          <w:szCs w:val="24"/>
          <w:lang w:val="es-CO"/>
        </w:rPr>
        <w:t>b</w:t>
      </w:r>
      <w:r w:rsidRPr="006A0469">
        <w:rPr>
          <w:rFonts w:ascii="Bookman Old Style" w:hAnsi="Bookman Old Style"/>
          <w:i/>
          <w:sz w:val="24"/>
          <w:szCs w:val="24"/>
          <w:lang w:val="es-CO"/>
        </w:rPr>
        <w:t xml:space="preserve">re </w:t>
      </w:r>
      <w:r>
        <w:rPr>
          <w:rFonts w:ascii="Bookman Old Style" w:hAnsi="Bookman Old Style"/>
          <w:i/>
          <w:sz w:val="24"/>
          <w:szCs w:val="24"/>
          <w:lang w:val="es-CO"/>
        </w:rPr>
        <w:t>“</w:t>
      </w:r>
      <w:r w:rsidRPr="006A0469">
        <w:rPr>
          <w:rFonts w:ascii="Bookman Old Style" w:hAnsi="Bookman Old Style"/>
          <w:i/>
          <w:sz w:val="24"/>
          <w:szCs w:val="24"/>
          <w:lang w:val="es-CO"/>
        </w:rPr>
        <w:t xml:space="preserve">la </w:t>
      </w:r>
      <w:r>
        <w:rPr>
          <w:rFonts w:ascii="Bookman Old Style" w:hAnsi="Bookman Old Style"/>
          <w:i/>
          <w:sz w:val="24"/>
          <w:szCs w:val="24"/>
          <w:lang w:val="es-CO"/>
        </w:rPr>
        <w:t>M</w:t>
      </w:r>
      <w:r w:rsidRPr="006A0469">
        <w:rPr>
          <w:rFonts w:ascii="Bookman Old Style" w:hAnsi="Bookman Old Style"/>
          <w:i/>
          <w:sz w:val="24"/>
          <w:szCs w:val="24"/>
          <w:lang w:val="es-CO"/>
        </w:rPr>
        <w:t>isión de la</w:t>
      </w:r>
      <w:r>
        <w:rPr>
          <w:rFonts w:ascii="Bookman Old Style" w:hAnsi="Bookman Old Style"/>
          <w:i/>
          <w:sz w:val="24"/>
          <w:szCs w:val="24"/>
          <w:lang w:val="es-CO"/>
        </w:rPr>
        <w:t xml:space="preserve"> P</w:t>
      </w:r>
      <w:r w:rsidRPr="006A0469">
        <w:rPr>
          <w:rFonts w:ascii="Bookman Old Style" w:hAnsi="Bookman Old Style"/>
          <w:i/>
          <w:sz w:val="24"/>
          <w:szCs w:val="24"/>
          <w:lang w:val="es-CO"/>
        </w:rPr>
        <w:t>ascua</w:t>
      </w:r>
      <w:r>
        <w:rPr>
          <w:rFonts w:ascii="Bookman Old Style" w:hAnsi="Bookman Old Style"/>
          <w:i/>
          <w:sz w:val="24"/>
          <w:szCs w:val="24"/>
          <w:lang w:val="es-CO"/>
        </w:rPr>
        <w:t>”</w:t>
      </w:r>
      <w:r w:rsidRPr="006A0469">
        <w:rPr>
          <w:rFonts w:ascii="Bookman Old Style" w:hAnsi="Bookman Old Style"/>
          <w:i/>
          <w:sz w:val="24"/>
          <w:szCs w:val="24"/>
          <w:lang w:val="es-CO"/>
        </w:rPr>
        <w:t>, la que era dirigida por sacerdotes. Ello por cuanto anexo a la misión estaba ubicado un caserío que les brindó protección y techo</w:t>
      </w:r>
      <w:r>
        <w:rPr>
          <w:rFonts w:ascii="Bookman Old Style" w:hAnsi="Bookman Old Style"/>
          <w:i/>
          <w:sz w:val="24"/>
          <w:szCs w:val="24"/>
          <w:lang w:val="es-CO"/>
        </w:rPr>
        <w:t>…</w:t>
      </w:r>
      <w:r w:rsidRPr="006A0469">
        <w:rPr>
          <w:rFonts w:ascii="Bookman Old Style" w:hAnsi="Bookman Old Style"/>
          <w:i/>
          <w:sz w:val="24"/>
          <w:szCs w:val="24"/>
          <w:lang w:val="es-CO"/>
        </w:rPr>
        <w:t xml:space="preserve"> Tiempo después regresan algunas personas a revisar los terruños, observan que las </w:t>
      </w:r>
      <w:r>
        <w:rPr>
          <w:rFonts w:ascii="Bookman Old Style" w:hAnsi="Bookman Old Style"/>
          <w:i/>
          <w:sz w:val="24"/>
          <w:szCs w:val="24"/>
          <w:lang w:val="es-CO"/>
        </w:rPr>
        <w:t>viviendas</w:t>
      </w:r>
      <w:r w:rsidRPr="006A0469">
        <w:rPr>
          <w:rFonts w:ascii="Bookman Old Style" w:hAnsi="Bookman Old Style"/>
          <w:i/>
          <w:sz w:val="24"/>
          <w:szCs w:val="24"/>
          <w:lang w:val="es-CO"/>
        </w:rPr>
        <w:t xml:space="preserve"> que eran</w:t>
      </w:r>
      <w:r>
        <w:rPr>
          <w:rFonts w:ascii="Bookman Old Style" w:hAnsi="Bookman Old Style"/>
          <w:i/>
          <w:sz w:val="24"/>
          <w:szCs w:val="24"/>
          <w:lang w:val="es-CO"/>
        </w:rPr>
        <w:t xml:space="preserve"> de ma</w:t>
      </w:r>
      <w:r w:rsidRPr="006A0469">
        <w:rPr>
          <w:rFonts w:ascii="Bookman Old Style" w:hAnsi="Bookman Old Style"/>
          <w:i/>
          <w:sz w:val="24"/>
          <w:szCs w:val="24"/>
          <w:lang w:val="es-CO"/>
        </w:rPr>
        <w:t>dera</w:t>
      </w:r>
      <w:r>
        <w:rPr>
          <w:rFonts w:ascii="Bookman Old Style" w:hAnsi="Bookman Old Style"/>
          <w:i/>
          <w:sz w:val="24"/>
          <w:szCs w:val="24"/>
          <w:lang w:val="es-CO"/>
        </w:rPr>
        <w:t xml:space="preserve"> con</w:t>
      </w:r>
      <w:r w:rsidRPr="006A0469">
        <w:rPr>
          <w:rFonts w:ascii="Bookman Old Style" w:hAnsi="Bookman Old Style"/>
          <w:i/>
          <w:sz w:val="24"/>
          <w:szCs w:val="24"/>
          <w:lang w:val="es-CO"/>
        </w:rPr>
        <w:t xml:space="preserve">tenían letreros tales como </w:t>
      </w:r>
      <w:r>
        <w:rPr>
          <w:rFonts w:ascii="Bookman Old Style" w:hAnsi="Bookman Old Style"/>
          <w:i/>
          <w:sz w:val="24"/>
          <w:szCs w:val="24"/>
          <w:lang w:val="es-CO"/>
        </w:rPr>
        <w:t>“</w:t>
      </w:r>
      <w:r w:rsidRPr="006A0469">
        <w:rPr>
          <w:rFonts w:ascii="Bookman Old Style" w:hAnsi="Bookman Old Style"/>
          <w:i/>
          <w:sz w:val="24"/>
          <w:szCs w:val="24"/>
          <w:lang w:val="es-CO"/>
        </w:rPr>
        <w:t>águila</w:t>
      </w:r>
      <w:r>
        <w:rPr>
          <w:rFonts w:ascii="Bookman Old Style" w:hAnsi="Bookman Old Style"/>
          <w:i/>
          <w:sz w:val="24"/>
          <w:szCs w:val="24"/>
          <w:lang w:val="es-CO"/>
        </w:rPr>
        <w:t>”</w:t>
      </w:r>
      <w:r w:rsidRPr="006A0469">
        <w:rPr>
          <w:rFonts w:ascii="Bookman Old Style" w:hAnsi="Bookman Old Style"/>
          <w:i/>
          <w:sz w:val="24"/>
          <w:szCs w:val="24"/>
          <w:lang w:val="es-CO"/>
        </w:rPr>
        <w:t xml:space="preserve">, </w:t>
      </w:r>
      <w:r>
        <w:rPr>
          <w:rFonts w:ascii="Bookman Old Style" w:hAnsi="Bookman Old Style"/>
          <w:i/>
          <w:sz w:val="24"/>
          <w:szCs w:val="24"/>
          <w:lang w:val="es-CO"/>
        </w:rPr>
        <w:t>“</w:t>
      </w:r>
      <w:r w:rsidRPr="006A0469">
        <w:rPr>
          <w:rFonts w:ascii="Bookman Old Style" w:hAnsi="Bookman Old Style"/>
          <w:i/>
          <w:sz w:val="24"/>
          <w:szCs w:val="24"/>
          <w:lang w:val="es-CO"/>
        </w:rPr>
        <w:t>rasguño</w:t>
      </w:r>
      <w:r>
        <w:rPr>
          <w:rFonts w:ascii="Bookman Old Style" w:hAnsi="Bookman Old Style"/>
          <w:i/>
          <w:sz w:val="24"/>
          <w:szCs w:val="24"/>
          <w:lang w:val="es-CO"/>
        </w:rPr>
        <w:t>”</w:t>
      </w:r>
      <w:r w:rsidRPr="006A0469">
        <w:rPr>
          <w:rFonts w:ascii="Bookman Old Style" w:hAnsi="Bookman Old Style"/>
          <w:i/>
          <w:sz w:val="24"/>
          <w:szCs w:val="24"/>
          <w:lang w:val="es-CO"/>
        </w:rPr>
        <w:t xml:space="preserve"> y </w:t>
      </w:r>
      <w:r>
        <w:rPr>
          <w:rFonts w:ascii="Bookman Old Style" w:hAnsi="Bookman Old Style"/>
          <w:i/>
          <w:sz w:val="24"/>
          <w:szCs w:val="24"/>
          <w:lang w:val="es-CO"/>
        </w:rPr>
        <w:t>“</w:t>
      </w:r>
      <w:r w:rsidRPr="006A0469">
        <w:rPr>
          <w:rFonts w:ascii="Bookman Old Style" w:hAnsi="Bookman Old Style"/>
          <w:i/>
          <w:sz w:val="24"/>
          <w:szCs w:val="24"/>
          <w:lang w:val="es-CO"/>
        </w:rPr>
        <w:t>pielroja</w:t>
      </w:r>
      <w:r>
        <w:rPr>
          <w:rFonts w:ascii="Bookman Old Style" w:hAnsi="Bookman Old Style"/>
          <w:i/>
          <w:sz w:val="24"/>
          <w:szCs w:val="24"/>
          <w:lang w:val="es-CO"/>
        </w:rPr>
        <w:t>”… a q</w:t>
      </w:r>
      <w:r w:rsidRPr="006A0469">
        <w:rPr>
          <w:rFonts w:ascii="Bookman Old Style" w:hAnsi="Bookman Old Style"/>
          <w:i/>
          <w:sz w:val="24"/>
          <w:szCs w:val="24"/>
          <w:lang w:val="es-CO"/>
        </w:rPr>
        <w:t>uienes hemos logrado registrar en j y p aduce</w:t>
      </w:r>
      <w:r>
        <w:rPr>
          <w:rFonts w:ascii="Bookman Old Style" w:hAnsi="Bookman Old Style"/>
          <w:i/>
          <w:sz w:val="24"/>
          <w:szCs w:val="24"/>
          <w:lang w:val="es-CO"/>
        </w:rPr>
        <w:t>n</w:t>
      </w:r>
      <w:r w:rsidRPr="006A0469">
        <w:rPr>
          <w:rFonts w:ascii="Bookman Old Style" w:hAnsi="Bookman Old Style"/>
          <w:i/>
          <w:sz w:val="24"/>
          <w:szCs w:val="24"/>
          <w:lang w:val="es-CO"/>
        </w:rPr>
        <w:t xml:space="preserve"> que lo perdieron todo lo que había en sus </w:t>
      </w:r>
      <w:r>
        <w:rPr>
          <w:rFonts w:ascii="Bookman Old Style" w:hAnsi="Bookman Old Style"/>
          <w:i/>
          <w:sz w:val="24"/>
          <w:szCs w:val="24"/>
          <w:lang w:val="es-CO"/>
        </w:rPr>
        <w:t>viviendas, sus mejoras y enseres</w:t>
      </w:r>
      <w:r w:rsidRPr="006A0469">
        <w:rPr>
          <w:rFonts w:ascii="Bookman Old Style" w:hAnsi="Bookman Old Style"/>
          <w:i/>
          <w:sz w:val="24"/>
          <w:szCs w:val="24"/>
          <w:lang w:val="es-CO"/>
        </w:rPr>
        <w:t xml:space="preserve"> jamás los volvieron a ver, en</w:t>
      </w:r>
      <w:r>
        <w:rPr>
          <w:rFonts w:ascii="Bookman Old Style" w:hAnsi="Bookman Old Style"/>
          <w:i/>
          <w:sz w:val="24"/>
          <w:szCs w:val="24"/>
          <w:lang w:val="es-CO"/>
        </w:rPr>
        <w:t>tre tanto, arrima al sector la Cruz R</w:t>
      </w:r>
      <w:r w:rsidRPr="006A0469">
        <w:rPr>
          <w:rFonts w:ascii="Bookman Old Style" w:hAnsi="Bookman Old Style"/>
          <w:i/>
          <w:sz w:val="24"/>
          <w:szCs w:val="24"/>
          <w:lang w:val="es-CO"/>
        </w:rPr>
        <w:t>o</w:t>
      </w:r>
      <w:r>
        <w:rPr>
          <w:rFonts w:ascii="Bookman Old Style" w:hAnsi="Bookman Old Style"/>
          <w:i/>
          <w:sz w:val="24"/>
          <w:szCs w:val="24"/>
          <w:lang w:val="es-CO"/>
        </w:rPr>
        <w:t>ja I</w:t>
      </w:r>
      <w:r w:rsidRPr="006A0469">
        <w:rPr>
          <w:rFonts w:ascii="Bookman Old Style" w:hAnsi="Bookman Old Style"/>
          <w:i/>
          <w:sz w:val="24"/>
          <w:szCs w:val="24"/>
          <w:lang w:val="es-CO"/>
        </w:rPr>
        <w:t>nterna</w:t>
      </w:r>
      <w:r>
        <w:rPr>
          <w:rFonts w:ascii="Bookman Old Style" w:hAnsi="Bookman Old Style"/>
          <w:i/>
          <w:sz w:val="24"/>
          <w:szCs w:val="24"/>
          <w:lang w:val="es-CO"/>
        </w:rPr>
        <w:t>cional</w:t>
      </w:r>
      <w:r w:rsidRPr="006A0469">
        <w:rPr>
          <w:rFonts w:ascii="Bookman Old Style" w:hAnsi="Bookman Old Style"/>
          <w:i/>
          <w:sz w:val="24"/>
          <w:szCs w:val="24"/>
          <w:lang w:val="es-CO"/>
        </w:rPr>
        <w:t xml:space="preserve"> ordenan </w:t>
      </w:r>
      <w:r>
        <w:rPr>
          <w:rFonts w:ascii="Bookman Old Style" w:hAnsi="Bookman Old Style"/>
          <w:i/>
          <w:sz w:val="24"/>
          <w:szCs w:val="24"/>
          <w:lang w:val="es-CO"/>
        </w:rPr>
        <w:t>que se sepulten todos los muerto</w:t>
      </w:r>
      <w:r w:rsidRPr="006A0469">
        <w:rPr>
          <w:rFonts w:ascii="Bookman Old Style" w:hAnsi="Bookman Old Style"/>
          <w:i/>
          <w:sz w:val="24"/>
          <w:szCs w:val="24"/>
          <w:lang w:val="es-CO"/>
        </w:rPr>
        <w:t>s, entre ellos l</w:t>
      </w:r>
      <w:r>
        <w:rPr>
          <w:rFonts w:ascii="Bookman Old Style" w:hAnsi="Bookman Old Style"/>
          <w:i/>
          <w:sz w:val="24"/>
          <w:szCs w:val="24"/>
          <w:lang w:val="es-CO"/>
        </w:rPr>
        <w:t>os dos guerrilleros en una fosa.  D</w:t>
      </w:r>
      <w:r w:rsidRPr="006A0469">
        <w:rPr>
          <w:rFonts w:ascii="Bookman Old Style" w:hAnsi="Bookman Old Style"/>
          <w:i/>
          <w:sz w:val="24"/>
          <w:szCs w:val="24"/>
          <w:lang w:val="es-CO"/>
        </w:rPr>
        <w:t xml:space="preserve">ice la información que en 9 meses después llega el </w:t>
      </w:r>
      <w:r>
        <w:rPr>
          <w:rFonts w:ascii="Bookman Old Style" w:hAnsi="Bookman Old Style"/>
          <w:i/>
          <w:sz w:val="24"/>
          <w:szCs w:val="24"/>
          <w:lang w:val="es-CO"/>
        </w:rPr>
        <w:t>comandante c</w:t>
      </w:r>
      <w:r w:rsidRPr="006A0469">
        <w:rPr>
          <w:rFonts w:ascii="Bookman Old Style" w:hAnsi="Bookman Old Style"/>
          <w:i/>
          <w:sz w:val="24"/>
          <w:szCs w:val="24"/>
          <w:lang w:val="es-CO"/>
        </w:rPr>
        <w:t xml:space="preserve">onocido como </w:t>
      </w:r>
      <w:r>
        <w:rPr>
          <w:rFonts w:ascii="Bookman Old Style" w:hAnsi="Bookman Old Style"/>
          <w:i/>
          <w:sz w:val="24"/>
          <w:szCs w:val="24"/>
          <w:lang w:val="es-CO"/>
        </w:rPr>
        <w:t>‘</w:t>
      </w:r>
      <w:r w:rsidRPr="006A0469">
        <w:rPr>
          <w:rFonts w:ascii="Bookman Old Style" w:hAnsi="Bookman Old Style"/>
          <w:i/>
          <w:sz w:val="24"/>
          <w:szCs w:val="24"/>
          <w:lang w:val="es-CO"/>
        </w:rPr>
        <w:t>cadete</w:t>
      </w:r>
      <w:r>
        <w:rPr>
          <w:rFonts w:ascii="Bookman Old Style" w:hAnsi="Bookman Old Style"/>
          <w:i/>
          <w:sz w:val="24"/>
          <w:szCs w:val="24"/>
          <w:lang w:val="es-CO"/>
        </w:rPr>
        <w:t>’ y pert</w:t>
      </w:r>
      <w:r w:rsidRPr="006A0469">
        <w:rPr>
          <w:rFonts w:ascii="Bookman Old Style" w:hAnsi="Bookman Old Style"/>
          <w:i/>
          <w:sz w:val="24"/>
          <w:szCs w:val="24"/>
          <w:lang w:val="es-CO"/>
        </w:rPr>
        <w:t>e</w:t>
      </w:r>
      <w:r>
        <w:rPr>
          <w:rFonts w:ascii="Bookman Old Style" w:hAnsi="Bookman Old Style"/>
          <w:i/>
          <w:sz w:val="24"/>
          <w:szCs w:val="24"/>
          <w:lang w:val="es-CO"/>
        </w:rPr>
        <w:t>ne</w:t>
      </w:r>
      <w:r w:rsidRPr="006A0469">
        <w:rPr>
          <w:rFonts w:ascii="Bookman Old Style" w:hAnsi="Bookman Old Style"/>
          <w:i/>
          <w:sz w:val="24"/>
          <w:szCs w:val="24"/>
          <w:lang w:val="es-CO"/>
        </w:rPr>
        <w:t>ciente a la guerrilla del</w:t>
      </w:r>
      <w:r>
        <w:rPr>
          <w:rFonts w:ascii="Bookman Old Style" w:hAnsi="Bookman Old Style"/>
          <w:i/>
          <w:sz w:val="24"/>
          <w:szCs w:val="24"/>
          <w:lang w:val="es-CO"/>
        </w:rPr>
        <w:t xml:space="preserve"> frente 16 y se lleva los res</w:t>
      </w:r>
      <w:r w:rsidRPr="006A0469">
        <w:rPr>
          <w:rFonts w:ascii="Bookman Old Style" w:hAnsi="Bookman Old Style"/>
          <w:i/>
          <w:sz w:val="24"/>
          <w:szCs w:val="24"/>
          <w:lang w:val="es-CO"/>
        </w:rPr>
        <w:t>tos de e</w:t>
      </w:r>
      <w:r>
        <w:rPr>
          <w:rFonts w:ascii="Bookman Old Style" w:hAnsi="Bookman Old Style"/>
          <w:i/>
          <w:sz w:val="24"/>
          <w:szCs w:val="24"/>
          <w:lang w:val="es-CO"/>
        </w:rPr>
        <w:t>s</w:t>
      </w:r>
      <w:r w:rsidRPr="006A0469">
        <w:rPr>
          <w:rFonts w:ascii="Bookman Old Style" w:hAnsi="Bookman Old Style"/>
          <w:i/>
          <w:sz w:val="24"/>
          <w:szCs w:val="24"/>
          <w:lang w:val="es-CO"/>
        </w:rPr>
        <w:t xml:space="preserve">tas dos personas, es decir, de lapo y narices. La incursión a la población </w:t>
      </w:r>
      <w:r>
        <w:rPr>
          <w:rFonts w:ascii="Bookman Old Style" w:hAnsi="Bookman Old Style"/>
          <w:i/>
          <w:sz w:val="24"/>
          <w:szCs w:val="24"/>
          <w:lang w:val="es-CO"/>
        </w:rPr>
        <w:t>de S</w:t>
      </w:r>
      <w:r w:rsidRPr="006A0469">
        <w:rPr>
          <w:rFonts w:ascii="Bookman Old Style" w:hAnsi="Bookman Old Style"/>
          <w:i/>
          <w:sz w:val="24"/>
          <w:szCs w:val="24"/>
          <w:lang w:val="es-CO"/>
        </w:rPr>
        <w:t xml:space="preserve">an Teodoro </w:t>
      </w:r>
      <w:r>
        <w:rPr>
          <w:rFonts w:ascii="Bookman Old Style" w:hAnsi="Bookman Old Style"/>
          <w:i/>
          <w:sz w:val="24"/>
          <w:szCs w:val="24"/>
          <w:lang w:val="es-CO"/>
        </w:rPr>
        <w:t>a</w:t>
      </w:r>
      <w:r w:rsidRPr="006A0469">
        <w:rPr>
          <w:rFonts w:ascii="Bookman Old Style" w:hAnsi="Bookman Old Style"/>
          <w:i/>
          <w:sz w:val="24"/>
          <w:szCs w:val="24"/>
          <w:lang w:val="es-CO"/>
        </w:rPr>
        <w:t>quel 3 de mayo de 1999 donde se suscitan una serie de injustos que l</w:t>
      </w:r>
      <w:r>
        <w:rPr>
          <w:rFonts w:ascii="Bookman Old Style" w:hAnsi="Bookman Old Style"/>
          <w:i/>
          <w:sz w:val="24"/>
          <w:szCs w:val="24"/>
          <w:lang w:val="es-CO"/>
        </w:rPr>
        <w:t>a fiscalí</w:t>
      </w:r>
      <w:r w:rsidRPr="006A0469">
        <w:rPr>
          <w:rFonts w:ascii="Bookman Old Style" w:hAnsi="Bookman Old Style"/>
          <w:i/>
          <w:sz w:val="24"/>
          <w:szCs w:val="24"/>
          <w:lang w:val="es-CO"/>
        </w:rPr>
        <w:t xml:space="preserve">a </w:t>
      </w:r>
      <w:r>
        <w:rPr>
          <w:rFonts w:ascii="Bookman Old Style" w:hAnsi="Bookman Old Style"/>
          <w:i/>
          <w:sz w:val="24"/>
          <w:szCs w:val="24"/>
          <w:lang w:val="es-CO"/>
        </w:rPr>
        <w:t>acusará fue protago</w:t>
      </w:r>
      <w:r w:rsidRPr="006A0469">
        <w:rPr>
          <w:rFonts w:ascii="Bookman Old Style" w:hAnsi="Bookman Old Style"/>
          <w:i/>
          <w:sz w:val="24"/>
          <w:szCs w:val="24"/>
          <w:lang w:val="es-CO"/>
        </w:rPr>
        <w:t>nizada por tres grupos armados ilegales: el</w:t>
      </w:r>
      <w:r>
        <w:rPr>
          <w:rFonts w:ascii="Bookman Old Style" w:hAnsi="Bookman Old Style"/>
          <w:i/>
          <w:sz w:val="24"/>
          <w:szCs w:val="24"/>
          <w:lang w:val="es-CO"/>
        </w:rPr>
        <w:t xml:space="preserve"> b</w:t>
      </w:r>
      <w:r w:rsidRPr="006A0469">
        <w:rPr>
          <w:rFonts w:ascii="Bookman Old Style" w:hAnsi="Bookman Old Style"/>
          <w:i/>
          <w:sz w:val="24"/>
          <w:szCs w:val="24"/>
          <w:lang w:val="es-CO"/>
        </w:rPr>
        <w:t>loque oriental</w:t>
      </w:r>
      <w:r>
        <w:rPr>
          <w:rFonts w:ascii="Bookman Old Style" w:hAnsi="Bookman Old Style"/>
          <w:i/>
          <w:sz w:val="24"/>
          <w:szCs w:val="24"/>
          <w:lang w:val="es-CO"/>
        </w:rPr>
        <w:t xml:space="preserve"> (…)</w:t>
      </w:r>
      <w:r w:rsidRPr="006A0469">
        <w:rPr>
          <w:rFonts w:ascii="Bookman Old Style" w:hAnsi="Bookman Old Style"/>
          <w:i/>
          <w:sz w:val="24"/>
          <w:szCs w:val="24"/>
          <w:lang w:val="es-CO"/>
        </w:rPr>
        <w:t>,</w:t>
      </w:r>
      <w:r>
        <w:rPr>
          <w:rFonts w:ascii="Bookman Old Style" w:hAnsi="Bookman Old Style"/>
          <w:i/>
          <w:sz w:val="24"/>
          <w:szCs w:val="24"/>
          <w:lang w:val="es-CO"/>
        </w:rPr>
        <w:t xml:space="preserve"> </w:t>
      </w:r>
      <w:r w:rsidRPr="006A0469">
        <w:rPr>
          <w:rFonts w:ascii="Bookman Old Style" w:hAnsi="Bookman Old Style"/>
          <w:i/>
          <w:sz w:val="24"/>
          <w:szCs w:val="24"/>
          <w:lang w:val="es-CO"/>
        </w:rPr>
        <w:t>en donde est</w:t>
      </w:r>
      <w:r>
        <w:rPr>
          <w:rFonts w:ascii="Bookman Old Style" w:hAnsi="Bookman Old Style"/>
          <w:i/>
          <w:sz w:val="24"/>
          <w:szCs w:val="24"/>
          <w:lang w:val="es-CO"/>
        </w:rPr>
        <w:t>uvieron presentes en su condició</w:t>
      </w:r>
      <w:r w:rsidRPr="006A0469">
        <w:rPr>
          <w:rFonts w:ascii="Bookman Old Style" w:hAnsi="Bookman Old Style"/>
          <w:i/>
          <w:sz w:val="24"/>
          <w:szCs w:val="24"/>
          <w:lang w:val="es-CO"/>
        </w:rPr>
        <w:t xml:space="preserve">n de </w:t>
      </w:r>
      <w:r>
        <w:rPr>
          <w:rFonts w:ascii="Bookman Old Style" w:hAnsi="Bookman Old Style"/>
          <w:i/>
          <w:sz w:val="24"/>
          <w:szCs w:val="24"/>
          <w:lang w:val="es-CO"/>
        </w:rPr>
        <w:t>comandante</w:t>
      </w:r>
      <w:r w:rsidRPr="006A0469">
        <w:rPr>
          <w:rFonts w:ascii="Bookman Old Style" w:hAnsi="Bookman Old Style"/>
          <w:i/>
          <w:sz w:val="24"/>
          <w:szCs w:val="24"/>
          <w:lang w:val="es-CO"/>
        </w:rPr>
        <w:t xml:space="preserve"> general y mil</w:t>
      </w:r>
      <w:r>
        <w:rPr>
          <w:rFonts w:ascii="Bookman Old Style" w:hAnsi="Bookman Old Style"/>
          <w:i/>
          <w:sz w:val="24"/>
          <w:szCs w:val="24"/>
          <w:lang w:val="es-CO"/>
        </w:rPr>
        <w:t>it</w:t>
      </w:r>
      <w:r w:rsidRPr="006A0469">
        <w:rPr>
          <w:rFonts w:ascii="Bookman Old Style" w:hAnsi="Bookman Old Style"/>
          <w:i/>
          <w:sz w:val="24"/>
          <w:szCs w:val="24"/>
          <w:lang w:val="es-CO"/>
        </w:rPr>
        <w:t xml:space="preserve">ar </w:t>
      </w:r>
      <w:r>
        <w:rPr>
          <w:rFonts w:ascii="Bookman Old Style" w:hAnsi="Bookman Old Style"/>
          <w:i/>
          <w:sz w:val="24"/>
          <w:szCs w:val="24"/>
          <w:lang w:val="es-CO"/>
        </w:rPr>
        <w:t>JOSÉ BALDOMERO LINARES y RAFAEL SALGADO MERCHÁN, los otros, por las A</w:t>
      </w:r>
      <w:r w:rsidRPr="006A0469">
        <w:rPr>
          <w:rFonts w:ascii="Bookman Old Style" w:hAnsi="Bookman Old Style"/>
          <w:i/>
          <w:sz w:val="24"/>
          <w:szCs w:val="24"/>
          <w:lang w:val="es-CO"/>
        </w:rPr>
        <w:t>u</w:t>
      </w:r>
      <w:r>
        <w:rPr>
          <w:rFonts w:ascii="Bookman Old Style" w:hAnsi="Bookman Old Style"/>
          <w:i/>
          <w:sz w:val="24"/>
          <w:szCs w:val="24"/>
          <w:lang w:val="es-CO"/>
        </w:rPr>
        <w:t>todefensas de Córdoba y Urabá…</w:t>
      </w:r>
      <w:r w:rsidRPr="006A0469">
        <w:rPr>
          <w:rFonts w:ascii="Bookman Old Style" w:hAnsi="Bookman Old Style"/>
          <w:i/>
          <w:sz w:val="24"/>
          <w:szCs w:val="24"/>
          <w:lang w:val="es-CO"/>
        </w:rPr>
        <w:t xml:space="preserve"> y el otro grupo</w:t>
      </w:r>
      <w:r>
        <w:rPr>
          <w:rFonts w:ascii="Bookman Old Style" w:hAnsi="Bookman Old Style"/>
          <w:i/>
          <w:sz w:val="24"/>
          <w:szCs w:val="24"/>
          <w:lang w:val="es-CO"/>
        </w:rPr>
        <w:t xml:space="preserve"> por los ‘Bu</w:t>
      </w:r>
      <w:r w:rsidRPr="006A0469">
        <w:rPr>
          <w:rFonts w:ascii="Bookman Old Style" w:hAnsi="Bookman Old Style"/>
          <w:i/>
          <w:sz w:val="24"/>
          <w:szCs w:val="24"/>
          <w:lang w:val="es-CO"/>
        </w:rPr>
        <w:t>itragos</w:t>
      </w:r>
      <w:r>
        <w:rPr>
          <w:rFonts w:ascii="Bookman Old Style" w:hAnsi="Bookman Old Style"/>
          <w:i/>
          <w:sz w:val="24"/>
          <w:szCs w:val="24"/>
          <w:lang w:val="es-CO"/>
        </w:rPr>
        <w:t>’ o ‘B</w:t>
      </w:r>
      <w:r w:rsidRPr="006A0469">
        <w:rPr>
          <w:rFonts w:ascii="Bookman Old Style" w:hAnsi="Bookman Old Style"/>
          <w:i/>
          <w:sz w:val="24"/>
          <w:szCs w:val="24"/>
          <w:lang w:val="es-CO"/>
        </w:rPr>
        <w:t>uitragueños</w:t>
      </w:r>
      <w:r>
        <w:rPr>
          <w:rFonts w:ascii="Bookman Old Style" w:hAnsi="Bookman Old Style"/>
          <w:i/>
          <w:sz w:val="24"/>
          <w:szCs w:val="24"/>
          <w:lang w:val="es-CO"/>
        </w:rPr>
        <w:t>’</w:t>
      </w:r>
      <w:r w:rsidRPr="006A0469">
        <w:rPr>
          <w:rFonts w:ascii="Bookman Old Style" w:hAnsi="Bookman Old Style"/>
          <w:i/>
          <w:sz w:val="24"/>
          <w:szCs w:val="24"/>
          <w:lang w:val="es-CO"/>
        </w:rPr>
        <w:t>.</w:t>
      </w:r>
    </w:p>
    <w:p w:rsidR="00AD777C" w:rsidRDefault="00AD777C" w:rsidP="00AD777C">
      <w:pPr>
        <w:spacing w:line="360" w:lineRule="auto"/>
        <w:ind w:left="708"/>
        <w:jc w:val="both"/>
        <w:rPr>
          <w:rFonts w:ascii="Bookman Old Style" w:hAnsi="Bookman Old Style"/>
          <w:i/>
          <w:sz w:val="24"/>
          <w:szCs w:val="24"/>
          <w:lang w:val="es-CO"/>
        </w:rPr>
      </w:pPr>
      <w:r>
        <w:rPr>
          <w:rFonts w:ascii="Bookman Old Style" w:hAnsi="Bookman Old Style"/>
          <w:i/>
          <w:sz w:val="24"/>
          <w:szCs w:val="24"/>
          <w:lang w:val="es-CO"/>
        </w:rPr>
        <w:t>(…)</w:t>
      </w:r>
    </w:p>
    <w:p w:rsidR="00AD777C" w:rsidRDefault="00AD777C" w:rsidP="00AD777C">
      <w:pPr>
        <w:spacing w:line="360" w:lineRule="auto"/>
        <w:jc w:val="both"/>
        <w:rPr>
          <w:rFonts w:ascii="Bookman Old Style" w:hAnsi="Bookman Old Style"/>
          <w:i/>
          <w:sz w:val="24"/>
          <w:szCs w:val="24"/>
          <w:lang w:val="es-CO"/>
        </w:rPr>
      </w:pPr>
    </w:p>
    <w:p w:rsidR="00AD777C" w:rsidRPr="00C55501" w:rsidRDefault="00AD777C" w:rsidP="00AD777C">
      <w:pPr>
        <w:spacing w:line="360" w:lineRule="auto"/>
        <w:ind w:left="708"/>
        <w:jc w:val="both"/>
        <w:rPr>
          <w:rFonts w:ascii="Bookman Old Style" w:hAnsi="Bookman Old Style"/>
          <w:i/>
          <w:sz w:val="24"/>
          <w:szCs w:val="24"/>
          <w:lang w:val="es-CO"/>
        </w:rPr>
      </w:pPr>
      <w:r w:rsidRPr="00C55501">
        <w:rPr>
          <w:rFonts w:ascii="Bookman Old Style" w:hAnsi="Bookman Old Style"/>
          <w:i/>
          <w:sz w:val="24"/>
          <w:szCs w:val="24"/>
          <w:lang w:val="es-CO"/>
        </w:rPr>
        <w:t xml:space="preserve">Entre tanto, la señora </w:t>
      </w:r>
      <w:r>
        <w:rPr>
          <w:rFonts w:ascii="Bookman Old Style" w:hAnsi="Bookman Old Style"/>
          <w:i/>
          <w:sz w:val="24"/>
          <w:szCs w:val="24"/>
          <w:lang w:val="es-CO"/>
        </w:rPr>
        <w:t>Ana Delia Gutiérrez Herrenum</w:t>
      </w:r>
      <w:r w:rsidRPr="00C55501">
        <w:rPr>
          <w:rFonts w:ascii="Bookman Old Style" w:hAnsi="Bookman Old Style"/>
          <w:i/>
          <w:sz w:val="24"/>
          <w:szCs w:val="24"/>
          <w:lang w:val="es-CO"/>
        </w:rPr>
        <w:t>a relata haber perdi</w:t>
      </w:r>
      <w:r>
        <w:rPr>
          <w:rFonts w:ascii="Bookman Old Style" w:hAnsi="Bookman Old Style"/>
          <w:i/>
          <w:sz w:val="24"/>
          <w:szCs w:val="24"/>
          <w:lang w:val="es-CO"/>
        </w:rPr>
        <w:t>d</w:t>
      </w:r>
      <w:r w:rsidRPr="00C55501">
        <w:rPr>
          <w:rFonts w:ascii="Bookman Old Style" w:hAnsi="Bookman Old Style"/>
          <w:i/>
          <w:sz w:val="24"/>
          <w:szCs w:val="24"/>
          <w:lang w:val="es-CO"/>
        </w:rPr>
        <w:t>o absolutamente todo lo que había en su vivienda, sus mejoras, y enseres que allí</w:t>
      </w:r>
      <w:r>
        <w:rPr>
          <w:rFonts w:ascii="Bookman Old Style" w:hAnsi="Bookman Old Style"/>
          <w:i/>
          <w:sz w:val="24"/>
          <w:szCs w:val="24"/>
          <w:lang w:val="es-CO"/>
        </w:rPr>
        <w:t xml:space="preserve"> tenía, al igual que la moto Suz</w:t>
      </w:r>
      <w:r w:rsidRPr="00C55501">
        <w:rPr>
          <w:rFonts w:ascii="Bookman Old Style" w:hAnsi="Bookman Old Style"/>
          <w:i/>
          <w:sz w:val="24"/>
          <w:szCs w:val="24"/>
          <w:lang w:val="es-CO"/>
        </w:rPr>
        <w:t>uki TS125</w:t>
      </w:r>
      <w:r>
        <w:rPr>
          <w:rFonts w:ascii="Bookman Old Style" w:hAnsi="Bookman Old Style"/>
          <w:i/>
          <w:sz w:val="24"/>
          <w:szCs w:val="24"/>
          <w:lang w:val="es-CO"/>
        </w:rPr>
        <w:t>,</w:t>
      </w:r>
      <w:r w:rsidRPr="00C55501">
        <w:rPr>
          <w:rFonts w:ascii="Bookman Old Style" w:hAnsi="Bookman Old Style"/>
          <w:i/>
          <w:sz w:val="24"/>
          <w:szCs w:val="24"/>
          <w:lang w:val="es-CO"/>
        </w:rPr>
        <w:t xml:space="preserve"> color azul de placas ABU09A que fue hur</w:t>
      </w:r>
      <w:r>
        <w:rPr>
          <w:rFonts w:ascii="Bookman Old Style" w:hAnsi="Bookman Old Style"/>
          <w:i/>
          <w:sz w:val="24"/>
          <w:szCs w:val="24"/>
          <w:lang w:val="es-CO"/>
        </w:rPr>
        <w:t>tada por los paramilitares.</w:t>
      </w:r>
    </w:p>
    <w:p w:rsidR="00AD777C" w:rsidRDefault="00AD777C" w:rsidP="00AD777C">
      <w:pPr>
        <w:spacing w:line="360" w:lineRule="auto"/>
        <w:ind w:right="-187" w:firstLine="708"/>
        <w:jc w:val="both"/>
        <w:rPr>
          <w:rFonts w:ascii="Bookman Old Style" w:hAnsi="Bookman Old Style"/>
          <w:i/>
          <w:sz w:val="24"/>
          <w:szCs w:val="24"/>
        </w:rPr>
      </w:pPr>
      <w:r>
        <w:rPr>
          <w:rFonts w:ascii="Bookman Old Style" w:hAnsi="Bookman Old Style"/>
          <w:i/>
          <w:sz w:val="24"/>
          <w:szCs w:val="24"/>
        </w:rPr>
        <w:t>(…)</w:t>
      </w:r>
    </w:p>
    <w:p w:rsidR="00AD777C" w:rsidRPr="00B030E9" w:rsidRDefault="00AD777C" w:rsidP="00AD777C">
      <w:pPr>
        <w:spacing w:line="360" w:lineRule="auto"/>
        <w:ind w:left="709"/>
        <w:jc w:val="both"/>
        <w:rPr>
          <w:rFonts w:ascii="Bookman Old Style" w:hAnsi="Bookman Old Style"/>
          <w:i/>
          <w:sz w:val="24"/>
          <w:szCs w:val="24"/>
          <w:lang w:val="es-CO"/>
        </w:rPr>
      </w:pPr>
      <w:r w:rsidRPr="00B030E9">
        <w:rPr>
          <w:rFonts w:ascii="Bookman Old Style" w:hAnsi="Bookman Old Style"/>
          <w:i/>
          <w:sz w:val="24"/>
          <w:szCs w:val="24"/>
          <w:lang w:val="es-CO"/>
        </w:rPr>
        <w:t>En ese contexto, señoría</w:t>
      </w:r>
      <w:r>
        <w:rPr>
          <w:rFonts w:ascii="Bookman Old Style" w:hAnsi="Bookman Old Style"/>
          <w:i/>
          <w:sz w:val="24"/>
          <w:szCs w:val="24"/>
          <w:lang w:val="es-CO"/>
        </w:rPr>
        <w:t>,</w:t>
      </w:r>
      <w:r w:rsidRPr="00B030E9">
        <w:rPr>
          <w:rFonts w:ascii="Bookman Old Style" w:hAnsi="Bookman Old Style"/>
          <w:i/>
          <w:sz w:val="24"/>
          <w:szCs w:val="24"/>
          <w:lang w:val="es-CO"/>
        </w:rPr>
        <w:t xml:space="preserve"> la fiscalía considera que el concurso de homicidios ya r</w:t>
      </w:r>
      <w:r>
        <w:rPr>
          <w:rFonts w:ascii="Bookman Old Style" w:hAnsi="Bookman Old Style"/>
          <w:i/>
          <w:sz w:val="24"/>
          <w:szCs w:val="24"/>
          <w:lang w:val="es-CO"/>
        </w:rPr>
        <w:t>e</w:t>
      </w:r>
      <w:r w:rsidRPr="00B030E9">
        <w:rPr>
          <w:rFonts w:ascii="Bookman Old Style" w:hAnsi="Bookman Old Style"/>
          <w:i/>
          <w:sz w:val="24"/>
          <w:szCs w:val="24"/>
          <w:lang w:val="es-CO"/>
        </w:rPr>
        <w:t>ferenciados al s</w:t>
      </w:r>
      <w:r>
        <w:rPr>
          <w:rFonts w:ascii="Bookman Old Style" w:hAnsi="Bookman Old Style"/>
          <w:i/>
          <w:sz w:val="24"/>
          <w:szCs w:val="24"/>
          <w:lang w:val="es-CO"/>
        </w:rPr>
        <w:t>eñor</w:t>
      </w:r>
      <w:r w:rsidRPr="00B030E9">
        <w:rPr>
          <w:rFonts w:ascii="Bookman Old Style" w:hAnsi="Bookman Old Style"/>
          <w:i/>
          <w:sz w:val="24"/>
          <w:szCs w:val="24"/>
          <w:lang w:val="es-CO"/>
        </w:rPr>
        <w:t xml:space="preserve"> LINARES MORENO y al señor SALGADO MERCHAN, se debe </w:t>
      </w:r>
      <w:r>
        <w:rPr>
          <w:rFonts w:ascii="Bookman Old Style" w:hAnsi="Bookman Old Style"/>
          <w:i/>
          <w:sz w:val="24"/>
          <w:szCs w:val="24"/>
          <w:lang w:val="es-CO"/>
        </w:rPr>
        <w:t>concursar heterogé</w:t>
      </w:r>
      <w:r w:rsidRPr="00B030E9">
        <w:rPr>
          <w:rFonts w:ascii="Bookman Old Style" w:hAnsi="Bookman Old Style"/>
          <w:i/>
          <w:sz w:val="24"/>
          <w:szCs w:val="24"/>
          <w:lang w:val="es-CO"/>
        </w:rPr>
        <w:t>n</w:t>
      </w:r>
      <w:r>
        <w:rPr>
          <w:rFonts w:ascii="Bookman Old Style" w:hAnsi="Bookman Old Style"/>
          <w:i/>
          <w:sz w:val="24"/>
          <w:szCs w:val="24"/>
          <w:lang w:val="es-CO"/>
        </w:rPr>
        <w:t>e</w:t>
      </w:r>
      <w:r w:rsidRPr="00B030E9">
        <w:rPr>
          <w:rFonts w:ascii="Bookman Old Style" w:hAnsi="Bookman Old Style"/>
          <w:i/>
          <w:sz w:val="24"/>
          <w:szCs w:val="24"/>
          <w:lang w:val="es-CO"/>
        </w:rPr>
        <w:t>amente por los hurto</w:t>
      </w:r>
      <w:r>
        <w:rPr>
          <w:rFonts w:ascii="Bookman Old Style" w:hAnsi="Bookman Old Style"/>
          <w:i/>
          <w:sz w:val="24"/>
          <w:szCs w:val="24"/>
          <w:lang w:val="es-CO"/>
        </w:rPr>
        <w:t>s</w:t>
      </w:r>
      <w:r w:rsidRPr="00B030E9">
        <w:rPr>
          <w:rFonts w:ascii="Bookman Old Style" w:hAnsi="Bookman Old Style"/>
          <w:i/>
          <w:sz w:val="24"/>
          <w:szCs w:val="24"/>
          <w:lang w:val="es-CO"/>
        </w:rPr>
        <w:t xml:space="preserve"> calificados, art</w:t>
      </w:r>
      <w:r>
        <w:rPr>
          <w:rFonts w:ascii="Bookman Old Style" w:hAnsi="Bookman Old Style"/>
          <w:i/>
          <w:sz w:val="24"/>
          <w:szCs w:val="24"/>
          <w:lang w:val="es-CO"/>
        </w:rPr>
        <w:t>ículo</w:t>
      </w:r>
      <w:r w:rsidRPr="00B030E9">
        <w:rPr>
          <w:rFonts w:ascii="Bookman Old Style" w:hAnsi="Bookman Old Style"/>
          <w:i/>
          <w:sz w:val="24"/>
          <w:szCs w:val="24"/>
          <w:lang w:val="es-CO"/>
        </w:rPr>
        <w:t xml:space="preserve"> 350</w:t>
      </w:r>
      <w:r>
        <w:rPr>
          <w:rFonts w:ascii="Bookman Old Style" w:hAnsi="Bookman Old Style"/>
          <w:i/>
          <w:sz w:val="24"/>
          <w:szCs w:val="24"/>
          <w:lang w:val="es-CO"/>
        </w:rPr>
        <w:t>, inci</w:t>
      </w:r>
      <w:r w:rsidRPr="00B030E9">
        <w:rPr>
          <w:rFonts w:ascii="Bookman Old Style" w:hAnsi="Bookman Old Style"/>
          <w:i/>
          <w:sz w:val="24"/>
          <w:szCs w:val="24"/>
          <w:lang w:val="es-CO"/>
        </w:rPr>
        <w:t xml:space="preserve">sos 1 y 2 de que fueron víctimas los patrimonios económicos de los señores URIEL MONCADA INFANTE, </w:t>
      </w:r>
      <w:r>
        <w:rPr>
          <w:rFonts w:ascii="Bookman Old Style" w:hAnsi="Bookman Old Style"/>
          <w:b/>
          <w:i/>
          <w:sz w:val="24"/>
          <w:szCs w:val="24"/>
          <w:lang w:val="es-CO"/>
        </w:rPr>
        <w:t>ANA DELIA GUTIERREZ HERREN</w:t>
      </w:r>
      <w:r w:rsidRPr="00B030E9">
        <w:rPr>
          <w:rFonts w:ascii="Bookman Old Style" w:hAnsi="Bookman Old Style"/>
          <w:b/>
          <w:i/>
          <w:sz w:val="24"/>
          <w:szCs w:val="24"/>
          <w:lang w:val="es-CO"/>
        </w:rPr>
        <w:t>UNA</w:t>
      </w:r>
      <w:r w:rsidRPr="00B030E9">
        <w:rPr>
          <w:rFonts w:ascii="Bookman Old Style" w:hAnsi="Bookman Old Style"/>
          <w:i/>
          <w:sz w:val="24"/>
          <w:szCs w:val="24"/>
          <w:lang w:val="es-CO"/>
        </w:rPr>
        <w:t>, LUIS MIREYA BUSAI GUALDRON, RAFAEL HUMBERTO SANTOS PONARE</w:t>
      </w:r>
      <w:r>
        <w:rPr>
          <w:rFonts w:ascii="Bookman Old Style" w:hAnsi="Bookman Old Style"/>
          <w:i/>
          <w:sz w:val="24"/>
          <w:szCs w:val="24"/>
          <w:lang w:val="es-CO"/>
        </w:rPr>
        <w:t>, MAR</w:t>
      </w:r>
      <w:r w:rsidRPr="00B030E9">
        <w:rPr>
          <w:rFonts w:ascii="Bookman Old Style" w:hAnsi="Bookman Old Style"/>
          <w:i/>
          <w:sz w:val="24"/>
          <w:szCs w:val="24"/>
          <w:lang w:val="es-CO"/>
        </w:rPr>
        <w:t>Y</w:t>
      </w:r>
      <w:r>
        <w:rPr>
          <w:rFonts w:ascii="Bookman Old Style" w:hAnsi="Bookman Old Style"/>
          <w:i/>
          <w:sz w:val="24"/>
          <w:szCs w:val="24"/>
          <w:lang w:val="es-CO"/>
        </w:rPr>
        <w:t>URIS CANTOR MORENO y SILVIA MARÍA GODOY, conducta ésta que también debe ser concursada heterogéneame</w:t>
      </w:r>
      <w:r w:rsidRPr="00B030E9">
        <w:rPr>
          <w:rFonts w:ascii="Bookman Old Style" w:hAnsi="Bookman Old Style"/>
          <w:i/>
          <w:sz w:val="24"/>
          <w:szCs w:val="24"/>
          <w:lang w:val="es-CO"/>
        </w:rPr>
        <w:t>nte por el delito</w:t>
      </w:r>
      <w:r>
        <w:rPr>
          <w:rFonts w:ascii="Bookman Old Style" w:hAnsi="Bookman Old Style"/>
          <w:i/>
          <w:sz w:val="24"/>
          <w:szCs w:val="24"/>
          <w:lang w:val="es-CO"/>
        </w:rPr>
        <w:t xml:space="preserve"> d</w:t>
      </w:r>
      <w:r w:rsidRPr="00B030E9">
        <w:rPr>
          <w:rFonts w:ascii="Bookman Old Style" w:hAnsi="Bookman Old Style"/>
          <w:i/>
          <w:sz w:val="24"/>
          <w:szCs w:val="24"/>
          <w:lang w:val="es-CO"/>
        </w:rPr>
        <w:t>e terrorismo, previsto en el art</w:t>
      </w:r>
      <w:r>
        <w:rPr>
          <w:rFonts w:ascii="Bookman Old Style" w:hAnsi="Bookman Old Style"/>
          <w:i/>
          <w:sz w:val="24"/>
          <w:szCs w:val="24"/>
          <w:lang w:val="es-CO"/>
        </w:rPr>
        <w:t>ículo</w:t>
      </w:r>
      <w:r w:rsidRPr="00B030E9">
        <w:rPr>
          <w:rFonts w:ascii="Bookman Old Style" w:hAnsi="Bookman Old Style"/>
          <w:i/>
          <w:sz w:val="24"/>
          <w:szCs w:val="24"/>
          <w:lang w:val="es-CO"/>
        </w:rPr>
        <w:t xml:space="preserve"> 187 del C</w:t>
      </w:r>
      <w:r>
        <w:rPr>
          <w:rFonts w:ascii="Bookman Old Style" w:hAnsi="Bookman Old Style"/>
          <w:i/>
          <w:sz w:val="24"/>
          <w:szCs w:val="24"/>
          <w:lang w:val="es-CO"/>
        </w:rPr>
        <w:t>ódigo Penal, mo</w:t>
      </w:r>
      <w:r w:rsidRPr="00B030E9">
        <w:rPr>
          <w:rFonts w:ascii="Bookman Old Style" w:hAnsi="Bookman Old Style"/>
          <w:i/>
          <w:sz w:val="24"/>
          <w:szCs w:val="24"/>
          <w:lang w:val="es-CO"/>
        </w:rPr>
        <w:t>di</w:t>
      </w:r>
      <w:r>
        <w:rPr>
          <w:rFonts w:ascii="Bookman Old Style" w:hAnsi="Bookman Old Style"/>
          <w:i/>
          <w:sz w:val="24"/>
          <w:szCs w:val="24"/>
          <w:lang w:val="es-CO"/>
        </w:rPr>
        <w:t>ficado por el Decreto 2266 de 1991, artículo 4, toda vez que para la época</w:t>
      </w:r>
      <w:r w:rsidRPr="00B030E9">
        <w:rPr>
          <w:rFonts w:ascii="Bookman Old Style" w:hAnsi="Bookman Old Style"/>
          <w:i/>
          <w:sz w:val="24"/>
          <w:szCs w:val="24"/>
          <w:lang w:val="es-CO"/>
        </w:rPr>
        <w:t xml:space="preserve"> en que ocurrieron estos episodios no estaba previsto el delito de desplazamiento forzado. Espero</w:t>
      </w:r>
      <w:r>
        <w:rPr>
          <w:rFonts w:ascii="Bookman Old Style" w:hAnsi="Bookman Old Style"/>
          <w:i/>
          <w:sz w:val="24"/>
          <w:szCs w:val="24"/>
          <w:lang w:val="es-CO"/>
        </w:rPr>
        <w:t>,</w:t>
      </w:r>
      <w:r w:rsidRPr="00B030E9">
        <w:rPr>
          <w:rFonts w:ascii="Bookman Old Style" w:hAnsi="Bookman Old Style"/>
          <w:i/>
          <w:sz w:val="24"/>
          <w:szCs w:val="24"/>
          <w:lang w:val="es-CO"/>
        </w:rPr>
        <w:t xml:space="preserve"> </w:t>
      </w:r>
      <w:r>
        <w:rPr>
          <w:rFonts w:ascii="Bookman Old Style" w:hAnsi="Bookman Old Style"/>
          <w:i/>
          <w:sz w:val="24"/>
          <w:szCs w:val="24"/>
          <w:lang w:val="es-CO"/>
        </w:rPr>
        <w:t>Señorí</w:t>
      </w:r>
      <w:r w:rsidRPr="00B030E9">
        <w:rPr>
          <w:rFonts w:ascii="Bookman Old Style" w:hAnsi="Bookman Old Style"/>
          <w:i/>
          <w:sz w:val="24"/>
          <w:szCs w:val="24"/>
          <w:lang w:val="es-CO"/>
        </w:rPr>
        <w:t>a</w:t>
      </w:r>
      <w:r>
        <w:rPr>
          <w:rFonts w:ascii="Bookman Old Style" w:hAnsi="Bookman Old Style"/>
          <w:i/>
          <w:sz w:val="24"/>
          <w:szCs w:val="24"/>
          <w:lang w:val="es-CO"/>
        </w:rPr>
        <w:t>,</w:t>
      </w:r>
      <w:r w:rsidRPr="00B030E9">
        <w:rPr>
          <w:rFonts w:ascii="Bookman Old Style" w:hAnsi="Bookman Old Style"/>
          <w:i/>
          <w:sz w:val="24"/>
          <w:szCs w:val="24"/>
          <w:lang w:val="es-CO"/>
        </w:rPr>
        <w:t xml:space="preserve"> que con base en la </w:t>
      </w:r>
      <w:r>
        <w:rPr>
          <w:rFonts w:ascii="Bookman Old Style" w:hAnsi="Bookman Old Style"/>
          <w:i/>
          <w:sz w:val="24"/>
          <w:szCs w:val="24"/>
          <w:lang w:val="es-CO"/>
        </w:rPr>
        <w:t>información</w:t>
      </w:r>
      <w:r w:rsidRPr="00B030E9">
        <w:rPr>
          <w:rFonts w:ascii="Bookman Old Style" w:hAnsi="Bookman Old Style"/>
          <w:i/>
          <w:sz w:val="24"/>
          <w:szCs w:val="24"/>
          <w:lang w:val="es-CO"/>
        </w:rPr>
        <w:t xml:space="preserve"> aducida haya quedado </w:t>
      </w:r>
      <w:r>
        <w:rPr>
          <w:rFonts w:ascii="Bookman Old Style" w:hAnsi="Bookman Old Style"/>
          <w:i/>
          <w:sz w:val="24"/>
          <w:szCs w:val="24"/>
          <w:lang w:val="es-CO"/>
        </w:rPr>
        <w:t>claro los episodios que ocurrie</w:t>
      </w:r>
      <w:r w:rsidRPr="00B030E9">
        <w:rPr>
          <w:rFonts w:ascii="Bookman Old Style" w:hAnsi="Bookman Old Style"/>
          <w:i/>
          <w:sz w:val="24"/>
          <w:szCs w:val="24"/>
          <w:lang w:val="es-CO"/>
        </w:rPr>
        <w:t>r</w:t>
      </w:r>
      <w:r>
        <w:rPr>
          <w:rFonts w:ascii="Bookman Old Style" w:hAnsi="Bookman Old Style"/>
          <w:i/>
          <w:sz w:val="24"/>
          <w:szCs w:val="24"/>
          <w:lang w:val="es-CO"/>
        </w:rPr>
        <w:t>o</w:t>
      </w:r>
      <w:r w:rsidRPr="00B030E9">
        <w:rPr>
          <w:rFonts w:ascii="Bookman Old Style" w:hAnsi="Bookman Old Style"/>
          <w:i/>
          <w:sz w:val="24"/>
          <w:szCs w:val="24"/>
          <w:lang w:val="es-CO"/>
        </w:rPr>
        <w:t>n en la zona.</w:t>
      </w:r>
    </w:p>
    <w:p w:rsidR="00AD777C" w:rsidRDefault="00AD777C" w:rsidP="00AD777C">
      <w:pPr>
        <w:spacing w:line="360" w:lineRule="auto"/>
        <w:ind w:right="-187" w:firstLine="708"/>
        <w:jc w:val="both"/>
        <w:rPr>
          <w:rFonts w:ascii="Bookman Old Style" w:hAnsi="Bookman Old Style"/>
          <w:i/>
          <w:sz w:val="24"/>
          <w:szCs w:val="24"/>
        </w:rPr>
      </w:pPr>
    </w:p>
    <w:p w:rsidR="00AD777C" w:rsidRDefault="00AD777C" w:rsidP="00AD777C">
      <w:pPr>
        <w:spacing w:line="360" w:lineRule="auto"/>
        <w:ind w:right="-187"/>
        <w:jc w:val="both"/>
        <w:rPr>
          <w:rFonts w:ascii="Bookman Old Style" w:hAnsi="Bookman Old Style"/>
          <w:sz w:val="28"/>
          <w:szCs w:val="28"/>
        </w:rPr>
      </w:pPr>
      <w:r>
        <w:rPr>
          <w:rFonts w:ascii="Bookman Old Style" w:hAnsi="Bookman Old Style"/>
          <w:sz w:val="28"/>
          <w:szCs w:val="28"/>
        </w:rPr>
        <w:tab/>
        <w:t>Con el ánimo de hacer claridad frente a cada uno de los hechos, pues la Fiscalía los reseñó como casos diferentes (46 a 56), el Magistrado de Control de Garantías precisó que se trató de un evento ocurrido el 3 de mayo del año 2009 en el caserío San Teodoro, con el cual se vulneraron varios tipos penales:</w:t>
      </w:r>
      <w:r>
        <w:rPr>
          <w:rStyle w:val="Refdenotaalpie"/>
          <w:rFonts w:ascii="Bookman Old Style" w:hAnsi="Bookman Old Style"/>
          <w:sz w:val="28"/>
          <w:szCs w:val="28"/>
        </w:rPr>
        <w:footnoteReference w:id="41"/>
      </w:r>
      <w:r>
        <w:rPr>
          <w:rFonts w:ascii="Bookman Old Style" w:hAnsi="Bookman Old Style"/>
          <w:sz w:val="28"/>
          <w:szCs w:val="28"/>
        </w:rPr>
        <w:t xml:space="preserve">  </w:t>
      </w:r>
    </w:p>
    <w:p w:rsidR="00AD777C" w:rsidRPr="00C55501" w:rsidRDefault="00AD777C" w:rsidP="00AD777C">
      <w:pPr>
        <w:spacing w:line="360" w:lineRule="auto"/>
        <w:ind w:right="-187" w:firstLine="708"/>
        <w:jc w:val="both"/>
        <w:rPr>
          <w:rFonts w:ascii="Bookman Old Style" w:hAnsi="Bookman Old Style"/>
          <w:i/>
          <w:sz w:val="24"/>
          <w:szCs w:val="24"/>
        </w:rPr>
      </w:pPr>
    </w:p>
    <w:p w:rsidR="00AD777C" w:rsidRPr="00C55501" w:rsidRDefault="00AD777C" w:rsidP="00AD777C">
      <w:pPr>
        <w:spacing w:line="360" w:lineRule="auto"/>
        <w:ind w:left="708"/>
        <w:jc w:val="both"/>
        <w:rPr>
          <w:rFonts w:ascii="Bookman Old Style" w:hAnsi="Bookman Old Style"/>
          <w:i/>
          <w:sz w:val="24"/>
          <w:szCs w:val="24"/>
          <w:lang w:val="es-CO"/>
        </w:rPr>
      </w:pPr>
      <w:r w:rsidRPr="00C55501">
        <w:rPr>
          <w:rFonts w:ascii="Bookman Old Style" w:hAnsi="Bookman Old Style"/>
          <w:i/>
          <w:sz w:val="24"/>
          <w:szCs w:val="24"/>
          <w:lang w:val="es-CO"/>
        </w:rPr>
        <w:t>…En relación con los hechos 50 a 54 se trata en realidad de lo mismo, es decir, que estas personas fueron pasibles en cuanto a sus bienes del despojo de los mismos, del apoderamiento de ellos y en otros -ha dicho usted- que incendio en forma indeterminada, pero lo cierto y concreto que usted ha relatado es que han sido objeto de apoderamiento por parte del grupo armado ilegal el cual era conformado en parte por los aquí imputados y adicionalmente, por supuesto, dentro de todo ese contexto el delito de terrorismo que está referido a todo el accionar en conjunto. De esos hechos en conjunto, es decir, los referidos al caso 50: Ana Delia Gutiérrez Herrenuma. Caso 51: Luz Mireya Busai Gualdrón. Caso 52: Rafael Humberto Santos Ponare. Caso 53: Maryoris Cantor Romero y caso 54: Silvia María Godoy. Cargos que en calidad de coautores impropios le ha hecho la fi</w:t>
      </w:r>
      <w:r>
        <w:rPr>
          <w:rFonts w:ascii="Bookman Old Style" w:hAnsi="Bookman Old Style"/>
          <w:i/>
          <w:sz w:val="24"/>
          <w:szCs w:val="24"/>
          <w:lang w:val="es-CO"/>
        </w:rPr>
        <w:t>s</w:t>
      </w:r>
      <w:r w:rsidRPr="00C55501">
        <w:rPr>
          <w:rFonts w:ascii="Bookman Old Style" w:hAnsi="Bookman Old Style"/>
          <w:i/>
          <w:sz w:val="24"/>
          <w:szCs w:val="24"/>
          <w:lang w:val="es-CO"/>
        </w:rPr>
        <w:t>calía a los señores JOSÉ BALDOMERO y al señor RAFAEL, corro traslado</w:t>
      </w:r>
      <w:r>
        <w:rPr>
          <w:rFonts w:ascii="Bookman Old Style" w:hAnsi="Bookman Old Style"/>
          <w:i/>
          <w:sz w:val="24"/>
          <w:szCs w:val="24"/>
          <w:lang w:val="es-CO"/>
        </w:rPr>
        <w:t>…</w:t>
      </w:r>
    </w:p>
    <w:p w:rsidR="00AD777C" w:rsidRPr="00C55501" w:rsidRDefault="00AD777C" w:rsidP="00AD777C">
      <w:pPr>
        <w:spacing w:line="360" w:lineRule="auto"/>
        <w:ind w:right="-187" w:firstLine="708"/>
        <w:jc w:val="both"/>
        <w:rPr>
          <w:rFonts w:ascii="Bookman Old Style" w:hAnsi="Bookman Old Style"/>
          <w:i/>
          <w:sz w:val="24"/>
          <w:szCs w:val="24"/>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Ya en audiencia de legalización de cargos</w:t>
      </w:r>
      <w:r>
        <w:rPr>
          <w:rStyle w:val="Refdenotaalpie"/>
          <w:rFonts w:ascii="Bookman Old Style" w:hAnsi="Bookman Old Style"/>
          <w:sz w:val="28"/>
          <w:szCs w:val="28"/>
        </w:rPr>
        <w:footnoteReference w:id="42"/>
      </w:r>
      <w:r>
        <w:rPr>
          <w:rFonts w:ascii="Bookman Old Style" w:hAnsi="Bookman Old Style"/>
          <w:sz w:val="28"/>
          <w:szCs w:val="28"/>
        </w:rPr>
        <w:t>, luego de realizar una amplia contextualización del caso conocido como ‘San Teodoro’, la Fiscalía precisó que producto de la intervención que realizaron los paramilitares a este corregimiento, se detectaron las siguientes víctimas directas e indirectas de los delitos de desplazamiento forzado y hurto calificado:</w:t>
      </w:r>
    </w:p>
    <w:p w:rsidR="00AD777C" w:rsidRDefault="00AD777C" w:rsidP="00AD777C">
      <w:pPr>
        <w:spacing w:line="360" w:lineRule="auto"/>
        <w:jc w:val="both"/>
        <w:rPr>
          <w:rFonts w:ascii="Bookman Old Style" w:hAnsi="Bookman Old Style"/>
          <w:sz w:val="28"/>
          <w:szCs w:val="28"/>
        </w:rPr>
      </w:pPr>
    </w:p>
    <w:p w:rsidR="00AD777C" w:rsidRPr="00114C92" w:rsidRDefault="00AD777C" w:rsidP="00AD777C">
      <w:pPr>
        <w:spacing w:line="360" w:lineRule="auto"/>
        <w:ind w:left="708"/>
        <w:jc w:val="both"/>
        <w:rPr>
          <w:rFonts w:ascii="Bookman Old Style" w:hAnsi="Bookman Old Style"/>
          <w:i/>
          <w:sz w:val="24"/>
          <w:szCs w:val="24"/>
          <w:lang w:val="es-CO"/>
        </w:rPr>
      </w:pPr>
      <w:r w:rsidRPr="00114C92">
        <w:rPr>
          <w:rFonts w:ascii="Bookman Old Style" w:hAnsi="Bookman Old Style"/>
          <w:i/>
          <w:sz w:val="24"/>
          <w:szCs w:val="24"/>
        </w:rPr>
        <w:t>…</w:t>
      </w:r>
      <w:r>
        <w:rPr>
          <w:rFonts w:ascii="Bookman Old Style" w:hAnsi="Bookman Old Style"/>
          <w:i/>
          <w:sz w:val="24"/>
          <w:szCs w:val="24"/>
          <w:lang w:val="es-CO"/>
        </w:rPr>
        <w:t>Caso</w:t>
      </w:r>
      <w:r w:rsidRPr="00114C92">
        <w:rPr>
          <w:rFonts w:ascii="Bookman Old Style" w:hAnsi="Bookman Old Style"/>
          <w:i/>
          <w:sz w:val="24"/>
          <w:szCs w:val="24"/>
          <w:lang w:val="es-CO"/>
        </w:rPr>
        <w:t xml:space="preserve"> 46</w:t>
      </w:r>
      <w:r>
        <w:rPr>
          <w:rFonts w:ascii="Bookman Old Style" w:hAnsi="Bookman Old Style"/>
          <w:i/>
          <w:sz w:val="24"/>
          <w:szCs w:val="24"/>
          <w:lang w:val="es-CO"/>
        </w:rPr>
        <w:t>,</w:t>
      </w:r>
      <w:r w:rsidRPr="00114C92">
        <w:rPr>
          <w:rFonts w:ascii="Bookman Old Style" w:hAnsi="Bookman Old Style"/>
          <w:i/>
          <w:sz w:val="24"/>
          <w:szCs w:val="24"/>
          <w:lang w:val="es-CO"/>
        </w:rPr>
        <w:t xml:space="preserve"> señor URIEL. Caso 49 Ana Delia Gutiérrez Herrenuma. Caso 47 del señor Luis Eduardo Ríos Pérez. Del caso… aahh es el mismo caso que presentamos el señor Erik Jonathan Río</w:t>
      </w:r>
      <w:r>
        <w:rPr>
          <w:rFonts w:ascii="Bookman Old Style" w:hAnsi="Bookman Old Style"/>
          <w:i/>
          <w:sz w:val="24"/>
          <w:szCs w:val="24"/>
          <w:lang w:val="es-CO"/>
        </w:rPr>
        <w:t>s Pérez.  Caso 55 señor Eliécer</w:t>
      </w:r>
      <w:r w:rsidRPr="00114C92">
        <w:rPr>
          <w:rFonts w:ascii="Bookman Old Style" w:hAnsi="Bookman Old Style"/>
          <w:i/>
          <w:sz w:val="24"/>
          <w:szCs w:val="24"/>
          <w:lang w:val="es-CO"/>
        </w:rPr>
        <w:t xml:space="preserve"> Gasca Polanco. Caso 48 Roberto Mario Aguirre Hernández y allí también tenemos el caso 50 la señora Luz Mireya Busai Gualdron. Caso 52 de la señora Maryuris Cantor Romero. Caso 54 la señora </w:t>
      </w:r>
      <w:r>
        <w:rPr>
          <w:rFonts w:ascii="Bookman Old Style" w:hAnsi="Bookman Old Style"/>
          <w:i/>
          <w:sz w:val="24"/>
          <w:szCs w:val="24"/>
          <w:lang w:val="es-CO"/>
        </w:rPr>
        <w:t>S</w:t>
      </w:r>
      <w:r w:rsidRPr="00114C92">
        <w:rPr>
          <w:rFonts w:ascii="Bookman Old Style" w:hAnsi="Bookman Old Style"/>
          <w:i/>
          <w:sz w:val="24"/>
          <w:szCs w:val="24"/>
          <w:lang w:val="es-CO"/>
        </w:rPr>
        <w:t>ilva María Godoy Colina. Caso 51 el señor Rafael Humberto Santos Ponare.  En el mismo evento está el señor Luis Téllez Bustos y María Miyé Téllez Bustos, esos (sic) son todas las víctimas que se han establecido de la masacre del alto de Tiyabá (sic)</w:t>
      </w: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 </w:t>
      </w: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Y aunque erróneamente el Fiscal delegado mencionó a la víctima directa Ana Delia Gutiérrez, identificándola con el hecho 49, ciertamente durante la imputación y formulación de cargos se enunció como víctima del hecho número 50.  En todo caso, no hay lugar a confusión, dado que el apelante lo expuso con el nombre de la persona a quien representa.</w:t>
      </w:r>
    </w:p>
    <w:p w:rsidR="00AD777C" w:rsidRDefault="00AD777C" w:rsidP="00AD777C">
      <w:pPr>
        <w:spacing w:line="360" w:lineRule="auto"/>
        <w:ind w:right="-187" w:firstLine="708"/>
        <w:jc w:val="both"/>
        <w:rPr>
          <w:rFonts w:ascii="Bookman Old Style" w:hAnsi="Bookman Old Style"/>
          <w:sz w:val="28"/>
          <w:szCs w:val="28"/>
        </w:rPr>
      </w:pPr>
    </w:p>
    <w:p w:rsidR="00AD777C" w:rsidRPr="00281353"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Ahora bien, atendiendo que la inconformidad del recurrente radica exclusivamente en que el </w:t>
      </w:r>
      <w:r w:rsidRPr="00356CFC">
        <w:rPr>
          <w:rFonts w:ascii="Bookman Old Style" w:hAnsi="Bookman Old Style"/>
          <w:i/>
          <w:sz w:val="28"/>
          <w:szCs w:val="28"/>
        </w:rPr>
        <w:t>A quo</w:t>
      </w:r>
      <w:r>
        <w:rPr>
          <w:rFonts w:ascii="Bookman Old Style" w:hAnsi="Bookman Old Style"/>
          <w:sz w:val="28"/>
          <w:szCs w:val="28"/>
        </w:rPr>
        <w:t xml:space="preserve"> no legalizó el delito de hurto de que fueron víctimas Ana Delia Gutiérrez Herrenuma y su núcleo familiar (</w:t>
      </w:r>
      <w:r w:rsidRPr="001F60F6">
        <w:rPr>
          <w:rFonts w:ascii="Bookman Old Style" w:hAnsi="Bookman Old Style"/>
          <w:b/>
          <w:sz w:val="28"/>
          <w:szCs w:val="28"/>
        </w:rPr>
        <w:t>hecho</w:t>
      </w:r>
      <w:r>
        <w:rPr>
          <w:rFonts w:ascii="Bookman Old Style" w:hAnsi="Bookman Old Style"/>
          <w:b/>
          <w:sz w:val="28"/>
          <w:szCs w:val="28"/>
        </w:rPr>
        <w:t xml:space="preserve"> No. </w:t>
      </w:r>
      <w:r w:rsidRPr="001F60F6">
        <w:rPr>
          <w:rFonts w:ascii="Bookman Old Style" w:hAnsi="Bookman Old Style"/>
          <w:b/>
          <w:sz w:val="28"/>
          <w:szCs w:val="28"/>
        </w:rPr>
        <w:t>50</w:t>
      </w:r>
      <w:r>
        <w:rPr>
          <w:rFonts w:ascii="Bookman Old Style" w:hAnsi="Bookman Old Style"/>
          <w:sz w:val="28"/>
          <w:szCs w:val="28"/>
        </w:rPr>
        <w:t>), la Sala encuentra que aunque el numeral décimo primero de la parte resolutiva de la sentencia que se ocupó de la legalización de los cargos por el delito de hurto calificado y agravado lo refirió como no legalizado</w:t>
      </w:r>
      <w:r w:rsidRPr="00281353">
        <w:rPr>
          <w:rFonts w:ascii="Bookman Old Style" w:hAnsi="Bookman Old Style"/>
          <w:b/>
          <w:i/>
          <w:sz w:val="28"/>
          <w:szCs w:val="28"/>
        </w:rPr>
        <w:t xml:space="preserve"> </w:t>
      </w:r>
      <w:r w:rsidRPr="009D7719">
        <w:rPr>
          <w:rFonts w:ascii="Bookman Old Style" w:hAnsi="Bookman Old Style"/>
          <w:i/>
          <w:sz w:val="28"/>
          <w:szCs w:val="28"/>
        </w:rPr>
        <w:t>«…</w:t>
      </w:r>
      <w:r w:rsidRPr="00281353">
        <w:rPr>
          <w:rFonts w:ascii="Bookman Old Style" w:hAnsi="Bookman Old Style"/>
          <w:i/>
          <w:sz w:val="28"/>
          <w:szCs w:val="28"/>
        </w:rPr>
        <w:t>por la</w:t>
      </w:r>
      <w:r>
        <w:rPr>
          <w:rFonts w:ascii="Bookman Old Style" w:hAnsi="Bookman Old Style"/>
          <w:i/>
          <w:sz w:val="28"/>
          <w:szCs w:val="28"/>
        </w:rPr>
        <w:t>s</w:t>
      </w:r>
      <w:r w:rsidRPr="00281353">
        <w:rPr>
          <w:rFonts w:ascii="Bookman Old Style" w:hAnsi="Bookman Old Style"/>
          <w:i/>
          <w:sz w:val="28"/>
          <w:szCs w:val="28"/>
        </w:rPr>
        <w:t xml:space="preserve"> razones expuestas en la parte motiva de esta decisión»</w:t>
      </w:r>
      <w:r w:rsidRPr="00281353">
        <w:rPr>
          <w:rFonts w:ascii="Bookman Old Style" w:hAnsi="Bookman Old Style"/>
          <w:sz w:val="28"/>
          <w:szCs w:val="28"/>
        </w:rPr>
        <w:t xml:space="preserve">, </w:t>
      </w:r>
      <w:r>
        <w:rPr>
          <w:rFonts w:ascii="Bookman Old Style" w:hAnsi="Bookman Old Style"/>
          <w:sz w:val="28"/>
          <w:szCs w:val="28"/>
        </w:rPr>
        <w:t>la argumentación en contexto permite concluir que la señora Gutiérrez Herrenuma sí fue víctima del delito de hurto de sus bienes y, por tanto, la Sala impartirá legalización a este cargo.</w:t>
      </w:r>
    </w:p>
    <w:p w:rsidR="00AD777C" w:rsidRDefault="00AD777C" w:rsidP="00AD777C">
      <w:pPr>
        <w:spacing w:line="360" w:lineRule="auto"/>
        <w:ind w:right="-187" w:firstLine="708"/>
        <w:jc w:val="both"/>
        <w:rPr>
          <w:rFonts w:ascii="Bookman Old Style" w:hAnsi="Bookman Old Style"/>
          <w:b/>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281353">
        <w:rPr>
          <w:rFonts w:ascii="Bookman Old Style" w:hAnsi="Bookman Old Style"/>
          <w:sz w:val="28"/>
          <w:szCs w:val="28"/>
        </w:rPr>
        <w:t xml:space="preserve">En efecto, </w:t>
      </w:r>
      <w:r>
        <w:rPr>
          <w:rFonts w:ascii="Bookman Old Style" w:hAnsi="Bookman Old Style"/>
          <w:sz w:val="28"/>
          <w:szCs w:val="28"/>
        </w:rPr>
        <w:t xml:space="preserve">siguiendo la metodología del Tribunal de primera instancia, que optó por fraccionar los hechos y adecuaciones típicas en los cometidos en vigencia de la Ley 100 de 1980 y los ocurridos en vigor de la Ley 599 de 2000, ha de resaltarse que el </w:t>
      </w:r>
      <w:r w:rsidRPr="001F60F6">
        <w:rPr>
          <w:rFonts w:ascii="Bookman Old Style" w:hAnsi="Bookman Old Style"/>
          <w:b/>
          <w:sz w:val="28"/>
          <w:szCs w:val="28"/>
        </w:rPr>
        <w:t xml:space="preserve">hecho </w:t>
      </w:r>
      <w:r>
        <w:rPr>
          <w:rFonts w:ascii="Bookman Old Style" w:hAnsi="Bookman Old Style"/>
          <w:b/>
          <w:sz w:val="28"/>
          <w:szCs w:val="28"/>
        </w:rPr>
        <w:t xml:space="preserve">No. </w:t>
      </w:r>
      <w:r w:rsidRPr="001F60F6">
        <w:rPr>
          <w:rFonts w:ascii="Bookman Old Style" w:hAnsi="Bookman Old Style"/>
          <w:b/>
          <w:sz w:val="28"/>
          <w:szCs w:val="28"/>
        </w:rPr>
        <w:t>50</w:t>
      </w:r>
      <w:r>
        <w:rPr>
          <w:rFonts w:ascii="Bookman Old Style" w:hAnsi="Bookman Old Style"/>
          <w:sz w:val="28"/>
          <w:szCs w:val="28"/>
        </w:rPr>
        <w:t xml:space="preserve"> hace parte de las conductas delictivas sucedidas cuando aún regía el Código Penal de 1980.  En ese orden, frente a los delitos de hurto imputados y por los cuales la Fiscalía formuló cargos, señaló</w:t>
      </w:r>
      <w:r>
        <w:rPr>
          <w:rStyle w:val="Refdenotaalpie"/>
          <w:rFonts w:ascii="Bookman Old Style" w:hAnsi="Bookman Old Style"/>
          <w:sz w:val="28"/>
          <w:szCs w:val="28"/>
        </w:rPr>
        <w:footnoteReference w:id="43"/>
      </w:r>
      <w:r>
        <w:rPr>
          <w:rFonts w:ascii="Bookman Old Style" w:hAnsi="Bookman Old Style"/>
          <w:sz w:val="28"/>
          <w:szCs w:val="28"/>
        </w:rPr>
        <w:t>:</w:t>
      </w:r>
    </w:p>
    <w:p w:rsidR="00AD777C" w:rsidRDefault="00AD777C" w:rsidP="00AD777C">
      <w:pPr>
        <w:spacing w:line="360" w:lineRule="auto"/>
        <w:ind w:right="-187" w:firstLine="708"/>
        <w:jc w:val="both"/>
        <w:rPr>
          <w:rFonts w:ascii="Bookman Old Style" w:hAnsi="Bookman Old Style"/>
          <w:sz w:val="28"/>
          <w:szCs w:val="28"/>
        </w:rPr>
      </w:pPr>
    </w:p>
    <w:p w:rsidR="00AD777C" w:rsidRPr="00507292" w:rsidRDefault="00AD777C" w:rsidP="00AD777C">
      <w:pPr>
        <w:spacing w:line="360" w:lineRule="auto"/>
        <w:ind w:left="708" w:right="-187"/>
        <w:jc w:val="both"/>
        <w:rPr>
          <w:rFonts w:ascii="Bookman Old Style" w:hAnsi="Bookman Old Style"/>
          <w:i/>
          <w:sz w:val="24"/>
          <w:szCs w:val="24"/>
        </w:rPr>
      </w:pPr>
      <w:r w:rsidRPr="00507292">
        <w:rPr>
          <w:rFonts w:ascii="Bookman Old Style" w:hAnsi="Bookman Old Style"/>
          <w:i/>
          <w:sz w:val="24"/>
          <w:szCs w:val="24"/>
        </w:rPr>
        <w:t>989. El Fiscal Delegado formuló cargos por el delito de hurto calificado y agravado en los hechos 32, 49, 55, 73, 74, 76, 77, 79, 82, 83, 90, 93, 95, 112 y 117.</w:t>
      </w:r>
    </w:p>
    <w:p w:rsidR="00AD777C" w:rsidRPr="00507292" w:rsidRDefault="00AD777C" w:rsidP="00AD777C">
      <w:pPr>
        <w:spacing w:line="360" w:lineRule="auto"/>
        <w:ind w:left="708" w:right="-187"/>
        <w:jc w:val="both"/>
        <w:rPr>
          <w:rFonts w:ascii="Bookman Old Style" w:hAnsi="Bookman Old Style"/>
          <w:i/>
          <w:sz w:val="24"/>
          <w:szCs w:val="24"/>
        </w:rPr>
      </w:pPr>
    </w:p>
    <w:p w:rsidR="00AD777C" w:rsidRPr="00507292" w:rsidRDefault="00AD777C" w:rsidP="00AD777C">
      <w:pPr>
        <w:spacing w:line="360" w:lineRule="auto"/>
        <w:ind w:left="708" w:right="-187"/>
        <w:jc w:val="both"/>
        <w:rPr>
          <w:rFonts w:ascii="Bookman Old Style" w:hAnsi="Bookman Old Style"/>
          <w:i/>
          <w:sz w:val="24"/>
          <w:szCs w:val="24"/>
        </w:rPr>
      </w:pPr>
      <w:r w:rsidRPr="00507292">
        <w:rPr>
          <w:rFonts w:ascii="Bookman Old Style" w:hAnsi="Bookman Old Style"/>
          <w:i/>
          <w:sz w:val="24"/>
          <w:szCs w:val="24"/>
        </w:rPr>
        <w:t>990. De acuerdo con las pruebas allegadas al proceso por el Fiscal Delegado, y de la propia versión de los postulados, se tiene que el señor Hugo Guerrero Cuott y su hijo Olmes Guerrero Díaz (hecho 32), fueron despojados del vehículo en que se transportaban; al señor Uriel Moncada Infante (hecho 49), le fueron sustraídos de su establecimiento público, ropa, licor, enlatados y dinero en efectivo; a los señores Wilson Rodríguez y Edilson Meneses, joyas y dinero (hechos 73 y 74); a los señores Pedro Luís Calderón Castañeda y Omar Bayardo León Ruíz, los despojaron de sus pertenencias y de la motocicleta en que se transportaban (hechos 76 y 77); al señor Carlos Hernando Ducuara Viuche, de la camioneta Lada en la que se movilizaban el día de los hechos (hecho 79); a los señores José Egidio Castañeda Chávez (hechos 82 y 83); José Ricaurte Rodríguez (hecho 90); Edgar Dimas Canduri Díaz (hecho 93); Alfonso Ramírez Contreras (hecho 95); Saúl Antonio Álvarez Rodríguez (hecho 112) y Robert Jesús Cordero Rojas (hecho 117), les fue (sic) hurtadas las motocicletas en las que se movilizaban al momento de ser asesinados.</w:t>
      </w:r>
    </w:p>
    <w:p w:rsidR="00AD777C" w:rsidRPr="00507292" w:rsidRDefault="00AD777C" w:rsidP="00AD777C">
      <w:pPr>
        <w:spacing w:line="360" w:lineRule="auto"/>
        <w:ind w:left="708" w:right="-187"/>
        <w:jc w:val="both"/>
        <w:rPr>
          <w:rFonts w:ascii="Bookman Old Style" w:hAnsi="Bookman Old Style"/>
          <w:i/>
          <w:sz w:val="24"/>
          <w:szCs w:val="24"/>
        </w:rPr>
      </w:pPr>
    </w:p>
    <w:p w:rsidR="00AD777C" w:rsidRPr="00507292" w:rsidRDefault="00AD777C" w:rsidP="00AD777C">
      <w:pPr>
        <w:spacing w:line="360" w:lineRule="auto"/>
        <w:ind w:left="708" w:right="-187"/>
        <w:jc w:val="both"/>
        <w:rPr>
          <w:rFonts w:ascii="Bookman Old Style" w:hAnsi="Bookman Old Style"/>
          <w:i/>
          <w:sz w:val="24"/>
          <w:szCs w:val="24"/>
        </w:rPr>
      </w:pPr>
      <w:r w:rsidRPr="00507292">
        <w:rPr>
          <w:rFonts w:ascii="Bookman Old Style" w:hAnsi="Bookman Old Style"/>
          <w:i/>
          <w:sz w:val="24"/>
          <w:szCs w:val="24"/>
        </w:rPr>
        <w:t>991. En el hecho 55 no se indicó ni se aportó pruebas de cuáles fueron las pertenencias que le fueron hurtadas al señor Carlos Alberto Latorre Osorio, razón por la que no se legalizará el delito de hurto que fue imputado.</w:t>
      </w:r>
    </w:p>
    <w:p w:rsidR="00AD777C" w:rsidRPr="00507292" w:rsidRDefault="00AD777C" w:rsidP="00AD777C">
      <w:pPr>
        <w:spacing w:line="360" w:lineRule="auto"/>
        <w:ind w:left="708" w:right="-187"/>
        <w:jc w:val="both"/>
        <w:rPr>
          <w:rFonts w:ascii="Bookman Old Style" w:hAnsi="Bookman Old Style"/>
          <w:i/>
          <w:sz w:val="24"/>
          <w:szCs w:val="24"/>
        </w:rPr>
      </w:pPr>
    </w:p>
    <w:p w:rsidR="00AD777C" w:rsidRPr="00507292" w:rsidRDefault="00AD777C" w:rsidP="00AD777C">
      <w:pPr>
        <w:spacing w:line="360" w:lineRule="auto"/>
        <w:ind w:left="708" w:right="-187"/>
        <w:jc w:val="both"/>
        <w:rPr>
          <w:rFonts w:ascii="Bookman Old Style" w:hAnsi="Bookman Old Style"/>
          <w:i/>
          <w:sz w:val="24"/>
          <w:szCs w:val="24"/>
        </w:rPr>
      </w:pPr>
      <w:r w:rsidRPr="00507292">
        <w:rPr>
          <w:rFonts w:ascii="Bookman Old Style" w:hAnsi="Bookman Old Style"/>
          <w:i/>
          <w:sz w:val="24"/>
          <w:szCs w:val="24"/>
        </w:rPr>
        <w:t xml:space="preserve">992. En conclusión la Sala </w:t>
      </w:r>
      <w:r w:rsidRPr="00507292">
        <w:rPr>
          <w:rFonts w:ascii="Bookman Old Style" w:hAnsi="Bookman Old Style"/>
          <w:b/>
          <w:i/>
          <w:sz w:val="24"/>
          <w:szCs w:val="24"/>
        </w:rPr>
        <w:t xml:space="preserve">LEGALIZARÁ </w:t>
      </w:r>
      <w:r w:rsidRPr="00507292">
        <w:rPr>
          <w:rFonts w:ascii="Bookman Old Style" w:hAnsi="Bookman Old Style"/>
          <w:i/>
          <w:sz w:val="24"/>
          <w:szCs w:val="24"/>
        </w:rPr>
        <w:t xml:space="preserve">el delito de hurto calificado y agravado que fue formulado por la Fiscalía en los hechos 32, 49, 73, 74, 76, 77, 79, 82, 83, 90, 93, 95, 112 y 117; y </w:t>
      </w:r>
      <w:r w:rsidRPr="00507292">
        <w:rPr>
          <w:rFonts w:ascii="Bookman Old Style" w:hAnsi="Bookman Old Style"/>
          <w:b/>
          <w:i/>
          <w:sz w:val="24"/>
          <w:szCs w:val="24"/>
        </w:rPr>
        <w:t>NO SE LEGALIZARÁ</w:t>
      </w:r>
      <w:r w:rsidRPr="00507292">
        <w:rPr>
          <w:rFonts w:ascii="Bookman Old Style" w:hAnsi="Bookman Old Style"/>
          <w:i/>
          <w:sz w:val="24"/>
          <w:szCs w:val="24"/>
        </w:rPr>
        <w:t xml:space="preserve"> respecto al hecho 55.</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right="-187" w:firstLine="705"/>
        <w:jc w:val="both"/>
        <w:rPr>
          <w:rFonts w:ascii="Bookman Old Style" w:hAnsi="Bookman Old Style"/>
          <w:sz w:val="28"/>
          <w:szCs w:val="28"/>
        </w:rPr>
      </w:pPr>
      <w:r>
        <w:rPr>
          <w:rFonts w:ascii="Bookman Old Style" w:hAnsi="Bookman Old Style"/>
          <w:sz w:val="28"/>
          <w:szCs w:val="28"/>
        </w:rPr>
        <w:t xml:space="preserve">Más adelante, en el numeral 1016 que integra el acápite dedicado al delito de incendio, el Tribunal anunció: </w:t>
      </w:r>
    </w:p>
    <w:p w:rsidR="00AD777C" w:rsidRDefault="00AD777C" w:rsidP="00AD777C">
      <w:pPr>
        <w:spacing w:line="360" w:lineRule="auto"/>
        <w:ind w:right="-187"/>
        <w:jc w:val="both"/>
        <w:rPr>
          <w:rFonts w:ascii="Bookman Old Style" w:hAnsi="Bookman Old Style"/>
          <w:sz w:val="28"/>
          <w:szCs w:val="28"/>
        </w:rPr>
      </w:pPr>
    </w:p>
    <w:p w:rsidR="00AD777C" w:rsidRPr="006C0BED" w:rsidRDefault="00AD777C" w:rsidP="00AD777C">
      <w:pPr>
        <w:spacing w:line="360" w:lineRule="auto"/>
        <w:ind w:left="705" w:right="-187"/>
        <w:jc w:val="both"/>
        <w:rPr>
          <w:rFonts w:ascii="Bookman Old Style" w:hAnsi="Bookman Old Style"/>
          <w:b/>
          <w:i/>
          <w:sz w:val="24"/>
          <w:szCs w:val="24"/>
        </w:rPr>
      </w:pPr>
      <w:r>
        <w:rPr>
          <w:rFonts w:ascii="Bookman Old Style" w:hAnsi="Bookman Old Style"/>
          <w:i/>
          <w:sz w:val="24"/>
          <w:szCs w:val="24"/>
        </w:rPr>
        <w:t>“</w:t>
      </w:r>
      <w:r w:rsidRPr="006C0BED">
        <w:rPr>
          <w:rFonts w:ascii="Bookman Old Style" w:hAnsi="Bookman Old Style"/>
          <w:i/>
          <w:sz w:val="24"/>
          <w:szCs w:val="24"/>
        </w:rPr>
        <w:t xml:space="preserve">Situación semejante se presenta en algunos hechos 37, 41, 42, 43, 45, </w:t>
      </w:r>
      <w:r w:rsidRPr="006C0BED">
        <w:rPr>
          <w:rFonts w:ascii="Bookman Old Style" w:hAnsi="Bookman Old Style"/>
          <w:b/>
          <w:i/>
          <w:sz w:val="24"/>
          <w:szCs w:val="24"/>
        </w:rPr>
        <w:t>50,</w:t>
      </w:r>
      <w:r w:rsidRPr="006C0BED">
        <w:rPr>
          <w:rFonts w:ascii="Bookman Old Style" w:hAnsi="Bookman Old Style"/>
          <w:i/>
          <w:sz w:val="24"/>
          <w:szCs w:val="24"/>
        </w:rPr>
        <w:t xml:space="preserve"> 51, 52, 53, 54, en los que ya se legalizó el delito de actos de terrorismo, por las razones expuestas en párrafos anteriores, </w:t>
      </w:r>
      <w:r w:rsidRPr="006C0BED">
        <w:rPr>
          <w:rFonts w:ascii="Bookman Old Style" w:hAnsi="Bookman Old Style"/>
          <w:b/>
          <w:i/>
          <w:sz w:val="24"/>
          <w:szCs w:val="24"/>
        </w:rPr>
        <w:t xml:space="preserve">y en los que además la Fiscalía formuló cargos por el delito de hurto calificado y agravado, el cual NO será legalizado, por cuanto de la descripción fáctica y de las pruebas aportadas por la Fiscalía, no se indicó de manera clara y precisa cuáles fueron los objetos hurtados por los paramilitares.”  </w:t>
      </w:r>
    </w:p>
    <w:p w:rsidR="00AD777C" w:rsidRPr="00A645C3" w:rsidRDefault="00AD777C" w:rsidP="00AD777C">
      <w:pPr>
        <w:spacing w:line="360" w:lineRule="auto"/>
        <w:ind w:right="-187"/>
        <w:jc w:val="both"/>
        <w:rPr>
          <w:rFonts w:ascii="Bookman Old Style" w:hAnsi="Bookman Old Style"/>
          <w:color w:val="C00000"/>
          <w:sz w:val="28"/>
          <w:szCs w:val="28"/>
        </w:rPr>
      </w:pPr>
    </w:p>
    <w:p w:rsidR="00AD777C" w:rsidRDefault="00AD777C" w:rsidP="00AD777C">
      <w:pPr>
        <w:spacing w:line="360" w:lineRule="auto"/>
        <w:ind w:right="-187" w:firstLine="705"/>
        <w:jc w:val="both"/>
        <w:rPr>
          <w:rFonts w:ascii="Bookman Old Style" w:hAnsi="Bookman Old Style"/>
          <w:sz w:val="28"/>
          <w:szCs w:val="28"/>
        </w:rPr>
      </w:pPr>
      <w:r w:rsidRPr="006C0BED">
        <w:rPr>
          <w:rFonts w:ascii="Bookman Old Style" w:hAnsi="Bookman Old Style"/>
          <w:sz w:val="28"/>
          <w:szCs w:val="28"/>
        </w:rPr>
        <w:t>Nótese que la</w:t>
      </w:r>
      <w:r>
        <w:rPr>
          <w:rFonts w:ascii="Bookman Old Style" w:hAnsi="Bookman Old Style"/>
          <w:sz w:val="28"/>
          <w:szCs w:val="28"/>
        </w:rPr>
        <w:t xml:space="preserve"> Fiscalía realizó una</w:t>
      </w:r>
      <w:r w:rsidRPr="006C0BED">
        <w:rPr>
          <w:rFonts w:ascii="Bookman Old Style" w:hAnsi="Bookman Old Style"/>
          <w:sz w:val="28"/>
          <w:szCs w:val="28"/>
        </w:rPr>
        <w:t xml:space="preserve"> amplia exposición</w:t>
      </w:r>
      <w:r>
        <w:rPr>
          <w:rFonts w:ascii="Bookman Old Style" w:hAnsi="Bookman Old Style"/>
          <w:sz w:val="28"/>
          <w:szCs w:val="28"/>
        </w:rPr>
        <w:t xml:space="preserve"> fáctica</w:t>
      </w:r>
      <w:r w:rsidRPr="006C0BED">
        <w:rPr>
          <w:rFonts w:ascii="Bookman Old Style" w:hAnsi="Bookman Old Style"/>
          <w:sz w:val="28"/>
          <w:szCs w:val="28"/>
        </w:rPr>
        <w:t xml:space="preserve"> para adecuar en ella –entre otras- la conducta de hurto calificado, </w:t>
      </w:r>
      <w:r>
        <w:rPr>
          <w:rFonts w:ascii="Bookman Old Style" w:hAnsi="Bookman Old Style"/>
          <w:sz w:val="28"/>
          <w:szCs w:val="28"/>
        </w:rPr>
        <w:t xml:space="preserve">lo cual </w:t>
      </w:r>
      <w:r w:rsidRPr="006C0BED">
        <w:rPr>
          <w:rFonts w:ascii="Bookman Old Style" w:hAnsi="Bookman Old Style"/>
          <w:sz w:val="28"/>
          <w:szCs w:val="28"/>
        </w:rPr>
        <w:t>se verifica a trav</w:t>
      </w:r>
      <w:r>
        <w:rPr>
          <w:rFonts w:ascii="Bookman Old Style" w:hAnsi="Bookman Old Style"/>
          <w:sz w:val="28"/>
          <w:szCs w:val="28"/>
        </w:rPr>
        <w:t>és de la e</w:t>
      </w:r>
      <w:r w:rsidRPr="006C0BED">
        <w:rPr>
          <w:rFonts w:ascii="Bookman Old Style" w:hAnsi="Bookman Old Style"/>
          <w:sz w:val="28"/>
          <w:szCs w:val="28"/>
        </w:rPr>
        <w:t xml:space="preserve">scucha de los medios técnicos cuando se refirió a los </w:t>
      </w:r>
      <w:r w:rsidRPr="001F60F6">
        <w:rPr>
          <w:rFonts w:ascii="Bookman Old Style" w:hAnsi="Bookman Old Style"/>
          <w:b/>
          <w:sz w:val="28"/>
          <w:szCs w:val="28"/>
        </w:rPr>
        <w:t>hechos 46 a 56</w:t>
      </w:r>
      <w:r w:rsidRPr="006C0BED">
        <w:rPr>
          <w:rStyle w:val="Refdenotaalpie"/>
          <w:rFonts w:ascii="Bookman Old Style" w:hAnsi="Bookman Old Style"/>
          <w:sz w:val="28"/>
          <w:szCs w:val="28"/>
        </w:rPr>
        <w:footnoteReference w:id="44"/>
      </w:r>
      <w:r>
        <w:rPr>
          <w:rFonts w:ascii="Bookman Old Style" w:hAnsi="Bookman Old Style"/>
          <w:b/>
          <w:sz w:val="28"/>
          <w:szCs w:val="28"/>
        </w:rPr>
        <w:t xml:space="preserve">, </w:t>
      </w:r>
      <w:r w:rsidRPr="006C0BED">
        <w:rPr>
          <w:rFonts w:ascii="Bookman Old Style" w:hAnsi="Bookman Old Style"/>
          <w:sz w:val="28"/>
          <w:szCs w:val="28"/>
        </w:rPr>
        <w:t>ocurridos en la Inspección de San Teodoro el 3 de mayo de 1999</w:t>
      </w:r>
      <w:r>
        <w:rPr>
          <w:rFonts w:ascii="Bookman Old Style" w:hAnsi="Bookman Old Style"/>
          <w:sz w:val="28"/>
          <w:szCs w:val="28"/>
        </w:rPr>
        <w:t>, reiterando tal narración y adecuación jurídica en la audiencia de legalización de cargos</w:t>
      </w:r>
      <w:r>
        <w:rPr>
          <w:rStyle w:val="Refdenotaalpie"/>
          <w:rFonts w:ascii="Bookman Old Style" w:hAnsi="Bookman Old Style"/>
          <w:sz w:val="28"/>
          <w:szCs w:val="28"/>
        </w:rPr>
        <w:footnoteReference w:id="45"/>
      </w:r>
      <w:r>
        <w:rPr>
          <w:rFonts w:ascii="Bookman Old Style" w:hAnsi="Bookman Old Style"/>
          <w:sz w:val="28"/>
          <w:szCs w:val="28"/>
        </w:rPr>
        <w:t>, en la que incluso se individualizó una motocicleta</w:t>
      </w:r>
      <w:r>
        <w:rPr>
          <w:rStyle w:val="Refdenotaalpie"/>
          <w:rFonts w:ascii="Bookman Old Style" w:hAnsi="Bookman Old Style"/>
          <w:sz w:val="28"/>
          <w:szCs w:val="28"/>
        </w:rPr>
        <w:footnoteReference w:id="46"/>
      </w:r>
      <w:r>
        <w:rPr>
          <w:rFonts w:ascii="Bookman Old Style" w:hAnsi="Bookman Old Style"/>
          <w:sz w:val="28"/>
          <w:szCs w:val="28"/>
        </w:rPr>
        <w:t xml:space="preserve"> y se mencionaron otros bienes.</w:t>
      </w:r>
    </w:p>
    <w:p w:rsidR="00AD777C" w:rsidRDefault="00AD777C" w:rsidP="00AD777C">
      <w:pPr>
        <w:spacing w:line="360" w:lineRule="auto"/>
        <w:ind w:right="-187" w:firstLine="705"/>
        <w:jc w:val="both"/>
        <w:rPr>
          <w:rFonts w:ascii="Bookman Old Style" w:hAnsi="Bookman Old Style"/>
          <w:sz w:val="28"/>
          <w:szCs w:val="28"/>
        </w:rPr>
      </w:pPr>
    </w:p>
    <w:p w:rsidR="00AD777C" w:rsidRPr="00A335F0" w:rsidRDefault="00AD777C" w:rsidP="00AD777C">
      <w:pPr>
        <w:spacing w:line="360" w:lineRule="auto"/>
        <w:ind w:right="-187" w:firstLine="705"/>
        <w:jc w:val="both"/>
        <w:rPr>
          <w:rFonts w:ascii="Bookman Old Style" w:hAnsi="Bookman Old Style"/>
          <w:sz w:val="28"/>
          <w:szCs w:val="28"/>
        </w:rPr>
      </w:pPr>
      <w:r>
        <w:rPr>
          <w:rFonts w:ascii="Bookman Old Style" w:hAnsi="Bookman Old Style"/>
          <w:sz w:val="28"/>
          <w:szCs w:val="28"/>
        </w:rPr>
        <w:t xml:space="preserve">Conforme con lo anterior, no se ajusta a la realidad la motivación que esgrimió el Tribunal de Justicia y Paz para abstenerse de legalizar el delito de hurto calificado, toda vez que si hubo indicación clara de los bienes que fueron hurtados a las mencionadas víctimas durante la incursión a San Teodoro, al margen de la cuantía del punible. </w:t>
      </w:r>
      <w:r w:rsidRPr="00A335F0">
        <w:rPr>
          <w:rFonts w:ascii="Bookman Old Style" w:hAnsi="Bookman Old Style"/>
          <w:sz w:val="28"/>
          <w:szCs w:val="28"/>
        </w:rPr>
        <w:t xml:space="preserve">Bajo las anteriores consideraciones, se legaliza en el </w:t>
      </w:r>
      <w:r w:rsidRPr="002E73BE">
        <w:rPr>
          <w:rFonts w:ascii="Bookman Old Style" w:hAnsi="Bookman Old Style"/>
          <w:b/>
          <w:sz w:val="28"/>
          <w:szCs w:val="28"/>
        </w:rPr>
        <w:t xml:space="preserve">hecho </w:t>
      </w:r>
      <w:r>
        <w:rPr>
          <w:rFonts w:ascii="Bookman Old Style" w:hAnsi="Bookman Old Style"/>
          <w:b/>
          <w:sz w:val="28"/>
          <w:szCs w:val="28"/>
        </w:rPr>
        <w:t xml:space="preserve">No. </w:t>
      </w:r>
      <w:r w:rsidRPr="002E73BE">
        <w:rPr>
          <w:rFonts w:ascii="Bookman Old Style" w:hAnsi="Bookman Old Style"/>
          <w:b/>
          <w:sz w:val="28"/>
          <w:szCs w:val="28"/>
        </w:rPr>
        <w:t>50</w:t>
      </w:r>
      <w:r w:rsidRPr="00A335F0">
        <w:rPr>
          <w:rFonts w:ascii="Bookman Old Style" w:hAnsi="Bookman Old Style"/>
          <w:sz w:val="28"/>
          <w:szCs w:val="28"/>
        </w:rPr>
        <w:t xml:space="preserve"> el delito de hurto calificado.</w:t>
      </w:r>
    </w:p>
    <w:p w:rsidR="00AD777C" w:rsidRDefault="00AD777C" w:rsidP="00AD777C">
      <w:pPr>
        <w:spacing w:line="360" w:lineRule="auto"/>
        <w:jc w:val="both"/>
        <w:rPr>
          <w:rFonts w:ascii="Bookman Old Style" w:hAnsi="Bookman Old Style"/>
          <w:sz w:val="28"/>
          <w:szCs w:val="28"/>
        </w:rPr>
      </w:pPr>
    </w:p>
    <w:p w:rsidR="00AD777C" w:rsidRPr="00AB72EC" w:rsidRDefault="00AD777C" w:rsidP="00AD777C">
      <w:pPr>
        <w:spacing w:line="360" w:lineRule="auto"/>
        <w:ind w:firstLine="708"/>
        <w:jc w:val="both"/>
        <w:rPr>
          <w:rFonts w:ascii="Bookman Old Style" w:hAnsi="Bookman Old Style"/>
          <w:sz w:val="28"/>
          <w:szCs w:val="28"/>
        </w:rPr>
      </w:pPr>
      <w:r w:rsidRPr="00AB72EC">
        <w:rPr>
          <w:rFonts w:ascii="Bookman Old Style" w:hAnsi="Bookman Old Style"/>
          <w:sz w:val="28"/>
          <w:szCs w:val="28"/>
        </w:rPr>
        <w:t xml:space="preserve">Dado que las restantes inconformidades expuestas por este profesional, </w:t>
      </w:r>
      <w:r>
        <w:rPr>
          <w:rFonts w:ascii="Bookman Old Style" w:hAnsi="Bookman Old Style"/>
          <w:sz w:val="28"/>
          <w:szCs w:val="28"/>
        </w:rPr>
        <w:t>buscan e</w:t>
      </w:r>
      <w:r w:rsidRPr="00AB72EC">
        <w:rPr>
          <w:rFonts w:ascii="Bookman Old Style" w:hAnsi="Bookman Old Style"/>
          <w:sz w:val="28"/>
          <w:szCs w:val="28"/>
        </w:rPr>
        <w:t xml:space="preserve">l reconocimiento de </w:t>
      </w:r>
      <w:r>
        <w:rPr>
          <w:rFonts w:ascii="Bookman Old Style" w:hAnsi="Bookman Old Style"/>
          <w:sz w:val="28"/>
          <w:szCs w:val="28"/>
        </w:rPr>
        <w:t xml:space="preserve">algunas personas como </w:t>
      </w:r>
      <w:r w:rsidRPr="00AB72EC">
        <w:rPr>
          <w:rFonts w:ascii="Bookman Old Style" w:hAnsi="Bookman Old Style"/>
          <w:sz w:val="28"/>
          <w:szCs w:val="28"/>
        </w:rPr>
        <w:t>víctimas</w:t>
      </w:r>
      <w:r>
        <w:rPr>
          <w:rFonts w:ascii="Bookman Old Style" w:hAnsi="Bookman Old Style"/>
          <w:sz w:val="28"/>
          <w:szCs w:val="28"/>
        </w:rPr>
        <w:t xml:space="preserve">, a quienes en la sentencia impugnada se negó ese derecho, </w:t>
      </w:r>
      <w:r w:rsidRPr="00AB72EC">
        <w:rPr>
          <w:rFonts w:ascii="Bookman Old Style" w:hAnsi="Bookman Old Style"/>
          <w:sz w:val="28"/>
          <w:szCs w:val="28"/>
        </w:rPr>
        <w:t>la Sala las resolverá en un acápite en el que se agruparán las pretensiones que en el</w:t>
      </w:r>
      <w:r>
        <w:rPr>
          <w:rFonts w:ascii="Bookman Old Style" w:hAnsi="Bookman Old Style"/>
          <w:sz w:val="28"/>
          <w:szCs w:val="28"/>
        </w:rPr>
        <w:t xml:space="preserve"> mismo sentido realizaron otros </w:t>
      </w:r>
      <w:r w:rsidRPr="00AB72EC">
        <w:rPr>
          <w:rFonts w:ascii="Bookman Old Style" w:hAnsi="Bookman Old Style"/>
          <w:sz w:val="28"/>
          <w:szCs w:val="28"/>
        </w:rPr>
        <w:t>impugnantes.</w:t>
      </w:r>
    </w:p>
    <w:p w:rsidR="00AD777C" w:rsidRPr="00D07B48" w:rsidRDefault="00AD777C" w:rsidP="00AD777C">
      <w:pPr>
        <w:spacing w:line="360" w:lineRule="auto"/>
        <w:ind w:right="-187" w:firstLine="708"/>
        <w:jc w:val="both"/>
        <w:rPr>
          <w:rFonts w:ascii="Bookman Old Style" w:hAnsi="Bookman Old Style"/>
          <w:color w:val="7030A0"/>
          <w:sz w:val="28"/>
          <w:szCs w:val="28"/>
        </w:rPr>
      </w:pPr>
    </w:p>
    <w:p w:rsidR="00AD777C" w:rsidRPr="00F54115" w:rsidRDefault="00AD777C" w:rsidP="00AD777C">
      <w:pPr>
        <w:spacing w:line="360" w:lineRule="auto"/>
        <w:ind w:right="-187" w:firstLine="708"/>
        <w:jc w:val="both"/>
        <w:rPr>
          <w:rFonts w:ascii="Bookman Old Style" w:hAnsi="Bookman Old Style"/>
          <w:b/>
          <w:sz w:val="28"/>
          <w:szCs w:val="28"/>
        </w:rPr>
      </w:pPr>
      <w:r>
        <w:rPr>
          <w:rFonts w:ascii="Bookman Old Style" w:hAnsi="Bookman Old Style"/>
          <w:b/>
          <w:sz w:val="28"/>
          <w:szCs w:val="28"/>
        </w:rPr>
        <w:t xml:space="preserve">2.2. Sobre la impugnación del apoderado de víctimas </w:t>
      </w:r>
      <w:r w:rsidRPr="00F54115">
        <w:rPr>
          <w:rFonts w:ascii="Bookman Old Style" w:hAnsi="Bookman Old Style" w:cs="Sakkal Majalla"/>
          <w:b/>
          <w:sz w:val="28"/>
          <w:szCs w:val="28"/>
        </w:rPr>
        <w:t>Jairo Alberto Moya Moya</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Solicita legalizar en el </w:t>
      </w:r>
      <w:r w:rsidRPr="002E73BE">
        <w:rPr>
          <w:rFonts w:ascii="Bookman Old Style" w:hAnsi="Bookman Old Style" w:cs="Sakkal Majalla"/>
          <w:b/>
          <w:sz w:val="28"/>
          <w:szCs w:val="28"/>
        </w:rPr>
        <w:t>hecho 37</w:t>
      </w:r>
      <w:r>
        <w:rPr>
          <w:rFonts w:ascii="Bookman Old Style" w:hAnsi="Bookman Old Style" w:cs="Sakkal Majalla"/>
          <w:sz w:val="28"/>
          <w:szCs w:val="28"/>
        </w:rPr>
        <w:t xml:space="preserve"> los delitos de desplazamiento forzado e incendio, conforme a la descripción fáctica que realizara la Fiscalía 59 adscrita a la Unidad para la Justicia y la Paz. También pide pronunciamiento sobre el delito de hurto agravado, hecho sobre el </w:t>
      </w:r>
      <w:r w:rsidRPr="002C6F6F">
        <w:rPr>
          <w:rFonts w:ascii="Bookman Old Style" w:hAnsi="Bookman Old Style" w:cs="Sakkal Majalla"/>
          <w:sz w:val="28"/>
          <w:szCs w:val="28"/>
        </w:rPr>
        <w:t>cual el Tribunal guardó silencio.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En la audiencia de legalización de cargos, el representante de la Fiscalía expuso este hecho como uno de los cometidos en desarrollo de las incursiones paramilitares a diferentes localidades del Alto de Tillavá.</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Ante la confusión en las fechas y detalles de lo ocurrido en la incursión a la Vereda La Loma, finalmente el Fiscal precisó que acontecieron en el mes de octubre de 1997, pero mezcla también episodios propios de la incursión a la población de la Picota en donde los miembros del Bloque Oriental que actuaron conjuntamente con Los ‘Urabeños’ y Los ‘Buitrago’ arrasaron el caserío quemándolo.</w:t>
      </w:r>
    </w:p>
    <w:p w:rsidR="00AD777C" w:rsidRPr="00FD0059" w:rsidRDefault="00AD777C" w:rsidP="00AD777C">
      <w:pPr>
        <w:spacing w:line="360" w:lineRule="auto"/>
        <w:jc w:val="both"/>
        <w:rPr>
          <w:rFonts w:ascii="Bookman Old Style" w:hAnsi="Bookman Old Style"/>
          <w:sz w:val="28"/>
          <w:szCs w:val="28"/>
          <w:lang w:val="es-CO"/>
        </w:rPr>
      </w:pPr>
    </w:p>
    <w:p w:rsidR="00AD777C" w:rsidRPr="00FD0059" w:rsidRDefault="00AD777C" w:rsidP="00AD777C">
      <w:pPr>
        <w:spacing w:line="360" w:lineRule="auto"/>
        <w:jc w:val="both"/>
        <w:rPr>
          <w:rFonts w:ascii="Bookman Old Style" w:hAnsi="Bookman Old Style"/>
          <w:sz w:val="28"/>
          <w:szCs w:val="28"/>
          <w:lang w:val="es-CO"/>
        </w:rPr>
      </w:pPr>
      <w:r>
        <w:rPr>
          <w:rFonts w:ascii="Bookman Old Style" w:hAnsi="Bookman Old Style"/>
          <w:sz w:val="28"/>
          <w:szCs w:val="28"/>
          <w:lang w:val="es-CO"/>
        </w:rPr>
        <w:tab/>
        <w:t>Por requerimiento de la magistratura, se precisó por parte de la F</w:t>
      </w:r>
      <w:r w:rsidRPr="00FD0059">
        <w:rPr>
          <w:rFonts w:ascii="Bookman Old Style" w:hAnsi="Bookman Old Style"/>
          <w:sz w:val="28"/>
          <w:szCs w:val="28"/>
          <w:lang w:val="es-CO"/>
        </w:rPr>
        <w:t>iscalía que el incidente del cual fue víctima Yamilet Pabón y su familia cuando residían en la vereda La Loma,</w:t>
      </w:r>
      <w:r>
        <w:rPr>
          <w:rFonts w:ascii="Bookman Old Style" w:hAnsi="Bookman Old Style"/>
          <w:sz w:val="28"/>
          <w:szCs w:val="28"/>
          <w:lang w:val="es-CO"/>
        </w:rPr>
        <w:t xml:space="preserve"> jurisdicción del Alto Tillavá,</w:t>
      </w:r>
      <w:r w:rsidRPr="00FD0059">
        <w:rPr>
          <w:rFonts w:ascii="Bookman Old Style" w:hAnsi="Bookman Old Style"/>
          <w:sz w:val="28"/>
          <w:szCs w:val="28"/>
          <w:lang w:val="es-CO"/>
        </w:rPr>
        <w:t xml:space="preserve"> corresponde al denominado como primera incursión en el contexto general.</w:t>
      </w:r>
      <w:r>
        <w:rPr>
          <w:rFonts w:ascii="Bookman Old Style" w:hAnsi="Bookman Old Style"/>
          <w:sz w:val="28"/>
          <w:szCs w:val="28"/>
          <w:lang w:val="es-CO"/>
        </w:rPr>
        <w:t xml:space="preserve"> Para mayor puntualidad, así lo expuso el Fiscal Delegado:</w:t>
      </w:r>
    </w:p>
    <w:p w:rsidR="00AD777C" w:rsidRDefault="00AD777C" w:rsidP="00AD777C">
      <w:pPr>
        <w:jc w:val="both"/>
        <w:rPr>
          <w:sz w:val="32"/>
          <w:szCs w:val="32"/>
          <w:lang w:val="es-CO"/>
        </w:rPr>
      </w:pPr>
    </w:p>
    <w:p w:rsidR="00AD777C" w:rsidRPr="00C479CB" w:rsidRDefault="00AD777C" w:rsidP="00AD777C">
      <w:pPr>
        <w:spacing w:line="360" w:lineRule="auto"/>
        <w:ind w:left="708"/>
        <w:jc w:val="both"/>
        <w:rPr>
          <w:rFonts w:ascii="Bookman Old Style" w:hAnsi="Bookman Old Style"/>
          <w:i/>
          <w:sz w:val="24"/>
          <w:szCs w:val="24"/>
          <w:lang w:val="es-CO"/>
        </w:rPr>
      </w:pPr>
      <w:r w:rsidRPr="00C479CB">
        <w:rPr>
          <w:rFonts w:ascii="Bookman Old Style" w:hAnsi="Bookman Old Style"/>
          <w:i/>
          <w:sz w:val="24"/>
          <w:szCs w:val="24"/>
          <w:lang w:val="es-CO"/>
        </w:rPr>
        <w:t>…también señorías, tuvieron objeto de este episodio la señora Yamilet Pabón y su hijo Jonathan Pabón, ellos el día de los hechos estaban en un paseo familiar en una finca que era de unos amigos, estaban departiendo. Como a las 17 horas y antes de salir de esa finca se percataron que había mucho humo por la vereda, al llegar a la casa observan que todo estaba destruido, las cosas botadas al suelo, se habían llevado mercancía, había letreros por todas las paredes de la casa con frases de autodefensas de Urabá, al parecer en esa incursión quemaron otros sectores. (…) esos son los episodios que se suscitan en la primera incursión de octubre de 1997.</w:t>
      </w:r>
    </w:p>
    <w:p w:rsidR="00AD777C" w:rsidRDefault="00AD777C" w:rsidP="00AD777C">
      <w:pPr>
        <w:spacing w:line="360" w:lineRule="auto"/>
        <w:ind w:right="-187"/>
        <w:jc w:val="both"/>
        <w:rPr>
          <w:rFonts w:ascii="Bookman Old Style" w:hAnsi="Bookman Old Style"/>
          <w:i/>
          <w:sz w:val="24"/>
          <w:szCs w:val="24"/>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Ciertamente, luego de la descripción fáctica, la Fiscalía solicitó la legalización de cargos por los delitos de</w:t>
      </w:r>
      <w:r w:rsidRPr="002C6F6F">
        <w:rPr>
          <w:rFonts w:ascii="Bookman Old Style" w:hAnsi="Bookman Old Style"/>
          <w:sz w:val="28"/>
          <w:szCs w:val="28"/>
          <w:lang w:val="es-CO"/>
        </w:rPr>
        <w:t xml:space="preserve"> despla</w:t>
      </w:r>
      <w:r>
        <w:rPr>
          <w:rFonts w:ascii="Bookman Old Style" w:hAnsi="Bookman Old Style"/>
          <w:sz w:val="28"/>
          <w:szCs w:val="28"/>
          <w:lang w:val="es-CO"/>
        </w:rPr>
        <w:t>zam</w:t>
      </w:r>
      <w:r w:rsidRPr="002C6F6F">
        <w:rPr>
          <w:rFonts w:ascii="Bookman Old Style" w:hAnsi="Bookman Old Style"/>
          <w:sz w:val="28"/>
          <w:szCs w:val="28"/>
          <w:lang w:val="es-CO"/>
        </w:rPr>
        <w:t>iento e incendio,</w:t>
      </w:r>
      <w:r>
        <w:rPr>
          <w:rFonts w:ascii="Bookman Old Style" w:hAnsi="Bookman Old Style"/>
          <w:sz w:val="28"/>
          <w:szCs w:val="28"/>
          <w:lang w:val="es-CO"/>
        </w:rPr>
        <w:t xml:space="preserve"> porque:</w:t>
      </w:r>
    </w:p>
    <w:p w:rsidR="00AD777C" w:rsidRDefault="00AD777C" w:rsidP="00AD777C">
      <w:pPr>
        <w:spacing w:line="360" w:lineRule="auto"/>
        <w:ind w:left="708" w:firstLine="90"/>
        <w:jc w:val="both"/>
        <w:rPr>
          <w:rFonts w:ascii="Bookman Old Style" w:hAnsi="Bookman Old Style"/>
          <w:i/>
          <w:sz w:val="24"/>
          <w:szCs w:val="24"/>
          <w:lang w:val="es-CO"/>
        </w:rPr>
      </w:pPr>
    </w:p>
    <w:p w:rsidR="00AD777C" w:rsidRPr="002C6F6F" w:rsidRDefault="00AD777C" w:rsidP="00AD777C">
      <w:pPr>
        <w:spacing w:line="360" w:lineRule="auto"/>
        <w:ind w:left="708" w:firstLine="90"/>
        <w:jc w:val="both"/>
        <w:rPr>
          <w:rFonts w:ascii="Bookman Old Style" w:hAnsi="Bookman Old Style"/>
          <w:sz w:val="28"/>
          <w:szCs w:val="28"/>
          <w:lang w:val="es-CO"/>
        </w:rPr>
      </w:pPr>
      <w:r w:rsidRPr="00C479CB">
        <w:rPr>
          <w:rFonts w:ascii="Bookman Old Style" w:hAnsi="Bookman Old Style"/>
          <w:i/>
          <w:sz w:val="24"/>
          <w:szCs w:val="24"/>
          <w:lang w:val="es-CO"/>
        </w:rPr>
        <w:t>“en esa oportunidad hubo incendio a su vivienda… habla que hubo pérdidas y que ella tenía almacén de granos como una especie de discoteca y restaurante o sea como muy ubicadito dentro de una vivienda muy humilde pero tenía diversificación del negocio como droguería o almacén de ropas y fue incendiado entonces por ese motivo señorías por esta sola incursión estamos hablando de homicidios agravados en múltiples concursos con desplazamientos como crimen de guerra y estamos hablando de incendio</w:t>
      </w:r>
      <w:r>
        <w:rPr>
          <w:rFonts w:ascii="Bookman Old Style" w:hAnsi="Bookman Old Style"/>
          <w:sz w:val="28"/>
          <w:szCs w:val="28"/>
          <w:lang w:val="es-CO"/>
        </w:rPr>
        <w:t>”</w:t>
      </w:r>
      <w:r>
        <w:rPr>
          <w:rStyle w:val="Refdenotaalpie"/>
          <w:rFonts w:ascii="Bookman Old Style" w:hAnsi="Bookman Old Style"/>
          <w:sz w:val="28"/>
          <w:szCs w:val="28"/>
          <w:lang w:val="es-CO"/>
        </w:rPr>
        <w:footnoteReference w:id="47"/>
      </w:r>
      <w:r w:rsidRPr="002C6F6F">
        <w:rPr>
          <w:rFonts w:ascii="Bookman Old Style" w:hAnsi="Bookman Old Style"/>
          <w:sz w:val="28"/>
          <w:szCs w:val="28"/>
          <w:lang w:val="es-CO"/>
        </w:rPr>
        <w:t>.</w:t>
      </w:r>
    </w:p>
    <w:p w:rsidR="00AD777C" w:rsidRPr="002C6F6F"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No obstante, más adelante el Fiscal corrigió las conductas delictivas para adecuarlas a la imputación y formulación de acusación, quedando definitivamente por los delitos de terrorismo, hurto calificado e incendio.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sz w:val="28"/>
          <w:szCs w:val="28"/>
        </w:rPr>
      </w:pPr>
      <w:r>
        <w:rPr>
          <w:rFonts w:ascii="Bookman Old Style" w:hAnsi="Bookman Old Style"/>
          <w:sz w:val="28"/>
          <w:szCs w:val="28"/>
        </w:rPr>
        <w:t xml:space="preserve">Tal recapitulación resulta necesaria para concluir que al no ser un punible imputado y tampoco sobre el cual la Fiscalía hubiere solicitado legalización, el Tribunal no tenía por qué ocuparse de la conducta de desplazamiento forzado, como se estudió anteriormente. Adicionalmente, debe quedar claro que no es, como lo afirma el representante de las víctimas, que el </w:t>
      </w:r>
      <w:r w:rsidRPr="000C2B9B">
        <w:rPr>
          <w:rFonts w:ascii="Bookman Old Style" w:hAnsi="Bookman Old Style"/>
          <w:i/>
          <w:sz w:val="28"/>
          <w:szCs w:val="28"/>
        </w:rPr>
        <w:t>A-quo</w:t>
      </w:r>
      <w:r>
        <w:rPr>
          <w:rFonts w:ascii="Bookman Old Style" w:hAnsi="Bookman Old Style"/>
          <w:sz w:val="28"/>
          <w:szCs w:val="28"/>
        </w:rPr>
        <w:t xml:space="preserve"> se negara a legalizarlo, sino que no hubo debate alguno que permitiera adoptar determinación en uno u otro sentido.</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Así las cosas, no se accederá al primer requerimiento del recurrente, dado que nunca se imputó el delito de desplazamiento forzado.</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Diferente es la situación que se presenta con el punible de incendio respecto del cual el Tribunal se abstuvo de su legalización por considerar que se encuentra subsumido en los actos del delito de terrorismo que en estos hechos fuera formulado, razonamiento que se aparta del análisis del caso concreto y de la descripción fáctica realizada por la Fiscalía frente a los actos de terrorismo en diferentes caseríos y veredas, en los que en su retirada los integrantes de las Autodefensas prendieron fuego en forma indiscriminada a las viviendas y predios.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Ciertamente la casa habitada por Yamilet Pabón y su familia se encontraba en la vereda La Loma, también afectada con la ocupación violenta del mes de octubre de 1997, sin embargo, del relato de la Fiscalía, complementado por Octavio Prado,</w:t>
      </w:r>
      <w:r>
        <w:rPr>
          <w:rStyle w:val="Refdenotaalpie"/>
          <w:rFonts w:ascii="Bookman Old Style" w:hAnsi="Bookman Old Style" w:cs="Sakkal Majalla"/>
          <w:sz w:val="28"/>
          <w:szCs w:val="28"/>
        </w:rPr>
        <w:footnoteReference w:id="48"/>
      </w:r>
      <w:r>
        <w:rPr>
          <w:rFonts w:ascii="Bookman Old Style" w:hAnsi="Bookman Old Style" w:cs="Sakkal Majalla"/>
          <w:sz w:val="28"/>
          <w:szCs w:val="28"/>
        </w:rPr>
        <w:t xml:space="preserve"> se supo que el inmueble donde vivían y desarrollaban su actividad comercial no fue incendiado: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left="708" w:right="-187"/>
        <w:jc w:val="both"/>
        <w:rPr>
          <w:rFonts w:ascii="Bookman Old Style" w:hAnsi="Bookman Old Style" w:cs="Sakkal Majalla"/>
          <w:i/>
          <w:sz w:val="24"/>
          <w:szCs w:val="24"/>
        </w:rPr>
      </w:pPr>
      <w:r w:rsidRPr="00100DDB">
        <w:rPr>
          <w:rFonts w:ascii="Bookman Old Style" w:hAnsi="Bookman Old Style" w:cs="Sakkal Majalla"/>
          <w:i/>
          <w:sz w:val="24"/>
          <w:szCs w:val="24"/>
        </w:rPr>
        <w:t>Tuvimos que trasladarnos a la vereda La Loma de Alto Tiyavá,</w:t>
      </w:r>
      <w:r>
        <w:rPr>
          <w:rFonts w:ascii="Bookman Old Style" w:hAnsi="Bookman Old Style" w:cs="Sakkal Majalla"/>
          <w:i/>
          <w:sz w:val="24"/>
          <w:szCs w:val="24"/>
        </w:rPr>
        <w:t xml:space="preserve"> </w:t>
      </w:r>
      <w:r w:rsidRPr="00A335F0">
        <w:rPr>
          <w:rFonts w:ascii="Bookman Old Style" w:hAnsi="Bookman Old Style" w:cs="Sakkal Majalla"/>
          <w:sz w:val="28"/>
          <w:szCs w:val="28"/>
        </w:rPr>
        <w:t>(sic)</w:t>
      </w:r>
      <w:r w:rsidRPr="00100DDB">
        <w:rPr>
          <w:rFonts w:ascii="Bookman Old Style" w:hAnsi="Bookman Old Style" w:cs="Sakkal Majalla"/>
          <w:i/>
          <w:sz w:val="24"/>
          <w:szCs w:val="24"/>
        </w:rPr>
        <w:t xml:space="preserve"> y dejamos la casa abandonada.  Llegamos a una casa grande de una planta, la cual tomamos en arriendo, para la época pagábamos $150.000.oo.  Como tenía local, ahí inst</w:t>
      </w:r>
      <w:r>
        <w:rPr>
          <w:rFonts w:ascii="Bookman Old Style" w:hAnsi="Bookman Old Style" w:cs="Sakkal Majalla"/>
          <w:i/>
          <w:sz w:val="24"/>
          <w:szCs w:val="24"/>
        </w:rPr>
        <w:t>a</w:t>
      </w:r>
      <w:r w:rsidRPr="00100DDB">
        <w:rPr>
          <w:rFonts w:ascii="Bookman Old Style" w:hAnsi="Bookman Old Style" w:cs="Sakkal Majalla"/>
          <w:i/>
          <w:sz w:val="24"/>
          <w:szCs w:val="24"/>
        </w:rPr>
        <w:t>lamos la droguería, y ampliamos el negocio porque colocamos Almacén</w:t>
      </w:r>
      <w:r w:rsidRPr="00100DDB">
        <w:rPr>
          <w:rFonts w:ascii="Bookman Old Style" w:hAnsi="Bookman Old Style" w:cs="Sakkal Majalla"/>
          <w:sz w:val="28"/>
          <w:szCs w:val="28"/>
        </w:rPr>
        <w:t xml:space="preserve"> (sic) </w:t>
      </w:r>
      <w:r w:rsidRPr="00100DDB">
        <w:rPr>
          <w:rFonts w:ascii="Bookman Old Style" w:hAnsi="Bookman Old Style" w:cs="Sakkal Majalla"/>
          <w:i/>
          <w:sz w:val="24"/>
          <w:szCs w:val="24"/>
        </w:rPr>
        <w:t>de venta de ropa, de grano, cosmetiquería, r</w:t>
      </w:r>
      <w:r>
        <w:rPr>
          <w:rFonts w:ascii="Bookman Old Style" w:hAnsi="Bookman Old Style" w:cs="Sakkal Majalla"/>
          <w:i/>
          <w:sz w:val="24"/>
          <w:szCs w:val="24"/>
        </w:rPr>
        <w:t>e</w:t>
      </w:r>
      <w:r w:rsidRPr="00100DDB">
        <w:rPr>
          <w:rFonts w:ascii="Bookman Old Style" w:hAnsi="Bookman Old Style" w:cs="Sakkal Majalla"/>
          <w:i/>
          <w:sz w:val="24"/>
          <w:szCs w:val="24"/>
        </w:rPr>
        <w:t>staurante y discoteca… Ese día nos había</w:t>
      </w:r>
      <w:r>
        <w:rPr>
          <w:rFonts w:ascii="Bookman Old Style" w:hAnsi="Bookman Old Style" w:cs="Sakkal Majalla"/>
          <w:i/>
          <w:sz w:val="24"/>
          <w:szCs w:val="24"/>
        </w:rPr>
        <w:t>mos</w:t>
      </w:r>
      <w:r w:rsidRPr="00100DDB">
        <w:rPr>
          <w:rFonts w:ascii="Bookman Old Style" w:hAnsi="Bookman Old Style" w:cs="Sakkal Majalla"/>
          <w:i/>
          <w:sz w:val="24"/>
          <w:szCs w:val="24"/>
        </w:rPr>
        <w:t xml:space="preserve"> ido de paseo para la finca de un amigo, desde alla</w:t>
      </w:r>
      <w:r w:rsidRPr="00100DDB">
        <w:rPr>
          <w:rFonts w:ascii="Bookman Old Style" w:hAnsi="Bookman Old Style" w:cs="Sakkal Majalla"/>
          <w:sz w:val="28"/>
          <w:szCs w:val="28"/>
        </w:rPr>
        <w:t xml:space="preserve"> (sic)</w:t>
      </w:r>
      <w:r w:rsidRPr="00100DDB">
        <w:rPr>
          <w:rFonts w:ascii="Bookman Old Style" w:hAnsi="Bookman Old Style" w:cs="Sakkal Majalla"/>
          <w:i/>
          <w:sz w:val="24"/>
          <w:szCs w:val="24"/>
        </w:rPr>
        <w:t xml:space="preserve"> se alcanzaba a ver humareda y se escuchaban explosiones.  Llegamos a la casa como a las 3:00 ó 4:00 pm, </w:t>
      </w:r>
      <w:r w:rsidRPr="00100DDB">
        <w:rPr>
          <w:rFonts w:ascii="Bookman Old Style" w:hAnsi="Bookman Old Style" w:cs="Sakkal Majalla"/>
          <w:b/>
          <w:i/>
          <w:sz w:val="24"/>
          <w:szCs w:val="24"/>
        </w:rPr>
        <w:t xml:space="preserve">y había casa </w:t>
      </w:r>
      <w:r w:rsidRPr="00B35A57">
        <w:rPr>
          <w:rFonts w:ascii="Bookman Old Style" w:hAnsi="Bookman Old Style" w:cs="Sakkal Majalla"/>
          <w:sz w:val="28"/>
          <w:szCs w:val="28"/>
        </w:rPr>
        <w:t>(sic)</w:t>
      </w:r>
      <w:r w:rsidRPr="00100DDB">
        <w:rPr>
          <w:rFonts w:ascii="Bookman Old Style" w:hAnsi="Bookman Old Style" w:cs="Sakkal Majalla"/>
          <w:b/>
          <w:i/>
          <w:sz w:val="24"/>
          <w:szCs w:val="24"/>
        </w:rPr>
        <w:t xml:space="preserve"> cercana incendiada</w:t>
      </w:r>
      <w:r w:rsidRPr="00100DDB">
        <w:rPr>
          <w:rFonts w:ascii="Bookman Old Style" w:hAnsi="Bookman Old Style" w:cs="Sakkal Majalla"/>
          <w:i/>
          <w:sz w:val="24"/>
          <w:szCs w:val="24"/>
        </w:rPr>
        <w:t>, la casa y el local habían sido saqueados, las vitrinas de vidrio quebradas, habían sacado la mercancía: ropa, mercado de gr</w:t>
      </w:r>
      <w:r>
        <w:rPr>
          <w:rFonts w:ascii="Bookman Old Style" w:hAnsi="Bookman Old Style" w:cs="Sakkal Majalla"/>
          <w:i/>
          <w:sz w:val="24"/>
          <w:szCs w:val="24"/>
        </w:rPr>
        <w:t>a</w:t>
      </w:r>
      <w:r w:rsidRPr="00100DDB">
        <w:rPr>
          <w:rFonts w:ascii="Bookman Old Style" w:hAnsi="Bookman Old Style" w:cs="Sakkal Majalla"/>
          <w:i/>
          <w:sz w:val="24"/>
          <w:szCs w:val="24"/>
        </w:rPr>
        <w:t>no, leche en polvo, perfumes, cosméticos, todo lo de droguería, como se acercaba el 31 de octubre se habían comprado disfraces y dulces para ese día, y todo se perdió, relojes, y de la casa el televisor, el</w:t>
      </w:r>
      <w:r>
        <w:rPr>
          <w:rFonts w:ascii="Bookman Old Style" w:hAnsi="Bookman Old Style" w:cs="Sakkal Majalla"/>
          <w:i/>
          <w:sz w:val="24"/>
          <w:szCs w:val="24"/>
        </w:rPr>
        <w:t xml:space="preserve"> e</w:t>
      </w:r>
      <w:r w:rsidRPr="00100DDB">
        <w:rPr>
          <w:rFonts w:ascii="Bookman Old Style" w:hAnsi="Bookman Old Style" w:cs="Sakkal Majalla"/>
          <w:i/>
          <w:sz w:val="24"/>
          <w:szCs w:val="24"/>
        </w:rPr>
        <w:t>quipo de sonido, el enfriador, estaban dañados, sólo nos quedó una planta eléctrica…</w:t>
      </w:r>
      <w:r>
        <w:rPr>
          <w:rStyle w:val="Refdenotaalpie"/>
          <w:rFonts w:ascii="Bookman Old Style" w:hAnsi="Bookman Old Style" w:cs="Sakkal Majalla"/>
          <w:i/>
          <w:sz w:val="24"/>
          <w:szCs w:val="24"/>
        </w:rPr>
        <w:footnoteReference w:id="49"/>
      </w:r>
    </w:p>
    <w:p w:rsidR="00AD777C" w:rsidRDefault="00AD777C" w:rsidP="00AD777C">
      <w:pPr>
        <w:spacing w:line="360" w:lineRule="auto"/>
        <w:ind w:left="708" w:right="-187"/>
        <w:jc w:val="both"/>
        <w:rPr>
          <w:rFonts w:ascii="Bookman Old Style" w:hAnsi="Bookman Old Style" w:cs="Sakkal Majalla"/>
          <w:i/>
          <w:sz w:val="24"/>
          <w:szCs w:val="24"/>
        </w:rPr>
      </w:pPr>
    </w:p>
    <w:p w:rsidR="00AD777C" w:rsidRPr="00A335F0" w:rsidRDefault="00AD777C" w:rsidP="00AD777C">
      <w:pPr>
        <w:spacing w:line="360" w:lineRule="auto"/>
        <w:ind w:right="-187" w:firstLine="708"/>
        <w:jc w:val="both"/>
        <w:rPr>
          <w:rFonts w:ascii="Bookman Old Style" w:hAnsi="Bookman Old Style" w:cs="Sakkal Majalla"/>
          <w:sz w:val="28"/>
          <w:szCs w:val="28"/>
        </w:rPr>
      </w:pPr>
      <w:r w:rsidRPr="00A335F0">
        <w:rPr>
          <w:rFonts w:ascii="Bookman Old Style" w:hAnsi="Bookman Old Style" w:cs="Sakkal Majalla"/>
          <w:sz w:val="28"/>
          <w:szCs w:val="28"/>
        </w:rPr>
        <w:t xml:space="preserve">Por lo tanto, se confirmará la decisión de no legalizar el delito de incendio en el </w:t>
      </w:r>
      <w:r w:rsidRPr="002E73BE">
        <w:rPr>
          <w:rFonts w:ascii="Bookman Old Style" w:hAnsi="Bookman Old Style" w:cs="Sakkal Majalla"/>
          <w:b/>
          <w:sz w:val="28"/>
          <w:szCs w:val="28"/>
        </w:rPr>
        <w:t>hecho 37</w:t>
      </w:r>
      <w:r>
        <w:rPr>
          <w:rFonts w:ascii="Bookman Old Style" w:hAnsi="Bookman Old Style" w:cs="Sakkal Majalla"/>
          <w:sz w:val="28"/>
          <w:szCs w:val="28"/>
        </w:rPr>
        <w:t>, pero por las razones expuestas, dado que no obstante resultar quemadas varias viviendas de la vereda, ésta no corrió la misma suerte.</w:t>
      </w:r>
    </w:p>
    <w:p w:rsidR="00AD777C" w:rsidRPr="00BB67EC" w:rsidRDefault="00AD777C" w:rsidP="00AD777C">
      <w:pPr>
        <w:spacing w:line="360" w:lineRule="auto"/>
        <w:ind w:right="-187" w:firstLine="708"/>
        <w:jc w:val="both"/>
        <w:rPr>
          <w:rFonts w:ascii="Bookman Old Style" w:hAnsi="Bookman Old Style" w:cs="Sakkal Majalla"/>
          <w:color w:val="C00000"/>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De otra parte,</w:t>
      </w:r>
      <w:r w:rsidRPr="00A335F0">
        <w:rPr>
          <w:rFonts w:ascii="Bookman Old Style" w:hAnsi="Bookman Old Style" w:cs="Sakkal Majalla"/>
          <w:sz w:val="28"/>
          <w:szCs w:val="28"/>
        </w:rPr>
        <w:t xml:space="preserve"> se legalizará el delito de hurto calificado, por idénticas razones a</w:t>
      </w:r>
      <w:r>
        <w:rPr>
          <w:rFonts w:ascii="Bookman Old Style" w:hAnsi="Bookman Old Style" w:cs="Sakkal Majalla"/>
          <w:sz w:val="28"/>
          <w:szCs w:val="28"/>
        </w:rPr>
        <w:t xml:space="preserve"> las aducidas en el caso 50, pues aunque la Sala de Conocimiento menciona que la Fiscalía no precisó cuáles fueron los objetos hurtados, resulta claro que la señora Pabón y Octavio Prado perdieron ese día de octubre de 1997 la mercancía que vendían en su local y si bien no hubo enunciación detallada de la cantidad de productos hurtados, ello resulta irrelevante para la estructuración de la conducta punible de hurto que fuera aceptada por los postulados.</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Que no se hubiere probado la cuantía, no es elemento que integre el tipo penal de hurto, que además se imputó como calificado por cometerse con violencia sobre las cosas, conforme al numeral 1º del artículo 350 del Código Penal de 1980.  Será aspecto que corresponde establecer en sede del incidente de reparación integral. </w:t>
      </w: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 </w:t>
      </w: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Sobre los </w:t>
      </w:r>
      <w:r w:rsidRPr="002E73BE">
        <w:rPr>
          <w:rFonts w:ascii="Bookman Old Style" w:hAnsi="Bookman Old Style" w:cs="Sakkal Majalla"/>
          <w:b/>
          <w:sz w:val="28"/>
          <w:szCs w:val="28"/>
        </w:rPr>
        <w:t>hechos 49, 52 y 54</w:t>
      </w:r>
      <w:r>
        <w:rPr>
          <w:rFonts w:ascii="Bookman Old Style" w:hAnsi="Bookman Old Style" w:cs="Sakkal Majalla"/>
          <w:sz w:val="28"/>
          <w:szCs w:val="28"/>
        </w:rPr>
        <w:t xml:space="preserve"> que hacen parte del caso conocido como incursión a ‘San Teodoro’, el representante de víctimas propugna porque se legalice el delito de desplazamiento forzado.  No obstante, no informa las razones por las cuales debe ocuparse la sentencia de primera instancia de una conducta punible que no fue confesada por los postulados y, por lo tanto, tampoco fue objeto de imputación.</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Frente a esta pretensión, no puede desconocerse que la descripción fáctica que realizara el Fiscal conlleva la posibilidad de que hubiera desplazamiento de población civil que temía continuar viviendo en el caserío debido a las recurrentes amenazas que sobre ellos recaían. Sin embargo, también quedó claro que este proceso no abarca la totalidad de hechos y conductas punibles cometidas por las Autodefensas del Meta y Vichada y que la Fiscalía se comprometió a continuar investigando para recaudar evidencias que le permitirán efectuar imputaciones por este y otros delitos.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De la misma manera, solicita que en el </w:t>
      </w:r>
      <w:r w:rsidRPr="00B73F76">
        <w:rPr>
          <w:rFonts w:ascii="Bookman Old Style" w:hAnsi="Bookman Old Style" w:cs="Sakkal Majalla"/>
          <w:b/>
          <w:sz w:val="28"/>
          <w:szCs w:val="28"/>
        </w:rPr>
        <w:t>hecho 54</w:t>
      </w:r>
      <w:r>
        <w:rPr>
          <w:rFonts w:ascii="Bookman Old Style" w:hAnsi="Bookman Old Style" w:cs="Sakkal Majalla"/>
          <w:sz w:val="28"/>
          <w:szCs w:val="28"/>
        </w:rPr>
        <w:t xml:space="preserve"> se imparta legalidad al delito de hurto agravado, petición que será resuelta bajo la mismas consideraciones efectuadas para esta conducta punible, por tratarse de uno de los sucesos ocurridos con ocasión de la toma a San Teodoro, es decir, se legaliza también este cargo que fuera imputado y aceptado por los postulados por haberse configurado independientemente de la cuantía cuyo estudio corresponde a otro estadio procesal y no a la etapa de legalización de los cargos.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Finalmente, ningún pronunciamiento hará la Sala en torno al último requerimiento del profesional, quien solicita a la Corte decidir sobre </w:t>
      </w:r>
      <w:r w:rsidRPr="00172CFA">
        <w:rPr>
          <w:rFonts w:ascii="Bookman Old Style" w:hAnsi="Bookman Old Style" w:cs="Sakkal Majalla"/>
          <w:i/>
          <w:sz w:val="28"/>
          <w:szCs w:val="28"/>
        </w:rPr>
        <w:t>“los delitos que no fueron legalizados y los cuales fueron plenamente demostrados en cuanto a cada uno de lo</w:t>
      </w:r>
      <w:r>
        <w:rPr>
          <w:rFonts w:ascii="Bookman Old Style" w:hAnsi="Bookman Old Style" w:cs="Sakkal Majalla"/>
          <w:i/>
          <w:sz w:val="28"/>
          <w:szCs w:val="28"/>
        </w:rPr>
        <w:t>s hechos victimizantes en los c</w:t>
      </w:r>
      <w:r w:rsidRPr="00172CFA">
        <w:rPr>
          <w:rFonts w:ascii="Bookman Old Style" w:hAnsi="Bookman Old Style" w:cs="Sakkal Majalla"/>
          <w:i/>
          <w:sz w:val="28"/>
          <w:szCs w:val="28"/>
        </w:rPr>
        <w:t>u</w:t>
      </w:r>
      <w:r>
        <w:rPr>
          <w:rFonts w:ascii="Bookman Old Style" w:hAnsi="Bookman Old Style" w:cs="Sakkal Majalla"/>
          <w:i/>
          <w:sz w:val="28"/>
          <w:szCs w:val="28"/>
        </w:rPr>
        <w:t>a</w:t>
      </w:r>
      <w:r w:rsidRPr="00172CFA">
        <w:rPr>
          <w:rFonts w:ascii="Bookman Old Style" w:hAnsi="Bookman Old Style" w:cs="Sakkal Majalla"/>
          <w:i/>
          <w:sz w:val="28"/>
          <w:szCs w:val="28"/>
        </w:rPr>
        <w:t>les el suscrito rep</w:t>
      </w:r>
      <w:r>
        <w:rPr>
          <w:rFonts w:ascii="Bookman Old Style" w:hAnsi="Bookman Old Style" w:cs="Sakkal Majalla"/>
          <w:i/>
          <w:sz w:val="28"/>
          <w:szCs w:val="28"/>
        </w:rPr>
        <w:t>r</w:t>
      </w:r>
      <w:r w:rsidRPr="00172CFA">
        <w:rPr>
          <w:rFonts w:ascii="Bookman Old Style" w:hAnsi="Bookman Old Style" w:cs="Sakkal Majalla"/>
          <w:i/>
          <w:sz w:val="28"/>
          <w:szCs w:val="28"/>
        </w:rPr>
        <w:t>esentó tanto víctimas directas como indirectas</w:t>
      </w:r>
      <w:r>
        <w:rPr>
          <w:rFonts w:ascii="Bookman Old Style" w:hAnsi="Bookman Old Style" w:cs="Sakkal Majalla"/>
          <w:i/>
          <w:sz w:val="28"/>
          <w:szCs w:val="28"/>
        </w:rPr>
        <w:t>,</w:t>
      </w:r>
      <w:r w:rsidRPr="00172CFA">
        <w:rPr>
          <w:rFonts w:ascii="Bookman Old Style" w:hAnsi="Bookman Old Style" w:cs="Sakkal Majalla"/>
          <w:i/>
          <w:sz w:val="28"/>
          <w:szCs w:val="28"/>
        </w:rPr>
        <w:t>”</w:t>
      </w:r>
      <w:r>
        <w:rPr>
          <w:rStyle w:val="Refdenotaalpie"/>
          <w:rFonts w:ascii="Bookman Old Style" w:hAnsi="Bookman Old Style" w:cs="Sakkal Majalla"/>
          <w:i/>
          <w:sz w:val="28"/>
          <w:szCs w:val="28"/>
        </w:rPr>
        <w:footnoteReference w:id="50"/>
      </w:r>
      <w:r>
        <w:rPr>
          <w:rFonts w:ascii="Bookman Old Style" w:hAnsi="Bookman Old Style" w:cs="Sakkal Majalla"/>
          <w:sz w:val="28"/>
          <w:szCs w:val="28"/>
        </w:rPr>
        <w:t xml:space="preserve"> pues ningún reproche concreto realiza a la decisión de primera instancia, incumpliendo con el deber de mostrar el que, en su entender, constituye un yerro y de esa manera abrir paso a la contradicción propia del recurso de apelación.</w:t>
      </w:r>
    </w:p>
    <w:p w:rsidR="00AD777C" w:rsidRPr="0006558C" w:rsidRDefault="00AD777C" w:rsidP="00AD777C">
      <w:pPr>
        <w:spacing w:line="360" w:lineRule="auto"/>
        <w:ind w:right="-187"/>
        <w:jc w:val="both"/>
        <w:rPr>
          <w:rFonts w:ascii="Bookman Old Style" w:hAnsi="Bookman Old Style" w:cs="Sakkal Majalla"/>
          <w:color w:val="C00000"/>
          <w:sz w:val="28"/>
          <w:szCs w:val="28"/>
        </w:rPr>
      </w:pPr>
    </w:p>
    <w:p w:rsidR="00AD777C" w:rsidRPr="00D95D60" w:rsidRDefault="00AD777C" w:rsidP="00AD777C">
      <w:pPr>
        <w:spacing w:line="360" w:lineRule="auto"/>
        <w:ind w:right="-187" w:firstLine="708"/>
        <w:jc w:val="both"/>
        <w:rPr>
          <w:rFonts w:ascii="Bookman Old Style" w:hAnsi="Bookman Old Style" w:cs="Sakkal Majalla"/>
          <w:b/>
          <w:sz w:val="28"/>
          <w:szCs w:val="28"/>
        </w:rPr>
      </w:pPr>
      <w:r w:rsidRPr="00E278BB">
        <w:rPr>
          <w:rFonts w:ascii="Bookman Old Style" w:hAnsi="Bookman Old Style" w:cs="Sakkal Majalla"/>
          <w:b/>
          <w:sz w:val="28"/>
          <w:szCs w:val="28"/>
        </w:rPr>
        <w:t>2.3.</w:t>
      </w:r>
      <w:r>
        <w:rPr>
          <w:rFonts w:ascii="Bookman Old Style" w:hAnsi="Bookman Old Style" w:cs="Sakkal Majalla"/>
          <w:b/>
          <w:color w:val="C00000"/>
          <w:sz w:val="28"/>
          <w:szCs w:val="28"/>
        </w:rPr>
        <w:t xml:space="preserve"> </w:t>
      </w:r>
      <w:r>
        <w:rPr>
          <w:rFonts w:ascii="Bookman Old Style" w:hAnsi="Bookman Old Style" w:cs="Sakkal Majalla"/>
          <w:b/>
          <w:sz w:val="28"/>
          <w:szCs w:val="28"/>
        </w:rPr>
        <w:t>La Fiscalía</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sidRPr="00D95D60">
        <w:rPr>
          <w:rFonts w:ascii="Bookman Old Style" w:hAnsi="Bookman Old Style" w:cs="Sakkal Majalla"/>
          <w:sz w:val="28"/>
          <w:szCs w:val="28"/>
        </w:rPr>
        <w:t xml:space="preserve">Frente al </w:t>
      </w:r>
      <w:r w:rsidRPr="00B73F76">
        <w:rPr>
          <w:rFonts w:ascii="Bookman Old Style" w:hAnsi="Bookman Old Style" w:cs="Sakkal Majalla"/>
          <w:b/>
          <w:sz w:val="28"/>
          <w:szCs w:val="28"/>
        </w:rPr>
        <w:t xml:space="preserve">hecho </w:t>
      </w:r>
      <w:r>
        <w:rPr>
          <w:rFonts w:ascii="Bookman Old Style" w:hAnsi="Bookman Old Style" w:cs="Sakkal Majalla"/>
          <w:b/>
          <w:sz w:val="28"/>
          <w:szCs w:val="28"/>
        </w:rPr>
        <w:t>No.</w:t>
      </w:r>
      <w:r w:rsidRPr="00B73F76">
        <w:rPr>
          <w:rFonts w:ascii="Bookman Old Style" w:hAnsi="Bookman Old Style" w:cs="Sakkal Majalla"/>
          <w:b/>
          <w:sz w:val="28"/>
          <w:szCs w:val="28"/>
        </w:rPr>
        <w:t>14</w:t>
      </w:r>
      <w:r w:rsidRPr="00D95D60">
        <w:rPr>
          <w:rFonts w:ascii="Bookman Old Style" w:hAnsi="Bookman Old Style" w:cs="Sakkal Majalla"/>
          <w:sz w:val="28"/>
          <w:szCs w:val="28"/>
        </w:rPr>
        <w:t>, señala su inconformidad con las argumentaciones de la primera instancia,</w:t>
      </w:r>
      <w:r>
        <w:rPr>
          <w:rFonts w:ascii="Bookman Old Style" w:hAnsi="Bookman Old Style" w:cs="Sakkal Majalla"/>
          <w:sz w:val="28"/>
          <w:szCs w:val="28"/>
        </w:rPr>
        <w:t xml:space="preserve"> la cual adujo que se trató</w:t>
      </w:r>
      <w:r w:rsidRPr="00D95D60">
        <w:rPr>
          <w:rFonts w:ascii="Bookman Old Style" w:hAnsi="Bookman Old Style" w:cs="Sakkal Majalla"/>
          <w:sz w:val="28"/>
          <w:szCs w:val="28"/>
        </w:rPr>
        <w:t xml:space="preserve"> de un </w:t>
      </w:r>
      <w:r>
        <w:rPr>
          <w:rFonts w:ascii="Bookman Old Style" w:hAnsi="Bookman Old Style" w:cs="Sakkal Majalla"/>
          <w:sz w:val="28"/>
          <w:szCs w:val="28"/>
        </w:rPr>
        <w:t>evento aislado</w:t>
      </w:r>
      <w:r w:rsidRPr="00D95D60">
        <w:rPr>
          <w:rFonts w:ascii="Bookman Old Style" w:hAnsi="Bookman Old Style" w:cs="Sakkal Majalla"/>
          <w:sz w:val="28"/>
          <w:szCs w:val="28"/>
        </w:rPr>
        <w:t xml:space="preserve"> p</w:t>
      </w:r>
      <w:r>
        <w:rPr>
          <w:rFonts w:ascii="Bookman Old Style" w:hAnsi="Bookman Old Style" w:cs="Sakkal Majalla"/>
          <w:sz w:val="28"/>
          <w:szCs w:val="28"/>
        </w:rPr>
        <w:t>ara negar su</w:t>
      </w:r>
      <w:r w:rsidRPr="00D95D60">
        <w:rPr>
          <w:rFonts w:ascii="Bookman Old Style" w:hAnsi="Bookman Old Style" w:cs="Sakkal Majalla"/>
          <w:sz w:val="28"/>
          <w:szCs w:val="28"/>
        </w:rPr>
        <w:t xml:space="preserve"> legalización, desconociendo que en realidad hubo amenazas en contra de la señora Stella Ramírez Rodríguez, quien como consecuencia de ellas, se desplazó dentro de la misma localidad.</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Le asiste razón al representante de la Fiscalía al afirmar que la primera instancia desconoció el contexto dentro del cual se desarrolló el hecho en el que la señora Stella Ramírez Rodríguez recibió amenazas contra su vida, error que condujo al Tribunal a concluir que se trató de una situación al margen de las actividades del grupo armado ilegal ACMV.</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Es claro que desde la audiencia –formulación de imputación</w:t>
      </w:r>
      <w:r>
        <w:rPr>
          <w:rStyle w:val="Refdenotaalpie"/>
          <w:rFonts w:ascii="Bookman Old Style" w:hAnsi="Bookman Old Style" w:cs="Sakkal Majalla"/>
          <w:sz w:val="28"/>
          <w:szCs w:val="28"/>
        </w:rPr>
        <w:footnoteReference w:id="51"/>
      </w:r>
      <w:r>
        <w:rPr>
          <w:rFonts w:ascii="Bookman Old Style" w:hAnsi="Bookman Old Style" w:cs="Sakkal Majalla"/>
          <w:sz w:val="28"/>
          <w:szCs w:val="28"/>
        </w:rPr>
        <w:t>- el ente fiscal describió el hecho como sucedido en la inspección del Porvenir (Meta), área de influencia del grupo de autodefensas comandado por JOSÉ BALDOMERO LINARES MORENO, alias ‘Guillermo Torres’. Así lo señaló en esa oportunidad:</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left="708"/>
        <w:jc w:val="both"/>
        <w:rPr>
          <w:sz w:val="32"/>
          <w:szCs w:val="32"/>
          <w:lang w:val="es-CO"/>
        </w:rPr>
      </w:pPr>
      <w:r>
        <w:rPr>
          <w:rFonts w:ascii="Bookman Old Style" w:hAnsi="Bookman Old Style"/>
          <w:i/>
          <w:sz w:val="24"/>
          <w:szCs w:val="24"/>
          <w:lang w:val="es-CO"/>
        </w:rPr>
        <w:t>“</w:t>
      </w:r>
      <w:r w:rsidRPr="003B70C4">
        <w:rPr>
          <w:rFonts w:ascii="Bookman Old Style" w:hAnsi="Bookman Old Style"/>
          <w:i/>
          <w:sz w:val="24"/>
          <w:szCs w:val="24"/>
          <w:lang w:val="es-CO"/>
        </w:rPr>
        <w:t>La señora Stella fue</w:t>
      </w:r>
      <w:r>
        <w:rPr>
          <w:rFonts w:ascii="Bookman Old Style" w:hAnsi="Bookman Old Style"/>
          <w:i/>
          <w:sz w:val="24"/>
          <w:szCs w:val="24"/>
          <w:lang w:val="es-CO"/>
        </w:rPr>
        <w:t xml:space="preserve"> trasladada para el colegio del P</w:t>
      </w:r>
      <w:r w:rsidRPr="003B70C4">
        <w:rPr>
          <w:rFonts w:ascii="Bookman Old Style" w:hAnsi="Bookman Old Style"/>
          <w:i/>
          <w:sz w:val="24"/>
          <w:szCs w:val="24"/>
          <w:lang w:val="es-CO"/>
        </w:rPr>
        <w:t>orvenir</w:t>
      </w:r>
      <w:r>
        <w:rPr>
          <w:rFonts w:ascii="Bookman Old Style" w:hAnsi="Bookman Old Style"/>
          <w:i/>
          <w:sz w:val="24"/>
          <w:szCs w:val="24"/>
          <w:lang w:val="es-CO"/>
        </w:rPr>
        <w:t>. E</w:t>
      </w:r>
      <w:r w:rsidRPr="003B70C4">
        <w:rPr>
          <w:rFonts w:ascii="Bookman Old Style" w:hAnsi="Bookman Old Style"/>
          <w:i/>
          <w:sz w:val="24"/>
          <w:szCs w:val="24"/>
          <w:lang w:val="es-CO"/>
        </w:rPr>
        <w:t xml:space="preserve">n esta zona delinquía el grupo de alias Guillermo, esto es, para el año 2002- 2003. </w:t>
      </w:r>
      <w:r>
        <w:rPr>
          <w:rFonts w:ascii="Bookman Old Style" w:hAnsi="Bookman Old Style"/>
          <w:i/>
          <w:sz w:val="24"/>
          <w:szCs w:val="24"/>
          <w:lang w:val="es-CO"/>
        </w:rPr>
        <w:t xml:space="preserve"> </w:t>
      </w:r>
      <w:r w:rsidRPr="003B70C4">
        <w:rPr>
          <w:rFonts w:ascii="Bookman Old Style" w:hAnsi="Bookman Old Style"/>
          <w:i/>
          <w:sz w:val="24"/>
          <w:szCs w:val="24"/>
          <w:lang w:val="es-CO"/>
        </w:rPr>
        <w:t>Dice que integrantes</w:t>
      </w:r>
      <w:r>
        <w:rPr>
          <w:rFonts w:ascii="Bookman Old Style" w:hAnsi="Bookman Old Style"/>
          <w:i/>
          <w:sz w:val="24"/>
          <w:szCs w:val="24"/>
          <w:lang w:val="es-CO"/>
        </w:rPr>
        <w:t>…</w:t>
      </w:r>
      <w:r w:rsidRPr="003B70C4">
        <w:rPr>
          <w:rFonts w:ascii="Bookman Old Style" w:hAnsi="Bookman Old Style"/>
          <w:i/>
          <w:sz w:val="24"/>
          <w:szCs w:val="24"/>
          <w:lang w:val="es-CO"/>
        </w:rPr>
        <w:t xml:space="preserve"> que se iba a festejar en el colegio que tenían programada</w:t>
      </w:r>
      <w:r>
        <w:rPr>
          <w:rFonts w:ascii="Bookman Old Style" w:hAnsi="Bookman Old Style"/>
          <w:i/>
          <w:sz w:val="24"/>
          <w:szCs w:val="24"/>
          <w:lang w:val="es-CO"/>
        </w:rPr>
        <w:t xml:space="preserve"> </w:t>
      </w:r>
      <w:r w:rsidRPr="003B70C4">
        <w:rPr>
          <w:rFonts w:ascii="Bookman Old Style" w:hAnsi="Bookman Old Style"/>
          <w:sz w:val="28"/>
          <w:szCs w:val="28"/>
          <w:lang w:val="es-CO"/>
        </w:rPr>
        <w:t>(sic)</w:t>
      </w:r>
      <w:r w:rsidRPr="003B70C4">
        <w:rPr>
          <w:rFonts w:ascii="Bookman Old Style" w:hAnsi="Bookman Old Style"/>
          <w:i/>
          <w:sz w:val="24"/>
          <w:szCs w:val="24"/>
          <w:lang w:val="es-CO"/>
        </w:rPr>
        <w:t xml:space="preserve"> festejar la despedida de la tesorera de la junta de acción comunal de nombre Flor Rojas conocida en la</w:t>
      </w:r>
      <w:r>
        <w:rPr>
          <w:rFonts w:ascii="Bookman Old Style" w:hAnsi="Bookman Old Style"/>
          <w:i/>
          <w:sz w:val="24"/>
          <w:szCs w:val="24"/>
          <w:lang w:val="es-CO"/>
        </w:rPr>
        <w:t xml:space="preserve"> regió</w:t>
      </w:r>
      <w:r w:rsidRPr="003B70C4">
        <w:rPr>
          <w:rFonts w:ascii="Bookman Old Style" w:hAnsi="Bookman Old Style"/>
          <w:i/>
          <w:sz w:val="24"/>
          <w:szCs w:val="24"/>
          <w:lang w:val="es-CO"/>
        </w:rPr>
        <w:t xml:space="preserve">n popularmente como </w:t>
      </w:r>
      <w:r>
        <w:rPr>
          <w:rFonts w:ascii="Bookman Old Style" w:hAnsi="Bookman Old Style"/>
          <w:i/>
          <w:sz w:val="24"/>
          <w:szCs w:val="24"/>
          <w:lang w:val="es-CO"/>
        </w:rPr>
        <w:t>‘</w:t>
      </w:r>
      <w:r w:rsidRPr="003B70C4">
        <w:rPr>
          <w:rFonts w:ascii="Bookman Old Style" w:hAnsi="Bookman Old Style"/>
          <w:i/>
          <w:sz w:val="24"/>
          <w:szCs w:val="24"/>
          <w:lang w:val="es-CO"/>
        </w:rPr>
        <w:t>vegetariana</w:t>
      </w:r>
      <w:r>
        <w:rPr>
          <w:rFonts w:ascii="Bookman Old Style" w:hAnsi="Bookman Old Style"/>
          <w:i/>
          <w:sz w:val="24"/>
          <w:szCs w:val="24"/>
          <w:lang w:val="es-CO"/>
        </w:rPr>
        <w:t>’</w:t>
      </w:r>
      <w:r w:rsidRPr="003B70C4">
        <w:rPr>
          <w:rFonts w:ascii="Bookman Old Style" w:hAnsi="Bookman Old Style"/>
          <w:i/>
          <w:sz w:val="24"/>
          <w:szCs w:val="24"/>
          <w:lang w:val="es-CO"/>
        </w:rPr>
        <w:t xml:space="preserve"> </w:t>
      </w:r>
      <w:r>
        <w:rPr>
          <w:rFonts w:ascii="Bookman Old Style" w:hAnsi="Bookman Old Style"/>
          <w:i/>
          <w:sz w:val="24"/>
          <w:szCs w:val="24"/>
          <w:lang w:val="es-CO"/>
        </w:rPr>
        <w:t>y</w:t>
      </w:r>
      <w:r w:rsidRPr="003B70C4">
        <w:rPr>
          <w:rFonts w:ascii="Bookman Old Style" w:hAnsi="Bookman Old Style"/>
          <w:i/>
          <w:sz w:val="24"/>
          <w:szCs w:val="24"/>
          <w:lang w:val="es-CO"/>
        </w:rPr>
        <w:t xml:space="preserve"> uno de los jefes alias </w:t>
      </w:r>
      <w:r>
        <w:rPr>
          <w:rFonts w:ascii="Bookman Old Style" w:hAnsi="Bookman Old Style"/>
          <w:i/>
          <w:sz w:val="24"/>
          <w:szCs w:val="24"/>
          <w:lang w:val="es-CO"/>
        </w:rPr>
        <w:t>‘</w:t>
      </w:r>
      <w:r w:rsidRPr="003B70C4">
        <w:rPr>
          <w:rFonts w:ascii="Bookman Old Style" w:hAnsi="Bookman Old Style"/>
          <w:i/>
          <w:sz w:val="24"/>
          <w:szCs w:val="24"/>
          <w:lang w:val="es-CO"/>
        </w:rPr>
        <w:t>pajita</w:t>
      </w:r>
      <w:r>
        <w:rPr>
          <w:rFonts w:ascii="Bookman Old Style" w:hAnsi="Bookman Old Style"/>
          <w:i/>
          <w:sz w:val="24"/>
          <w:szCs w:val="24"/>
          <w:lang w:val="es-CO"/>
        </w:rPr>
        <w:t>’</w:t>
      </w:r>
      <w:r w:rsidRPr="003B70C4">
        <w:rPr>
          <w:rFonts w:ascii="Bookman Old Style" w:hAnsi="Bookman Old Style"/>
          <w:i/>
          <w:sz w:val="24"/>
          <w:szCs w:val="24"/>
          <w:lang w:val="es-CO"/>
        </w:rPr>
        <w:t xml:space="preserve"> y Fanny Adela García alias </w:t>
      </w:r>
      <w:r>
        <w:rPr>
          <w:rFonts w:ascii="Bookman Old Style" w:hAnsi="Bookman Old Style"/>
          <w:i/>
          <w:sz w:val="24"/>
          <w:szCs w:val="24"/>
          <w:lang w:val="es-CO"/>
        </w:rPr>
        <w:t>‘</w:t>
      </w:r>
      <w:r w:rsidRPr="003B70C4">
        <w:rPr>
          <w:rFonts w:ascii="Bookman Old Style" w:hAnsi="Bookman Old Style"/>
          <w:i/>
          <w:sz w:val="24"/>
          <w:szCs w:val="24"/>
          <w:lang w:val="es-CO"/>
        </w:rPr>
        <w:t>la loca</w:t>
      </w:r>
      <w:r>
        <w:rPr>
          <w:rFonts w:ascii="Bookman Old Style" w:hAnsi="Bookman Old Style"/>
          <w:i/>
          <w:sz w:val="24"/>
          <w:szCs w:val="24"/>
          <w:lang w:val="es-CO"/>
        </w:rPr>
        <w:t xml:space="preserve"> Adela’</w:t>
      </w:r>
      <w:r w:rsidRPr="003B70C4">
        <w:rPr>
          <w:rFonts w:ascii="Bookman Old Style" w:hAnsi="Bookman Old Style"/>
          <w:i/>
          <w:sz w:val="24"/>
          <w:szCs w:val="24"/>
          <w:lang w:val="es-CO"/>
        </w:rPr>
        <w:t xml:space="preserve"> quien la agrede y la toma del cuello lanzándole insultos y maltratos contra su huma</w:t>
      </w:r>
      <w:r>
        <w:rPr>
          <w:rFonts w:ascii="Bookman Old Style" w:hAnsi="Bookman Old Style"/>
          <w:i/>
          <w:sz w:val="24"/>
          <w:szCs w:val="24"/>
          <w:lang w:val="es-CO"/>
        </w:rPr>
        <w:t>n</w:t>
      </w:r>
      <w:r w:rsidRPr="003B70C4">
        <w:rPr>
          <w:rFonts w:ascii="Bookman Old Style" w:hAnsi="Bookman Old Style"/>
          <w:i/>
          <w:sz w:val="24"/>
          <w:szCs w:val="24"/>
          <w:lang w:val="es-CO"/>
        </w:rPr>
        <w:t>ida</w:t>
      </w:r>
      <w:r>
        <w:rPr>
          <w:rFonts w:ascii="Bookman Old Style" w:hAnsi="Bookman Old Style"/>
          <w:i/>
          <w:sz w:val="24"/>
          <w:szCs w:val="24"/>
          <w:lang w:val="es-CO"/>
        </w:rPr>
        <w:t>d. Ante el ataque de que fuera o</w:t>
      </w:r>
      <w:r w:rsidRPr="003B70C4">
        <w:rPr>
          <w:rFonts w:ascii="Bookman Old Style" w:hAnsi="Bookman Old Style"/>
          <w:i/>
          <w:sz w:val="24"/>
          <w:szCs w:val="24"/>
          <w:lang w:val="es-CO"/>
        </w:rPr>
        <w:t>bjeto</w:t>
      </w:r>
      <w:r>
        <w:rPr>
          <w:rFonts w:ascii="Bookman Old Style" w:hAnsi="Bookman Old Style"/>
          <w:i/>
          <w:sz w:val="24"/>
          <w:szCs w:val="24"/>
          <w:lang w:val="es-CO"/>
        </w:rPr>
        <w:t>,</w:t>
      </w:r>
      <w:r w:rsidRPr="003B70C4">
        <w:rPr>
          <w:rFonts w:ascii="Bookman Old Style" w:hAnsi="Bookman Old Style"/>
          <w:i/>
          <w:sz w:val="24"/>
          <w:szCs w:val="24"/>
          <w:lang w:val="es-CO"/>
        </w:rPr>
        <w:t xml:space="preserve"> </w:t>
      </w:r>
      <w:r>
        <w:rPr>
          <w:rFonts w:ascii="Bookman Old Style" w:hAnsi="Bookman Old Style"/>
          <w:i/>
          <w:sz w:val="24"/>
          <w:szCs w:val="24"/>
          <w:lang w:val="es-CO"/>
        </w:rPr>
        <w:t>Stella Ramí</w:t>
      </w:r>
      <w:r w:rsidRPr="003B70C4">
        <w:rPr>
          <w:rFonts w:ascii="Bookman Old Style" w:hAnsi="Bookman Old Style"/>
          <w:i/>
          <w:sz w:val="24"/>
          <w:szCs w:val="24"/>
          <w:lang w:val="es-CO"/>
        </w:rPr>
        <w:t>rez</w:t>
      </w:r>
      <w:r>
        <w:rPr>
          <w:rFonts w:ascii="Bookman Old Style" w:hAnsi="Bookman Old Style"/>
          <w:i/>
          <w:sz w:val="24"/>
          <w:szCs w:val="24"/>
          <w:lang w:val="es-CO"/>
        </w:rPr>
        <w:t xml:space="preserve"> decide reaccionar</w:t>
      </w:r>
      <w:r w:rsidRPr="003B70C4">
        <w:rPr>
          <w:rFonts w:ascii="Bookman Old Style" w:hAnsi="Bookman Old Style"/>
          <w:i/>
          <w:sz w:val="24"/>
          <w:szCs w:val="24"/>
          <w:lang w:val="es-CO"/>
        </w:rPr>
        <w:t xml:space="preserve">  defenderse</w:t>
      </w:r>
      <w:r>
        <w:rPr>
          <w:rFonts w:ascii="Bookman Old Style" w:hAnsi="Bookman Old Style"/>
          <w:i/>
          <w:sz w:val="24"/>
          <w:szCs w:val="24"/>
          <w:lang w:val="es-CO"/>
        </w:rPr>
        <w:t>,</w:t>
      </w:r>
      <w:r w:rsidRPr="003B70C4">
        <w:rPr>
          <w:rFonts w:ascii="Bookman Old Style" w:hAnsi="Bookman Old Style"/>
          <w:i/>
          <w:sz w:val="24"/>
          <w:szCs w:val="24"/>
          <w:lang w:val="es-CO"/>
        </w:rPr>
        <w:t xml:space="preserve"> arañarle la cara a su agresora lo que motivó que alias </w:t>
      </w:r>
      <w:r>
        <w:rPr>
          <w:rFonts w:ascii="Bookman Old Style" w:hAnsi="Bookman Old Style"/>
          <w:i/>
          <w:sz w:val="24"/>
          <w:szCs w:val="24"/>
          <w:lang w:val="es-CO"/>
        </w:rPr>
        <w:t>‘</w:t>
      </w:r>
      <w:r w:rsidRPr="003B70C4">
        <w:rPr>
          <w:rFonts w:ascii="Bookman Old Style" w:hAnsi="Bookman Old Style"/>
          <w:i/>
          <w:sz w:val="24"/>
          <w:szCs w:val="24"/>
          <w:lang w:val="es-CO"/>
        </w:rPr>
        <w:t>pajita</w:t>
      </w:r>
      <w:r>
        <w:rPr>
          <w:rFonts w:ascii="Bookman Old Style" w:hAnsi="Bookman Old Style"/>
          <w:i/>
          <w:sz w:val="24"/>
          <w:szCs w:val="24"/>
          <w:lang w:val="es-CO"/>
        </w:rPr>
        <w:t>’</w:t>
      </w:r>
      <w:r w:rsidRPr="003B70C4">
        <w:rPr>
          <w:rFonts w:ascii="Bookman Old Style" w:hAnsi="Bookman Old Style"/>
          <w:i/>
          <w:sz w:val="24"/>
          <w:szCs w:val="24"/>
          <w:lang w:val="es-CO"/>
        </w:rPr>
        <w:t xml:space="preserve"> quien era un miembro de la organización ileg</w:t>
      </w:r>
      <w:r>
        <w:rPr>
          <w:rFonts w:ascii="Bookman Old Style" w:hAnsi="Bookman Old Style"/>
          <w:i/>
          <w:sz w:val="24"/>
          <w:szCs w:val="24"/>
          <w:lang w:val="es-CO"/>
        </w:rPr>
        <w:t>a</w:t>
      </w:r>
      <w:r w:rsidRPr="003B70C4">
        <w:rPr>
          <w:rFonts w:ascii="Bookman Old Style" w:hAnsi="Bookman Old Style"/>
          <w:i/>
          <w:sz w:val="24"/>
          <w:szCs w:val="24"/>
          <w:lang w:val="es-CO"/>
        </w:rPr>
        <w:t xml:space="preserve">l armada </w:t>
      </w:r>
      <w:r>
        <w:rPr>
          <w:rFonts w:ascii="Bookman Old Style" w:hAnsi="Bookman Old Style"/>
          <w:i/>
          <w:sz w:val="24"/>
          <w:szCs w:val="24"/>
          <w:lang w:val="es-CO"/>
        </w:rPr>
        <w:t>-</w:t>
      </w:r>
      <w:r w:rsidRPr="003B70C4">
        <w:rPr>
          <w:rFonts w:ascii="Bookman Old Style" w:hAnsi="Bookman Old Style"/>
          <w:i/>
          <w:sz w:val="24"/>
          <w:szCs w:val="24"/>
          <w:lang w:val="es-CO"/>
        </w:rPr>
        <w:t>que fue también ultimado dentro de la organización</w:t>
      </w:r>
      <w:r>
        <w:rPr>
          <w:rFonts w:ascii="Bookman Old Style" w:hAnsi="Bookman Old Style"/>
          <w:i/>
          <w:sz w:val="24"/>
          <w:szCs w:val="24"/>
          <w:lang w:val="es-CO"/>
        </w:rPr>
        <w:t>-</w:t>
      </w:r>
      <w:r w:rsidRPr="003B70C4">
        <w:rPr>
          <w:rFonts w:ascii="Bookman Old Style" w:hAnsi="Bookman Old Style"/>
          <w:i/>
          <w:sz w:val="24"/>
          <w:szCs w:val="24"/>
          <w:lang w:val="es-CO"/>
        </w:rPr>
        <w:t xml:space="preserve"> las haya separado</w:t>
      </w:r>
      <w:r>
        <w:rPr>
          <w:rFonts w:ascii="Bookman Old Style" w:hAnsi="Bookman Old Style"/>
          <w:i/>
          <w:sz w:val="24"/>
          <w:szCs w:val="24"/>
          <w:lang w:val="es-CO"/>
        </w:rPr>
        <w:t>.  D</w:t>
      </w:r>
      <w:r w:rsidRPr="003B70C4">
        <w:rPr>
          <w:rFonts w:ascii="Bookman Old Style" w:hAnsi="Bookman Old Style"/>
          <w:i/>
          <w:sz w:val="24"/>
          <w:szCs w:val="24"/>
          <w:lang w:val="es-CO"/>
        </w:rPr>
        <w:t>ice que esa noche en casa de Flor Rojas tesorera de la junta de acción comunal asis</w:t>
      </w:r>
      <w:r>
        <w:rPr>
          <w:rFonts w:ascii="Bookman Old Style" w:hAnsi="Bookman Old Style"/>
          <w:i/>
          <w:sz w:val="24"/>
          <w:szCs w:val="24"/>
          <w:lang w:val="es-CO"/>
        </w:rPr>
        <w:t>tieron a una reunión un nú</w:t>
      </w:r>
      <w:r w:rsidRPr="003B70C4">
        <w:rPr>
          <w:rFonts w:ascii="Bookman Old Style" w:hAnsi="Bookman Old Style"/>
          <w:i/>
          <w:sz w:val="24"/>
          <w:szCs w:val="24"/>
          <w:lang w:val="es-CO"/>
        </w:rPr>
        <w:t>mero considerable de personas del co</w:t>
      </w:r>
      <w:r>
        <w:rPr>
          <w:rFonts w:ascii="Bookman Old Style" w:hAnsi="Bookman Old Style"/>
          <w:i/>
          <w:sz w:val="24"/>
          <w:szCs w:val="24"/>
          <w:lang w:val="es-CO"/>
        </w:rPr>
        <w:t>le</w:t>
      </w:r>
      <w:r w:rsidRPr="003B70C4">
        <w:rPr>
          <w:rFonts w:ascii="Bookman Old Style" w:hAnsi="Bookman Old Style"/>
          <w:i/>
          <w:sz w:val="24"/>
          <w:szCs w:val="24"/>
          <w:lang w:val="es-CO"/>
        </w:rPr>
        <w:t>gio y la junta de acción comunal pero también estaban unos paramili</w:t>
      </w:r>
      <w:r>
        <w:rPr>
          <w:rFonts w:ascii="Bookman Old Style" w:hAnsi="Bookman Old Style"/>
          <w:i/>
          <w:sz w:val="24"/>
          <w:szCs w:val="24"/>
          <w:lang w:val="es-CO"/>
        </w:rPr>
        <w:t>t</w:t>
      </w:r>
      <w:r w:rsidRPr="003B70C4">
        <w:rPr>
          <w:rFonts w:ascii="Bookman Old Style" w:hAnsi="Bookman Old Style"/>
          <w:i/>
          <w:sz w:val="24"/>
          <w:szCs w:val="24"/>
          <w:lang w:val="es-CO"/>
        </w:rPr>
        <w:t xml:space="preserve">ares al mando de </w:t>
      </w:r>
      <w:r>
        <w:rPr>
          <w:rFonts w:ascii="Bookman Old Style" w:hAnsi="Bookman Old Style"/>
          <w:i/>
          <w:sz w:val="24"/>
          <w:szCs w:val="24"/>
          <w:lang w:val="es-CO"/>
        </w:rPr>
        <w:t xml:space="preserve">‘paraco </w:t>
      </w:r>
      <w:r w:rsidRPr="003B70C4">
        <w:rPr>
          <w:rFonts w:ascii="Bookman Old Style" w:hAnsi="Bookman Old Style"/>
          <w:i/>
          <w:sz w:val="24"/>
          <w:szCs w:val="24"/>
          <w:lang w:val="es-CO"/>
        </w:rPr>
        <w:t>viejo</w:t>
      </w:r>
      <w:r>
        <w:rPr>
          <w:rFonts w:ascii="Bookman Old Style" w:hAnsi="Bookman Old Style"/>
          <w:i/>
          <w:sz w:val="24"/>
          <w:szCs w:val="24"/>
          <w:lang w:val="es-CO"/>
        </w:rPr>
        <w:t>’</w:t>
      </w:r>
      <w:r w:rsidRPr="003B70C4">
        <w:rPr>
          <w:rFonts w:ascii="Bookman Old Style" w:hAnsi="Bookman Old Style"/>
          <w:i/>
          <w:sz w:val="24"/>
          <w:szCs w:val="24"/>
          <w:lang w:val="es-CO"/>
        </w:rPr>
        <w:t xml:space="preserve"> con quien discutió</w:t>
      </w:r>
      <w:r>
        <w:rPr>
          <w:rFonts w:ascii="Bookman Old Style" w:hAnsi="Bookman Old Style"/>
          <w:i/>
          <w:sz w:val="24"/>
          <w:szCs w:val="24"/>
          <w:lang w:val="es-CO"/>
        </w:rPr>
        <w:t xml:space="preserve"> l</w:t>
      </w:r>
      <w:r w:rsidRPr="003B70C4">
        <w:rPr>
          <w:rFonts w:ascii="Bookman Old Style" w:hAnsi="Bookman Old Style"/>
          <w:i/>
          <w:sz w:val="24"/>
          <w:szCs w:val="24"/>
          <w:lang w:val="es-CO"/>
        </w:rPr>
        <w:t>a registra</w:t>
      </w:r>
      <w:r>
        <w:rPr>
          <w:rFonts w:ascii="Bookman Old Style" w:hAnsi="Bookman Old Style"/>
          <w:i/>
          <w:sz w:val="24"/>
          <w:szCs w:val="24"/>
          <w:lang w:val="es-CO"/>
        </w:rPr>
        <w:t>nte por cuanto –dice ella- había</w:t>
      </w:r>
      <w:r w:rsidRPr="003B70C4">
        <w:rPr>
          <w:rFonts w:ascii="Bookman Old Style" w:hAnsi="Bookman Old Style"/>
          <w:i/>
          <w:sz w:val="24"/>
          <w:szCs w:val="24"/>
          <w:lang w:val="es-CO"/>
        </w:rPr>
        <w:t>n botado unas gafas y entonces al</w:t>
      </w:r>
      <w:r>
        <w:rPr>
          <w:rFonts w:ascii="Bookman Old Style" w:hAnsi="Bookman Old Style"/>
          <w:i/>
          <w:sz w:val="24"/>
          <w:szCs w:val="24"/>
          <w:lang w:val="es-CO"/>
        </w:rPr>
        <w:t xml:space="preserve"> </w:t>
      </w:r>
      <w:r w:rsidRPr="003B70C4">
        <w:rPr>
          <w:rFonts w:ascii="Bookman Old Style" w:hAnsi="Bookman Old Style"/>
          <w:i/>
          <w:sz w:val="24"/>
          <w:szCs w:val="24"/>
          <w:lang w:val="es-CO"/>
        </w:rPr>
        <w:t>h</w:t>
      </w:r>
      <w:r>
        <w:rPr>
          <w:rFonts w:ascii="Bookman Old Style" w:hAnsi="Bookman Old Style"/>
          <w:i/>
          <w:sz w:val="24"/>
          <w:szCs w:val="24"/>
          <w:lang w:val="es-CO"/>
        </w:rPr>
        <w:t>acerle el reclamo le insultó</w:t>
      </w:r>
      <w:r w:rsidRPr="003B70C4">
        <w:rPr>
          <w:rFonts w:ascii="Bookman Old Style" w:hAnsi="Bookman Old Style"/>
          <w:i/>
          <w:sz w:val="24"/>
          <w:szCs w:val="24"/>
          <w:lang w:val="es-CO"/>
        </w:rPr>
        <w:t xml:space="preserve"> y dijo a sus subalternos que la amarraran y por esta razón varios hombres intentaron agredirla amarrarla pero ella fue ba</w:t>
      </w:r>
      <w:r>
        <w:rPr>
          <w:rFonts w:ascii="Bookman Old Style" w:hAnsi="Bookman Old Style"/>
          <w:i/>
          <w:sz w:val="24"/>
          <w:szCs w:val="24"/>
          <w:lang w:val="es-CO"/>
        </w:rPr>
        <w:t>s</w:t>
      </w:r>
      <w:r w:rsidRPr="003B70C4">
        <w:rPr>
          <w:rFonts w:ascii="Bookman Old Style" w:hAnsi="Bookman Old Style"/>
          <w:i/>
          <w:sz w:val="24"/>
          <w:szCs w:val="24"/>
          <w:lang w:val="es-CO"/>
        </w:rPr>
        <w:t>tan</w:t>
      </w:r>
      <w:r>
        <w:rPr>
          <w:rFonts w:ascii="Bookman Old Style" w:hAnsi="Bookman Old Style"/>
          <w:i/>
          <w:sz w:val="24"/>
          <w:szCs w:val="24"/>
          <w:lang w:val="es-CO"/>
        </w:rPr>
        <w:t>t</w:t>
      </w:r>
      <w:r w:rsidRPr="003B70C4">
        <w:rPr>
          <w:rFonts w:ascii="Bookman Old Style" w:hAnsi="Bookman Old Style"/>
          <w:i/>
          <w:sz w:val="24"/>
          <w:szCs w:val="24"/>
          <w:lang w:val="es-CO"/>
        </w:rPr>
        <w:t>e fuerte en su decisión de no dejarse maltratar</w:t>
      </w:r>
      <w:r>
        <w:rPr>
          <w:rFonts w:ascii="Bookman Old Style" w:hAnsi="Bookman Old Style"/>
          <w:i/>
          <w:sz w:val="24"/>
          <w:szCs w:val="24"/>
          <w:lang w:val="es-CO"/>
        </w:rPr>
        <w:t>. E</w:t>
      </w:r>
      <w:r w:rsidRPr="003B70C4">
        <w:rPr>
          <w:rFonts w:ascii="Bookman Old Style" w:hAnsi="Bookman Old Style"/>
          <w:i/>
          <w:sz w:val="24"/>
          <w:szCs w:val="24"/>
          <w:lang w:val="es-CO"/>
        </w:rPr>
        <w:t>ste es el episodio que básicamente relaciona la registrante.  Lo que ocurre de allí en adelante</w:t>
      </w:r>
      <w:r>
        <w:rPr>
          <w:rFonts w:ascii="Bookman Old Style" w:hAnsi="Bookman Old Style"/>
          <w:i/>
          <w:sz w:val="24"/>
          <w:szCs w:val="24"/>
          <w:lang w:val="es-CO"/>
        </w:rPr>
        <w:t>,</w:t>
      </w:r>
      <w:r w:rsidRPr="003B70C4">
        <w:rPr>
          <w:rFonts w:ascii="Bookman Old Style" w:hAnsi="Bookman Old Style"/>
          <w:i/>
          <w:sz w:val="24"/>
          <w:szCs w:val="24"/>
          <w:lang w:val="es-CO"/>
        </w:rPr>
        <w:t xml:space="preserve"> es que ella sale para su casa pero </w:t>
      </w:r>
      <w:r>
        <w:rPr>
          <w:rFonts w:ascii="Bookman Old Style" w:hAnsi="Bookman Old Style"/>
          <w:i/>
          <w:sz w:val="24"/>
          <w:szCs w:val="24"/>
          <w:lang w:val="es-CO"/>
        </w:rPr>
        <w:t>‘</w:t>
      </w:r>
      <w:r w:rsidRPr="003B70C4">
        <w:rPr>
          <w:rFonts w:ascii="Bookman Old Style" w:hAnsi="Bookman Old Style"/>
          <w:i/>
          <w:sz w:val="24"/>
          <w:szCs w:val="24"/>
          <w:lang w:val="es-CO"/>
        </w:rPr>
        <w:t>pajita</w:t>
      </w:r>
      <w:r>
        <w:rPr>
          <w:rFonts w:ascii="Bookman Old Style" w:hAnsi="Bookman Old Style"/>
          <w:i/>
          <w:sz w:val="24"/>
          <w:szCs w:val="24"/>
          <w:lang w:val="es-CO"/>
        </w:rPr>
        <w:t>’</w:t>
      </w:r>
      <w:r w:rsidRPr="003B70C4">
        <w:rPr>
          <w:rFonts w:ascii="Bookman Old Style" w:hAnsi="Bookman Old Style"/>
          <w:i/>
          <w:sz w:val="24"/>
          <w:szCs w:val="24"/>
          <w:lang w:val="es-CO"/>
        </w:rPr>
        <w:t xml:space="preserve"> se le atraviesa en el</w:t>
      </w:r>
      <w:r>
        <w:rPr>
          <w:rFonts w:ascii="Bookman Old Style" w:hAnsi="Bookman Old Style"/>
          <w:i/>
          <w:sz w:val="24"/>
          <w:szCs w:val="24"/>
          <w:lang w:val="es-CO"/>
        </w:rPr>
        <w:t xml:space="preserve"> c</w:t>
      </w:r>
      <w:r w:rsidRPr="003B70C4">
        <w:rPr>
          <w:rFonts w:ascii="Bookman Old Style" w:hAnsi="Bookman Old Style"/>
          <w:i/>
          <w:sz w:val="24"/>
          <w:szCs w:val="24"/>
          <w:lang w:val="es-CO"/>
        </w:rPr>
        <w:t>amino</w:t>
      </w:r>
      <w:r>
        <w:rPr>
          <w:rFonts w:ascii="Bookman Old Style" w:hAnsi="Bookman Old Style"/>
          <w:i/>
          <w:sz w:val="24"/>
          <w:szCs w:val="24"/>
          <w:lang w:val="es-CO"/>
        </w:rPr>
        <w:t>,</w:t>
      </w:r>
      <w:r w:rsidRPr="003B70C4">
        <w:rPr>
          <w:rFonts w:ascii="Bookman Old Style" w:hAnsi="Bookman Old Style"/>
          <w:i/>
          <w:sz w:val="24"/>
          <w:szCs w:val="24"/>
          <w:lang w:val="es-CO"/>
        </w:rPr>
        <w:t xml:space="preserve"> le dice que se encerrara que a nadie le fuera a abrir la puerta</w:t>
      </w:r>
      <w:r>
        <w:rPr>
          <w:rFonts w:ascii="Bookman Old Style" w:hAnsi="Bookman Old Style"/>
          <w:i/>
          <w:sz w:val="24"/>
          <w:szCs w:val="24"/>
          <w:lang w:val="es-CO"/>
        </w:rPr>
        <w:t xml:space="preserve">.  Al día </w:t>
      </w:r>
      <w:r w:rsidRPr="003B70C4">
        <w:rPr>
          <w:rFonts w:ascii="Bookman Old Style" w:hAnsi="Bookman Old Style"/>
          <w:i/>
          <w:sz w:val="24"/>
          <w:szCs w:val="24"/>
          <w:lang w:val="es-CO"/>
        </w:rPr>
        <w:t>s</w:t>
      </w:r>
      <w:r>
        <w:rPr>
          <w:rFonts w:ascii="Bookman Old Style" w:hAnsi="Bookman Old Style"/>
          <w:i/>
          <w:sz w:val="24"/>
          <w:szCs w:val="24"/>
          <w:lang w:val="es-CO"/>
        </w:rPr>
        <w:t>i</w:t>
      </w:r>
      <w:r w:rsidRPr="003B70C4">
        <w:rPr>
          <w:rFonts w:ascii="Bookman Old Style" w:hAnsi="Bookman Old Style"/>
          <w:i/>
          <w:sz w:val="24"/>
          <w:szCs w:val="24"/>
          <w:lang w:val="es-CO"/>
        </w:rPr>
        <w:t>g</w:t>
      </w:r>
      <w:r>
        <w:rPr>
          <w:rFonts w:ascii="Bookman Old Style" w:hAnsi="Bookman Old Style"/>
          <w:i/>
          <w:sz w:val="24"/>
          <w:szCs w:val="24"/>
          <w:lang w:val="es-CO"/>
        </w:rPr>
        <w:t xml:space="preserve">uiente empaca sus cosas y </w:t>
      </w:r>
      <w:r w:rsidRPr="003B70C4">
        <w:rPr>
          <w:rFonts w:ascii="Bookman Old Style" w:hAnsi="Bookman Old Style"/>
          <w:i/>
          <w:sz w:val="24"/>
          <w:szCs w:val="24"/>
          <w:lang w:val="es-CO"/>
        </w:rPr>
        <w:t>h</w:t>
      </w:r>
      <w:r>
        <w:rPr>
          <w:rFonts w:ascii="Bookman Old Style" w:hAnsi="Bookman Old Style"/>
          <w:i/>
          <w:sz w:val="24"/>
          <w:szCs w:val="24"/>
          <w:lang w:val="es-CO"/>
        </w:rPr>
        <w:t>a</w:t>
      </w:r>
      <w:r w:rsidRPr="003B70C4">
        <w:rPr>
          <w:rFonts w:ascii="Bookman Old Style" w:hAnsi="Bookman Old Style"/>
          <w:i/>
          <w:sz w:val="24"/>
          <w:szCs w:val="24"/>
          <w:lang w:val="es-CO"/>
        </w:rPr>
        <w:t xml:space="preserve">ce maletas para irse a </w:t>
      </w:r>
      <w:r>
        <w:rPr>
          <w:rFonts w:ascii="Bookman Old Style" w:hAnsi="Bookman Old Style"/>
          <w:i/>
          <w:sz w:val="24"/>
          <w:szCs w:val="24"/>
          <w:lang w:val="es-CO"/>
        </w:rPr>
        <w:t>-</w:t>
      </w:r>
      <w:r w:rsidRPr="003B70C4">
        <w:rPr>
          <w:rFonts w:ascii="Bookman Old Style" w:hAnsi="Bookman Old Style"/>
          <w:i/>
          <w:sz w:val="24"/>
          <w:szCs w:val="24"/>
          <w:lang w:val="es-CO"/>
        </w:rPr>
        <w:t>dice ella</w:t>
      </w:r>
      <w:r>
        <w:rPr>
          <w:rFonts w:ascii="Bookman Old Style" w:hAnsi="Bookman Old Style"/>
          <w:i/>
          <w:sz w:val="24"/>
          <w:szCs w:val="24"/>
          <w:lang w:val="es-CO"/>
        </w:rPr>
        <w:t xml:space="preserve">- </w:t>
      </w:r>
      <w:r w:rsidRPr="003B70C4">
        <w:rPr>
          <w:rFonts w:ascii="Bookman Old Style" w:hAnsi="Bookman Old Style"/>
          <w:i/>
          <w:sz w:val="24"/>
          <w:szCs w:val="24"/>
          <w:lang w:val="es-CO"/>
        </w:rPr>
        <w:t xml:space="preserve"> vacacionar</w:t>
      </w:r>
      <w:r>
        <w:rPr>
          <w:rFonts w:ascii="Bookman Old Style" w:hAnsi="Bookman Old Style"/>
          <w:i/>
          <w:sz w:val="24"/>
          <w:szCs w:val="24"/>
          <w:lang w:val="es-CO"/>
        </w:rPr>
        <w:t>,</w:t>
      </w:r>
      <w:r w:rsidRPr="003B70C4">
        <w:rPr>
          <w:rFonts w:ascii="Bookman Old Style" w:hAnsi="Bookman Old Style"/>
          <w:i/>
          <w:sz w:val="24"/>
          <w:szCs w:val="24"/>
          <w:lang w:val="es-CO"/>
        </w:rPr>
        <w:t xml:space="preserve"> pero lo que quería era precisamente alojar</w:t>
      </w:r>
      <w:r>
        <w:rPr>
          <w:rFonts w:ascii="Bookman Old Style" w:hAnsi="Bookman Old Style"/>
          <w:i/>
          <w:sz w:val="24"/>
          <w:szCs w:val="24"/>
          <w:lang w:val="es-CO"/>
        </w:rPr>
        <w:t xml:space="preserve"> </w:t>
      </w:r>
      <w:r w:rsidRPr="00DB2466">
        <w:rPr>
          <w:rFonts w:ascii="Bookman Old Style" w:hAnsi="Bookman Old Style"/>
          <w:sz w:val="28"/>
          <w:szCs w:val="28"/>
          <w:lang w:val="es-CO"/>
        </w:rPr>
        <w:t>(sic)</w:t>
      </w:r>
      <w:r w:rsidRPr="003B70C4">
        <w:rPr>
          <w:rFonts w:ascii="Bookman Old Style" w:hAnsi="Bookman Old Style"/>
          <w:i/>
          <w:sz w:val="24"/>
          <w:szCs w:val="24"/>
          <w:lang w:val="es-CO"/>
        </w:rPr>
        <w:t xml:space="preserve"> el sitio porque de acuerdo a lo que le había manifestado </w:t>
      </w:r>
      <w:r>
        <w:rPr>
          <w:rFonts w:ascii="Bookman Old Style" w:hAnsi="Bookman Old Style"/>
          <w:i/>
          <w:sz w:val="24"/>
          <w:szCs w:val="24"/>
          <w:lang w:val="es-CO"/>
        </w:rPr>
        <w:t>‘</w:t>
      </w:r>
      <w:r w:rsidRPr="003B70C4">
        <w:rPr>
          <w:rFonts w:ascii="Bookman Old Style" w:hAnsi="Bookman Old Style"/>
          <w:i/>
          <w:sz w:val="24"/>
          <w:szCs w:val="24"/>
          <w:lang w:val="es-CO"/>
        </w:rPr>
        <w:t>pajita</w:t>
      </w:r>
      <w:r>
        <w:rPr>
          <w:rFonts w:ascii="Bookman Old Style" w:hAnsi="Bookman Old Style"/>
          <w:i/>
          <w:sz w:val="24"/>
          <w:szCs w:val="24"/>
          <w:lang w:val="es-CO"/>
        </w:rPr>
        <w:t>’,</w:t>
      </w:r>
      <w:r w:rsidRPr="003B70C4">
        <w:rPr>
          <w:rFonts w:ascii="Bookman Old Style" w:hAnsi="Bookman Old Style"/>
          <w:i/>
          <w:sz w:val="24"/>
          <w:szCs w:val="24"/>
          <w:lang w:val="es-CO"/>
        </w:rPr>
        <w:t xml:space="preserve"> </w:t>
      </w:r>
      <w:r>
        <w:rPr>
          <w:rFonts w:ascii="Bookman Old Style" w:hAnsi="Bookman Old Style"/>
          <w:i/>
          <w:sz w:val="24"/>
          <w:szCs w:val="24"/>
          <w:lang w:val="es-CO"/>
        </w:rPr>
        <w:t>‘</w:t>
      </w:r>
      <w:r w:rsidRPr="003B70C4">
        <w:rPr>
          <w:rFonts w:ascii="Bookman Old Style" w:hAnsi="Bookman Old Style"/>
          <w:i/>
          <w:sz w:val="24"/>
          <w:szCs w:val="24"/>
          <w:lang w:val="es-CO"/>
        </w:rPr>
        <w:t>para</w:t>
      </w:r>
      <w:r>
        <w:rPr>
          <w:rFonts w:ascii="Bookman Old Style" w:hAnsi="Bookman Old Style"/>
          <w:i/>
          <w:sz w:val="24"/>
          <w:szCs w:val="24"/>
          <w:lang w:val="es-CO"/>
        </w:rPr>
        <w:t xml:space="preserve">co </w:t>
      </w:r>
      <w:r w:rsidRPr="003B70C4">
        <w:rPr>
          <w:rFonts w:ascii="Bookman Old Style" w:hAnsi="Bookman Old Style"/>
          <w:i/>
          <w:sz w:val="24"/>
          <w:szCs w:val="24"/>
          <w:lang w:val="es-CO"/>
        </w:rPr>
        <w:t>viejo</w:t>
      </w:r>
      <w:r>
        <w:rPr>
          <w:rFonts w:ascii="Bookman Old Style" w:hAnsi="Bookman Old Style"/>
          <w:i/>
          <w:sz w:val="24"/>
          <w:szCs w:val="24"/>
          <w:lang w:val="es-CO"/>
        </w:rPr>
        <w:t>’</w:t>
      </w:r>
      <w:r w:rsidRPr="003B70C4">
        <w:rPr>
          <w:rFonts w:ascii="Bookman Old Style" w:hAnsi="Bookman Old Style"/>
          <w:i/>
          <w:sz w:val="24"/>
          <w:szCs w:val="24"/>
          <w:lang w:val="es-CO"/>
        </w:rPr>
        <w:t xml:space="preserve"> tenía la intención de exterminarla en ese contexto</w:t>
      </w:r>
      <w:r>
        <w:rPr>
          <w:rFonts w:ascii="Bookman Old Style" w:hAnsi="Bookman Old Style"/>
          <w:i/>
          <w:sz w:val="24"/>
          <w:szCs w:val="24"/>
          <w:lang w:val="es-CO"/>
        </w:rPr>
        <w:t xml:space="preserve"> </w:t>
      </w:r>
      <w:r w:rsidRPr="00DB2466">
        <w:rPr>
          <w:rFonts w:ascii="Bookman Old Style" w:hAnsi="Bookman Old Style"/>
          <w:sz w:val="24"/>
          <w:szCs w:val="24"/>
          <w:lang w:val="es-CO"/>
        </w:rPr>
        <w:t>(sic)</w:t>
      </w:r>
      <w:r w:rsidRPr="003B70C4">
        <w:rPr>
          <w:rFonts w:ascii="Bookman Old Style" w:hAnsi="Bookman Old Style"/>
          <w:i/>
          <w:sz w:val="24"/>
          <w:szCs w:val="24"/>
          <w:lang w:val="es-CO"/>
        </w:rPr>
        <w:t xml:space="preserve"> manifiesta junto con su hijo y frente a todo el pueblo. Es decir que ante tal situación le causó un grave</w:t>
      </w:r>
      <w:r>
        <w:rPr>
          <w:rFonts w:ascii="Bookman Old Style" w:hAnsi="Bookman Old Style"/>
          <w:i/>
          <w:sz w:val="24"/>
          <w:szCs w:val="24"/>
          <w:lang w:val="es-CO"/>
        </w:rPr>
        <w:t>…</w:t>
      </w:r>
      <w:r w:rsidRPr="003B70C4">
        <w:rPr>
          <w:rFonts w:ascii="Bookman Old Style" w:hAnsi="Bookman Old Style"/>
          <w:i/>
          <w:sz w:val="24"/>
          <w:szCs w:val="24"/>
          <w:lang w:val="es-CO"/>
        </w:rPr>
        <w:t xml:space="preserve"> una grave aflicción sicológica, s</w:t>
      </w:r>
      <w:r>
        <w:rPr>
          <w:rFonts w:ascii="Bookman Old Style" w:hAnsi="Bookman Old Style"/>
          <w:i/>
          <w:sz w:val="24"/>
          <w:szCs w:val="24"/>
          <w:lang w:val="es-CO"/>
        </w:rPr>
        <w:t>e sintió amenazada en su vida y en la vida de su hijo, no o</w:t>
      </w:r>
      <w:r w:rsidRPr="003B70C4">
        <w:rPr>
          <w:rFonts w:ascii="Bookman Old Style" w:hAnsi="Bookman Old Style"/>
          <w:i/>
          <w:sz w:val="24"/>
          <w:szCs w:val="24"/>
          <w:lang w:val="es-CO"/>
        </w:rPr>
        <w:t>bstante, y frente a esta asertiva información no decide</w:t>
      </w:r>
      <w:r>
        <w:rPr>
          <w:rFonts w:ascii="Bookman Old Style" w:hAnsi="Bookman Old Style"/>
          <w:i/>
          <w:sz w:val="24"/>
          <w:szCs w:val="24"/>
          <w:lang w:val="es-CO"/>
        </w:rPr>
        <w:t xml:space="preserve"> </w:t>
      </w:r>
      <w:r w:rsidRPr="00DB2466">
        <w:rPr>
          <w:rFonts w:ascii="Bookman Old Style" w:hAnsi="Bookman Old Style"/>
          <w:sz w:val="28"/>
          <w:szCs w:val="28"/>
          <w:lang w:val="es-CO"/>
        </w:rPr>
        <w:t>(sic)</w:t>
      </w:r>
      <w:r w:rsidRPr="003B70C4">
        <w:rPr>
          <w:rFonts w:ascii="Bookman Old Style" w:hAnsi="Bookman Old Style"/>
          <w:i/>
          <w:sz w:val="24"/>
          <w:szCs w:val="24"/>
          <w:lang w:val="es-CO"/>
        </w:rPr>
        <w:t xml:space="preserve"> irse del lugar, es decir, no se desplaza y simplemente asume el miedo de manera interna ante la posibilidad </w:t>
      </w:r>
      <w:r>
        <w:rPr>
          <w:rFonts w:ascii="Bookman Old Style" w:hAnsi="Bookman Old Style"/>
          <w:i/>
          <w:sz w:val="24"/>
          <w:szCs w:val="24"/>
          <w:lang w:val="es-CO"/>
        </w:rPr>
        <w:t>-</w:t>
      </w:r>
      <w:r w:rsidRPr="003B70C4">
        <w:rPr>
          <w:rFonts w:ascii="Bookman Old Style" w:hAnsi="Bookman Old Style"/>
          <w:i/>
          <w:sz w:val="24"/>
          <w:szCs w:val="24"/>
          <w:lang w:val="es-CO"/>
        </w:rPr>
        <w:t>dice ella</w:t>
      </w:r>
      <w:r>
        <w:rPr>
          <w:rFonts w:ascii="Bookman Old Style" w:hAnsi="Bookman Old Style"/>
          <w:i/>
          <w:sz w:val="24"/>
          <w:szCs w:val="24"/>
          <w:lang w:val="es-CO"/>
        </w:rPr>
        <w:t>-</w:t>
      </w:r>
      <w:r w:rsidRPr="003B70C4">
        <w:rPr>
          <w:rFonts w:ascii="Bookman Old Style" w:hAnsi="Bookman Old Style"/>
          <w:i/>
          <w:sz w:val="24"/>
          <w:szCs w:val="24"/>
          <w:lang w:val="es-CO"/>
        </w:rPr>
        <w:t xml:space="preserve"> de que en algún momento </w:t>
      </w:r>
      <w:r>
        <w:rPr>
          <w:rFonts w:ascii="Bookman Old Style" w:hAnsi="Bookman Old Style"/>
          <w:i/>
          <w:sz w:val="24"/>
          <w:szCs w:val="24"/>
          <w:lang w:val="es-CO"/>
        </w:rPr>
        <w:t>‘</w:t>
      </w:r>
      <w:r w:rsidRPr="003B70C4">
        <w:rPr>
          <w:rFonts w:ascii="Bookman Old Style" w:hAnsi="Bookman Old Style"/>
          <w:i/>
          <w:sz w:val="24"/>
          <w:szCs w:val="24"/>
          <w:lang w:val="es-CO"/>
        </w:rPr>
        <w:t>para</w:t>
      </w:r>
      <w:r>
        <w:rPr>
          <w:rFonts w:ascii="Bookman Old Style" w:hAnsi="Bookman Old Style"/>
          <w:i/>
          <w:sz w:val="24"/>
          <w:szCs w:val="24"/>
          <w:lang w:val="es-CO"/>
        </w:rPr>
        <w:t xml:space="preserve">co </w:t>
      </w:r>
      <w:r w:rsidRPr="003B70C4">
        <w:rPr>
          <w:rFonts w:ascii="Bookman Old Style" w:hAnsi="Bookman Old Style"/>
          <w:i/>
          <w:sz w:val="24"/>
          <w:szCs w:val="24"/>
          <w:lang w:val="es-CO"/>
        </w:rPr>
        <w:t>viejo</w:t>
      </w:r>
      <w:r>
        <w:rPr>
          <w:rFonts w:ascii="Bookman Old Style" w:hAnsi="Bookman Old Style"/>
          <w:i/>
          <w:sz w:val="24"/>
          <w:szCs w:val="24"/>
          <w:lang w:val="es-CO"/>
        </w:rPr>
        <w:t>’</w:t>
      </w:r>
      <w:r w:rsidRPr="003B70C4">
        <w:rPr>
          <w:rFonts w:ascii="Bookman Old Style" w:hAnsi="Bookman Old Style"/>
          <w:i/>
          <w:sz w:val="24"/>
          <w:szCs w:val="24"/>
          <w:lang w:val="es-CO"/>
        </w:rPr>
        <w:t xml:space="preserve"> cumpliera con su objetivo, lo cual afortunadamente nunca ocurrió</w:t>
      </w:r>
      <w:r>
        <w:rPr>
          <w:rFonts w:ascii="Bookman Old Style" w:hAnsi="Bookman Old Style"/>
          <w:i/>
          <w:sz w:val="24"/>
          <w:szCs w:val="24"/>
          <w:lang w:val="es-CO"/>
        </w:rPr>
        <w:t>”</w:t>
      </w:r>
      <w:r w:rsidRPr="003B70C4">
        <w:rPr>
          <w:rFonts w:ascii="Bookman Old Style" w:hAnsi="Bookman Old Style"/>
          <w:i/>
          <w:sz w:val="24"/>
          <w:szCs w:val="24"/>
          <w:lang w:val="es-CO"/>
        </w:rPr>
        <w:t>.</w:t>
      </w:r>
      <w:r>
        <w:rPr>
          <w:sz w:val="32"/>
          <w:szCs w:val="32"/>
          <w:lang w:val="es-CO"/>
        </w:rPr>
        <w:t xml:space="preserve">  </w:t>
      </w:r>
    </w:p>
    <w:p w:rsidR="00AD777C" w:rsidRDefault="00AD777C" w:rsidP="00AD777C">
      <w:pPr>
        <w:spacing w:line="360" w:lineRule="auto"/>
        <w:jc w:val="both"/>
        <w:rPr>
          <w:sz w:val="32"/>
          <w:szCs w:val="32"/>
          <w:lang w:val="es-CO"/>
        </w:rPr>
      </w:pPr>
    </w:p>
    <w:p w:rsidR="00AD777C" w:rsidRPr="00A2036B" w:rsidRDefault="00AD777C" w:rsidP="00AD777C">
      <w:pPr>
        <w:spacing w:line="360" w:lineRule="auto"/>
        <w:jc w:val="both"/>
        <w:rPr>
          <w:rFonts w:ascii="Bookman Old Style" w:hAnsi="Bookman Old Style"/>
          <w:sz w:val="28"/>
          <w:szCs w:val="28"/>
          <w:lang w:val="es-CO"/>
        </w:rPr>
      </w:pPr>
      <w:r>
        <w:rPr>
          <w:sz w:val="32"/>
          <w:szCs w:val="32"/>
          <w:lang w:val="es-CO"/>
        </w:rPr>
        <w:tab/>
      </w:r>
      <w:r w:rsidRPr="00A2036B">
        <w:rPr>
          <w:rFonts w:ascii="Bookman Old Style" w:hAnsi="Bookman Old Style"/>
          <w:sz w:val="28"/>
          <w:szCs w:val="28"/>
          <w:lang w:val="es-CO"/>
        </w:rPr>
        <w:t xml:space="preserve">Esta descripción fáctica llevó al Fiscal a tipificar la conducta en el punible de </w:t>
      </w:r>
      <w:r w:rsidRPr="00A2036B">
        <w:rPr>
          <w:rFonts w:ascii="Bookman Old Style" w:hAnsi="Bookman Old Style"/>
          <w:i/>
          <w:sz w:val="28"/>
          <w:szCs w:val="28"/>
          <w:lang w:val="es-CO"/>
        </w:rPr>
        <w:t>represalias</w:t>
      </w:r>
      <w:r w:rsidRPr="00A2036B">
        <w:rPr>
          <w:rFonts w:ascii="Bookman Old Style" w:hAnsi="Bookman Old Style"/>
          <w:sz w:val="28"/>
          <w:szCs w:val="28"/>
          <w:lang w:val="es-CO"/>
        </w:rPr>
        <w:t xml:space="preserve"> descrito en el artículo 158 del Código Penal y hacer cargos en contra de SALGADO MERCHÁN y BALDOMERO LINARES, a título de autores mediatos.</w:t>
      </w:r>
    </w:p>
    <w:p w:rsidR="00AD777C" w:rsidRPr="00A2036B"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jc w:val="both"/>
        <w:rPr>
          <w:rFonts w:ascii="Bookman Old Style" w:hAnsi="Bookman Old Style"/>
          <w:sz w:val="28"/>
          <w:szCs w:val="28"/>
          <w:lang w:val="es-CO"/>
        </w:rPr>
      </w:pPr>
      <w:r w:rsidRPr="00A2036B">
        <w:rPr>
          <w:rFonts w:ascii="Bookman Old Style" w:hAnsi="Bookman Old Style"/>
          <w:sz w:val="28"/>
          <w:szCs w:val="28"/>
          <w:lang w:val="es-CO"/>
        </w:rPr>
        <w:tab/>
        <w:t>Durante esta audiencia</w:t>
      </w:r>
      <w:r>
        <w:rPr>
          <w:rFonts w:ascii="Bookman Old Style" w:hAnsi="Bookman Old Style"/>
          <w:sz w:val="28"/>
          <w:szCs w:val="28"/>
          <w:lang w:val="es-CO"/>
        </w:rPr>
        <w:t xml:space="preserve"> (imputación)</w:t>
      </w:r>
      <w:r w:rsidRPr="00A2036B">
        <w:rPr>
          <w:rFonts w:ascii="Bookman Old Style" w:hAnsi="Bookman Old Style"/>
          <w:sz w:val="28"/>
          <w:szCs w:val="28"/>
          <w:lang w:val="es-CO"/>
        </w:rPr>
        <w:t xml:space="preserve"> y las posteriores de formulación y legalización de cargos, se intentó obtener mayor información de los postulados acerca de las circunstancias en que se desarrolló </w:t>
      </w:r>
      <w:r>
        <w:rPr>
          <w:rFonts w:ascii="Bookman Old Style" w:hAnsi="Bookman Old Style"/>
          <w:sz w:val="28"/>
          <w:szCs w:val="28"/>
          <w:lang w:val="es-CO"/>
        </w:rPr>
        <w:t xml:space="preserve">el </w:t>
      </w:r>
      <w:r w:rsidRPr="00A2036B">
        <w:rPr>
          <w:rFonts w:ascii="Bookman Old Style" w:hAnsi="Bookman Old Style"/>
          <w:sz w:val="28"/>
          <w:szCs w:val="28"/>
          <w:lang w:val="es-CO"/>
        </w:rPr>
        <w:t>i</w:t>
      </w:r>
      <w:r>
        <w:rPr>
          <w:rFonts w:ascii="Bookman Old Style" w:hAnsi="Bookman Old Style"/>
          <w:sz w:val="28"/>
          <w:szCs w:val="28"/>
          <w:lang w:val="es-CO"/>
        </w:rPr>
        <w:t>ncidente</w:t>
      </w:r>
      <w:r w:rsidRPr="00A2036B">
        <w:rPr>
          <w:rFonts w:ascii="Bookman Old Style" w:hAnsi="Bookman Old Style"/>
          <w:sz w:val="28"/>
          <w:szCs w:val="28"/>
          <w:lang w:val="es-CO"/>
        </w:rPr>
        <w:t xml:space="preserve">; empero, las respuestas solo </w:t>
      </w:r>
      <w:r>
        <w:rPr>
          <w:rFonts w:ascii="Bookman Old Style" w:hAnsi="Bookman Old Style"/>
          <w:sz w:val="28"/>
          <w:szCs w:val="28"/>
          <w:lang w:val="es-CO"/>
        </w:rPr>
        <w:t xml:space="preserve">lograron </w:t>
      </w:r>
      <w:r w:rsidRPr="00A2036B">
        <w:rPr>
          <w:rFonts w:ascii="Bookman Old Style" w:hAnsi="Bookman Old Style"/>
          <w:sz w:val="28"/>
          <w:szCs w:val="28"/>
          <w:lang w:val="es-CO"/>
        </w:rPr>
        <w:t>esclarecer que ocurrieron a finales del año 2002, dado que para</w:t>
      </w:r>
      <w:r>
        <w:rPr>
          <w:rFonts w:ascii="Bookman Old Style" w:hAnsi="Bookman Old Style"/>
          <w:sz w:val="28"/>
          <w:szCs w:val="28"/>
          <w:lang w:val="es-CO"/>
        </w:rPr>
        <w:t xml:space="preserve"> el</w:t>
      </w:r>
      <w:r w:rsidRPr="00A2036B">
        <w:rPr>
          <w:rFonts w:ascii="Bookman Old Style" w:hAnsi="Bookman Old Style"/>
          <w:sz w:val="28"/>
          <w:szCs w:val="28"/>
          <w:lang w:val="es-CO"/>
        </w:rPr>
        <w:t xml:space="preserve"> 2003 </w:t>
      </w:r>
      <w:r>
        <w:rPr>
          <w:rFonts w:ascii="Bookman Old Style" w:hAnsi="Bookman Old Style"/>
          <w:sz w:val="28"/>
          <w:szCs w:val="28"/>
          <w:lang w:val="es-CO"/>
        </w:rPr>
        <w:t>‘</w:t>
      </w:r>
      <w:r w:rsidRPr="00A2036B">
        <w:rPr>
          <w:rFonts w:ascii="Bookman Old Style" w:hAnsi="Bookman Old Style"/>
          <w:i/>
          <w:sz w:val="28"/>
          <w:szCs w:val="28"/>
          <w:lang w:val="es-CO"/>
        </w:rPr>
        <w:t>paraco viejo’</w:t>
      </w:r>
      <w:r w:rsidRPr="00A2036B">
        <w:rPr>
          <w:rFonts w:ascii="Bookman Old Style" w:hAnsi="Bookman Old Style"/>
          <w:sz w:val="28"/>
          <w:szCs w:val="28"/>
          <w:lang w:val="es-CO"/>
        </w:rPr>
        <w:t xml:space="preserve"> ya no se hallaba en ese sector.  </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Igualmente se</w:t>
      </w:r>
      <w:r w:rsidRPr="00A2036B">
        <w:rPr>
          <w:rFonts w:ascii="Bookman Old Style" w:hAnsi="Bookman Old Style"/>
          <w:sz w:val="28"/>
          <w:szCs w:val="28"/>
          <w:lang w:val="es-CO"/>
        </w:rPr>
        <w:t xml:space="preserve"> supo que no fueron enterados de ese</w:t>
      </w:r>
      <w:r>
        <w:rPr>
          <w:rFonts w:ascii="Bookman Old Style" w:hAnsi="Bookman Old Style"/>
          <w:sz w:val="28"/>
          <w:szCs w:val="28"/>
          <w:lang w:val="es-CO"/>
        </w:rPr>
        <w:t xml:space="preserve"> acontecimiento</w:t>
      </w:r>
      <w:r w:rsidRPr="00A2036B">
        <w:rPr>
          <w:rFonts w:ascii="Bookman Old Style" w:hAnsi="Bookman Old Style"/>
          <w:sz w:val="28"/>
          <w:szCs w:val="28"/>
          <w:lang w:val="es-CO"/>
        </w:rPr>
        <w:t xml:space="preserve"> pero que le creen a la víctima </w:t>
      </w:r>
      <w:r>
        <w:rPr>
          <w:rFonts w:ascii="Bookman Old Style" w:hAnsi="Bookman Old Style"/>
          <w:sz w:val="28"/>
          <w:szCs w:val="28"/>
          <w:lang w:val="es-CO"/>
        </w:rPr>
        <w:t xml:space="preserve">por cuanto corresponde con el actuar del comandante de la zona </w:t>
      </w:r>
      <w:r w:rsidRPr="0006558C">
        <w:rPr>
          <w:rFonts w:ascii="Bookman Old Style" w:hAnsi="Bookman Old Style"/>
          <w:i/>
          <w:sz w:val="28"/>
          <w:szCs w:val="28"/>
          <w:lang w:val="es-CO"/>
        </w:rPr>
        <w:t>(‘paraco viejo’</w:t>
      </w:r>
      <w:r>
        <w:rPr>
          <w:rFonts w:ascii="Bookman Old Style" w:hAnsi="Bookman Old Style"/>
          <w:sz w:val="28"/>
          <w:szCs w:val="28"/>
          <w:lang w:val="es-CO"/>
        </w:rPr>
        <w:t xml:space="preserve">) </w:t>
      </w:r>
      <w:r w:rsidRPr="00A2036B">
        <w:rPr>
          <w:rFonts w:ascii="Bookman Old Style" w:hAnsi="Bookman Old Style"/>
          <w:sz w:val="28"/>
          <w:szCs w:val="28"/>
          <w:lang w:val="es-CO"/>
        </w:rPr>
        <w:t>a quien</w:t>
      </w:r>
      <w:r>
        <w:rPr>
          <w:rFonts w:ascii="Bookman Old Style" w:hAnsi="Bookman Old Style"/>
          <w:sz w:val="28"/>
          <w:szCs w:val="28"/>
          <w:lang w:val="es-CO"/>
        </w:rPr>
        <w:t xml:space="preserve"> se le atribuyen diversas violaciones de los derechos de la población civil valiéndose de su condición de comandante, al punto, que fueron sus propios hombres los que lo asesinaron.</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Tanto del relato efectuado por el Fiscal, como de la aceptación que de él realizaron los postulados, se deriva que efectivamente la señora Stella Ramírez se desempeñaba como profesora en el colegio de la inspección del Porvenir durante los años 2002- 2003, tiempo durante el cual –por lo menos durante el primer año y comienzos del segundo,- el comandante de las Autodefensas del Meta y Vichada a quien se asignó el control de esa localidad, fue </w:t>
      </w:r>
      <w:r w:rsidRPr="00F8056E">
        <w:rPr>
          <w:rFonts w:ascii="Bookman Old Style" w:hAnsi="Bookman Old Style"/>
          <w:i/>
          <w:sz w:val="28"/>
          <w:szCs w:val="28"/>
          <w:lang w:val="es-CO"/>
        </w:rPr>
        <w:t>‘alias paraco viejo’</w:t>
      </w:r>
      <w:r>
        <w:rPr>
          <w:rFonts w:ascii="Bookman Old Style" w:hAnsi="Bookman Old Style"/>
          <w:sz w:val="28"/>
          <w:szCs w:val="28"/>
          <w:lang w:val="es-CO"/>
        </w:rPr>
        <w:t>.</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jc w:val="both"/>
        <w:rPr>
          <w:rFonts w:ascii="Bookman Old Style" w:hAnsi="Bookman Old Style"/>
          <w:sz w:val="28"/>
          <w:szCs w:val="28"/>
          <w:lang w:val="es-CO"/>
        </w:rPr>
      </w:pPr>
      <w:r>
        <w:rPr>
          <w:rFonts w:ascii="Bookman Old Style" w:hAnsi="Bookman Old Style"/>
          <w:sz w:val="28"/>
          <w:szCs w:val="28"/>
          <w:lang w:val="es-CO"/>
        </w:rPr>
        <w:tab/>
        <w:t>De tal forma que si las amenazas de que fue víctima la profesora Ramírez Rodríguez, fueron desplegadas por el comandante de la zona del Porvenir en razón al poderío que ostentaba y que utilizaba en el diario vivir para sembrar el terror en la región, ha de concluirse que no se trata de un hecho aislado por cuya ocurrencia no deban responder los mandos a título de autores mediatos.</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Precisamente, tratando de perfilar la verdad</w:t>
      </w:r>
      <w:r>
        <w:rPr>
          <w:rStyle w:val="Refdenotaalpie"/>
          <w:rFonts w:ascii="Bookman Old Style" w:hAnsi="Bookman Old Style"/>
          <w:sz w:val="28"/>
          <w:szCs w:val="28"/>
          <w:lang w:val="es-CO"/>
        </w:rPr>
        <w:footnoteReference w:id="52"/>
      </w:r>
      <w:r>
        <w:rPr>
          <w:rFonts w:ascii="Bookman Old Style" w:hAnsi="Bookman Old Style"/>
          <w:sz w:val="28"/>
          <w:szCs w:val="28"/>
          <w:lang w:val="es-CO"/>
        </w:rPr>
        <w:t xml:space="preserve"> como bien supremo para ofrecer a las víctimas dentro del proceso de Justicia y Paz, y ante la consideración en torno a que los postulados, a pesar de registrar el hecho como uno de los que ejecutó su comandante de la zona, desconocen cualquier información por cuanto </w:t>
      </w:r>
      <w:r w:rsidRPr="004077ED">
        <w:rPr>
          <w:rFonts w:ascii="Bookman Old Style" w:hAnsi="Bookman Old Style"/>
          <w:i/>
          <w:sz w:val="28"/>
          <w:szCs w:val="28"/>
          <w:lang w:val="es-CO"/>
        </w:rPr>
        <w:t>‘paraco viejo’</w:t>
      </w:r>
      <w:r>
        <w:rPr>
          <w:rFonts w:ascii="Bookman Old Style" w:hAnsi="Bookman Old Style"/>
          <w:sz w:val="28"/>
          <w:szCs w:val="28"/>
          <w:lang w:val="es-CO"/>
        </w:rPr>
        <w:t xml:space="preserve"> no lo reportó a la comandancia general, el Tribunal accedió a escuchar a la víctima durante la audiencia de legalización de cargos y fue a través de ella que se conocieron los detalles de ese episodio:</w:t>
      </w:r>
      <w:r>
        <w:rPr>
          <w:rStyle w:val="Refdenotaalpie"/>
          <w:rFonts w:ascii="Bookman Old Style" w:hAnsi="Bookman Old Style"/>
          <w:sz w:val="28"/>
          <w:szCs w:val="28"/>
          <w:lang w:val="es-CO"/>
        </w:rPr>
        <w:footnoteReference w:id="53"/>
      </w:r>
      <w:r>
        <w:rPr>
          <w:rFonts w:ascii="Bookman Old Style" w:hAnsi="Bookman Old Style"/>
          <w:sz w:val="28"/>
          <w:szCs w:val="28"/>
          <w:lang w:val="es-CO"/>
        </w:rPr>
        <w:t xml:space="preserve">   </w:t>
      </w:r>
    </w:p>
    <w:p w:rsidR="00AD777C" w:rsidRDefault="00AD777C" w:rsidP="00AD777C">
      <w:pPr>
        <w:spacing w:line="360" w:lineRule="auto"/>
        <w:ind w:firstLine="708"/>
        <w:jc w:val="both"/>
        <w:rPr>
          <w:rFonts w:ascii="Bookman Old Style" w:hAnsi="Bookman Old Style"/>
          <w:sz w:val="28"/>
          <w:szCs w:val="28"/>
          <w:lang w:val="es-CO"/>
        </w:rPr>
      </w:pPr>
    </w:p>
    <w:p w:rsidR="00AD777C" w:rsidRPr="009E062C" w:rsidRDefault="00AD777C" w:rsidP="00AD777C">
      <w:pPr>
        <w:spacing w:line="360" w:lineRule="auto"/>
        <w:ind w:left="708"/>
        <w:jc w:val="both"/>
        <w:rPr>
          <w:rFonts w:ascii="Bookman Old Style" w:hAnsi="Bookman Old Style"/>
          <w:i/>
          <w:sz w:val="24"/>
          <w:szCs w:val="24"/>
          <w:lang w:val="es-CO"/>
        </w:rPr>
      </w:pPr>
      <w:r>
        <w:rPr>
          <w:rFonts w:ascii="Bookman Old Style" w:hAnsi="Bookman Old Style"/>
          <w:i/>
          <w:sz w:val="24"/>
          <w:szCs w:val="24"/>
          <w:lang w:val="es-CO"/>
        </w:rPr>
        <w:t>Buenas tardes, mi nombre es Stella Ramírez Rodrí</w:t>
      </w:r>
      <w:r w:rsidRPr="009E062C">
        <w:rPr>
          <w:rFonts w:ascii="Bookman Old Style" w:hAnsi="Bookman Old Style"/>
          <w:i/>
          <w:sz w:val="24"/>
          <w:szCs w:val="24"/>
          <w:lang w:val="es-CO"/>
        </w:rPr>
        <w:t xml:space="preserve">guez, ehh soy víctima del señor alias </w:t>
      </w:r>
      <w:r>
        <w:rPr>
          <w:rFonts w:ascii="Bookman Old Style" w:hAnsi="Bookman Old Style"/>
          <w:i/>
          <w:sz w:val="24"/>
          <w:szCs w:val="24"/>
          <w:lang w:val="es-CO"/>
        </w:rPr>
        <w:t>‘</w:t>
      </w:r>
      <w:r w:rsidRPr="009E062C">
        <w:rPr>
          <w:rFonts w:ascii="Bookman Old Style" w:hAnsi="Bookman Old Style"/>
          <w:i/>
          <w:sz w:val="24"/>
          <w:szCs w:val="24"/>
          <w:lang w:val="es-CO"/>
        </w:rPr>
        <w:t>paraco</w:t>
      </w:r>
      <w:r>
        <w:rPr>
          <w:rFonts w:ascii="Bookman Old Style" w:hAnsi="Bookman Old Style"/>
          <w:i/>
          <w:sz w:val="24"/>
          <w:szCs w:val="24"/>
          <w:lang w:val="es-CO"/>
        </w:rPr>
        <w:t xml:space="preserve"> </w:t>
      </w:r>
      <w:r w:rsidRPr="009E062C">
        <w:rPr>
          <w:rFonts w:ascii="Bookman Old Style" w:hAnsi="Bookman Old Style"/>
          <w:i/>
          <w:sz w:val="24"/>
          <w:szCs w:val="24"/>
          <w:lang w:val="es-CO"/>
        </w:rPr>
        <w:t>viejo</w:t>
      </w:r>
      <w:r>
        <w:rPr>
          <w:rFonts w:ascii="Bookman Old Style" w:hAnsi="Bookman Old Style"/>
          <w:i/>
          <w:sz w:val="24"/>
          <w:szCs w:val="24"/>
          <w:lang w:val="es-CO"/>
        </w:rPr>
        <w:t>’</w:t>
      </w:r>
      <w:r w:rsidRPr="009E062C">
        <w:rPr>
          <w:rFonts w:ascii="Bookman Old Style" w:hAnsi="Bookman Old Style"/>
          <w:i/>
          <w:sz w:val="24"/>
          <w:szCs w:val="24"/>
          <w:lang w:val="es-CO"/>
        </w:rPr>
        <w:t>, los hechos sucedieron en la insp</w:t>
      </w:r>
      <w:r>
        <w:rPr>
          <w:rFonts w:ascii="Bookman Old Style" w:hAnsi="Bookman Old Style"/>
          <w:i/>
          <w:sz w:val="24"/>
          <w:szCs w:val="24"/>
          <w:lang w:val="es-CO"/>
        </w:rPr>
        <w:t>ección del P</w:t>
      </w:r>
      <w:r w:rsidRPr="009E062C">
        <w:rPr>
          <w:rFonts w:ascii="Bookman Old Style" w:hAnsi="Bookman Old Style"/>
          <w:i/>
          <w:sz w:val="24"/>
          <w:szCs w:val="24"/>
          <w:lang w:val="es-CO"/>
        </w:rPr>
        <w:t>orvenir Meta eeehh nosotros ese fin de semana habíamos salido a vacaciones, el viernes</w:t>
      </w:r>
      <w:r>
        <w:rPr>
          <w:rFonts w:ascii="Bookman Old Style" w:hAnsi="Bookman Old Style"/>
          <w:i/>
          <w:sz w:val="24"/>
          <w:szCs w:val="24"/>
          <w:lang w:val="es-CO"/>
        </w:rPr>
        <w:t xml:space="preserve"> </w:t>
      </w:r>
      <w:r w:rsidRPr="00654B64">
        <w:rPr>
          <w:rFonts w:ascii="Bookman Old Style" w:hAnsi="Bookman Old Style"/>
          <w:sz w:val="24"/>
          <w:szCs w:val="24"/>
          <w:lang w:val="es-CO"/>
        </w:rPr>
        <w:t>(inaudible)</w:t>
      </w:r>
      <w:r w:rsidRPr="009E062C">
        <w:rPr>
          <w:rFonts w:ascii="Bookman Old Style" w:hAnsi="Bookman Old Style"/>
          <w:i/>
          <w:sz w:val="24"/>
          <w:szCs w:val="24"/>
          <w:lang w:val="es-CO"/>
        </w:rPr>
        <w:t xml:space="preserve"> ya habíamos quedado en vacaciones pero por la falta de </w:t>
      </w:r>
      <w:r w:rsidRPr="00654B64">
        <w:rPr>
          <w:rFonts w:ascii="Bookman Old Style" w:hAnsi="Bookman Old Style"/>
          <w:sz w:val="24"/>
          <w:szCs w:val="24"/>
          <w:lang w:val="es-CO"/>
        </w:rPr>
        <w:t>(inaudible)</w:t>
      </w:r>
      <w:r w:rsidRPr="009E062C">
        <w:rPr>
          <w:rFonts w:ascii="Bookman Old Style" w:hAnsi="Bookman Old Style"/>
          <w:i/>
          <w:sz w:val="24"/>
          <w:szCs w:val="24"/>
          <w:lang w:val="es-CO"/>
        </w:rPr>
        <w:t>…perman</w:t>
      </w:r>
      <w:r>
        <w:rPr>
          <w:rFonts w:ascii="Bookman Old Style" w:hAnsi="Bookman Old Style"/>
          <w:i/>
          <w:sz w:val="24"/>
          <w:szCs w:val="24"/>
          <w:lang w:val="es-CO"/>
        </w:rPr>
        <w:t>ente tocó</w:t>
      </w:r>
      <w:r w:rsidRPr="009E062C">
        <w:rPr>
          <w:rFonts w:ascii="Bookman Old Style" w:hAnsi="Bookman Old Style"/>
          <w:i/>
          <w:sz w:val="24"/>
          <w:szCs w:val="24"/>
          <w:lang w:val="es-CO"/>
        </w:rPr>
        <w:t xml:space="preserve"> que esperar hast</w:t>
      </w:r>
      <w:r>
        <w:rPr>
          <w:rFonts w:ascii="Bookman Old Style" w:hAnsi="Bookman Old Style"/>
          <w:i/>
          <w:sz w:val="24"/>
          <w:szCs w:val="24"/>
          <w:lang w:val="es-CO"/>
        </w:rPr>
        <w:t xml:space="preserve">a el día lunes, eso fue el día… </w:t>
      </w:r>
      <w:r w:rsidRPr="009E062C">
        <w:rPr>
          <w:rFonts w:ascii="Bookman Old Style" w:hAnsi="Bookman Old Style"/>
          <w:i/>
          <w:sz w:val="24"/>
          <w:szCs w:val="24"/>
          <w:lang w:val="es-CO"/>
        </w:rPr>
        <w:t>pues la fecha exacta</w:t>
      </w:r>
      <w:r>
        <w:rPr>
          <w:rFonts w:ascii="Bookman Old Style" w:hAnsi="Bookman Old Style"/>
          <w:i/>
          <w:sz w:val="24"/>
          <w:szCs w:val="24"/>
          <w:lang w:val="es-CO"/>
        </w:rPr>
        <w:t>,</w:t>
      </w:r>
      <w:r w:rsidRPr="009E062C">
        <w:rPr>
          <w:rFonts w:ascii="Bookman Old Style" w:hAnsi="Bookman Old Style"/>
          <w:i/>
          <w:sz w:val="24"/>
          <w:szCs w:val="24"/>
          <w:lang w:val="es-CO"/>
        </w:rPr>
        <w:t xml:space="preserve"> exacta no lo recuerd</w:t>
      </w:r>
      <w:r>
        <w:rPr>
          <w:rFonts w:ascii="Bookman Old Style" w:hAnsi="Bookman Old Style"/>
          <w:i/>
          <w:sz w:val="24"/>
          <w:szCs w:val="24"/>
          <w:lang w:val="es-CO"/>
        </w:rPr>
        <w:t>o pero si fue en junio del 2003. Ento</w:t>
      </w:r>
      <w:r w:rsidRPr="009E062C">
        <w:rPr>
          <w:rFonts w:ascii="Bookman Old Style" w:hAnsi="Bookman Old Style"/>
          <w:i/>
          <w:sz w:val="24"/>
          <w:szCs w:val="24"/>
          <w:lang w:val="es-CO"/>
        </w:rPr>
        <w:t>n</w:t>
      </w:r>
      <w:r>
        <w:rPr>
          <w:rFonts w:ascii="Bookman Old Style" w:hAnsi="Bookman Old Style"/>
          <w:i/>
          <w:sz w:val="24"/>
          <w:szCs w:val="24"/>
          <w:lang w:val="es-CO"/>
        </w:rPr>
        <w:t>c</w:t>
      </w:r>
      <w:r w:rsidRPr="009E062C">
        <w:rPr>
          <w:rFonts w:ascii="Bookman Old Style" w:hAnsi="Bookman Old Style"/>
          <w:i/>
          <w:sz w:val="24"/>
          <w:szCs w:val="24"/>
          <w:lang w:val="es-CO"/>
        </w:rPr>
        <w:t xml:space="preserve">es  </w:t>
      </w:r>
      <w:r>
        <w:rPr>
          <w:rFonts w:ascii="Bookman Old Style" w:hAnsi="Bookman Old Style"/>
          <w:i/>
          <w:sz w:val="24"/>
          <w:szCs w:val="24"/>
          <w:lang w:val="es-CO"/>
        </w:rPr>
        <w:t>e</w:t>
      </w:r>
      <w:r w:rsidRPr="009E062C">
        <w:rPr>
          <w:rFonts w:ascii="Bookman Old Style" w:hAnsi="Bookman Old Style"/>
          <w:i/>
          <w:sz w:val="24"/>
          <w:szCs w:val="24"/>
          <w:lang w:val="es-CO"/>
        </w:rPr>
        <w:t xml:space="preserve">ehh nos habían invitado a hacer una despedida a la señora Flor Rosas conocida popularmente como </w:t>
      </w:r>
      <w:r>
        <w:rPr>
          <w:rFonts w:ascii="Bookman Old Style" w:hAnsi="Bookman Old Style"/>
          <w:i/>
          <w:sz w:val="24"/>
          <w:szCs w:val="24"/>
          <w:lang w:val="es-CO"/>
        </w:rPr>
        <w:t>‘</w:t>
      </w:r>
      <w:r w:rsidRPr="009E062C">
        <w:rPr>
          <w:rFonts w:ascii="Bookman Old Style" w:hAnsi="Bookman Old Style"/>
          <w:i/>
          <w:sz w:val="24"/>
          <w:szCs w:val="24"/>
          <w:lang w:val="es-CO"/>
        </w:rPr>
        <w:t>vegetariana</w:t>
      </w:r>
      <w:r>
        <w:rPr>
          <w:rFonts w:ascii="Bookman Old Style" w:hAnsi="Bookman Old Style"/>
          <w:i/>
          <w:sz w:val="24"/>
          <w:szCs w:val="24"/>
          <w:lang w:val="es-CO"/>
        </w:rPr>
        <w:t>’</w:t>
      </w:r>
      <w:r w:rsidRPr="009E062C">
        <w:rPr>
          <w:rFonts w:ascii="Bookman Old Style" w:hAnsi="Bookman Old Style"/>
          <w:i/>
          <w:sz w:val="24"/>
          <w:szCs w:val="24"/>
          <w:lang w:val="es-CO"/>
        </w:rPr>
        <w:t xml:space="preserve"> y este señor </w:t>
      </w:r>
      <w:r>
        <w:rPr>
          <w:rFonts w:ascii="Bookman Old Style" w:hAnsi="Bookman Old Style"/>
          <w:i/>
          <w:sz w:val="24"/>
          <w:szCs w:val="24"/>
          <w:lang w:val="es-CO"/>
        </w:rPr>
        <w:t>‘</w:t>
      </w:r>
      <w:r w:rsidRPr="009E062C">
        <w:rPr>
          <w:rFonts w:ascii="Bookman Old Style" w:hAnsi="Bookman Old Style"/>
          <w:i/>
          <w:sz w:val="24"/>
          <w:szCs w:val="24"/>
          <w:lang w:val="es-CO"/>
        </w:rPr>
        <w:t>paraco</w:t>
      </w:r>
      <w:r>
        <w:rPr>
          <w:rFonts w:ascii="Bookman Old Style" w:hAnsi="Bookman Old Style"/>
          <w:i/>
          <w:sz w:val="24"/>
          <w:szCs w:val="24"/>
          <w:lang w:val="es-CO"/>
        </w:rPr>
        <w:t xml:space="preserve"> viejo’ amaneció</w:t>
      </w:r>
      <w:r w:rsidRPr="009E062C">
        <w:rPr>
          <w:rFonts w:ascii="Bookman Old Style" w:hAnsi="Bookman Old Style"/>
          <w:i/>
          <w:sz w:val="24"/>
          <w:szCs w:val="24"/>
          <w:lang w:val="es-CO"/>
        </w:rPr>
        <w:t xml:space="preserve"> en el pueblo desde tempran</w:t>
      </w:r>
      <w:r>
        <w:rPr>
          <w:rFonts w:ascii="Bookman Old Style" w:hAnsi="Bookman Old Style"/>
          <w:i/>
          <w:sz w:val="24"/>
          <w:szCs w:val="24"/>
          <w:lang w:val="es-CO"/>
        </w:rPr>
        <w:t>o</w:t>
      </w:r>
      <w:r w:rsidRPr="009E062C">
        <w:rPr>
          <w:rFonts w:ascii="Bookman Old Style" w:hAnsi="Bookman Old Style"/>
          <w:i/>
          <w:sz w:val="24"/>
          <w:szCs w:val="24"/>
          <w:lang w:val="es-CO"/>
        </w:rPr>
        <w:t xml:space="preserve"> entonces supues</w:t>
      </w:r>
      <w:r>
        <w:rPr>
          <w:rFonts w:ascii="Bookman Old Style" w:hAnsi="Bookman Old Style"/>
          <w:i/>
          <w:sz w:val="24"/>
          <w:szCs w:val="24"/>
          <w:lang w:val="es-CO"/>
        </w:rPr>
        <w:t>t</w:t>
      </w:r>
      <w:r w:rsidRPr="009E062C">
        <w:rPr>
          <w:rFonts w:ascii="Bookman Old Style" w:hAnsi="Bookman Old Style"/>
          <w:i/>
          <w:sz w:val="24"/>
          <w:szCs w:val="24"/>
          <w:lang w:val="es-CO"/>
        </w:rPr>
        <w:t>am</w:t>
      </w:r>
      <w:r>
        <w:rPr>
          <w:rFonts w:ascii="Bookman Old Style" w:hAnsi="Bookman Old Style"/>
          <w:i/>
          <w:sz w:val="24"/>
          <w:szCs w:val="24"/>
          <w:lang w:val="es-CO"/>
        </w:rPr>
        <w:t>ente le iba a hacer una vuelta a la señora A</w:t>
      </w:r>
      <w:r w:rsidRPr="009E062C">
        <w:rPr>
          <w:rFonts w:ascii="Bookman Old Style" w:hAnsi="Bookman Old Style"/>
          <w:i/>
          <w:sz w:val="24"/>
          <w:szCs w:val="24"/>
          <w:lang w:val="es-CO"/>
        </w:rPr>
        <w:t xml:space="preserve">leida y de esas cosas </w:t>
      </w:r>
      <w:r>
        <w:rPr>
          <w:rFonts w:ascii="Bookman Old Style" w:hAnsi="Bookman Old Style"/>
          <w:i/>
          <w:sz w:val="24"/>
          <w:szCs w:val="24"/>
          <w:lang w:val="es-CO"/>
        </w:rPr>
        <w:t>q</w:t>
      </w:r>
      <w:r w:rsidRPr="009E062C">
        <w:rPr>
          <w:rFonts w:ascii="Bookman Old Style" w:hAnsi="Bookman Old Style"/>
          <w:i/>
          <w:sz w:val="24"/>
          <w:szCs w:val="24"/>
          <w:lang w:val="es-CO"/>
        </w:rPr>
        <w:t>ue uno no sabe sino</w:t>
      </w:r>
      <w:r>
        <w:rPr>
          <w:rFonts w:ascii="Bookman Old Style" w:hAnsi="Bookman Old Style"/>
          <w:i/>
          <w:sz w:val="24"/>
          <w:szCs w:val="24"/>
          <w:lang w:val="es-CO"/>
        </w:rPr>
        <w:t xml:space="preserve"> hasta después de que supuestame</w:t>
      </w:r>
      <w:r w:rsidRPr="009E062C">
        <w:rPr>
          <w:rFonts w:ascii="Bookman Old Style" w:hAnsi="Bookman Old Style"/>
          <w:i/>
          <w:sz w:val="24"/>
          <w:szCs w:val="24"/>
          <w:lang w:val="es-CO"/>
        </w:rPr>
        <w:t>n</w:t>
      </w:r>
      <w:r>
        <w:rPr>
          <w:rFonts w:ascii="Bookman Old Style" w:hAnsi="Bookman Old Style"/>
          <w:i/>
          <w:sz w:val="24"/>
          <w:szCs w:val="24"/>
          <w:lang w:val="es-CO"/>
        </w:rPr>
        <w:t>te suceden (…) entonces yo</w:t>
      </w:r>
      <w:r w:rsidRPr="009E062C">
        <w:rPr>
          <w:rFonts w:ascii="Bookman Old Style" w:hAnsi="Bookman Old Style"/>
          <w:i/>
          <w:sz w:val="24"/>
          <w:szCs w:val="24"/>
          <w:lang w:val="es-CO"/>
        </w:rPr>
        <w:t>,</w:t>
      </w:r>
      <w:r>
        <w:rPr>
          <w:rFonts w:ascii="Bookman Old Style" w:hAnsi="Bookman Old Style"/>
          <w:i/>
          <w:sz w:val="24"/>
          <w:szCs w:val="24"/>
          <w:lang w:val="es-CO"/>
        </w:rPr>
        <w:t xml:space="preserve"> por má</w:t>
      </w:r>
      <w:r w:rsidRPr="009E062C">
        <w:rPr>
          <w:rFonts w:ascii="Bookman Old Style" w:hAnsi="Bookman Old Style"/>
          <w:i/>
          <w:sz w:val="24"/>
          <w:szCs w:val="24"/>
          <w:lang w:val="es-CO"/>
        </w:rPr>
        <w:t>s hacer –</w:t>
      </w:r>
      <w:r>
        <w:rPr>
          <w:rFonts w:ascii="Bookman Old Style" w:hAnsi="Bookman Old Style"/>
          <w:i/>
          <w:sz w:val="24"/>
          <w:szCs w:val="24"/>
          <w:lang w:val="es-CO"/>
        </w:rPr>
        <w:t xml:space="preserve">digo yo por metida- le dije que </w:t>
      </w:r>
      <w:r w:rsidRPr="00923089">
        <w:rPr>
          <w:rFonts w:ascii="Bookman Old Style" w:hAnsi="Bookman Old Style"/>
          <w:sz w:val="24"/>
          <w:szCs w:val="24"/>
          <w:lang w:val="es-CO"/>
        </w:rPr>
        <w:t>(inaudible)</w:t>
      </w:r>
      <w:r>
        <w:rPr>
          <w:rFonts w:ascii="Bookman Old Style" w:hAnsi="Bookman Old Style"/>
          <w:i/>
          <w:sz w:val="24"/>
          <w:szCs w:val="24"/>
          <w:lang w:val="es-CO"/>
        </w:rPr>
        <w:t>…</w:t>
      </w:r>
      <w:r w:rsidRPr="009E062C">
        <w:rPr>
          <w:rFonts w:ascii="Bookman Old Style" w:hAnsi="Bookman Old Style"/>
          <w:i/>
          <w:sz w:val="24"/>
          <w:szCs w:val="24"/>
          <w:lang w:val="es-CO"/>
        </w:rPr>
        <w:t xml:space="preserve"> la señora me agredió</w:t>
      </w:r>
      <w:r>
        <w:rPr>
          <w:rFonts w:ascii="Bookman Old Style" w:hAnsi="Bookman Old Style"/>
          <w:i/>
          <w:sz w:val="24"/>
          <w:szCs w:val="24"/>
          <w:lang w:val="es-CO"/>
        </w:rPr>
        <w:t>, me insulto, pues lógico si a mi</w:t>
      </w:r>
      <w:r w:rsidRPr="009E062C">
        <w:rPr>
          <w:rFonts w:ascii="Bookman Old Style" w:hAnsi="Bookman Old Style"/>
          <w:i/>
          <w:sz w:val="24"/>
          <w:szCs w:val="24"/>
          <w:lang w:val="es-CO"/>
        </w:rPr>
        <w:t xml:space="preserve"> me insu</w:t>
      </w:r>
      <w:r>
        <w:rPr>
          <w:rFonts w:ascii="Bookman Old Style" w:hAnsi="Bookman Old Style"/>
          <w:i/>
          <w:sz w:val="24"/>
          <w:szCs w:val="24"/>
          <w:lang w:val="es-CO"/>
        </w:rPr>
        <w:t>l</w:t>
      </w:r>
      <w:r w:rsidRPr="009E062C">
        <w:rPr>
          <w:rFonts w:ascii="Bookman Old Style" w:hAnsi="Bookman Old Style"/>
          <w:i/>
          <w:sz w:val="24"/>
          <w:szCs w:val="24"/>
          <w:lang w:val="es-CO"/>
        </w:rPr>
        <w:t>tan pues yo r</w:t>
      </w:r>
      <w:r>
        <w:rPr>
          <w:rFonts w:ascii="Bookman Old Style" w:hAnsi="Bookman Old Style"/>
          <w:i/>
          <w:sz w:val="24"/>
          <w:szCs w:val="24"/>
          <w:lang w:val="es-CO"/>
        </w:rPr>
        <w:t>espondo pero cundo ya me agredió</w:t>
      </w:r>
      <w:r w:rsidRPr="009E062C">
        <w:rPr>
          <w:rFonts w:ascii="Bookman Old Style" w:hAnsi="Bookman Old Style"/>
          <w:i/>
          <w:sz w:val="24"/>
          <w:szCs w:val="24"/>
          <w:lang w:val="es-CO"/>
        </w:rPr>
        <w:t xml:space="preserve"> físic</w:t>
      </w:r>
      <w:r>
        <w:rPr>
          <w:rFonts w:ascii="Bookman Old Style" w:hAnsi="Bookman Old Style"/>
          <w:i/>
          <w:sz w:val="24"/>
          <w:szCs w:val="24"/>
          <w:lang w:val="es-CO"/>
        </w:rPr>
        <w:t>amente pues yo también la agredí</w:t>
      </w:r>
      <w:r w:rsidRPr="009E062C">
        <w:rPr>
          <w:rFonts w:ascii="Bookman Old Style" w:hAnsi="Bookman Old Style"/>
          <w:i/>
          <w:sz w:val="24"/>
          <w:szCs w:val="24"/>
          <w:lang w:val="es-CO"/>
        </w:rPr>
        <w:t xml:space="preserve"> a e</w:t>
      </w:r>
      <w:r>
        <w:rPr>
          <w:rFonts w:ascii="Bookman Old Style" w:hAnsi="Bookman Old Style"/>
          <w:i/>
          <w:sz w:val="24"/>
          <w:szCs w:val="24"/>
          <w:lang w:val="es-CO"/>
        </w:rPr>
        <w:t>lla (…) El señor pajita llegó</w:t>
      </w:r>
      <w:r w:rsidRPr="009E062C">
        <w:rPr>
          <w:rFonts w:ascii="Bookman Old Style" w:hAnsi="Bookman Old Style"/>
          <w:i/>
          <w:sz w:val="24"/>
          <w:szCs w:val="24"/>
          <w:lang w:val="es-CO"/>
        </w:rPr>
        <w:t xml:space="preserve"> y me aconsejó y le dije</w:t>
      </w:r>
      <w:r>
        <w:rPr>
          <w:rFonts w:ascii="Bookman Old Style" w:hAnsi="Bookman Old Style"/>
          <w:i/>
          <w:sz w:val="24"/>
          <w:szCs w:val="24"/>
          <w:lang w:val="es-CO"/>
        </w:rPr>
        <w:t xml:space="preserve"> listo le hago caso pero averigüe quié</w:t>
      </w:r>
      <w:r w:rsidRPr="009E062C">
        <w:rPr>
          <w:rFonts w:ascii="Bookman Old Style" w:hAnsi="Bookman Old Style"/>
          <w:i/>
          <w:sz w:val="24"/>
          <w:szCs w:val="24"/>
          <w:lang w:val="es-CO"/>
        </w:rPr>
        <w:t>n</w:t>
      </w:r>
      <w:r>
        <w:rPr>
          <w:rFonts w:ascii="Bookman Old Style" w:hAnsi="Bookman Old Style"/>
          <w:i/>
          <w:sz w:val="24"/>
          <w:szCs w:val="24"/>
          <w:lang w:val="es-CO"/>
        </w:rPr>
        <w:t xml:space="preserve"> soy yo aquí</w:t>
      </w:r>
      <w:r w:rsidRPr="009E062C">
        <w:rPr>
          <w:rFonts w:ascii="Bookman Old Style" w:hAnsi="Bookman Old Style"/>
          <w:i/>
          <w:sz w:val="24"/>
          <w:szCs w:val="24"/>
          <w:lang w:val="es-CO"/>
        </w:rPr>
        <w:t xml:space="preserve"> en el pueblo</w:t>
      </w:r>
      <w:r>
        <w:rPr>
          <w:rFonts w:ascii="Bookman Old Style" w:hAnsi="Bookman Old Style"/>
          <w:i/>
          <w:sz w:val="24"/>
          <w:szCs w:val="24"/>
          <w:lang w:val="es-CO"/>
        </w:rPr>
        <w:t>,</w:t>
      </w:r>
      <w:r w:rsidRPr="009E062C">
        <w:rPr>
          <w:rFonts w:ascii="Bookman Old Style" w:hAnsi="Bookman Old Style"/>
          <w:i/>
          <w:sz w:val="24"/>
          <w:szCs w:val="24"/>
          <w:lang w:val="es-CO"/>
        </w:rPr>
        <w:t xml:space="preserve"> yo no me meto con nadie</w:t>
      </w:r>
      <w:r>
        <w:rPr>
          <w:rFonts w:ascii="Bookman Old Style" w:hAnsi="Bookman Old Style"/>
          <w:i/>
          <w:sz w:val="24"/>
          <w:szCs w:val="24"/>
          <w:lang w:val="es-CO"/>
        </w:rPr>
        <w:t>, me dijo si profe yo se quién es usted, despué</w:t>
      </w:r>
      <w:r w:rsidRPr="009E062C">
        <w:rPr>
          <w:rFonts w:ascii="Bookman Old Style" w:hAnsi="Bookman Old Style"/>
          <w:i/>
          <w:sz w:val="24"/>
          <w:szCs w:val="24"/>
          <w:lang w:val="es-CO"/>
        </w:rPr>
        <w:t>s nos fuimos con otro c</w:t>
      </w:r>
      <w:r>
        <w:rPr>
          <w:rFonts w:ascii="Bookman Old Style" w:hAnsi="Bookman Old Style"/>
          <w:i/>
          <w:sz w:val="24"/>
          <w:szCs w:val="24"/>
          <w:lang w:val="es-CO"/>
        </w:rPr>
        <w:t>ompañero del colegio y el presidente d</w:t>
      </w:r>
      <w:r w:rsidRPr="009E062C">
        <w:rPr>
          <w:rFonts w:ascii="Bookman Old Style" w:hAnsi="Bookman Old Style"/>
          <w:i/>
          <w:sz w:val="24"/>
          <w:szCs w:val="24"/>
          <w:lang w:val="es-CO"/>
        </w:rPr>
        <w:t>e la ju</w:t>
      </w:r>
      <w:r>
        <w:rPr>
          <w:rFonts w:ascii="Bookman Old Style" w:hAnsi="Bookman Old Style"/>
          <w:i/>
          <w:sz w:val="24"/>
          <w:szCs w:val="24"/>
          <w:lang w:val="es-CO"/>
        </w:rPr>
        <w:t>nta</w:t>
      </w:r>
      <w:r w:rsidRPr="009E062C">
        <w:rPr>
          <w:rFonts w:ascii="Bookman Old Style" w:hAnsi="Bookman Old Style"/>
          <w:i/>
          <w:sz w:val="24"/>
          <w:szCs w:val="24"/>
          <w:lang w:val="es-CO"/>
        </w:rPr>
        <w:t xml:space="preserve"> de acción comunal de ahí del pueblo que en ese tiempo era el señor Jair Muyerno y no</w:t>
      </w:r>
      <w:r>
        <w:rPr>
          <w:rFonts w:ascii="Bookman Old Style" w:hAnsi="Bookman Old Style"/>
          <w:i/>
          <w:sz w:val="24"/>
          <w:szCs w:val="24"/>
          <w:lang w:val="es-CO"/>
        </w:rPr>
        <w:t>s fuimos para donde doña F</w:t>
      </w:r>
      <w:r w:rsidRPr="009E062C">
        <w:rPr>
          <w:rFonts w:ascii="Bookman Old Style" w:hAnsi="Bookman Old Style"/>
          <w:i/>
          <w:sz w:val="24"/>
          <w:szCs w:val="24"/>
          <w:lang w:val="es-CO"/>
        </w:rPr>
        <w:t>lor estuvimos ahí cantando</w:t>
      </w:r>
      <w:r>
        <w:rPr>
          <w:rFonts w:ascii="Bookman Old Style" w:hAnsi="Bookman Old Style"/>
          <w:i/>
          <w:sz w:val="24"/>
          <w:szCs w:val="24"/>
          <w:lang w:val="es-CO"/>
        </w:rPr>
        <w:t>,</w:t>
      </w:r>
      <w:r w:rsidRPr="009E062C">
        <w:rPr>
          <w:rFonts w:ascii="Bookman Old Style" w:hAnsi="Bookman Old Style"/>
          <w:i/>
          <w:sz w:val="24"/>
          <w:szCs w:val="24"/>
          <w:lang w:val="es-CO"/>
        </w:rPr>
        <w:t xml:space="preserve"> recochando ahí con ella </w:t>
      </w:r>
      <w:r>
        <w:rPr>
          <w:rFonts w:ascii="Bookman Old Style" w:hAnsi="Bookman Old Style"/>
          <w:i/>
          <w:sz w:val="24"/>
          <w:szCs w:val="24"/>
          <w:lang w:val="es-CO"/>
        </w:rPr>
        <w:t>porque ella también se iba al día si</w:t>
      </w:r>
      <w:r w:rsidRPr="009E062C">
        <w:rPr>
          <w:rFonts w:ascii="Bookman Old Style" w:hAnsi="Bookman Old Style"/>
          <w:i/>
          <w:sz w:val="24"/>
          <w:szCs w:val="24"/>
          <w:lang w:val="es-CO"/>
        </w:rPr>
        <w:t>guiente del pueblo y ella era la tesorera de la junta de acción comunal</w:t>
      </w:r>
      <w:r>
        <w:rPr>
          <w:rFonts w:ascii="Bookman Old Style" w:hAnsi="Bookman Old Style"/>
          <w:i/>
          <w:sz w:val="24"/>
          <w:szCs w:val="24"/>
          <w:lang w:val="es-CO"/>
        </w:rPr>
        <w:t>.. despué</w:t>
      </w:r>
      <w:r w:rsidRPr="009E062C">
        <w:rPr>
          <w:rFonts w:ascii="Bookman Old Style" w:hAnsi="Bookman Old Style"/>
          <w:i/>
          <w:sz w:val="24"/>
          <w:szCs w:val="24"/>
          <w:lang w:val="es-CO"/>
        </w:rPr>
        <w:t>s  como a las doce de la noche</w:t>
      </w:r>
      <w:r>
        <w:rPr>
          <w:rFonts w:ascii="Bookman Old Style" w:hAnsi="Bookman Old Style"/>
          <w:i/>
          <w:sz w:val="24"/>
          <w:szCs w:val="24"/>
          <w:lang w:val="es-CO"/>
        </w:rPr>
        <w:t xml:space="preserve"> dije </w:t>
      </w:r>
      <w:r w:rsidRPr="009E062C">
        <w:rPr>
          <w:rFonts w:ascii="Bookman Old Style" w:hAnsi="Bookman Old Style"/>
          <w:i/>
          <w:sz w:val="24"/>
          <w:szCs w:val="24"/>
          <w:lang w:val="es-CO"/>
        </w:rPr>
        <w:t xml:space="preserve">me voy porque mañana toca que trabajar mañana toca que madrugar y el </w:t>
      </w:r>
      <w:r>
        <w:rPr>
          <w:rFonts w:ascii="Bookman Old Style" w:hAnsi="Bookman Old Style"/>
          <w:i/>
          <w:sz w:val="24"/>
          <w:szCs w:val="24"/>
          <w:lang w:val="es-CO"/>
        </w:rPr>
        <w:t>viaje es largo porque voy para C</w:t>
      </w:r>
      <w:r w:rsidRPr="009E062C">
        <w:rPr>
          <w:rFonts w:ascii="Bookman Old Style" w:hAnsi="Bookman Old Style"/>
          <w:i/>
          <w:sz w:val="24"/>
          <w:szCs w:val="24"/>
          <w:lang w:val="es-CO"/>
        </w:rPr>
        <w:t>ali entonces me dijo no</w:t>
      </w:r>
      <w:r>
        <w:rPr>
          <w:rFonts w:ascii="Bookman Old Style" w:hAnsi="Bookman Old Style"/>
          <w:i/>
          <w:sz w:val="24"/>
          <w:szCs w:val="24"/>
          <w:lang w:val="es-CO"/>
        </w:rPr>
        <w:t>,</w:t>
      </w:r>
      <w:r w:rsidRPr="009E062C">
        <w:rPr>
          <w:rFonts w:ascii="Bookman Old Style" w:hAnsi="Bookman Old Style"/>
          <w:i/>
          <w:sz w:val="24"/>
          <w:szCs w:val="24"/>
          <w:lang w:val="es-CO"/>
        </w:rPr>
        <w:t xml:space="preserve"> que vamos</w:t>
      </w:r>
      <w:r>
        <w:rPr>
          <w:rFonts w:ascii="Bookman Old Style" w:hAnsi="Bookman Old Style"/>
          <w:i/>
          <w:sz w:val="24"/>
          <w:szCs w:val="24"/>
          <w:lang w:val="es-CO"/>
        </w:rPr>
        <w:t>,</w:t>
      </w:r>
      <w:r w:rsidRPr="009E062C">
        <w:rPr>
          <w:rFonts w:ascii="Bookman Old Style" w:hAnsi="Bookman Old Style"/>
          <w:i/>
          <w:sz w:val="24"/>
          <w:szCs w:val="24"/>
          <w:lang w:val="es-CO"/>
        </w:rPr>
        <w:t xml:space="preserve"> que vamos</w:t>
      </w:r>
      <w:r>
        <w:rPr>
          <w:rFonts w:ascii="Bookman Old Style" w:hAnsi="Bookman Old Style"/>
          <w:i/>
          <w:sz w:val="24"/>
          <w:szCs w:val="24"/>
          <w:lang w:val="es-CO"/>
        </w:rPr>
        <w:t>,</w:t>
      </w:r>
      <w:r w:rsidRPr="009E062C">
        <w:rPr>
          <w:rFonts w:ascii="Bookman Old Style" w:hAnsi="Bookman Old Style"/>
          <w:i/>
          <w:sz w:val="24"/>
          <w:szCs w:val="24"/>
          <w:lang w:val="es-CO"/>
        </w:rPr>
        <w:t xml:space="preserve"> que vamos allí en un estadero que se llama la gra</w:t>
      </w:r>
      <w:r>
        <w:rPr>
          <w:rFonts w:ascii="Bookman Old Style" w:hAnsi="Bookman Old Style"/>
          <w:i/>
          <w:sz w:val="24"/>
          <w:szCs w:val="24"/>
          <w:lang w:val="es-CO"/>
        </w:rPr>
        <w:t>n esquina, la dueña es una tal Flor Alba R</w:t>
      </w:r>
      <w:r w:rsidRPr="009E062C">
        <w:rPr>
          <w:rFonts w:ascii="Bookman Old Style" w:hAnsi="Bookman Old Style"/>
          <w:i/>
          <w:sz w:val="24"/>
          <w:szCs w:val="24"/>
          <w:lang w:val="es-CO"/>
        </w:rPr>
        <w:t>ojas</w:t>
      </w:r>
      <w:r>
        <w:rPr>
          <w:rFonts w:ascii="Bookman Old Style" w:hAnsi="Bookman Old Style"/>
          <w:i/>
          <w:sz w:val="24"/>
          <w:szCs w:val="24"/>
          <w:lang w:val="es-CO"/>
        </w:rPr>
        <w:t>… de allí</w:t>
      </w:r>
      <w:r w:rsidRPr="009E062C">
        <w:rPr>
          <w:rFonts w:ascii="Bookman Old Style" w:hAnsi="Bookman Old Style"/>
          <w:i/>
          <w:sz w:val="24"/>
          <w:szCs w:val="24"/>
          <w:lang w:val="es-CO"/>
        </w:rPr>
        <w:t xml:space="preserve"> me quite las gafas me estaban sudando y se las di a guardar a unos amigo</w:t>
      </w:r>
      <w:r>
        <w:rPr>
          <w:rFonts w:ascii="Bookman Old Style" w:hAnsi="Bookman Old Style"/>
          <w:i/>
          <w:sz w:val="24"/>
          <w:szCs w:val="24"/>
          <w:lang w:val="es-CO"/>
        </w:rPr>
        <w:t>s</w:t>
      </w:r>
      <w:r w:rsidRPr="009E062C">
        <w:rPr>
          <w:rFonts w:ascii="Bookman Old Style" w:hAnsi="Bookman Old Style"/>
          <w:i/>
          <w:sz w:val="24"/>
          <w:szCs w:val="24"/>
          <w:lang w:val="es-CO"/>
        </w:rPr>
        <w:t xml:space="preserve"> (…) ya me voy a recoger mis gafas y me voy</w:t>
      </w:r>
      <w:r>
        <w:rPr>
          <w:rFonts w:ascii="Bookman Old Style" w:hAnsi="Bookman Old Style"/>
          <w:i/>
          <w:sz w:val="24"/>
          <w:szCs w:val="24"/>
          <w:lang w:val="es-CO"/>
        </w:rPr>
        <w:t>, el muchacho negrito me las tenía cuando el miró</w:t>
      </w:r>
      <w:r w:rsidRPr="009E062C">
        <w:rPr>
          <w:rFonts w:ascii="Bookman Old Style" w:hAnsi="Bookman Old Style"/>
          <w:i/>
          <w:sz w:val="24"/>
          <w:szCs w:val="24"/>
          <w:lang w:val="es-CO"/>
        </w:rPr>
        <w:t xml:space="preserve"> que yo estaba brava entonces ahí si se acercó  el señor </w:t>
      </w:r>
      <w:r>
        <w:rPr>
          <w:rFonts w:ascii="Bookman Old Style" w:hAnsi="Bookman Old Style"/>
          <w:i/>
          <w:sz w:val="24"/>
          <w:szCs w:val="24"/>
          <w:lang w:val="es-CO"/>
        </w:rPr>
        <w:t>‘</w:t>
      </w:r>
      <w:r w:rsidRPr="009E062C">
        <w:rPr>
          <w:rFonts w:ascii="Bookman Old Style" w:hAnsi="Bookman Old Style"/>
          <w:i/>
          <w:sz w:val="24"/>
          <w:szCs w:val="24"/>
          <w:lang w:val="es-CO"/>
        </w:rPr>
        <w:t>paraco</w:t>
      </w:r>
      <w:r>
        <w:rPr>
          <w:rFonts w:ascii="Bookman Old Style" w:hAnsi="Bookman Old Style"/>
          <w:i/>
          <w:sz w:val="24"/>
          <w:szCs w:val="24"/>
          <w:lang w:val="es-CO"/>
        </w:rPr>
        <w:t>’ y me las entregó pero</w:t>
      </w:r>
      <w:r w:rsidRPr="009E062C">
        <w:rPr>
          <w:rFonts w:ascii="Bookman Old Style" w:hAnsi="Bookman Old Style"/>
          <w:i/>
          <w:sz w:val="24"/>
          <w:szCs w:val="24"/>
          <w:lang w:val="es-CO"/>
        </w:rPr>
        <w:t xml:space="preserve"> le falta un lente entonces cuando yo me la coloco</w:t>
      </w:r>
      <w:r>
        <w:rPr>
          <w:rFonts w:ascii="Bookman Old Style" w:hAnsi="Bookman Old Style"/>
          <w:i/>
          <w:sz w:val="24"/>
          <w:szCs w:val="24"/>
          <w:lang w:val="es-CO"/>
        </w:rPr>
        <w:t>,</w:t>
      </w:r>
      <w:r w:rsidRPr="009E062C">
        <w:rPr>
          <w:rFonts w:ascii="Bookman Old Style" w:hAnsi="Bookman Old Style"/>
          <w:i/>
          <w:sz w:val="24"/>
          <w:szCs w:val="24"/>
          <w:lang w:val="es-CO"/>
        </w:rPr>
        <w:t xml:space="preserve"> lógico que yo voy a mirar mal y le dije</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Pr>
          <w:rFonts w:ascii="Bookman Old Style" w:hAnsi="Bookman Old Style"/>
          <w:i/>
          <w:sz w:val="24"/>
          <w:szCs w:val="24"/>
          <w:lang w:val="es-CO"/>
        </w:rPr>
        <w:t>“</w:t>
      </w:r>
      <w:r w:rsidRPr="009E062C">
        <w:rPr>
          <w:rFonts w:ascii="Bookman Old Style" w:hAnsi="Bookman Old Style"/>
          <w:i/>
          <w:sz w:val="24"/>
          <w:szCs w:val="24"/>
          <w:lang w:val="es-CO"/>
        </w:rPr>
        <w:t>ve pero falta un lente decime en d</w:t>
      </w:r>
      <w:r>
        <w:rPr>
          <w:rFonts w:ascii="Bookman Old Style" w:hAnsi="Bookman Old Style"/>
          <w:i/>
          <w:sz w:val="24"/>
          <w:szCs w:val="24"/>
          <w:lang w:val="es-CO"/>
        </w:rPr>
        <w:t>onde lo botaste en donde se cayó que yo l</w:t>
      </w:r>
      <w:r w:rsidRPr="009E062C">
        <w:rPr>
          <w:rFonts w:ascii="Bookman Old Style" w:hAnsi="Bookman Old Style"/>
          <w:i/>
          <w:sz w:val="24"/>
          <w:szCs w:val="24"/>
          <w:lang w:val="es-CO"/>
        </w:rPr>
        <w:t>o voy a conseguir</w:t>
      </w:r>
      <w:r>
        <w:rPr>
          <w:rFonts w:ascii="Bookman Old Style" w:hAnsi="Bookman Old Style"/>
          <w:i/>
          <w:sz w:val="24"/>
          <w:szCs w:val="24"/>
          <w:lang w:val="es-CO"/>
        </w:rPr>
        <w:t xml:space="preserve">”, la </w:t>
      </w:r>
      <w:r w:rsidRPr="009E062C">
        <w:rPr>
          <w:rFonts w:ascii="Bookman Old Style" w:hAnsi="Bookman Old Style"/>
          <w:i/>
          <w:sz w:val="24"/>
          <w:szCs w:val="24"/>
          <w:lang w:val="es-CO"/>
        </w:rPr>
        <w:t xml:space="preserve"> </w:t>
      </w:r>
      <w:r>
        <w:rPr>
          <w:rFonts w:ascii="Bookman Old Style" w:hAnsi="Bookman Old Style"/>
          <w:i/>
          <w:sz w:val="24"/>
          <w:szCs w:val="24"/>
          <w:lang w:val="es-CO"/>
        </w:rPr>
        <w:t>respuesta de él fue agrade</w:t>
      </w:r>
      <w:r w:rsidRPr="009E062C">
        <w:rPr>
          <w:rFonts w:ascii="Bookman Old Style" w:hAnsi="Bookman Old Style"/>
          <w:i/>
          <w:sz w:val="24"/>
          <w:szCs w:val="24"/>
          <w:lang w:val="es-CO"/>
        </w:rPr>
        <w:t>z</w:t>
      </w:r>
      <w:r>
        <w:rPr>
          <w:rFonts w:ascii="Bookman Old Style" w:hAnsi="Bookman Old Style"/>
          <w:i/>
          <w:sz w:val="24"/>
          <w:szCs w:val="24"/>
          <w:lang w:val="es-CO"/>
        </w:rPr>
        <w:t>c</w:t>
      </w:r>
      <w:r w:rsidRPr="009E062C">
        <w:rPr>
          <w:rFonts w:ascii="Bookman Old Style" w:hAnsi="Bookman Old Style"/>
          <w:i/>
          <w:sz w:val="24"/>
          <w:szCs w:val="24"/>
          <w:lang w:val="es-CO"/>
        </w:rPr>
        <w:t>a que se las entrego</w:t>
      </w:r>
      <w:r>
        <w:rPr>
          <w:rFonts w:ascii="Bookman Old Style" w:hAnsi="Bookman Old Style"/>
          <w:i/>
          <w:sz w:val="24"/>
          <w:szCs w:val="24"/>
          <w:lang w:val="es-CO"/>
        </w:rPr>
        <w:t>, yo le dije como así que agradezca si son mí</w:t>
      </w:r>
      <w:r w:rsidRPr="009E062C">
        <w:rPr>
          <w:rFonts w:ascii="Bookman Old Style" w:hAnsi="Bookman Old Style"/>
          <w:i/>
          <w:sz w:val="24"/>
          <w:szCs w:val="24"/>
          <w:lang w:val="es-CO"/>
        </w:rPr>
        <w:t>as</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Pr>
          <w:rFonts w:ascii="Bookman Old Style" w:hAnsi="Bookman Old Style"/>
          <w:i/>
          <w:sz w:val="24"/>
          <w:szCs w:val="24"/>
          <w:lang w:val="es-CO"/>
        </w:rPr>
        <w:t>ento</w:t>
      </w:r>
      <w:r w:rsidRPr="009E062C">
        <w:rPr>
          <w:rFonts w:ascii="Bookman Old Style" w:hAnsi="Bookman Old Style"/>
          <w:i/>
          <w:sz w:val="24"/>
          <w:szCs w:val="24"/>
          <w:lang w:val="es-CO"/>
        </w:rPr>
        <w:t>n</w:t>
      </w:r>
      <w:r>
        <w:rPr>
          <w:rFonts w:ascii="Bookman Old Style" w:hAnsi="Bookman Old Style"/>
          <w:i/>
          <w:sz w:val="24"/>
          <w:szCs w:val="24"/>
          <w:lang w:val="es-CO"/>
        </w:rPr>
        <w:t xml:space="preserve">ces me dijo ahhh el salió y se fue y </w:t>
      </w:r>
      <w:r w:rsidRPr="009E062C">
        <w:rPr>
          <w:rFonts w:ascii="Bookman Old Style" w:hAnsi="Bookman Old Style"/>
          <w:i/>
          <w:sz w:val="24"/>
          <w:szCs w:val="24"/>
          <w:lang w:val="es-CO"/>
        </w:rPr>
        <w:t>a</w:t>
      </w:r>
      <w:r>
        <w:rPr>
          <w:rFonts w:ascii="Bookman Old Style" w:hAnsi="Bookman Old Style"/>
          <w:i/>
          <w:sz w:val="24"/>
          <w:szCs w:val="24"/>
          <w:lang w:val="es-CO"/>
        </w:rPr>
        <w:t xml:space="preserve"> mí me dio</w:t>
      </w:r>
      <w:r w:rsidRPr="009E062C">
        <w:rPr>
          <w:rFonts w:ascii="Bookman Old Style" w:hAnsi="Bookman Old Style"/>
          <w:i/>
          <w:sz w:val="24"/>
          <w:szCs w:val="24"/>
          <w:lang w:val="es-CO"/>
        </w:rPr>
        <w:t xml:space="preserve"> rabia el desprecio p</w:t>
      </w:r>
      <w:r>
        <w:rPr>
          <w:rFonts w:ascii="Bookman Old Style" w:hAnsi="Bookman Old Style"/>
          <w:i/>
          <w:sz w:val="24"/>
          <w:szCs w:val="24"/>
          <w:lang w:val="es-CO"/>
        </w:rPr>
        <w:t>orque si yo estoy hablando con é</w:t>
      </w:r>
      <w:r w:rsidRPr="009E062C">
        <w:rPr>
          <w:rFonts w:ascii="Bookman Old Style" w:hAnsi="Bookman Old Style"/>
          <w:i/>
          <w:sz w:val="24"/>
          <w:szCs w:val="24"/>
          <w:lang w:val="es-CO"/>
        </w:rPr>
        <w:t>l t</w:t>
      </w:r>
      <w:r>
        <w:rPr>
          <w:rFonts w:ascii="Bookman Old Style" w:hAnsi="Bookman Old Style"/>
          <w:i/>
          <w:sz w:val="24"/>
          <w:szCs w:val="24"/>
          <w:lang w:val="es-CO"/>
        </w:rPr>
        <w:t xml:space="preserve">iene que responder como persona, </w:t>
      </w:r>
      <w:r w:rsidRPr="00923089">
        <w:rPr>
          <w:rFonts w:ascii="Bookman Old Style" w:hAnsi="Bookman Old Style"/>
          <w:b/>
          <w:i/>
          <w:sz w:val="24"/>
          <w:szCs w:val="24"/>
          <w:lang w:val="es-CO"/>
        </w:rPr>
        <w:t>entonces me le fui y le dij</w:t>
      </w:r>
      <w:r>
        <w:rPr>
          <w:rFonts w:ascii="Bookman Old Style" w:hAnsi="Bookman Old Style"/>
          <w:b/>
          <w:i/>
          <w:sz w:val="24"/>
          <w:szCs w:val="24"/>
          <w:lang w:val="es-CO"/>
        </w:rPr>
        <w:t>e que así él me pegara un tiro é</w:t>
      </w:r>
      <w:r w:rsidRPr="00923089">
        <w:rPr>
          <w:rFonts w:ascii="Bookman Old Style" w:hAnsi="Bookman Old Style"/>
          <w:b/>
          <w:i/>
          <w:sz w:val="24"/>
          <w:szCs w:val="24"/>
          <w:lang w:val="es-CO"/>
        </w:rPr>
        <w:t>l tenía que saber de mis gafas</w:t>
      </w:r>
      <w:r w:rsidRPr="009E062C">
        <w:rPr>
          <w:rFonts w:ascii="Bookman Old Style" w:hAnsi="Bookman Old Style"/>
          <w:i/>
          <w:sz w:val="24"/>
          <w:szCs w:val="24"/>
          <w:lang w:val="es-CO"/>
        </w:rPr>
        <w:t xml:space="preserve"> </w:t>
      </w:r>
      <w:r w:rsidRPr="00854A95">
        <w:rPr>
          <w:rFonts w:ascii="Bookman Old Style" w:hAnsi="Bookman Old Style"/>
          <w:b/>
          <w:i/>
          <w:sz w:val="24"/>
          <w:szCs w:val="24"/>
          <w:lang w:val="es-CO"/>
        </w:rPr>
        <w:t xml:space="preserve">entonces llamó a los muchachos y les dijo amarren a esta </w:t>
      </w:r>
      <w:r>
        <w:rPr>
          <w:rFonts w:ascii="Bookman Old Style" w:hAnsi="Bookman Old Style"/>
          <w:b/>
          <w:i/>
          <w:sz w:val="24"/>
          <w:szCs w:val="24"/>
          <w:lang w:val="es-CO"/>
        </w:rPr>
        <w:t>-con los improperios</w:t>
      </w:r>
      <w:r w:rsidRPr="00854A95">
        <w:rPr>
          <w:rFonts w:ascii="Bookman Old Style" w:hAnsi="Bookman Old Style"/>
          <w:b/>
          <w:i/>
          <w:sz w:val="24"/>
          <w:szCs w:val="24"/>
          <w:lang w:val="es-CO"/>
        </w:rPr>
        <w:t xml:space="preserve"> que ellos hablaban groserías y de todo</w:t>
      </w:r>
      <w:r>
        <w:rPr>
          <w:rFonts w:ascii="Bookman Old Style" w:hAnsi="Bookman Old Style"/>
          <w:b/>
          <w:i/>
          <w:sz w:val="24"/>
          <w:szCs w:val="24"/>
          <w:lang w:val="es-CO"/>
        </w:rPr>
        <w:t xml:space="preserve">- </w:t>
      </w:r>
      <w:r w:rsidRPr="00854A95">
        <w:rPr>
          <w:rFonts w:ascii="Bookman Old Style" w:hAnsi="Bookman Old Style"/>
          <w:b/>
          <w:i/>
          <w:sz w:val="24"/>
          <w:szCs w:val="24"/>
          <w:lang w:val="es-CO"/>
        </w:rPr>
        <w:t>amarren esta hijuetantas que</w:t>
      </w:r>
      <w:r>
        <w:rPr>
          <w:rFonts w:ascii="Bookman Old Style" w:hAnsi="Bookman Old Style"/>
          <w:b/>
          <w:i/>
          <w:sz w:val="24"/>
          <w:szCs w:val="24"/>
          <w:lang w:val="es-CO"/>
        </w:rPr>
        <w:t xml:space="preserve"> </w:t>
      </w:r>
      <w:r w:rsidRPr="00854A95">
        <w:rPr>
          <w:rFonts w:ascii="Bookman Old Style" w:hAnsi="Bookman Old Style"/>
          <w:b/>
          <w:i/>
          <w:sz w:val="24"/>
          <w:szCs w:val="24"/>
          <w:lang w:val="es-CO"/>
        </w:rPr>
        <w:t>es que hay que darle un escarmiento y me iban a amarrar y yo no me dejé, no me dejé</w:t>
      </w:r>
      <w:r>
        <w:rPr>
          <w:rFonts w:ascii="Bookman Old Style" w:hAnsi="Bookman Old Style"/>
          <w:b/>
          <w:i/>
          <w:sz w:val="24"/>
          <w:szCs w:val="24"/>
          <w:lang w:val="es-CO"/>
        </w:rPr>
        <w:t>,</w:t>
      </w:r>
      <w:r w:rsidRPr="00854A95">
        <w:rPr>
          <w:rFonts w:ascii="Bookman Old Style" w:hAnsi="Bookman Old Style"/>
          <w:b/>
          <w:i/>
          <w:sz w:val="24"/>
          <w:szCs w:val="24"/>
          <w:lang w:val="es-CO"/>
        </w:rPr>
        <w:t xml:space="preserve"> comenzamos a forcejear yyyy</w:t>
      </w:r>
      <w:r>
        <w:rPr>
          <w:rFonts w:ascii="Bookman Old Style" w:hAnsi="Bookman Old Style"/>
          <w:b/>
          <w:i/>
          <w:sz w:val="24"/>
          <w:szCs w:val="24"/>
          <w:lang w:val="es-CO"/>
        </w:rPr>
        <w:t>…</w:t>
      </w:r>
      <w:r w:rsidRPr="00854A95">
        <w:rPr>
          <w:rFonts w:ascii="Bookman Old Style" w:hAnsi="Bookman Old Style"/>
          <w:b/>
          <w:i/>
          <w:sz w:val="24"/>
          <w:szCs w:val="24"/>
          <w:lang w:val="es-CO"/>
        </w:rPr>
        <w:t xml:space="preserve"> pues ellos me dieron golpes, yo también les di cuando laa.</w:t>
      </w:r>
      <w:r w:rsidRPr="009E062C">
        <w:rPr>
          <w:rFonts w:ascii="Bookman Old Style" w:hAnsi="Bookman Old Style"/>
          <w:i/>
          <w:sz w:val="24"/>
          <w:szCs w:val="24"/>
          <w:lang w:val="es-CO"/>
        </w:rPr>
        <w:t>.</w:t>
      </w:r>
      <w:r w:rsidRPr="00923089">
        <w:rPr>
          <w:rFonts w:ascii="Bookman Old Style" w:hAnsi="Bookman Old Style"/>
          <w:sz w:val="24"/>
          <w:szCs w:val="24"/>
          <w:lang w:val="es-CO"/>
        </w:rPr>
        <w:t>(inaudible)</w:t>
      </w:r>
      <w:r w:rsidRPr="009E062C">
        <w:rPr>
          <w:rFonts w:ascii="Bookman Old Style" w:hAnsi="Bookman Old Style"/>
          <w:i/>
          <w:sz w:val="24"/>
          <w:szCs w:val="24"/>
          <w:lang w:val="es-CO"/>
        </w:rPr>
        <w:t xml:space="preserve"> y </w:t>
      </w:r>
      <w:r>
        <w:rPr>
          <w:rFonts w:ascii="Bookman Old Style" w:hAnsi="Bookman Old Style"/>
          <w:i/>
          <w:sz w:val="24"/>
          <w:szCs w:val="24"/>
          <w:lang w:val="es-CO"/>
        </w:rPr>
        <w:t>‘</w:t>
      </w:r>
      <w:r w:rsidRPr="009E062C">
        <w:rPr>
          <w:rFonts w:ascii="Bookman Old Style" w:hAnsi="Bookman Old Style"/>
          <w:i/>
          <w:sz w:val="24"/>
          <w:szCs w:val="24"/>
          <w:lang w:val="es-CO"/>
        </w:rPr>
        <w:t>pajita</w:t>
      </w:r>
      <w:r>
        <w:rPr>
          <w:rFonts w:ascii="Bookman Old Style" w:hAnsi="Bookman Old Style"/>
          <w:i/>
          <w:sz w:val="24"/>
          <w:szCs w:val="24"/>
          <w:lang w:val="es-CO"/>
        </w:rPr>
        <w:t>’</w:t>
      </w:r>
      <w:r w:rsidRPr="009E062C">
        <w:rPr>
          <w:rFonts w:ascii="Bookman Old Style" w:hAnsi="Bookman Old Style"/>
          <w:i/>
          <w:sz w:val="24"/>
          <w:szCs w:val="24"/>
          <w:lang w:val="es-CO"/>
        </w:rPr>
        <w:t xml:space="preserve"> me dijo no vaya a  ab</w:t>
      </w:r>
      <w:r>
        <w:rPr>
          <w:rFonts w:ascii="Bookman Old Style" w:hAnsi="Bookman Old Style"/>
          <w:i/>
          <w:sz w:val="24"/>
          <w:szCs w:val="24"/>
          <w:lang w:val="es-CO"/>
        </w:rPr>
        <w:t>rir la puerta así</w:t>
      </w:r>
      <w:r w:rsidRPr="009E062C">
        <w:rPr>
          <w:rFonts w:ascii="Bookman Old Style" w:hAnsi="Bookman Old Style"/>
          <w:i/>
          <w:sz w:val="24"/>
          <w:szCs w:val="24"/>
          <w:lang w:val="es-CO"/>
        </w:rPr>
        <w:t xml:space="preserve"> me escuche que yo la llame no vaya a abrir la puerta</w:t>
      </w:r>
      <w:r>
        <w:rPr>
          <w:rFonts w:ascii="Bookman Old Style" w:hAnsi="Bookman Old Style"/>
          <w:i/>
          <w:sz w:val="24"/>
          <w:szCs w:val="24"/>
          <w:lang w:val="es-CO"/>
        </w:rPr>
        <w:t>,</w:t>
      </w:r>
      <w:r w:rsidRPr="009E062C">
        <w:rPr>
          <w:rFonts w:ascii="Bookman Old Style" w:hAnsi="Bookman Old Style"/>
          <w:i/>
          <w:sz w:val="24"/>
          <w:szCs w:val="24"/>
          <w:lang w:val="es-CO"/>
        </w:rPr>
        <w:t xml:space="preserve"> entre</w:t>
      </w:r>
      <w:r>
        <w:rPr>
          <w:rFonts w:ascii="Bookman Old Style" w:hAnsi="Bookman Old Style"/>
          <w:i/>
          <w:sz w:val="24"/>
          <w:szCs w:val="24"/>
          <w:lang w:val="es-CO"/>
        </w:rPr>
        <w:t>,</w:t>
      </w:r>
      <w:r w:rsidRPr="009E062C">
        <w:rPr>
          <w:rFonts w:ascii="Bookman Old Style" w:hAnsi="Bookman Old Style"/>
          <w:i/>
          <w:sz w:val="24"/>
          <w:szCs w:val="24"/>
          <w:lang w:val="es-CO"/>
        </w:rPr>
        <w:t xml:space="preserve"> t</w:t>
      </w:r>
      <w:r>
        <w:rPr>
          <w:rFonts w:ascii="Bookman Old Style" w:hAnsi="Bookman Old Style"/>
          <w:i/>
          <w:sz w:val="24"/>
          <w:szCs w:val="24"/>
          <w:lang w:val="es-CO"/>
        </w:rPr>
        <w:t>ránquese,</w:t>
      </w:r>
      <w:r w:rsidRPr="009E062C">
        <w:rPr>
          <w:rFonts w:ascii="Bookman Old Style" w:hAnsi="Bookman Old Style"/>
          <w:i/>
          <w:sz w:val="24"/>
          <w:szCs w:val="24"/>
          <w:lang w:val="es-CO"/>
        </w:rPr>
        <w:t xml:space="preserve"> entonces yo le dije</w:t>
      </w:r>
      <w:r>
        <w:rPr>
          <w:rFonts w:ascii="Bookman Old Style" w:hAnsi="Bookman Old Style"/>
          <w:i/>
          <w:sz w:val="24"/>
          <w:szCs w:val="24"/>
          <w:lang w:val="es-CO"/>
        </w:rPr>
        <w:t xml:space="preserve"> por qué y le dije “si no me decí</w:t>
      </w:r>
      <w:r w:rsidRPr="009E062C">
        <w:rPr>
          <w:rFonts w:ascii="Bookman Old Style" w:hAnsi="Bookman Old Style"/>
          <w:i/>
          <w:sz w:val="24"/>
          <w:szCs w:val="24"/>
          <w:lang w:val="es-CO"/>
        </w:rPr>
        <w:t>s nada no te hago caso</w:t>
      </w:r>
      <w:r>
        <w:rPr>
          <w:rFonts w:ascii="Bookman Old Style" w:hAnsi="Bookman Old Style"/>
          <w:i/>
          <w:sz w:val="24"/>
          <w:szCs w:val="24"/>
          <w:lang w:val="es-CO"/>
        </w:rPr>
        <w:t xml:space="preserve">” </w:t>
      </w:r>
      <w:r w:rsidRPr="00854A95">
        <w:rPr>
          <w:rFonts w:ascii="Bookman Old Style" w:hAnsi="Bookman Old Style"/>
          <w:b/>
          <w:i/>
          <w:sz w:val="24"/>
          <w:szCs w:val="24"/>
          <w:lang w:val="es-CO"/>
        </w:rPr>
        <w:t xml:space="preserve">y él me dijo, </w:t>
      </w:r>
      <w:r>
        <w:rPr>
          <w:rFonts w:ascii="Bookman Old Style" w:hAnsi="Bookman Old Style"/>
          <w:b/>
          <w:i/>
          <w:sz w:val="24"/>
          <w:szCs w:val="24"/>
          <w:lang w:val="es-CO"/>
        </w:rPr>
        <w:t>“</w:t>
      </w:r>
      <w:r w:rsidRPr="00854A95">
        <w:rPr>
          <w:rFonts w:ascii="Bookman Old Style" w:hAnsi="Bookman Old Style"/>
          <w:b/>
          <w:i/>
          <w:sz w:val="24"/>
          <w:szCs w:val="24"/>
          <w:lang w:val="es-CO"/>
        </w:rPr>
        <w:t>no yo no puedo decir nada</w:t>
      </w:r>
      <w:r>
        <w:rPr>
          <w:rFonts w:ascii="Bookman Old Style" w:hAnsi="Bookman Old Style"/>
          <w:b/>
          <w:i/>
          <w:sz w:val="24"/>
          <w:szCs w:val="24"/>
          <w:lang w:val="es-CO"/>
        </w:rPr>
        <w:t>,</w:t>
      </w:r>
      <w:r w:rsidRPr="00854A95">
        <w:rPr>
          <w:rFonts w:ascii="Bookman Old Style" w:hAnsi="Bookman Old Style"/>
          <w:b/>
          <w:i/>
          <w:sz w:val="24"/>
          <w:szCs w:val="24"/>
          <w:lang w:val="es-CO"/>
        </w:rPr>
        <w:t xml:space="preserve"> él es mi superior</w:t>
      </w:r>
      <w:r>
        <w:rPr>
          <w:rFonts w:ascii="Bookman Old Style" w:hAnsi="Bookman Old Style"/>
          <w:b/>
          <w:i/>
          <w:sz w:val="24"/>
          <w:szCs w:val="24"/>
          <w:lang w:val="es-CO"/>
        </w:rPr>
        <w:t>”</w:t>
      </w:r>
      <w:r w:rsidRPr="00854A95">
        <w:rPr>
          <w:rFonts w:ascii="Bookman Old Style" w:hAnsi="Bookman Old Style"/>
          <w:b/>
          <w:i/>
          <w:sz w:val="24"/>
          <w:szCs w:val="24"/>
          <w:lang w:val="es-CO"/>
        </w:rPr>
        <w:t xml:space="preserve"> se fue y yo me tranqu</w:t>
      </w:r>
      <w:r>
        <w:rPr>
          <w:rFonts w:ascii="Bookman Old Style" w:hAnsi="Bookman Old Style"/>
          <w:b/>
          <w:i/>
          <w:sz w:val="24"/>
          <w:szCs w:val="24"/>
          <w:lang w:val="es-CO"/>
        </w:rPr>
        <w:t>é</w:t>
      </w:r>
      <w:r>
        <w:rPr>
          <w:rFonts w:ascii="Bookman Old Style" w:hAnsi="Bookman Old Style"/>
          <w:i/>
          <w:sz w:val="24"/>
          <w:szCs w:val="24"/>
          <w:lang w:val="es-CO"/>
        </w:rPr>
        <w:t xml:space="preserve"> y al otro dí</w:t>
      </w:r>
      <w:r w:rsidRPr="009E062C">
        <w:rPr>
          <w:rFonts w:ascii="Bookman Old Style" w:hAnsi="Bookman Old Style"/>
          <w:i/>
          <w:sz w:val="24"/>
          <w:szCs w:val="24"/>
          <w:lang w:val="es-CO"/>
        </w:rPr>
        <w:t>a temprano me levanté me organicé iba para mi casa para donde mi familia y me lo encuentro en la esquina</w:t>
      </w:r>
      <w:r>
        <w:rPr>
          <w:rFonts w:ascii="Bookman Old Style" w:hAnsi="Bookman Old Style"/>
          <w:i/>
          <w:sz w:val="24"/>
          <w:szCs w:val="24"/>
          <w:lang w:val="es-CO"/>
        </w:rPr>
        <w:t xml:space="preserve"> de la casa de doña Genoveva y é</w:t>
      </w:r>
      <w:r w:rsidRPr="009E062C">
        <w:rPr>
          <w:rFonts w:ascii="Bookman Old Style" w:hAnsi="Bookman Old Style"/>
          <w:i/>
          <w:sz w:val="24"/>
          <w:szCs w:val="24"/>
          <w:lang w:val="es-CO"/>
        </w:rPr>
        <w:t xml:space="preserve">l estaba sentado esperándome y me dice </w:t>
      </w:r>
      <w:r>
        <w:rPr>
          <w:rFonts w:ascii="Bookman Old Style" w:hAnsi="Bookman Old Style"/>
          <w:i/>
          <w:sz w:val="24"/>
          <w:szCs w:val="24"/>
          <w:lang w:val="es-CO"/>
        </w:rPr>
        <w:t>“profe có</w:t>
      </w:r>
      <w:r w:rsidRPr="009E062C">
        <w:rPr>
          <w:rFonts w:ascii="Bookman Old Style" w:hAnsi="Bookman Old Style"/>
          <w:i/>
          <w:sz w:val="24"/>
          <w:szCs w:val="24"/>
          <w:lang w:val="es-CO"/>
        </w:rPr>
        <w:t>mo amanece</w:t>
      </w:r>
      <w:r>
        <w:rPr>
          <w:rFonts w:ascii="Bookman Old Style" w:hAnsi="Bookman Old Style"/>
          <w:i/>
          <w:sz w:val="24"/>
          <w:szCs w:val="24"/>
          <w:lang w:val="es-CO"/>
        </w:rPr>
        <w:t>”</w:t>
      </w:r>
      <w:r w:rsidRPr="009E062C">
        <w:rPr>
          <w:rFonts w:ascii="Bookman Old Style" w:hAnsi="Bookman Old Style"/>
          <w:i/>
          <w:sz w:val="24"/>
          <w:szCs w:val="24"/>
          <w:lang w:val="es-CO"/>
        </w:rPr>
        <w:t xml:space="preserve"> y le digo bien muchacho como está</w:t>
      </w:r>
      <w:r>
        <w:rPr>
          <w:rFonts w:ascii="Bookman Old Style" w:hAnsi="Bookman Old Style"/>
          <w:i/>
          <w:sz w:val="24"/>
          <w:szCs w:val="24"/>
          <w:lang w:val="es-CO"/>
        </w:rPr>
        <w:t>, yo ni sabía quién era é</w:t>
      </w:r>
      <w:r w:rsidRPr="009E062C">
        <w:rPr>
          <w:rFonts w:ascii="Bookman Old Style" w:hAnsi="Bookman Old Style"/>
          <w:i/>
          <w:sz w:val="24"/>
          <w:szCs w:val="24"/>
          <w:lang w:val="es-CO"/>
        </w:rPr>
        <w:t>l y me dice</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Pr>
          <w:rFonts w:ascii="Bookman Old Style" w:hAnsi="Bookman Old Style"/>
          <w:i/>
          <w:sz w:val="24"/>
          <w:szCs w:val="24"/>
          <w:lang w:val="es-CO"/>
        </w:rPr>
        <w:t>“</w:t>
      </w:r>
      <w:r w:rsidRPr="009E062C">
        <w:rPr>
          <w:rFonts w:ascii="Bookman Old Style" w:hAnsi="Bookman Old Style"/>
          <w:i/>
          <w:sz w:val="24"/>
          <w:szCs w:val="24"/>
          <w:lang w:val="es-CO"/>
        </w:rPr>
        <w:t xml:space="preserve">si el </w:t>
      </w:r>
      <w:r>
        <w:rPr>
          <w:rFonts w:ascii="Bookman Old Style" w:hAnsi="Bookman Old Style"/>
          <w:i/>
          <w:sz w:val="24"/>
          <w:szCs w:val="24"/>
          <w:lang w:val="es-CO"/>
        </w:rPr>
        <w:t>comandante la llama no vaya”</w:t>
      </w:r>
      <w:r w:rsidRPr="009E062C">
        <w:rPr>
          <w:rFonts w:ascii="Bookman Old Style" w:hAnsi="Bookman Old Style"/>
          <w:i/>
          <w:sz w:val="24"/>
          <w:szCs w:val="24"/>
          <w:lang w:val="es-CO"/>
        </w:rPr>
        <w:t>,</w:t>
      </w:r>
      <w:r>
        <w:rPr>
          <w:rFonts w:ascii="Bookman Old Style" w:hAnsi="Bookman Old Style"/>
          <w:i/>
          <w:sz w:val="24"/>
          <w:szCs w:val="24"/>
          <w:lang w:val="es-CO"/>
        </w:rPr>
        <w:t xml:space="preserve"> </w:t>
      </w:r>
      <w:r w:rsidRPr="009E062C">
        <w:rPr>
          <w:rFonts w:ascii="Bookman Old Style" w:hAnsi="Bookman Old Style"/>
          <w:i/>
          <w:sz w:val="24"/>
          <w:szCs w:val="24"/>
          <w:lang w:val="es-CO"/>
        </w:rPr>
        <w:t>le dije</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Pr>
          <w:rFonts w:ascii="Bookman Old Style" w:hAnsi="Bookman Old Style"/>
          <w:i/>
          <w:sz w:val="24"/>
          <w:szCs w:val="24"/>
          <w:lang w:val="es-CO"/>
        </w:rPr>
        <w:t>“</w:t>
      </w:r>
      <w:r w:rsidRPr="009E062C">
        <w:rPr>
          <w:rFonts w:ascii="Bookman Old Style" w:hAnsi="Bookman Old Style"/>
          <w:i/>
          <w:sz w:val="24"/>
          <w:szCs w:val="24"/>
          <w:lang w:val="es-CO"/>
        </w:rPr>
        <w:t>bueno si tu no me dices que está pasando pues yo voy a ir a averiguar</w:t>
      </w:r>
      <w:r>
        <w:rPr>
          <w:rFonts w:ascii="Bookman Old Style" w:hAnsi="Bookman Old Style"/>
          <w:i/>
          <w:sz w:val="24"/>
          <w:szCs w:val="24"/>
          <w:lang w:val="es-CO"/>
        </w:rPr>
        <w:t>”,</w:t>
      </w:r>
      <w:r w:rsidRPr="009E062C">
        <w:rPr>
          <w:rFonts w:ascii="Bookman Old Style" w:hAnsi="Bookman Old Style"/>
          <w:i/>
          <w:sz w:val="24"/>
          <w:szCs w:val="24"/>
          <w:lang w:val="es-CO"/>
        </w:rPr>
        <w:t xml:space="preserve"> me dijo</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Pr>
          <w:rFonts w:ascii="Bookman Old Style" w:hAnsi="Bookman Old Style"/>
          <w:i/>
          <w:sz w:val="24"/>
          <w:szCs w:val="24"/>
          <w:lang w:val="es-CO"/>
        </w:rPr>
        <w:t>“</w:t>
      </w:r>
      <w:r w:rsidRPr="009E062C">
        <w:rPr>
          <w:rFonts w:ascii="Bookman Old Style" w:hAnsi="Bookman Old Style"/>
          <w:i/>
          <w:sz w:val="24"/>
          <w:szCs w:val="24"/>
          <w:lang w:val="es-CO"/>
        </w:rPr>
        <w:t>de por Dios no vaya</w:t>
      </w:r>
      <w:r>
        <w:rPr>
          <w:rFonts w:ascii="Bookman Old Style" w:hAnsi="Bookman Old Style"/>
          <w:i/>
          <w:sz w:val="24"/>
          <w:szCs w:val="24"/>
          <w:lang w:val="es-CO"/>
        </w:rPr>
        <w:t>,</w:t>
      </w:r>
      <w:r w:rsidRPr="009E062C">
        <w:rPr>
          <w:rFonts w:ascii="Bookman Old Style" w:hAnsi="Bookman Old Style"/>
          <w:i/>
          <w:sz w:val="24"/>
          <w:szCs w:val="24"/>
          <w:lang w:val="es-CO"/>
        </w:rPr>
        <w:t xml:space="preserve"> no vaya</w:t>
      </w:r>
      <w:r>
        <w:rPr>
          <w:rFonts w:ascii="Bookman Old Style" w:hAnsi="Bookman Old Style"/>
          <w:i/>
          <w:sz w:val="24"/>
          <w:szCs w:val="24"/>
          <w:lang w:val="es-CO"/>
        </w:rPr>
        <w:t>,”</w:t>
      </w:r>
      <w:r w:rsidRPr="009E062C">
        <w:rPr>
          <w:rFonts w:ascii="Bookman Old Style" w:hAnsi="Bookman Old Style"/>
          <w:i/>
          <w:sz w:val="24"/>
          <w:szCs w:val="24"/>
          <w:lang w:val="es-CO"/>
        </w:rPr>
        <w:t xml:space="preserve"> le dije</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Pr>
          <w:rFonts w:ascii="Bookman Old Style" w:hAnsi="Bookman Old Style"/>
          <w:i/>
          <w:sz w:val="24"/>
          <w:szCs w:val="24"/>
          <w:lang w:val="es-CO"/>
        </w:rPr>
        <w:t>“bueno me dices que está</w:t>
      </w:r>
      <w:r w:rsidRPr="009E062C">
        <w:rPr>
          <w:rFonts w:ascii="Bookman Old Style" w:hAnsi="Bookman Old Style"/>
          <w:i/>
          <w:sz w:val="24"/>
          <w:szCs w:val="24"/>
          <w:lang w:val="es-CO"/>
        </w:rPr>
        <w:t xml:space="preserve"> pasando o voy</w:t>
      </w:r>
      <w:r>
        <w:rPr>
          <w:rFonts w:ascii="Bookman Old Style" w:hAnsi="Bookman Old Style"/>
          <w:i/>
          <w:sz w:val="24"/>
          <w:szCs w:val="24"/>
          <w:lang w:val="es-CO"/>
        </w:rPr>
        <w:t>”,</w:t>
      </w:r>
      <w:r w:rsidRPr="009E062C">
        <w:rPr>
          <w:rFonts w:ascii="Bookman Old Style" w:hAnsi="Bookman Old Style"/>
          <w:i/>
          <w:sz w:val="24"/>
          <w:szCs w:val="24"/>
          <w:lang w:val="es-CO"/>
        </w:rPr>
        <w:t xml:space="preserve"> </w:t>
      </w:r>
      <w:r w:rsidRPr="00923089">
        <w:rPr>
          <w:rFonts w:ascii="Bookman Old Style" w:hAnsi="Bookman Old Style"/>
          <w:b/>
          <w:i/>
          <w:sz w:val="24"/>
          <w:szCs w:val="24"/>
          <w:lang w:val="es-CO"/>
        </w:rPr>
        <w:t>me dijo “profe es que si usted va él la mata a usted o a su hijo delante de su hijo delante de la gente del pueblo” le dije, pero por qué si yo no he hecho nada me dijo “porque usted no se…</w:t>
      </w:r>
      <w:r w:rsidRPr="009E062C">
        <w:rPr>
          <w:rFonts w:ascii="Bookman Old Style" w:hAnsi="Bookman Old Style"/>
          <w:i/>
          <w:sz w:val="24"/>
          <w:szCs w:val="24"/>
          <w:lang w:val="es-CO"/>
        </w:rPr>
        <w:t xml:space="preserve"> </w:t>
      </w:r>
      <w:r w:rsidRPr="00923089">
        <w:rPr>
          <w:rFonts w:ascii="Bookman Old Style" w:hAnsi="Bookman Old Style"/>
          <w:sz w:val="24"/>
          <w:szCs w:val="24"/>
          <w:lang w:val="es-CO"/>
        </w:rPr>
        <w:t>(</w:t>
      </w:r>
      <w:r>
        <w:rPr>
          <w:rFonts w:ascii="Bookman Old Style" w:hAnsi="Bookman Old Style"/>
          <w:sz w:val="24"/>
          <w:szCs w:val="24"/>
          <w:lang w:val="es-CO"/>
        </w:rPr>
        <w:t>se escucha llant</w:t>
      </w:r>
      <w:r w:rsidRPr="00923089">
        <w:rPr>
          <w:rFonts w:ascii="Bookman Old Style" w:hAnsi="Bookman Old Style"/>
          <w:sz w:val="24"/>
          <w:szCs w:val="24"/>
          <w:lang w:val="es-CO"/>
        </w:rPr>
        <w:t>o y se suspende el relato)</w:t>
      </w:r>
      <w:r w:rsidRPr="009E062C">
        <w:rPr>
          <w:rFonts w:ascii="Bookman Old Style" w:hAnsi="Bookman Old Style"/>
          <w:i/>
          <w:sz w:val="24"/>
          <w:szCs w:val="24"/>
          <w:lang w:val="es-CO"/>
        </w:rPr>
        <w:t xml:space="preserve"> </w:t>
      </w:r>
      <w:r w:rsidRPr="008956EB">
        <w:rPr>
          <w:rFonts w:ascii="Bookman Old Style" w:hAnsi="Bookman Old Style"/>
          <w:b/>
          <w:i/>
          <w:sz w:val="24"/>
          <w:szCs w:val="24"/>
          <w:lang w:val="es-CO"/>
        </w:rPr>
        <w:t>y que por mi buena salud no dijera nada a don Guillermo o a los inferiores de él, que no los fuera a echar al agua. De todos modos yo viajé, también me dijo que me metiera debajo de la cama de doña Flor, pues yo le obedecí porque se suponía que era un objetivo militar para ellos y ustedes saben lo que sucede con los objetivos militares.</w:t>
      </w:r>
      <w:r w:rsidRPr="009E062C">
        <w:rPr>
          <w:rFonts w:ascii="Bookman Old Style" w:hAnsi="Bookman Old Style"/>
          <w:i/>
          <w:sz w:val="24"/>
          <w:szCs w:val="24"/>
          <w:lang w:val="es-CO"/>
        </w:rPr>
        <w:t xml:space="preserve"> </w:t>
      </w:r>
      <w:r>
        <w:rPr>
          <w:rFonts w:ascii="Bookman Old Style" w:hAnsi="Bookman Old Style"/>
          <w:i/>
          <w:sz w:val="24"/>
          <w:szCs w:val="24"/>
          <w:lang w:val="es-CO"/>
        </w:rPr>
        <w:t>..</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sidRPr="004077ED">
        <w:rPr>
          <w:rFonts w:ascii="Bookman Old Style" w:hAnsi="Bookman Old Style"/>
          <w:sz w:val="28"/>
          <w:szCs w:val="28"/>
          <w:lang w:val="es-CO"/>
        </w:rPr>
        <w:t>Conocer de voz de la víctima lo que realmente ocurrió esa noche,</w:t>
      </w:r>
      <w:r>
        <w:rPr>
          <w:rFonts w:ascii="Bookman Old Style" w:hAnsi="Bookman Old Style"/>
          <w:sz w:val="28"/>
          <w:szCs w:val="28"/>
          <w:lang w:val="es-CO"/>
        </w:rPr>
        <w:t xml:space="preserve"> evidencia y visibiliza el poder que el grupo ilegal ACMV tenía en la inspección del Porvenir, que no contaba con autoridades legalmente establecidas que pudieran oponer resistencia a las órdenes ilegítimas e ilegales de los miembros de la organización que permanecían abiertamente y sin límites en el área, imponiendo arbitrariamente castigos a las personas que consideraban opuestas a sus intereses.</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Fue así como Stella Ramírez se enfrentó con firmeza y tenacidad a </w:t>
      </w:r>
      <w:r w:rsidRPr="00B64452">
        <w:rPr>
          <w:rFonts w:ascii="Bookman Old Style" w:hAnsi="Bookman Old Style"/>
          <w:i/>
          <w:sz w:val="28"/>
          <w:szCs w:val="28"/>
          <w:lang w:val="es-CO"/>
        </w:rPr>
        <w:t>‘paraco viejo’</w:t>
      </w:r>
      <w:r>
        <w:rPr>
          <w:rFonts w:ascii="Bookman Old Style" w:hAnsi="Bookman Old Style"/>
          <w:sz w:val="28"/>
          <w:szCs w:val="28"/>
          <w:lang w:val="es-CO"/>
        </w:rPr>
        <w:t xml:space="preserve">, reclamándole por el lente de sus gafas, lo cual resultó suficiente para que éste ordenara a sus hombres que la ataran y le dieran un escarmiento frente a varios pobladores, además, también dispuso asesinarla, tal y como se lo hizo saber alias </w:t>
      </w:r>
      <w:r w:rsidRPr="00ED151D">
        <w:rPr>
          <w:rFonts w:ascii="Bookman Old Style" w:hAnsi="Bookman Old Style"/>
          <w:i/>
          <w:sz w:val="28"/>
          <w:szCs w:val="28"/>
          <w:lang w:val="es-CO"/>
        </w:rPr>
        <w:t>‘pajita’</w:t>
      </w:r>
      <w:r>
        <w:rPr>
          <w:rFonts w:ascii="Bookman Old Style" w:hAnsi="Bookman Old Style"/>
          <w:sz w:val="28"/>
          <w:szCs w:val="28"/>
          <w:lang w:val="es-CO"/>
        </w:rPr>
        <w:t>, quien ante la incapacidad de oponerse a las acciones ordenadas en contra de la población civil, decidió intervenir con temor para advertirle a la profesora Ramírez lo que sucedería.</w:t>
      </w: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 </w:t>
      </w: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Por tanto, razón le asiste al Fiscal delegado cuando sostiene que el </w:t>
      </w:r>
      <w:r w:rsidRPr="00ED151D">
        <w:rPr>
          <w:rFonts w:ascii="Bookman Old Style" w:hAnsi="Bookman Old Style"/>
          <w:i/>
          <w:sz w:val="28"/>
          <w:szCs w:val="28"/>
          <w:lang w:val="es-CO"/>
        </w:rPr>
        <w:t xml:space="preserve">A quo </w:t>
      </w:r>
      <w:r>
        <w:rPr>
          <w:rFonts w:ascii="Bookman Old Style" w:hAnsi="Bookman Old Style"/>
          <w:sz w:val="28"/>
          <w:szCs w:val="28"/>
          <w:lang w:val="es-CO"/>
        </w:rPr>
        <w:t>desconoció las circunstancias que rodearon las amenazas de que fue víctima la profesora Stella Ramírez, pues estas provinieron del comandante de las ACMV que operaban en la zona, grupo que tenía el control territorial y social de la inspección del porvenir y sus alrededores desde el año 1994 y del que además se ha reconocido que en medio del conflicto armado no internacional</w:t>
      </w:r>
      <w:r>
        <w:rPr>
          <w:rStyle w:val="Refdenotaalpie"/>
          <w:rFonts w:ascii="Bookman Old Style" w:hAnsi="Bookman Old Style"/>
          <w:sz w:val="28"/>
          <w:szCs w:val="28"/>
          <w:lang w:val="es-CO"/>
        </w:rPr>
        <w:footnoteReference w:id="54"/>
      </w:r>
      <w:r>
        <w:rPr>
          <w:rFonts w:ascii="Bookman Old Style" w:hAnsi="Bookman Old Style"/>
          <w:sz w:val="28"/>
          <w:szCs w:val="28"/>
          <w:lang w:val="es-CO"/>
        </w:rPr>
        <w:t xml:space="preserve"> cometió múltiples conductas delictivas contra la población civil, convirtiéndose en un patrón que participa del </w:t>
      </w:r>
      <w:r w:rsidRPr="00500C12">
        <w:rPr>
          <w:rFonts w:ascii="Bookman Old Style" w:hAnsi="Bookman Old Style"/>
          <w:i/>
          <w:sz w:val="28"/>
          <w:szCs w:val="28"/>
          <w:lang w:val="es-CO"/>
        </w:rPr>
        <w:t>modus operandi</w:t>
      </w:r>
      <w:r>
        <w:rPr>
          <w:rFonts w:ascii="Bookman Old Style" w:hAnsi="Bookman Old Style"/>
          <w:sz w:val="28"/>
          <w:szCs w:val="28"/>
          <w:lang w:val="es-CO"/>
        </w:rPr>
        <w:t xml:space="preserve"> de las Autodefensas Campesinas del Meta y Vichada.</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Esta tesis –hecho aislado- se opone incluso a los planteamientos de la misma Sala de Justicia y Paz, cuando en la sentencia consideró</w:t>
      </w:r>
      <w:r>
        <w:rPr>
          <w:rStyle w:val="Refdenotaalpie"/>
          <w:rFonts w:ascii="Bookman Old Style" w:hAnsi="Bookman Old Style"/>
          <w:sz w:val="28"/>
          <w:szCs w:val="28"/>
          <w:lang w:val="es-CO"/>
        </w:rPr>
        <w:footnoteReference w:id="55"/>
      </w:r>
      <w:r>
        <w:rPr>
          <w:rFonts w:ascii="Bookman Old Style" w:hAnsi="Bookman Old Style"/>
          <w:sz w:val="28"/>
          <w:szCs w:val="28"/>
          <w:lang w:val="es-CO"/>
        </w:rPr>
        <w:t>:</w:t>
      </w:r>
    </w:p>
    <w:p w:rsidR="00AD777C" w:rsidRDefault="00AD777C" w:rsidP="00AD777C">
      <w:pPr>
        <w:spacing w:line="360" w:lineRule="auto"/>
        <w:ind w:firstLine="708"/>
        <w:jc w:val="both"/>
        <w:rPr>
          <w:rFonts w:ascii="Bookman Old Style" w:hAnsi="Bookman Old Style"/>
          <w:sz w:val="28"/>
          <w:szCs w:val="28"/>
          <w:lang w:val="es-CO"/>
        </w:rPr>
      </w:pPr>
    </w:p>
    <w:p w:rsidR="00AD777C" w:rsidRPr="00253675" w:rsidRDefault="00AD777C" w:rsidP="00AD777C">
      <w:pPr>
        <w:spacing w:line="360" w:lineRule="auto"/>
        <w:ind w:left="708"/>
        <w:jc w:val="both"/>
        <w:rPr>
          <w:rFonts w:ascii="Bookman Old Style" w:hAnsi="Bookman Old Style"/>
          <w:i/>
          <w:sz w:val="24"/>
          <w:szCs w:val="24"/>
          <w:lang w:val="es-CO"/>
        </w:rPr>
      </w:pPr>
      <w:r w:rsidRPr="00253675">
        <w:rPr>
          <w:rFonts w:ascii="Bookman Old Style" w:hAnsi="Bookman Old Style"/>
          <w:i/>
          <w:sz w:val="24"/>
          <w:szCs w:val="24"/>
          <w:lang w:val="es-CO"/>
        </w:rPr>
        <w:t>718. Así pues, la Sala se distancia de la concepción presentada por el fiscal 59 de Justi</w:t>
      </w:r>
      <w:r>
        <w:rPr>
          <w:rFonts w:ascii="Bookman Old Style" w:hAnsi="Bookman Old Style"/>
          <w:i/>
          <w:sz w:val="24"/>
          <w:szCs w:val="24"/>
          <w:lang w:val="es-CO"/>
        </w:rPr>
        <w:t>cia y Paz que en audiencia de l</w:t>
      </w:r>
      <w:r w:rsidRPr="00253675">
        <w:rPr>
          <w:rFonts w:ascii="Bookman Old Style" w:hAnsi="Bookman Old Style"/>
          <w:i/>
          <w:sz w:val="24"/>
          <w:szCs w:val="24"/>
          <w:lang w:val="es-CO"/>
        </w:rPr>
        <w:t>egalizaci</w:t>
      </w:r>
      <w:r>
        <w:rPr>
          <w:rFonts w:ascii="Bookman Old Style" w:hAnsi="Bookman Old Style"/>
          <w:i/>
          <w:sz w:val="24"/>
          <w:szCs w:val="24"/>
          <w:lang w:val="es-CO"/>
        </w:rPr>
        <w:t>ón de cargos asume que l</w:t>
      </w:r>
      <w:r w:rsidRPr="00253675">
        <w:rPr>
          <w:rFonts w:ascii="Bookman Old Style" w:hAnsi="Bookman Old Style"/>
          <w:i/>
          <w:sz w:val="24"/>
          <w:szCs w:val="24"/>
          <w:lang w:val="es-CO"/>
        </w:rPr>
        <w:t xml:space="preserve">a violencia generada por el grupo ilegal se debía no tanto a una estrategia deliberada desde las máximas cabezas de la organización, sino a que el Estatuto –según </w:t>
      </w:r>
      <w:r>
        <w:rPr>
          <w:rFonts w:ascii="Bookman Old Style" w:hAnsi="Bookman Old Style"/>
          <w:i/>
          <w:sz w:val="24"/>
          <w:szCs w:val="24"/>
          <w:lang w:val="es-CO"/>
        </w:rPr>
        <w:t>aduce l</w:t>
      </w:r>
      <w:r w:rsidRPr="00253675">
        <w:rPr>
          <w:rFonts w:ascii="Bookman Old Style" w:hAnsi="Bookman Old Style"/>
          <w:i/>
          <w:sz w:val="24"/>
          <w:szCs w:val="24"/>
          <w:lang w:val="es-CO"/>
        </w:rPr>
        <w:t>a Fiscalía “facultaba a los coman</w:t>
      </w:r>
      <w:r>
        <w:rPr>
          <w:rFonts w:ascii="Bookman Old Style" w:hAnsi="Bookman Old Style"/>
          <w:i/>
          <w:sz w:val="24"/>
          <w:szCs w:val="24"/>
          <w:lang w:val="es-CO"/>
        </w:rPr>
        <w:t>d</w:t>
      </w:r>
      <w:r w:rsidRPr="00253675">
        <w:rPr>
          <w:rFonts w:ascii="Bookman Old Style" w:hAnsi="Bookman Old Style"/>
          <w:i/>
          <w:sz w:val="24"/>
          <w:szCs w:val="24"/>
          <w:lang w:val="es-CO"/>
        </w:rPr>
        <w:t>antes de zona para hacer cumplir las políticas de la organización” lo cual generaba una suerte de “</w:t>
      </w:r>
      <w:r>
        <w:rPr>
          <w:rFonts w:ascii="Bookman Old Style" w:hAnsi="Bookman Old Style"/>
          <w:i/>
          <w:sz w:val="24"/>
          <w:szCs w:val="24"/>
          <w:lang w:val="es-CO"/>
        </w:rPr>
        <w:t>l</w:t>
      </w:r>
      <w:r w:rsidRPr="00253675">
        <w:rPr>
          <w:rFonts w:ascii="Bookman Old Style" w:hAnsi="Bookman Old Style"/>
          <w:i/>
          <w:sz w:val="24"/>
          <w:szCs w:val="24"/>
          <w:lang w:val="es-CO"/>
        </w:rPr>
        <w:t>iberalidad” que “trajo consecuencias adversas a las ACMV, pues se visualizaron excesos</w:t>
      </w:r>
      <w:r>
        <w:rPr>
          <w:rFonts w:ascii="Bookman Old Style" w:hAnsi="Bookman Old Style"/>
          <w:i/>
          <w:sz w:val="24"/>
          <w:szCs w:val="24"/>
          <w:lang w:val="es-CO"/>
        </w:rPr>
        <w:t>”</w:t>
      </w:r>
      <w:r w:rsidRPr="00253675">
        <w:rPr>
          <w:rFonts w:ascii="Bookman Old Style" w:hAnsi="Bookman Old Style"/>
          <w:i/>
          <w:sz w:val="24"/>
          <w:szCs w:val="24"/>
          <w:lang w:val="es-CO"/>
        </w:rPr>
        <w:t>.</w:t>
      </w:r>
    </w:p>
    <w:p w:rsidR="00AD777C" w:rsidRPr="00253675" w:rsidRDefault="00AD777C" w:rsidP="00AD777C">
      <w:pPr>
        <w:spacing w:line="360" w:lineRule="auto"/>
        <w:ind w:left="708"/>
        <w:jc w:val="both"/>
        <w:rPr>
          <w:rFonts w:ascii="Bookman Old Style" w:hAnsi="Bookman Old Style"/>
          <w:i/>
          <w:sz w:val="24"/>
          <w:szCs w:val="24"/>
          <w:lang w:val="es-CO"/>
        </w:rPr>
      </w:pPr>
    </w:p>
    <w:p w:rsidR="00AD777C" w:rsidRPr="00253675" w:rsidRDefault="00AD777C" w:rsidP="00AD777C">
      <w:pPr>
        <w:spacing w:line="360" w:lineRule="auto"/>
        <w:ind w:left="708"/>
        <w:jc w:val="both"/>
        <w:rPr>
          <w:rFonts w:ascii="Bookman Old Style" w:hAnsi="Bookman Old Style"/>
          <w:i/>
          <w:sz w:val="24"/>
          <w:szCs w:val="24"/>
          <w:lang w:val="es-CO"/>
        </w:rPr>
      </w:pPr>
      <w:r w:rsidRPr="00253675">
        <w:rPr>
          <w:rFonts w:ascii="Bookman Old Style" w:hAnsi="Bookman Old Style"/>
          <w:i/>
          <w:sz w:val="24"/>
          <w:szCs w:val="24"/>
          <w:lang w:val="es-CO"/>
        </w:rPr>
        <w:t xml:space="preserve">719.  Existen al menos dos vacíos en esta visión según la Sala.  En primer lugar, deja abierto un inmenso espectro de acción y libertad a los comandantes y mandos medios que operaban en la zona, dejando a su discresión </w:t>
      </w:r>
      <w:r w:rsidRPr="00253675">
        <w:rPr>
          <w:rFonts w:ascii="Bookman Old Style" w:hAnsi="Bookman Old Style"/>
          <w:sz w:val="28"/>
          <w:szCs w:val="28"/>
          <w:lang w:val="es-CO"/>
        </w:rPr>
        <w:t>(sic)</w:t>
      </w:r>
      <w:r w:rsidRPr="00253675">
        <w:rPr>
          <w:rFonts w:ascii="Bookman Old Style" w:hAnsi="Bookman Old Style"/>
          <w:i/>
          <w:sz w:val="24"/>
          <w:szCs w:val="24"/>
          <w:lang w:val="es-CO"/>
        </w:rPr>
        <w:t xml:space="preserve"> qué órdenes se toma</w:t>
      </w:r>
      <w:r>
        <w:rPr>
          <w:rFonts w:ascii="Bookman Old Style" w:hAnsi="Bookman Old Style"/>
          <w:i/>
          <w:sz w:val="24"/>
          <w:szCs w:val="24"/>
          <w:lang w:val="es-CO"/>
        </w:rPr>
        <w:t xml:space="preserve">ba y a quiénes se victimizaba. </w:t>
      </w:r>
      <w:r w:rsidRPr="00253675">
        <w:rPr>
          <w:rFonts w:ascii="Bookman Old Style" w:hAnsi="Bookman Old Style"/>
          <w:i/>
          <w:sz w:val="24"/>
          <w:szCs w:val="24"/>
          <w:lang w:val="es-CO"/>
        </w:rPr>
        <w:t>Esto es un error en el sentido que contradice la idea que existía una estructura de mando y el hecho, además indisputable en una estructura de delincuencia generalizada y org</w:t>
      </w:r>
      <w:r>
        <w:rPr>
          <w:rFonts w:ascii="Bookman Old Style" w:hAnsi="Bookman Old Style"/>
          <w:i/>
          <w:sz w:val="24"/>
          <w:szCs w:val="24"/>
          <w:lang w:val="es-CO"/>
        </w:rPr>
        <w:t>anizada como fue esta, que sin ó</w:t>
      </w:r>
      <w:r w:rsidRPr="00253675">
        <w:rPr>
          <w:rFonts w:ascii="Bookman Old Style" w:hAnsi="Bookman Old Style"/>
          <w:i/>
          <w:sz w:val="24"/>
          <w:szCs w:val="24"/>
          <w:lang w:val="es-CO"/>
        </w:rPr>
        <w:t xml:space="preserve">rdenes generales y directrices desde los máximos responsables del grupo no hubiera sido posible que los mandos medios ejercieran su autoridad y tomaran decisiones en el </w:t>
      </w:r>
      <w:r>
        <w:rPr>
          <w:rFonts w:ascii="Bookman Old Style" w:hAnsi="Bookman Old Style"/>
          <w:i/>
          <w:sz w:val="24"/>
          <w:szCs w:val="24"/>
          <w:lang w:val="es-CO"/>
        </w:rPr>
        <w:t>terreno</w:t>
      </w:r>
      <w:r w:rsidRPr="00253675">
        <w:rPr>
          <w:rFonts w:ascii="Bookman Old Style" w:hAnsi="Bookman Old Style"/>
          <w:i/>
          <w:sz w:val="24"/>
          <w:szCs w:val="24"/>
          <w:lang w:val="es-CO"/>
        </w:rPr>
        <w:t>. Es decir, que el Estado mayor de las ACMV y los máximos comandantes de la estructura eran conscientes que sus órdenes generales de antisubversi</w:t>
      </w:r>
      <w:r>
        <w:rPr>
          <w:rFonts w:ascii="Bookman Old Style" w:hAnsi="Bookman Old Style"/>
          <w:i/>
          <w:sz w:val="24"/>
          <w:szCs w:val="24"/>
          <w:lang w:val="es-CO"/>
        </w:rPr>
        <w:t>ón y de ataca</w:t>
      </w:r>
      <w:r w:rsidRPr="00253675">
        <w:rPr>
          <w:rFonts w:ascii="Bookman Old Style" w:hAnsi="Bookman Old Style"/>
          <w:i/>
          <w:sz w:val="24"/>
          <w:szCs w:val="24"/>
          <w:lang w:val="es-CO"/>
        </w:rPr>
        <w:t>r todo lo que se considerara enemigo (incluso solo con la sospecha) se traducían en la práctica en múltiples acciones delictivas y que la población civil sería uno d</w:t>
      </w:r>
      <w:r>
        <w:rPr>
          <w:rFonts w:ascii="Bookman Old Style" w:hAnsi="Bookman Old Style"/>
          <w:i/>
          <w:sz w:val="24"/>
          <w:szCs w:val="24"/>
          <w:lang w:val="es-CO"/>
        </w:rPr>
        <w:t>e sus prin</w:t>
      </w:r>
      <w:r w:rsidRPr="00253675">
        <w:rPr>
          <w:rFonts w:ascii="Bookman Old Style" w:hAnsi="Bookman Old Style"/>
          <w:i/>
          <w:sz w:val="24"/>
          <w:szCs w:val="24"/>
          <w:lang w:val="es-CO"/>
        </w:rPr>
        <w:t xml:space="preserve">cipales afectados.  </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De tal forma que si las directrices generales de este grupo ilegal incluían el ataque a los civiles catalogados como </w:t>
      </w:r>
      <w:r w:rsidRPr="003B2B73">
        <w:rPr>
          <w:rFonts w:ascii="Bookman Old Style" w:hAnsi="Bookman Old Style"/>
          <w:sz w:val="28"/>
          <w:szCs w:val="28"/>
          <w:lang w:val="es-CO"/>
        </w:rPr>
        <w:t>enemigos de su causa</w:t>
      </w:r>
      <w:r>
        <w:rPr>
          <w:rFonts w:ascii="Bookman Old Style" w:hAnsi="Bookman Old Style"/>
          <w:sz w:val="28"/>
          <w:szCs w:val="28"/>
          <w:lang w:val="es-CO"/>
        </w:rPr>
        <w:t xml:space="preserve">, o mínimamente incómodos, indiscutiblemente el enfrentamiento que tuvo Stella Ramírez con </w:t>
      </w:r>
      <w:r w:rsidRPr="00B64452">
        <w:rPr>
          <w:rFonts w:ascii="Bookman Old Style" w:hAnsi="Bookman Old Style"/>
          <w:i/>
          <w:sz w:val="28"/>
          <w:szCs w:val="28"/>
          <w:lang w:val="es-CO"/>
        </w:rPr>
        <w:t>‘paraco viejo’</w:t>
      </w:r>
      <w:r>
        <w:rPr>
          <w:rFonts w:ascii="Bookman Old Style" w:hAnsi="Bookman Old Style"/>
          <w:sz w:val="28"/>
          <w:szCs w:val="28"/>
          <w:lang w:val="es-CO"/>
        </w:rPr>
        <w:t xml:space="preserve"> desencadenó su reacción como comandante de zona, con miras a darle un “escarmiento” y así evitar que otros pobladores desafiaran la autoridad ilegítima de este integrante de las ACMV.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Entonces, no resulta acertado afirmar que el hecho que desató la agresión en contra de la profesora Ramírez, fue un conflicto entre ella y otra mujer que tampoco pertenecía a la organización, pues de su relato se entiende que aunque ese primer episodio ocurrió, no guarda relación con el sucedido horas después cuando el comandante ordenó a sus hombres atarla y luego matarla.  Evidentemente la lección se hacía necesaria para que los demás pobladores de la inspección apreciaran lo que les sucedería de osar enfrentarse al grupo que decía mantener el orden y disciplina en la región.</w:t>
      </w:r>
    </w:p>
    <w:p w:rsidR="00AD777C" w:rsidRPr="003B2B73" w:rsidRDefault="00AD777C" w:rsidP="00AD777C">
      <w:pPr>
        <w:spacing w:line="360" w:lineRule="auto"/>
        <w:ind w:firstLine="708"/>
        <w:jc w:val="both"/>
        <w:rPr>
          <w:rFonts w:ascii="Bookman Old Style" w:hAnsi="Bookman Old Style"/>
          <w:sz w:val="28"/>
          <w:szCs w:val="28"/>
          <w:lang w:val="es-CO"/>
        </w:rPr>
      </w:pPr>
    </w:p>
    <w:p w:rsidR="00AD777C" w:rsidRPr="003B2B73" w:rsidRDefault="00AD777C" w:rsidP="00AD777C">
      <w:pPr>
        <w:spacing w:line="360" w:lineRule="auto"/>
        <w:ind w:firstLine="567"/>
        <w:jc w:val="both"/>
        <w:rPr>
          <w:rFonts w:ascii="Bookman Old Style" w:hAnsi="Bookman Old Style"/>
          <w:sz w:val="28"/>
          <w:szCs w:val="28"/>
          <w:lang w:val="es-CO"/>
        </w:rPr>
      </w:pPr>
      <w:r>
        <w:rPr>
          <w:rFonts w:ascii="Bookman Old Style" w:hAnsi="Bookman Old Style"/>
          <w:sz w:val="28"/>
          <w:szCs w:val="28"/>
          <w:lang w:val="es-CO"/>
        </w:rPr>
        <w:t>Adicionalmente, tampoco queda</w:t>
      </w:r>
      <w:r w:rsidRPr="003B2B73">
        <w:rPr>
          <w:rFonts w:ascii="Bookman Old Style" w:hAnsi="Bookman Old Style"/>
          <w:sz w:val="28"/>
          <w:szCs w:val="28"/>
          <w:lang w:val="es-CO"/>
        </w:rPr>
        <w:t xml:space="preserve"> duda acerca de que la víctima es civil</w:t>
      </w:r>
      <w:r>
        <w:rPr>
          <w:rFonts w:ascii="Bookman Old Style" w:hAnsi="Bookman Old Style"/>
          <w:sz w:val="28"/>
          <w:szCs w:val="28"/>
          <w:lang w:val="es-CO"/>
        </w:rPr>
        <w:t>,</w:t>
      </w:r>
      <w:r w:rsidRPr="003B2B73">
        <w:rPr>
          <w:rFonts w:ascii="Bookman Old Style" w:hAnsi="Bookman Old Style"/>
          <w:sz w:val="28"/>
          <w:szCs w:val="28"/>
          <w:lang w:val="es-CO"/>
        </w:rPr>
        <w:t xml:space="preserve"> y por tanto, sujeto de protección por </w:t>
      </w:r>
      <w:r>
        <w:rPr>
          <w:rFonts w:ascii="Bookman Old Style" w:hAnsi="Bookman Old Style"/>
          <w:sz w:val="28"/>
          <w:szCs w:val="28"/>
          <w:lang w:val="es-CO"/>
        </w:rPr>
        <w:t>las normas del DIH.  Así explicó</w:t>
      </w:r>
      <w:r w:rsidRPr="003B2B73">
        <w:rPr>
          <w:rFonts w:ascii="Bookman Old Style" w:hAnsi="Bookman Old Style"/>
          <w:sz w:val="28"/>
          <w:szCs w:val="28"/>
          <w:lang w:val="es-CO"/>
        </w:rPr>
        <w:t xml:space="preserve"> la Corte Constitucional el concepto, partiendo del princ</w:t>
      </w:r>
      <w:r>
        <w:rPr>
          <w:rFonts w:ascii="Bookman Old Style" w:hAnsi="Bookman Old Style"/>
          <w:sz w:val="28"/>
          <w:szCs w:val="28"/>
          <w:lang w:val="es-CO"/>
        </w:rPr>
        <w:t>i</w:t>
      </w:r>
      <w:r w:rsidRPr="003B2B73">
        <w:rPr>
          <w:rFonts w:ascii="Bookman Old Style" w:hAnsi="Bookman Old Style"/>
          <w:sz w:val="28"/>
          <w:szCs w:val="28"/>
          <w:lang w:val="es-CO"/>
        </w:rPr>
        <w:t>pio de dist</w:t>
      </w:r>
      <w:r>
        <w:rPr>
          <w:rFonts w:ascii="Bookman Old Style" w:hAnsi="Bookman Old Style"/>
          <w:sz w:val="28"/>
          <w:szCs w:val="28"/>
          <w:lang w:val="es-CO"/>
        </w:rPr>
        <w:t>i</w:t>
      </w:r>
      <w:r w:rsidRPr="003B2B73">
        <w:rPr>
          <w:rFonts w:ascii="Bookman Old Style" w:hAnsi="Bookman Old Style"/>
          <w:sz w:val="28"/>
          <w:szCs w:val="28"/>
          <w:lang w:val="es-CO"/>
        </w:rPr>
        <w:t>nción que opera en los conflictos armados no internacionales:</w:t>
      </w:r>
    </w:p>
    <w:p w:rsidR="00AD777C" w:rsidRPr="003B2B73" w:rsidRDefault="00AD777C" w:rsidP="00AD777C">
      <w:pPr>
        <w:spacing w:line="360" w:lineRule="auto"/>
        <w:jc w:val="both"/>
        <w:rPr>
          <w:rFonts w:ascii="Bookman Old Style" w:hAnsi="Bookman Old Style"/>
          <w:sz w:val="28"/>
          <w:szCs w:val="28"/>
          <w:lang w:val="es-CO"/>
        </w:rPr>
      </w:pPr>
    </w:p>
    <w:p w:rsidR="00AD777C" w:rsidRPr="003B2B73" w:rsidRDefault="00AD777C" w:rsidP="00AD777C">
      <w:pPr>
        <w:spacing w:line="360" w:lineRule="auto"/>
        <w:ind w:left="567"/>
        <w:jc w:val="both"/>
        <w:rPr>
          <w:rFonts w:ascii="Bookman Old Style" w:hAnsi="Bookman Old Style"/>
          <w:i/>
          <w:sz w:val="24"/>
          <w:szCs w:val="24"/>
        </w:rPr>
      </w:pPr>
      <w:r w:rsidRPr="003B2B73">
        <w:rPr>
          <w:rFonts w:ascii="Bookman Old Style" w:hAnsi="Bookman Old Style"/>
          <w:i/>
          <w:sz w:val="24"/>
          <w:szCs w:val="24"/>
          <w:lang w:val="es-CO"/>
        </w:rPr>
        <w:t xml:space="preserve">“Para los efectos del principio de distinción en su aplicación a los conflictos armados internos, el término “civil” se refiere a las personas que reúnen las dos condiciones de (i) no ser miembros de las fuerzas armadas u organizaciones armadas irregulares enfrentadas y (ii) no tomar parte en las hostilidades, sea de manera individual como “personas civiles” o “individuos civiles”, o de manera colectiva en tanto “población civil”. </w:t>
      </w:r>
      <w:r w:rsidRPr="003B2B73">
        <w:rPr>
          <w:rFonts w:ascii="Bookman Old Style" w:hAnsi="Bookman Old Style"/>
          <w:i/>
          <w:sz w:val="24"/>
          <w:szCs w:val="24"/>
        </w:rPr>
        <w:t>La definición de “personas civiles” y de “población civil” es similar para los distintos propósitos que tiene en el Derecho Internacional Humanitario en su aplicación a los conflictos armados internos – por ejemplo, se ha aplicado jurisprudencialmente la misma definición de “civil” para efectos de caracterizar una determinada conducta, en casos concretos, como un crimen de guerra o como un crimen de lesa humanidad</w:t>
      </w:r>
      <w:r w:rsidRPr="003B2B73">
        <w:rPr>
          <w:rFonts w:ascii="Bookman Old Style" w:hAnsi="Bookman Old Style"/>
          <w:i/>
          <w:sz w:val="24"/>
          <w:szCs w:val="24"/>
          <w:vertAlign w:val="superscript"/>
        </w:rPr>
        <w:footnoteReference w:id="56"/>
      </w:r>
      <w:r w:rsidRPr="003B2B73">
        <w:rPr>
          <w:rFonts w:ascii="Bookman Old Style" w:hAnsi="Bookman Old Style"/>
          <w:i/>
          <w:sz w:val="24"/>
          <w:szCs w:val="24"/>
        </w:rPr>
        <w:t>.</w:t>
      </w:r>
    </w:p>
    <w:p w:rsidR="00AD777C" w:rsidRPr="003B2B73" w:rsidRDefault="00AD777C" w:rsidP="00AD777C">
      <w:pPr>
        <w:ind w:left="567"/>
        <w:jc w:val="both"/>
        <w:rPr>
          <w:rFonts w:ascii="Trebuchet MS" w:hAnsi="Trebuchet MS"/>
          <w:i/>
          <w:szCs w:val="24"/>
        </w:rPr>
      </w:pPr>
    </w:p>
    <w:p w:rsidR="00AD777C" w:rsidRPr="003B2B73" w:rsidRDefault="00AD777C" w:rsidP="00AD777C">
      <w:pPr>
        <w:spacing w:line="360" w:lineRule="auto"/>
        <w:ind w:left="567"/>
        <w:jc w:val="both"/>
        <w:rPr>
          <w:rFonts w:ascii="Bookman Old Style" w:hAnsi="Bookman Old Style"/>
          <w:i/>
          <w:sz w:val="24"/>
          <w:szCs w:val="24"/>
        </w:rPr>
      </w:pPr>
      <w:r w:rsidRPr="003B2B73">
        <w:rPr>
          <w:rFonts w:ascii="Bookman Old Style" w:hAnsi="Bookman Old Style"/>
          <w:i/>
          <w:sz w:val="24"/>
          <w:szCs w:val="24"/>
        </w:rPr>
        <w:t>3.3.2.1. “Personas civiles”</w:t>
      </w:r>
    </w:p>
    <w:p w:rsidR="00AD777C" w:rsidRPr="003B2B73" w:rsidRDefault="00AD777C" w:rsidP="00AD777C">
      <w:pPr>
        <w:ind w:left="567"/>
        <w:jc w:val="both"/>
        <w:rPr>
          <w:rFonts w:ascii="Bookman Old Style" w:hAnsi="Bookman Old Style"/>
          <w:i/>
          <w:sz w:val="24"/>
          <w:szCs w:val="24"/>
        </w:rPr>
      </w:pPr>
    </w:p>
    <w:p w:rsidR="00AD777C" w:rsidRPr="003B2B73" w:rsidRDefault="00AD777C" w:rsidP="00AD777C">
      <w:pPr>
        <w:spacing w:line="360" w:lineRule="auto"/>
        <w:ind w:left="567"/>
        <w:jc w:val="both"/>
        <w:rPr>
          <w:rFonts w:ascii="Bookman Old Style" w:hAnsi="Bookman Old Style"/>
          <w:i/>
          <w:sz w:val="24"/>
          <w:szCs w:val="24"/>
        </w:rPr>
      </w:pPr>
      <w:r w:rsidRPr="003B2B73">
        <w:rPr>
          <w:rFonts w:ascii="Bookman Old Style" w:hAnsi="Bookman Old Style"/>
          <w:i/>
          <w:sz w:val="24"/>
          <w:szCs w:val="24"/>
        </w:rPr>
        <w:t xml:space="preserve">Una persona civil, para los efectos del principio de distinción en los conflictos armados no internacionales, es quien llena las dos condiciones de no ser miembro de las Fuerzas Armadas o de los grupos armados irregulares enfrentados, y no tomar parte activa en las hostilidades. </w:t>
      </w:r>
    </w:p>
    <w:p w:rsidR="00AD777C" w:rsidRPr="003B2B73" w:rsidRDefault="00AD777C" w:rsidP="00AD777C">
      <w:pPr>
        <w:ind w:left="567"/>
        <w:jc w:val="both"/>
        <w:rPr>
          <w:rFonts w:ascii="Bookman Old Style" w:hAnsi="Bookman Old Style"/>
          <w:i/>
          <w:sz w:val="24"/>
          <w:szCs w:val="24"/>
        </w:rPr>
      </w:pPr>
    </w:p>
    <w:p w:rsidR="00AD777C" w:rsidRPr="003B2B73" w:rsidRDefault="00AD777C" w:rsidP="00AD777C">
      <w:pPr>
        <w:spacing w:line="360" w:lineRule="auto"/>
        <w:ind w:left="567"/>
        <w:jc w:val="both"/>
        <w:rPr>
          <w:rFonts w:ascii="Bookman Old Style" w:hAnsi="Bookman Old Style"/>
          <w:i/>
          <w:sz w:val="24"/>
          <w:szCs w:val="24"/>
        </w:rPr>
      </w:pPr>
      <w:r w:rsidRPr="003B2B73">
        <w:rPr>
          <w:rFonts w:ascii="Bookman Old Style" w:hAnsi="Bookman Old Style"/>
          <w:i/>
          <w:sz w:val="24"/>
          <w:szCs w:val="24"/>
        </w:rPr>
        <w:t xml:space="preserve">El primer requisito -el de no ser miembro de las Fuerzas Armadas o grupos armados irregulares-, ha sido señalado en </w:t>
      </w:r>
      <w:smartTag w:uri="urn:schemas-microsoft-com:office:smarttags" w:element="PersonName">
        <w:smartTagPr>
          <w:attr w:name="ProductID" w:val="la Sistematizaci￳n"/>
        </w:smartTagPr>
        <w:r w:rsidRPr="003B2B73">
          <w:rPr>
            <w:rFonts w:ascii="Bookman Old Style" w:hAnsi="Bookman Old Style"/>
            <w:i/>
            <w:sz w:val="24"/>
            <w:szCs w:val="24"/>
          </w:rPr>
          <w:t>la Sistematización</w:t>
        </w:r>
      </w:smartTag>
      <w:r w:rsidRPr="003B2B73">
        <w:rPr>
          <w:rFonts w:ascii="Bookman Old Style" w:hAnsi="Bookman Old Style"/>
          <w:i/>
          <w:sz w:val="24"/>
          <w:szCs w:val="24"/>
        </w:rPr>
        <w:t xml:space="preserve"> del CICR como una definición consuetudinaria de la noción de “civil”.</w:t>
      </w:r>
      <w:r w:rsidRPr="003B2B73">
        <w:rPr>
          <w:rFonts w:ascii="Bookman Old Style" w:hAnsi="Bookman Old Style"/>
          <w:i/>
          <w:sz w:val="24"/>
          <w:szCs w:val="24"/>
          <w:vertAlign w:val="superscript"/>
        </w:rPr>
        <w:footnoteReference w:id="57"/>
      </w:r>
      <w:r w:rsidRPr="003B2B73">
        <w:rPr>
          <w:rFonts w:ascii="Bookman Old Style" w:hAnsi="Bookman Old Style"/>
          <w:i/>
          <w:sz w:val="24"/>
          <w:szCs w:val="24"/>
          <w:lang w:val="es-CO"/>
        </w:rPr>
        <w:t xml:space="preserve"> </w:t>
      </w:r>
      <w:r w:rsidRPr="003B2B73">
        <w:rPr>
          <w:rFonts w:ascii="Bookman Old Style" w:hAnsi="Bookman Old Style"/>
          <w:i/>
          <w:sz w:val="24"/>
          <w:szCs w:val="24"/>
        </w:rPr>
        <w:t xml:space="preserve">Por su parte, el Tribunal Penal para </w:t>
      </w:r>
      <w:smartTag w:uri="urn:schemas-microsoft-com:office:smarttags" w:element="PersonName">
        <w:smartTagPr>
          <w:attr w:name="ProductID" w:val="la Antigua Yugoslavia"/>
        </w:smartTagPr>
        <w:r w:rsidRPr="003B2B73">
          <w:rPr>
            <w:rFonts w:ascii="Bookman Old Style" w:hAnsi="Bookman Old Style"/>
            <w:i/>
            <w:sz w:val="24"/>
            <w:szCs w:val="24"/>
          </w:rPr>
          <w:t>la Antigua Yugoslavia</w:t>
        </w:r>
      </w:smartTag>
      <w:r w:rsidRPr="003B2B73">
        <w:rPr>
          <w:rFonts w:ascii="Bookman Old Style" w:hAnsi="Bookman Old Style"/>
          <w:i/>
          <w:sz w:val="24"/>
          <w:szCs w:val="24"/>
        </w:rPr>
        <w:t xml:space="preserve"> ha indicado que para efectos de la aplicación de las protecciones consagradas en las normas que penalizan los crímenes de guerra, los civiles son </w:t>
      </w:r>
      <w:r w:rsidRPr="003B2B73">
        <w:rPr>
          <w:rFonts w:ascii="Bookman Old Style" w:hAnsi="Bookman Old Style"/>
          <w:i/>
          <w:iCs/>
          <w:sz w:val="24"/>
          <w:szCs w:val="24"/>
        </w:rPr>
        <w:t>“las personas que no son, o han dejado de ser, miembros de las fuerzas armadas”</w:t>
      </w:r>
      <w:r w:rsidRPr="003B2B73">
        <w:rPr>
          <w:rFonts w:ascii="Bookman Old Style" w:hAnsi="Bookman Old Style"/>
          <w:i/>
          <w:sz w:val="24"/>
          <w:szCs w:val="24"/>
          <w:vertAlign w:val="superscript"/>
        </w:rPr>
        <w:footnoteReference w:id="58"/>
      </w:r>
      <w:r w:rsidRPr="003B2B73">
        <w:rPr>
          <w:rFonts w:ascii="Bookman Old Style" w:hAnsi="Bookman Old Style"/>
          <w:i/>
          <w:sz w:val="24"/>
          <w:szCs w:val="24"/>
        </w:rPr>
        <w:t xml:space="preserve">, entendidas éstas para comprender tanto a los cuerpos armados estatales oficiales como a los grupos armados irregulares. </w:t>
      </w:r>
    </w:p>
    <w:p w:rsidR="00AD777C" w:rsidRPr="003B2B73" w:rsidRDefault="00AD777C" w:rsidP="00AD777C">
      <w:pPr>
        <w:ind w:left="567"/>
        <w:jc w:val="both"/>
        <w:rPr>
          <w:rFonts w:ascii="Bookman Old Style" w:hAnsi="Bookman Old Style"/>
          <w:i/>
          <w:sz w:val="24"/>
          <w:szCs w:val="24"/>
        </w:rPr>
      </w:pPr>
    </w:p>
    <w:p w:rsidR="00AD777C" w:rsidRPr="003B2B73" w:rsidRDefault="00AD777C" w:rsidP="00AD777C">
      <w:pPr>
        <w:spacing w:line="360" w:lineRule="auto"/>
        <w:ind w:left="567"/>
        <w:jc w:val="both"/>
        <w:rPr>
          <w:rFonts w:ascii="Bookman Old Style" w:hAnsi="Bookman Old Style"/>
          <w:i/>
          <w:sz w:val="24"/>
          <w:szCs w:val="24"/>
        </w:rPr>
      </w:pPr>
      <w:r w:rsidRPr="003B2B73">
        <w:rPr>
          <w:rFonts w:ascii="Bookman Old Style" w:hAnsi="Bookman Old Style"/>
          <w:i/>
          <w:sz w:val="24"/>
          <w:szCs w:val="24"/>
        </w:rPr>
        <w:t xml:space="preserve">El segundo requisito -el de no tomar parte en las hostilidades- ha sido indicado por múltiples instancias internacionales. </w:t>
      </w:r>
      <w:r w:rsidRPr="003B2B73">
        <w:rPr>
          <w:rFonts w:ascii="Bookman Old Style" w:hAnsi="Bookman Old Style"/>
          <w:i/>
          <w:sz w:val="24"/>
          <w:szCs w:val="24"/>
          <w:lang w:val="es-ES_tradnl"/>
        </w:rPr>
        <w:t xml:space="preserve">Según ha precisado </w:t>
      </w:r>
      <w:smartTag w:uri="urn:schemas-microsoft-com:office:smarttags" w:element="PersonName">
        <w:smartTagPr>
          <w:attr w:name="ProductID" w:val="la Comisi￳n Interamericana"/>
        </w:smartTagPr>
        <w:r w:rsidRPr="003B2B73">
          <w:rPr>
            <w:rFonts w:ascii="Bookman Old Style" w:hAnsi="Bookman Old Style"/>
            <w:i/>
            <w:sz w:val="24"/>
            <w:szCs w:val="24"/>
            <w:lang w:val="es-ES_tradnl"/>
          </w:rPr>
          <w:t>la Comisión Interamericana</w:t>
        </w:r>
      </w:smartTag>
      <w:r w:rsidRPr="003B2B73">
        <w:rPr>
          <w:rFonts w:ascii="Bookman Old Style" w:hAnsi="Bookman Old Style"/>
          <w:i/>
          <w:sz w:val="24"/>
          <w:szCs w:val="24"/>
          <w:lang w:val="es-ES_tradnl"/>
        </w:rPr>
        <w:t xml:space="preserve"> de Derechos Humanos, las garantías mínimas establecidas en el artículo 3 común se aplican, en el contexto de los conflictos armados internos, a quienes no toman parte directa o activa en las hostilidades, incluida la población civil y las personas puestas fuera de combate por rendición, captura u otras causas.</w:t>
      </w:r>
      <w:r w:rsidRPr="003B2B73">
        <w:rPr>
          <w:rFonts w:ascii="Bookman Old Style" w:hAnsi="Bookman Old Style"/>
          <w:i/>
          <w:sz w:val="24"/>
          <w:szCs w:val="24"/>
          <w:vertAlign w:val="superscript"/>
          <w:lang w:val="es-ES_tradnl"/>
        </w:rPr>
        <w:footnoteReference w:id="59"/>
      </w:r>
      <w:r w:rsidRPr="003B2B73">
        <w:rPr>
          <w:rFonts w:ascii="Bookman Old Style" w:hAnsi="Bookman Old Style"/>
          <w:i/>
          <w:sz w:val="24"/>
          <w:szCs w:val="24"/>
        </w:rPr>
        <w:t xml:space="preserve"> El Tribunal Penal para </w:t>
      </w:r>
      <w:smartTag w:uri="urn:schemas-microsoft-com:office:smarttags" w:element="PersonName">
        <w:smartTagPr>
          <w:attr w:name="ProductID" w:val="la Antigua Yugoslavia"/>
        </w:smartTagPr>
        <w:r w:rsidRPr="003B2B73">
          <w:rPr>
            <w:rFonts w:ascii="Bookman Old Style" w:hAnsi="Bookman Old Style"/>
            <w:i/>
            <w:sz w:val="24"/>
            <w:szCs w:val="24"/>
          </w:rPr>
          <w:t>la Antigua Yugoslavia</w:t>
        </w:r>
      </w:smartTag>
      <w:r w:rsidRPr="003B2B73">
        <w:rPr>
          <w:rFonts w:ascii="Bookman Old Style" w:hAnsi="Bookman Old Style"/>
          <w:i/>
          <w:sz w:val="24"/>
          <w:szCs w:val="24"/>
        </w:rPr>
        <w:t xml:space="preserve"> ha indicado que para efectos de determinar el carácter civil de las personas amparadas por las garantías que se consagran, entre otras, en el Artículo 3 Común –aplicable a los conflictos armados internos-, </w:t>
      </w:r>
      <w:r w:rsidRPr="003B2B73">
        <w:rPr>
          <w:rFonts w:ascii="Bookman Old Style" w:hAnsi="Bookman Old Style"/>
          <w:i/>
          <w:iCs/>
          <w:sz w:val="24"/>
          <w:szCs w:val="24"/>
        </w:rPr>
        <w:t>“es necesario demostrar que las violaciones se cometieron contra personas que no estaban directamente involucradas en las hostilidades”</w:t>
      </w:r>
      <w:r w:rsidRPr="003B2B73">
        <w:rPr>
          <w:rFonts w:ascii="Bookman Old Style" w:hAnsi="Bookman Old Style"/>
          <w:i/>
          <w:sz w:val="24"/>
          <w:szCs w:val="24"/>
          <w:vertAlign w:val="superscript"/>
        </w:rPr>
        <w:footnoteReference w:id="60"/>
      </w:r>
      <w:r w:rsidRPr="003B2B73">
        <w:rPr>
          <w:rFonts w:ascii="Bookman Old Style" w:hAnsi="Bookman Old Style"/>
          <w:i/>
          <w:sz w:val="24"/>
          <w:szCs w:val="24"/>
        </w:rPr>
        <w:t xml:space="preserve">, para lo cual se debe aplicar el criterio establecido en el caso Tadic: </w:t>
      </w:r>
      <w:r w:rsidRPr="003B2B73">
        <w:rPr>
          <w:rFonts w:ascii="Bookman Old Style" w:hAnsi="Bookman Old Style"/>
          <w:i/>
          <w:iCs/>
          <w:sz w:val="24"/>
          <w:szCs w:val="24"/>
        </w:rPr>
        <w:t>“si, al momento de la comisión del hecho aludidamente ilícito, la supuesta víctima de los actos proscritos estaba tomando parte directamente en las hostilidades, hostilidades en el contexto de las cuales se dice haber cometido el hecho supuestamente ilícito. Si la respuesta a esta pregunta es negativa, la víctima goza de la protección de las proscripciones contenidas en el Artículo 3 común”</w:t>
      </w:r>
      <w:r w:rsidRPr="003B2B73">
        <w:rPr>
          <w:rFonts w:ascii="Bookman Old Style" w:hAnsi="Bookman Old Style"/>
          <w:i/>
          <w:sz w:val="24"/>
          <w:szCs w:val="24"/>
          <w:vertAlign w:val="superscript"/>
        </w:rPr>
        <w:footnoteReference w:id="61"/>
      </w:r>
      <w:r w:rsidRPr="003B2B73">
        <w:rPr>
          <w:rFonts w:ascii="Bookman Old Style" w:hAnsi="Bookman Old Style"/>
          <w:i/>
          <w:sz w:val="24"/>
          <w:szCs w:val="24"/>
        </w:rPr>
        <w:t xml:space="preserve">. En consecuencia, la determinación del carácter civil de una persona o de una población depende de un análisis de los hechos específicos frente a los cuales se invoca dicha condición, más que de la mera invocación de su </w:t>
      </w:r>
      <w:r w:rsidRPr="003B2B73">
        <w:rPr>
          <w:rFonts w:ascii="Bookman Old Style" w:hAnsi="Bookman Old Style"/>
          <w:i/>
          <w:iCs/>
          <w:sz w:val="24"/>
          <w:szCs w:val="24"/>
        </w:rPr>
        <w:t>status</w:t>
      </w:r>
      <w:r w:rsidRPr="003B2B73">
        <w:rPr>
          <w:rFonts w:ascii="Bookman Old Style" w:hAnsi="Bookman Old Style"/>
          <w:i/>
          <w:sz w:val="24"/>
          <w:szCs w:val="24"/>
        </w:rPr>
        <w:t xml:space="preserve"> legal en abstracto</w:t>
      </w:r>
      <w:r w:rsidRPr="003B2B73">
        <w:rPr>
          <w:rFonts w:ascii="Bookman Old Style" w:hAnsi="Bookman Old Style"/>
          <w:i/>
          <w:sz w:val="24"/>
          <w:szCs w:val="24"/>
          <w:vertAlign w:val="superscript"/>
          <w:lang w:val="en-US"/>
        </w:rPr>
        <w:footnoteReference w:id="62"/>
      </w:r>
      <w:r w:rsidRPr="003B2B73">
        <w:rPr>
          <w:rFonts w:ascii="Bookman Old Style" w:hAnsi="Bookman Old Style"/>
          <w:i/>
          <w:sz w:val="24"/>
          <w:szCs w:val="24"/>
        </w:rPr>
        <w:t>, y teniendo en cuenta que –según se señaló anteriormente- la noción de “hostilidades”, al igual que la de “conflicto armado”, trasciende el momento y lugar específicos de los combates, para aplicarse según los criterios geográficos y temporales que demarcan la aplicación del Derecho Internacional Humanitario.</w:t>
      </w:r>
      <w:r w:rsidRPr="003B2B73">
        <w:rPr>
          <w:rFonts w:ascii="Bookman Old Style" w:hAnsi="Bookman Old Style"/>
          <w:i/>
          <w:sz w:val="24"/>
          <w:szCs w:val="24"/>
          <w:vertAlign w:val="superscript"/>
        </w:rPr>
        <w:footnoteReference w:id="63"/>
      </w:r>
    </w:p>
    <w:p w:rsidR="00AD777C" w:rsidRPr="003B2B73" w:rsidRDefault="00AD777C" w:rsidP="00AD777C">
      <w:pPr>
        <w:ind w:left="567"/>
        <w:jc w:val="both"/>
        <w:rPr>
          <w:rFonts w:ascii="Trebuchet MS" w:hAnsi="Trebuchet MS"/>
          <w:i/>
          <w:szCs w:val="24"/>
          <w:lang w:val="es-CO"/>
        </w:rPr>
      </w:pPr>
    </w:p>
    <w:p w:rsidR="00AD777C" w:rsidRPr="003B2B73" w:rsidRDefault="00AD777C" w:rsidP="00AD777C">
      <w:pPr>
        <w:spacing w:line="360" w:lineRule="auto"/>
        <w:ind w:left="567"/>
        <w:jc w:val="both"/>
        <w:rPr>
          <w:rFonts w:ascii="Bookman Old Style" w:hAnsi="Bookman Old Style"/>
          <w:i/>
          <w:sz w:val="24"/>
          <w:szCs w:val="24"/>
          <w:lang w:val="es-CO"/>
        </w:rPr>
      </w:pPr>
      <w:r w:rsidRPr="003B2B73">
        <w:rPr>
          <w:rFonts w:ascii="Bookman Old Style" w:hAnsi="Bookman Old Style"/>
          <w:i/>
          <w:sz w:val="24"/>
          <w:szCs w:val="24"/>
          <w:lang w:val="es-CO"/>
        </w:rPr>
        <w:t>3.3.2.2. “Población civil”</w:t>
      </w:r>
    </w:p>
    <w:p w:rsidR="00AD777C" w:rsidRPr="003B2B73" w:rsidRDefault="00AD777C" w:rsidP="00AD777C">
      <w:pPr>
        <w:ind w:left="567"/>
        <w:jc w:val="both"/>
        <w:rPr>
          <w:rFonts w:ascii="Bookman Old Style" w:hAnsi="Bookman Old Style"/>
          <w:i/>
          <w:sz w:val="24"/>
          <w:szCs w:val="24"/>
          <w:lang w:val="es-CO"/>
        </w:rPr>
      </w:pPr>
    </w:p>
    <w:p w:rsidR="00AD777C" w:rsidRPr="003B2B73" w:rsidRDefault="00AD777C" w:rsidP="00AD777C">
      <w:pPr>
        <w:spacing w:line="360" w:lineRule="auto"/>
        <w:ind w:left="567"/>
        <w:jc w:val="both"/>
        <w:rPr>
          <w:rFonts w:ascii="Bookman Old Style" w:hAnsi="Bookman Old Style"/>
          <w:i/>
          <w:sz w:val="24"/>
          <w:szCs w:val="24"/>
          <w:lang w:val="es-CO"/>
        </w:rPr>
      </w:pPr>
      <w:r w:rsidRPr="003B2B73">
        <w:rPr>
          <w:rFonts w:ascii="Bookman Old Style" w:hAnsi="Bookman Old Style"/>
          <w:i/>
          <w:sz w:val="24"/>
          <w:szCs w:val="24"/>
          <w:lang w:val="es-CO"/>
        </w:rPr>
        <w:t>Una población se considera como “población civil” si su naturaleza es predominantemente civil.</w:t>
      </w:r>
      <w:r w:rsidRPr="003B2B73">
        <w:rPr>
          <w:rFonts w:ascii="Bookman Old Style" w:hAnsi="Bookman Old Style"/>
          <w:i/>
          <w:sz w:val="24"/>
          <w:szCs w:val="24"/>
          <w:vertAlign w:val="superscript"/>
          <w:lang w:val="es-CO"/>
        </w:rPr>
        <w:footnoteReference w:id="64"/>
      </w:r>
      <w:r w:rsidRPr="003B2B73">
        <w:rPr>
          <w:rFonts w:ascii="Bookman Old Style" w:hAnsi="Bookman Old Style"/>
          <w:i/>
          <w:sz w:val="24"/>
          <w:szCs w:val="24"/>
          <w:lang w:val="es-CO"/>
        </w:rPr>
        <w:t xml:space="preserve"> La noción de “población civil” comprende a todas las personas civiles individualmente consideradas.</w:t>
      </w:r>
      <w:r w:rsidRPr="003B2B73">
        <w:rPr>
          <w:rFonts w:ascii="Bookman Old Style" w:hAnsi="Bookman Old Style"/>
          <w:i/>
          <w:sz w:val="24"/>
          <w:szCs w:val="24"/>
          <w:vertAlign w:val="superscript"/>
          <w:lang w:val="es-CO"/>
        </w:rPr>
        <w:footnoteReference w:id="65"/>
      </w:r>
      <w:r w:rsidRPr="003B2B73">
        <w:rPr>
          <w:rFonts w:ascii="Bookman Old Style" w:hAnsi="Bookman Old Style"/>
          <w:i/>
          <w:sz w:val="24"/>
          <w:szCs w:val="24"/>
          <w:lang w:val="es-CO"/>
        </w:rPr>
        <w:t xml:space="preserve"> La presencia entre la población civil de miembros de las fuerzas armadas o de grupos armados irregulares, de personas puestas fuera de combate, de personas activamente involucradas en el conflicto o de cualquier otra persona que no quede amparada por la definición de “civil”, no altera el carácter civil de dicha población.</w:t>
      </w:r>
      <w:r w:rsidRPr="003B2B73">
        <w:rPr>
          <w:rFonts w:ascii="Bookman Old Style" w:hAnsi="Bookman Old Style"/>
          <w:i/>
          <w:sz w:val="24"/>
          <w:szCs w:val="24"/>
          <w:vertAlign w:val="superscript"/>
          <w:lang w:val="es-CO"/>
        </w:rPr>
        <w:footnoteReference w:id="66"/>
      </w:r>
      <w:r w:rsidRPr="003B2B73">
        <w:rPr>
          <w:rFonts w:ascii="Bookman Old Style" w:hAnsi="Bookman Old Style"/>
          <w:i/>
          <w:sz w:val="24"/>
          <w:szCs w:val="24"/>
          <w:lang w:val="es-CO"/>
        </w:rPr>
        <w:t xml:space="preserve"> </w:t>
      </w:r>
      <w:r w:rsidRPr="003B2B73">
        <w:rPr>
          <w:rFonts w:ascii="Bookman Old Style" w:hAnsi="Bookman Old Style"/>
          <w:i/>
          <w:iCs/>
          <w:sz w:val="24"/>
          <w:szCs w:val="24"/>
        </w:rPr>
        <w:t>“No es necesario que todos y cada uno de los miembros de esa población sean civiles – es suficiente con que sea de naturaleza predominantemente civil, y puede incluir, por ejemplo, individuos puestos fuera de combate”.</w:t>
      </w:r>
      <w:r w:rsidRPr="003B2B73">
        <w:rPr>
          <w:rFonts w:ascii="Bookman Old Style" w:hAnsi="Bookman Old Style"/>
          <w:i/>
          <w:sz w:val="24"/>
          <w:szCs w:val="24"/>
          <w:vertAlign w:val="superscript"/>
        </w:rPr>
        <w:footnoteReference w:id="67"/>
      </w:r>
      <w:r w:rsidRPr="002F533E">
        <w:rPr>
          <w:rFonts w:ascii="Bookman Old Style" w:hAnsi="Bookman Old Style"/>
          <w:iCs/>
          <w:sz w:val="28"/>
          <w:szCs w:val="28"/>
        </w:rPr>
        <w:t>(C- 291-07)</w:t>
      </w:r>
    </w:p>
    <w:p w:rsidR="00AD777C" w:rsidRDefault="00AD777C" w:rsidP="00AD777C">
      <w:pPr>
        <w:spacing w:line="360" w:lineRule="auto"/>
        <w:jc w:val="both"/>
        <w:rPr>
          <w:rFonts w:ascii="Bookman Old Style" w:hAnsi="Bookman Old Style"/>
          <w:sz w:val="28"/>
          <w:szCs w:val="28"/>
          <w:lang w:val="es-CO"/>
        </w:rPr>
      </w:pPr>
    </w:p>
    <w:p w:rsidR="00AD777C" w:rsidRPr="00A335F0"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Es así como las pruebas exponen el vínculo entre las acciones ordenadas por </w:t>
      </w:r>
      <w:r w:rsidRPr="00500C12">
        <w:rPr>
          <w:rFonts w:ascii="Bookman Old Style" w:hAnsi="Bookman Old Style"/>
          <w:i/>
          <w:sz w:val="28"/>
          <w:szCs w:val="28"/>
          <w:lang w:val="es-CO"/>
        </w:rPr>
        <w:t>‘paraco viejo’</w:t>
      </w:r>
      <w:r>
        <w:rPr>
          <w:rFonts w:ascii="Bookman Old Style" w:hAnsi="Bookman Old Style"/>
          <w:sz w:val="28"/>
          <w:szCs w:val="28"/>
          <w:lang w:val="es-CO"/>
        </w:rPr>
        <w:t xml:space="preserve"> en represalia al reclamo que le hiciera Stella Ramírez, con el contexto en que se desarrollaron, valga recordar, en una población en la que las Autodefensas del Meta tenían injerencia y ascendencia a través de sus acciones ilegales en medio del conflicto armado que en esa región del país se vivió con intensidad.  Por tanto</w:t>
      </w:r>
      <w:r w:rsidRPr="006C7D3A">
        <w:rPr>
          <w:rFonts w:ascii="Bookman Old Style" w:hAnsi="Bookman Old Style"/>
          <w:sz w:val="28"/>
          <w:szCs w:val="28"/>
          <w:lang w:val="es-CO"/>
        </w:rPr>
        <w:t>, se revocará parcialmente el numeral décim</w:t>
      </w:r>
      <w:r>
        <w:rPr>
          <w:rFonts w:ascii="Bookman Old Style" w:hAnsi="Bookman Old Style"/>
          <w:sz w:val="28"/>
          <w:szCs w:val="28"/>
          <w:lang w:val="es-CO"/>
        </w:rPr>
        <w:t xml:space="preserve">o quinto del fallo, </w:t>
      </w:r>
      <w:r w:rsidRPr="00A335F0">
        <w:rPr>
          <w:rFonts w:ascii="Bookman Old Style" w:hAnsi="Bookman Old Style"/>
          <w:sz w:val="28"/>
          <w:szCs w:val="28"/>
          <w:lang w:val="es-CO"/>
        </w:rPr>
        <w:t xml:space="preserve">para legalizar el cargo realizado por el delito de represalias, conforme a los </w:t>
      </w:r>
      <w:r w:rsidRPr="00F574B9">
        <w:rPr>
          <w:rFonts w:ascii="Bookman Old Style" w:hAnsi="Bookman Old Style"/>
          <w:b/>
          <w:sz w:val="28"/>
          <w:szCs w:val="28"/>
          <w:lang w:val="es-CO"/>
        </w:rPr>
        <w:t>hechos</w:t>
      </w:r>
      <w:r w:rsidRPr="00A335F0">
        <w:rPr>
          <w:rFonts w:ascii="Bookman Old Style" w:hAnsi="Bookman Old Style"/>
          <w:sz w:val="28"/>
          <w:szCs w:val="28"/>
          <w:lang w:val="es-CO"/>
        </w:rPr>
        <w:t xml:space="preserve"> narrados y conoci</w:t>
      </w:r>
      <w:r>
        <w:rPr>
          <w:rFonts w:ascii="Bookman Old Style" w:hAnsi="Bookman Old Style"/>
          <w:sz w:val="28"/>
          <w:szCs w:val="28"/>
          <w:lang w:val="es-CO"/>
        </w:rPr>
        <w:t xml:space="preserve">dos con el </w:t>
      </w:r>
      <w:r w:rsidRPr="00F574B9">
        <w:rPr>
          <w:rFonts w:ascii="Bookman Old Style" w:hAnsi="Bookman Old Style"/>
          <w:b/>
          <w:sz w:val="28"/>
          <w:szCs w:val="28"/>
          <w:lang w:val="es-CO"/>
        </w:rPr>
        <w:t>número 14</w:t>
      </w:r>
      <w:r w:rsidRPr="00A335F0">
        <w:rPr>
          <w:rFonts w:ascii="Bookman Old Style" w:hAnsi="Bookman Old Style"/>
          <w:sz w:val="28"/>
          <w:szCs w:val="28"/>
          <w:lang w:val="es-CO"/>
        </w:rPr>
        <w:t>.</w:t>
      </w:r>
    </w:p>
    <w:p w:rsidR="00AD777C" w:rsidRPr="00D95D60"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Frente al </w:t>
      </w:r>
      <w:r w:rsidRPr="00F574B9">
        <w:rPr>
          <w:rFonts w:ascii="Bookman Old Style" w:hAnsi="Bookman Old Style" w:cs="Sakkal Majalla"/>
          <w:b/>
          <w:sz w:val="28"/>
          <w:szCs w:val="28"/>
        </w:rPr>
        <w:t>hecho 22</w:t>
      </w:r>
      <w:r>
        <w:rPr>
          <w:rFonts w:ascii="Bookman Old Style" w:hAnsi="Bookman Old Style" w:cs="Sakkal Majalla"/>
          <w:sz w:val="28"/>
          <w:szCs w:val="28"/>
        </w:rPr>
        <w:t>, s</w:t>
      </w:r>
      <w:r w:rsidRPr="00CD55C4">
        <w:rPr>
          <w:rFonts w:ascii="Bookman Old Style" w:hAnsi="Bookman Old Style" w:cs="Sakkal Majalla"/>
          <w:sz w:val="28"/>
          <w:szCs w:val="28"/>
        </w:rPr>
        <w:t>olicita se legalice el delito de homicidio en persona protegida cometido en Nilson Alirio Torres Cuyares, dado que la sit</w:t>
      </w:r>
      <w:r>
        <w:rPr>
          <w:rFonts w:ascii="Bookman Old Style" w:hAnsi="Bookman Old Style" w:cs="Sakkal Majalla"/>
          <w:sz w:val="28"/>
          <w:szCs w:val="28"/>
        </w:rPr>
        <w:t>uación fáctica lo registra pero</w:t>
      </w:r>
      <w:r w:rsidRPr="00CD55C4">
        <w:rPr>
          <w:rFonts w:ascii="Bookman Old Style" w:hAnsi="Bookman Old Style" w:cs="Sakkal Majalla"/>
          <w:sz w:val="28"/>
          <w:szCs w:val="28"/>
        </w:rPr>
        <w:t xml:space="preserve"> tan sólo se impartió legalidad al punible de tortura.  Re</w:t>
      </w:r>
      <w:r>
        <w:rPr>
          <w:rFonts w:ascii="Bookman Old Style" w:hAnsi="Bookman Old Style" w:cs="Sakkal Majalla"/>
          <w:sz w:val="28"/>
          <w:szCs w:val="28"/>
        </w:rPr>
        <w:t xml:space="preserve">clama </w:t>
      </w:r>
      <w:r w:rsidRPr="00CD55C4">
        <w:rPr>
          <w:rFonts w:ascii="Bookman Old Style" w:hAnsi="Bookman Old Style" w:cs="Sakkal Majalla"/>
          <w:sz w:val="28"/>
          <w:szCs w:val="28"/>
        </w:rPr>
        <w:t xml:space="preserve">que, en consecuencia, se incluya a </w:t>
      </w:r>
      <w:r>
        <w:rPr>
          <w:rFonts w:ascii="Bookman Old Style" w:hAnsi="Bookman Old Style" w:cs="Sakkal Majalla"/>
          <w:sz w:val="28"/>
          <w:szCs w:val="28"/>
        </w:rPr>
        <w:t>su núcleo familiar como víctima</w:t>
      </w:r>
      <w:r w:rsidRPr="00CD55C4">
        <w:rPr>
          <w:rFonts w:ascii="Bookman Old Style" w:hAnsi="Bookman Old Style" w:cs="Sakkal Majalla"/>
          <w:sz w:val="28"/>
          <w:szCs w:val="28"/>
        </w:rPr>
        <w:t>.</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Escuchados los registros técnicos de las audiencias, se estableció que en la formulación de imputación, la Fiscalía fijó la situación fáctica de la siguiente manera</w:t>
      </w:r>
      <w:r>
        <w:rPr>
          <w:rStyle w:val="Refdenotaalpie"/>
          <w:rFonts w:ascii="Bookman Old Style" w:hAnsi="Bookman Old Style" w:cs="Sakkal Majalla"/>
          <w:sz w:val="28"/>
          <w:szCs w:val="28"/>
        </w:rPr>
        <w:footnoteReference w:id="68"/>
      </w:r>
      <w:r>
        <w:rPr>
          <w:rFonts w:ascii="Bookman Old Style" w:hAnsi="Bookman Old Style" w:cs="Sakkal Majalla"/>
          <w:sz w:val="28"/>
          <w:szCs w:val="28"/>
        </w:rPr>
        <w:t>:</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Pr="00B4622B" w:rsidRDefault="00AD777C" w:rsidP="00AD777C">
      <w:pPr>
        <w:spacing w:line="360" w:lineRule="auto"/>
        <w:ind w:left="708"/>
        <w:jc w:val="both"/>
        <w:rPr>
          <w:rFonts w:ascii="Bookman Old Style" w:hAnsi="Bookman Old Style"/>
          <w:i/>
          <w:color w:val="C00000"/>
          <w:sz w:val="24"/>
          <w:szCs w:val="24"/>
          <w:lang w:val="es-CO"/>
        </w:rPr>
      </w:pPr>
      <w:r>
        <w:rPr>
          <w:rFonts w:ascii="Bookman Old Style" w:hAnsi="Bookman Old Style"/>
          <w:i/>
          <w:sz w:val="24"/>
          <w:szCs w:val="24"/>
          <w:lang w:val="es-CO"/>
        </w:rPr>
        <w:t xml:space="preserve">Caso número 20 del señor </w:t>
      </w:r>
      <w:r w:rsidRPr="00B4622B">
        <w:rPr>
          <w:rFonts w:ascii="Bookman Old Style" w:hAnsi="Bookman Old Style"/>
          <w:i/>
          <w:sz w:val="24"/>
          <w:szCs w:val="24"/>
          <w:lang w:val="es-CO"/>
        </w:rPr>
        <w:t>Nilson Alirio</w:t>
      </w:r>
      <w:r>
        <w:rPr>
          <w:rFonts w:ascii="Bookman Old Style" w:hAnsi="Bookman Old Style"/>
          <w:i/>
          <w:sz w:val="24"/>
          <w:szCs w:val="24"/>
          <w:lang w:val="es-CO"/>
        </w:rPr>
        <w:t xml:space="preserve"> Torres Cuyares. Datan los hechos del 18 de febrero de 2002. El señor Nilson Alirio Torres a quien popularmente se le conocía con el alias de</w:t>
      </w:r>
      <w:r w:rsidRPr="00B4622B">
        <w:rPr>
          <w:rFonts w:ascii="Bookman Old Style" w:hAnsi="Bookman Old Style"/>
          <w:i/>
          <w:sz w:val="24"/>
          <w:szCs w:val="24"/>
          <w:lang w:val="es-CO"/>
        </w:rPr>
        <w:t xml:space="preserve"> </w:t>
      </w:r>
      <w:r>
        <w:rPr>
          <w:rFonts w:ascii="Bookman Old Style" w:hAnsi="Bookman Old Style"/>
          <w:i/>
          <w:sz w:val="24"/>
          <w:szCs w:val="24"/>
          <w:lang w:val="es-CO"/>
        </w:rPr>
        <w:t>‘</w:t>
      </w:r>
      <w:r w:rsidRPr="00B4622B">
        <w:rPr>
          <w:rFonts w:ascii="Bookman Old Style" w:hAnsi="Bookman Old Style"/>
          <w:i/>
          <w:sz w:val="24"/>
          <w:szCs w:val="24"/>
          <w:lang w:val="es-CO"/>
        </w:rPr>
        <w:t>toconicho</w:t>
      </w:r>
      <w:r>
        <w:rPr>
          <w:rFonts w:ascii="Bookman Old Style" w:hAnsi="Bookman Old Style"/>
          <w:i/>
          <w:sz w:val="24"/>
          <w:szCs w:val="24"/>
          <w:lang w:val="es-CO"/>
        </w:rPr>
        <w:t>’</w:t>
      </w:r>
      <w:r w:rsidRPr="00B4622B">
        <w:rPr>
          <w:rFonts w:ascii="Bookman Old Style" w:hAnsi="Bookman Old Style"/>
          <w:i/>
          <w:sz w:val="24"/>
          <w:szCs w:val="24"/>
          <w:lang w:val="es-CO"/>
        </w:rPr>
        <w:t xml:space="preserve"> </w:t>
      </w:r>
      <w:r>
        <w:rPr>
          <w:rFonts w:ascii="Bookman Old Style" w:hAnsi="Bookman Old Style"/>
          <w:i/>
          <w:sz w:val="24"/>
          <w:szCs w:val="24"/>
          <w:lang w:val="es-CO"/>
        </w:rPr>
        <w:t xml:space="preserve">–dicen- porque presentaba ausencia del índice derecho, transportaba un viaje de víveres con destino a la finca Acapulco de propiedad de Anastasio Carrillo. Varias personas cercanas a él deciden ir a buscarlo en el pueblo sin tener resultados positivos; consecutivamente unos paisanos vecinos de una finca encontraron tirado al lado de la carretera a una persona se acercan y se percatan que tenía esa persona </w:t>
      </w:r>
      <w:r w:rsidRPr="00FB05BB">
        <w:rPr>
          <w:rFonts w:ascii="Bookman Old Style" w:hAnsi="Bookman Old Style"/>
          <w:sz w:val="28"/>
          <w:szCs w:val="28"/>
          <w:lang w:val="es-CO"/>
        </w:rPr>
        <w:t>(sic)</w:t>
      </w:r>
      <w:r>
        <w:rPr>
          <w:rFonts w:ascii="Bookman Old Style" w:hAnsi="Bookman Old Style"/>
          <w:i/>
          <w:sz w:val="24"/>
          <w:szCs w:val="24"/>
          <w:lang w:val="es-CO"/>
        </w:rPr>
        <w:t xml:space="preserve"> una herida a la altura de la frente y otra en el brazo… y percibieron que se trataba de Nilson Alirio Torres…</w:t>
      </w:r>
      <w:r w:rsidRPr="00B4622B">
        <w:rPr>
          <w:rFonts w:ascii="Bookman Old Style" w:hAnsi="Bookman Old Style"/>
          <w:i/>
          <w:sz w:val="24"/>
          <w:szCs w:val="24"/>
          <w:lang w:val="es-CO"/>
        </w:rPr>
        <w:t xml:space="preserve"> Los registrantes y las informaciones que detenta la investigac</w:t>
      </w:r>
      <w:r>
        <w:rPr>
          <w:rFonts w:ascii="Bookman Old Style" w:hAnsi="Bookman Old Style"/>
          <w:i/>
          <w:sz w:val="24"/>
          <w:szCs w:val="24"/>
          <w:lang w:val="es-CO"/>
        </w:rPr>
        <w:t>ión nos refiere que quien realizó</w:t>
      </w:r>
      <w:r w:rsidRPr="00B4622B">
        <w:rPr>
          <w:rFonts w:ascii="Bookman Old Style" w:hAnsi="Bookman Old Style"/>
          <w:i/>
          <w:sz w:val="24"/>
          <w:szCs w:val="24"/>
          <w:lang w:val="es-CO"/>
        </w:rPr>
        <w:t xml:space="preserve"> el acta de inspección al cuerpo de la persona ultimada fue la inspección de </w:t>
      </w:r>
      <w:r>
        <w:rPr>
          <w:rFonts w:ascii="Bookman Old Style" w:hAnsi="Bookman Old Style"/>
          <w:i/>
          <w:sz w:val="24"/>
          <w:szCs w:val="24"/>
          <w:lang w:val="es-CO"/>
        </w:rPr>
        <w:t>policía de</w:t>
      </w:r>
      <w:r w:rsidRPr="00B4622B">
        <w:rPr>
          <w:rFonts w:ascii="Bookman Old Style" w:hAnsi="Bookman Old Style"/>
          <w:i/>
          <w:sz w:val="24"/>
          <w:szCs w:val="24"/>
          <w:lang w:val="es-CO"/>
        </w:rPr>
        <w:t xml:space="preserve"> Santa Rosalía</w:t>
      </w:r>
      <w:r>
        <w:rPr>
          <w:rFonts w:ascii="Bookman Old Style" w:hAnsi="Bookman Old Style"/>
          <w:i/>
          <w:sz w:val="24"/>
          <w:szCs w:val="24"/>
          <w:lang w:val="es-CO"/>
        </w:rPr>
        <w:t>,</w:t>
      </w:r>
      <w:r w:rsidRPr="00B4622B">
        <w:rPr>
          <w:rFonts w:ascii="Bookman Old Style" w:hAnsi="Bookman Old Style"/>
          <w:i/>
          <w:sz w:val="24"/>
          <w:szCs w:val="24"/>
          <w:lang w:val="es-CO"/>
        </w:rPr>
        <w:t xml:space="preserve"> efectuado en la finca </w:t>
      </w:r>
      <w:r>
        <w:rPr>
          <w:rFonts w:ascii="Bookman Old Style" w:hAnsi="Bookman Old Style"/>
          <w:i/>
          <w:sz w:val="24"/>
          <w:szCs w:val="24"/>
          <w:lang w:val="es-CO"/>
        </w:rPr>
        <w:t>‘</w:t>
      </w:r>
      <w:r w:rsidRPr="00B4622B">
        <w:rPr>
          <w:rFonts w:ascii="Bookman Old Style" w:hAnsi="Bookman Old Style"/>
          <w:i/>
          <w:sz w:val="24"/>
          <w:szCs w:val="24"/>
          <w:lang w:val="es-CO"/>
        </w:rPr>
        <w:t>Acapulco</w:t>
      </w:r>
      <w:r>
        <w:rPr>
          <w:rFonts w:ascii="Bookman Old Style" w:hAnsi="Bookman Old Style"/>
          <w:i/>
          <w:sz w:val="24"/>
          <w:szCs w:val="24"/>
          <w:lang w:val="es-CO"/>
        </w:rPr>
        <w:t>’</w:t>
      </w:r>
      <w:r w:rsidRPr="00B4622B">
        <w:rPr>
          <w:rFonts w:ascii="Bookman Old Style" w:hAnsi="Bookman Old Style"/>
          <w:i/>
          <w:sz w:val="24"/>
          <w:szCs w:val="24"/>
          <w:lang w:val="es-CO"/>
        </w:rPr>
        <w:t xml:space="preserve"> ubicada en el m</w:t>
      </w:r>
      <w:r>
        <w:rPr>
          <w:rFonts w:ascii="Bookman Old Style" w:hAnsi="Bookman Old Style"/>
          <w:i/>
          <w:sz w:val="24"/>
          <w:szCs w:val="24"/>
          <w:lang w:val="es-CO"/>
        </w:rPr>
        <w:t>unicipio</w:t>
      </w:r>
      <w:r w:rsidRPr="00B4622B">
        <w:rPr>
          <w:rFonts w:ascii="Bookman Old Style" w:hAnsi="Bookman Old Style"/>
          <w:i/>
          <w:sz w:val="24"/>
          <w:szCs w:val="24"/>
          <w:lang w:val="es-CO"/>
        </w:rPr>
        <w:t xml:space="preserve"> Santa Rosalía del dep</w:t>
      </w:r>
      <w:r>
        <w:rPr>
          <w:rFonts w:ascii="Bookman Old Style" w:hAnsi="Bookman Old Style"/>
          <w:i/>
          <w:sz w:val="24"/>
          <w:szCs w:val="24"/>
          <w:lang w:val="es-CO"/>
        </w:rPr>
        <w:t>artamento de Vichada (</w:t>
      </w:r>
      <w:r w:rsidRPr="00B4622B">
        <w:rPr>
          <w:rFonts w:ascii="Bookman Old Style" w:hAnsi="Bookman Old Style"/>
          <w:i/>
          <w:sz w:val="24"/>
          <w:szCs w:val="24"/>
          <w:lang w:val="es-CO"/>
        </w:rPr>
        <w:t>…</w:t>
      </w:r>
      <w:r>
        <w:rPr>
          <w:rFonts w:ascii="Bookman Old Style" w:hAnsi="Bookman Old Style"/>
          <w:i/>
          <w:sz w:val="24"/>
          <w:szCs w:val="24"/>
          <w:lang w:val="es-CO"/>
        </w:rPr>
        <w:t>)</w:t>
      </w:r>
      <w:r w:rsidRPr="00B4622B">
        <w:rPr>
          <w:rFonts w:ascii="Bookman Old Style" w:hAnsi="Bookman Old Style"/>
          <w:i/>
          <w:sz w:val="24"/>
          <w:szCs w:val="24"/>
          <w:lang w:val="es-CO"/>
        </w:rPr>
        <w:t xml:space="preserve"> que era de influencia de área</w:t>
      </w:r>
      <w:r>
        <w:rPr>
          <w:rFonts w:ascii="Bookman Old Style" w:hAnsi="Bookman Old Style"/>
          <w:i/>
          <w:sz w:val="24"/>
          <w:szCs w:val="24"/>
          <w:lang w:val="es-CO"/>
        </w:rPr>
        <w:t xml:space="preserve"> de alias</w:t>
      </w:r>
      <w:r w:rsidRPr="00B4622B">
        <w:rPr>
          <w:rFonts w:ascii="Bookman Old Style" w:hAnsi="Bookman Old Style"/>
          <w:i/>
          <w:sz w:val="24"/>
          <w:szCs w:val="24"/>
          <w:lang w:val="es-CO"/>
        </w:rPr>
        <w:t xml:space="preserve"> </w:t>
      </w:r>
      <w:r>
        <w:rPr>
          <w:rFonts w:ascii="Bookman Old Style" w:hAnsi="Bookman Old Style"/>
          <w:i/>
          <w:sz w:val="24"/>
          <w:szCs w:val="24"/>
          <w:lang w:val="es-CO"/>
        </w:rPr>
        <w:t>‘</w:t>
      </w:r>
      <w:r w:rsidRPr="00B4622B">
        <w:rPr>
          <w:rFonts w:ascii="Bookman Old Style" w:hAnsi="Bookman Old Style"/>
          <w:i/>
          <w:sz w:val="24"/>
          <w:szCs w:val="24"/>
          <w:lang w:val="es-CO"/>
        </w:rPr>
        <w:t>gua</w:t>
      </w:r>
      <w:r>
        <w:rPr>
          <w:rFonts w:ascii="Bookman Old Style" w:hAnsi="Bookman Old Style"/>
          <w:i/>
          <w:sz w:val="24"/>
          <w:szCs w:val="24"/>
          <w:lang w:val="es-CO"/>
        </w:rPr>
        <w:t>hibo’. L</w:t>
      </w:r>
      <w:r w:rsidRPr="00B4622B">
        <w:rPr>
          <w:rFonts w:ascii="Bookman Old Style" w:hAnsi="Bookman Old Style"/>
          <w:i/>
          <w:sz w:val="24"/>
          <w:szCs w:val="24"/>
          <w:lang w:val="es-CO"/>
        </w:rPr>
        <w:t>o que nos refiere el protocolo es exactame</w:t>
      </w:r>
      <w:r>
        <w:rPr>
          <w:rFonts w:ascii="Bookman Old Style" w:hAnsi="Bookman Old Style"/>
          <w:i/>
          <w:sz w:val="24"/>
          <w:szCs w:val="24"/>
          <w:lang w:val="es-CO"/>
        </w:rPr>
        <w:t>nte</w:t>
      </w:r>
      <w:r w:rsidRPr="00B4622B">
        <w:rPr>
          <w:rFonts w:ascii="Bookman Old Style" w:hAnsi="Bookman Old Style"/>
          <w:i/>
          <w:sz w:val="24"/>
          <w:szCs w:val="24"/>
          <w:lang w:val="es-CO"/>
        </w:rPr>
        <w:t xml:space="preserve"> lo que nos refie</w:t>
      </w:r>
      <w:r>
        <w:rPr>
          <w:rFonts w:ascii="Bookman Old Style" w:hAnsi="Bookman Old Style"/>
          <w:i/>
          <w:sz w:val="24"/>
          <w:szCs w:val="24"/>
          <w:lang w:val="es-CO"/>
        </w:rPr>
        <w:t>r</w:t>
      </w:r>
      <w:r w:rsidRPr="00B4622B">
        <w:rPr>
          <w:rFonts w:ascii="Bookman Old Style" w:hAnsi="Bookman Old Style"/>
          <w:i/>
          <w:sz w:val="24"/>
          <w:szCs w:val="24"/>
          <w:lang w:val="es-CO"/>
        </w:rPr>
        <w:t>e</w:t>
      </w:r>
      <w:r>
        <w:rPr>
          <w:rFonts w:ascii="Bookman Old Style" w:hAnsi="Bookman Old Style"/>
          <w:i/>
          <w:sz w:val="24"/>
          <w:szCs w:val="24"/>
          <w:lang w:val="es-CO"/>
        </w:rPr>
        <w:t xml:space="preserve"> </w:t>
      </w:r>
      <w:r w:rsidRPr="00FB05BB">
        <w:rPr>
          <w:rFonts w:ascii="Bookman Old Style" w:hAnsi="Bookman Old Style"/>
          <w:sz w:val="28"/>
          <w:szCs w:val="28"/>
          <w:lang w:val="es-CO"/>
        </w:rPr>
        <w:t xml:space="preserve">(sic) </w:t>
      </w:r>
      <w:r>
        <w:rPr>
          <w:rFonts w:ascii="Bookman Old Style" w:hAnsi="Bookman Old Style"/>
          <w:i/>
          <w:sz w:val="24"/>
          <w:szCs w:val="24"/>
          <w:lang w:val="es-CO"/>
        </w:rPr>
        <w:t xml:space="preserve"> las ví</w:t>
      </w:r>
      <w:r w:rsidRPr="00B4622B">
        <w:rPr>
          <w:rFonts w:ascii="Bookman Old Style" w:hAnsi="Bookman Old Style"/>
          <w:i/>
          <w:sz w:val="24"/>
          <w:szCs w:val="24"/>
          <w:lang w:val="es-CO"/>
        </w:rPr>
        <w:t>ctimas indirectas del episodio y es que esta persona fue ultimada por proyectil de arma de fuego</w:t>
      </w:r>
      <w:r>
        <w:rPr>
          <w:rFonts w:ascii="Bookman Old Style" w:hAnsi="Bookman Old Style"/>
          <w:i/>
          <w:sz w:val="24"/>
          <w:szCs w:val="24"/>
          <w:lang w:val="es-CO"/>
        </w:rPr>
        <w:t>. E</w:t>
      </w:r>
      <w:r w:rsidRPr="00B4622B">
        <w:rPr>
          <w:rFonts w:ascii="Bookman Old Style" w:hAnsi="Bookman Old Style"/>
          <w:i/>
          <w:sz w:val="24"/>
          <w:szCs w:val="24"/>
          <w:lang w:val="es-CO"/>
        </w:rPr>
        <w:t xml:space="preserve">n torno de este </w:t>
      </w:r>
      <w:r>
        <w:rPr>
          <w:rFonts w:ascii="Bookman Old Style" w:hAnsi="Bookman Old Style"/>
          <w:i/>
          <w:sz w:val="24"/>
          <w:szCs w:val="24"/>
          <w:lang w:val="es-CO"/>
        </w:rPr>
        <w:t>epis</w:t>
      </w:r>
      <w:r w:rsidRPr="00B4622B">
        <w:rPr>
          <w:rFonts w:ascii="Bookman Old Style" w:hAnsi="Bookman Old Style"/>
          <w:i/>
          <w:sz w:val="24"/>
          <w:szCs w:val="24"/>
          <w:lang w:val="es-CO"/>
        </w:rPr>
        <w:t>odio consideramos que es un delito de lesa humanidad…. por esa razón hemos considerado que debe ser considerado crimen de lesa humanida</w:t>
      </w:r>
      <w:r>
        <w:rPr>
          <w:rFonts w:ascii="Bookman Old Style" w:hAnsi="Bookman Old Style"/>
          <w:i/>
          <w:sz w:val="24"/>
          <w:szCs w:val="24"/>
          <w:lang w:val="es-CO"/>
        </w:rPr>
        <w:t>d</w:t>
      </w:r>
      <w:r w:rsidRPr="00B4622B">
        <w:rPr>
          <w:rFonts w:ascii="Bookman Old Style" w:hAnsi="Bookman Old Style"/>
          <w:i/>
          <w:sz w:val="24"/>
          <w:szCs w:val="24"/>
          <w:lang w:val="es-CO"/>
        </w:rPr>
        <w:t>…debe califi</w:t>
      </w:r>
      <w:r>
        <w:rPr>
          <w:rFonts w:ascii="Bookman Old Style" w:hAnsi="Bookman Old Style"/>
          <w:i/>
          <w:sz w:val="24"/>
          <w:szCs w:val="24"/>
          <w:lang w:val="es-CO"/>
        </w:rPr>
        <w:t>c</w:t>
      </w:r>
      <w:r w:rsidRPr="00B4622B">
        <w:rPr>
          <w:rFonts w:ascii="Bookman Old Style" w:hAnsi="Bookman Old Style"/>
          <w:i/>
          <w:sz w:val="24"/>
          <w:szCs w:val="24"/>
          <w:lang w:val="es-CO"/>
        </w:rPr>
        <w:t>ar la conducta como homicidio en pers</w:t>
      </w:r>
      <w:r>
        <w:rPr>
          <w:rFonts w:ascii="Bookman Old Style" w:hAnsi="Bookman Old Style"/>
          <w:i/>
          <w:sz w:val="24"/>
          <w:szCs w:val="24"/>
          <w:lang w:val="es-CO"/>
        </w:rPr>
        <w:t>ona</w:t>
      </w:r>
      <w:r w:rsidRPr="00B4622B">
        <w:rPr>
          <w:rFonts w:ascii="Bookman Old Style" w:hAnsi="Bookman Old Style"/>
          <w:i/>
          <w:sz w:val="24"/>
          <w:szCs w:val="24"/>
          <w:lang w:val="es-CO"/>
        </w:rPr>
        <w:t xml:space="preserve"> protegida conforme a</w:t>
      </w:r>
      <w:r>
        <w:rPr>
          <w:rFonts w:ascii="Bookman Old Style" w:hAnsi="Bookman Old Style"/>
          <w:i/>
          <w:sz w:val="24"/>
          <w:szCs w:val="24"/>
          <w:lang w:val="es-CO"/>
        </w:rPr>
        <w:t xml:space="preserve"> </w:t>
      </w:r>
      <w:r w:rsidRPr="00B4622B">
        <w:rPr>
          <w:rFonts w:ascii="Bookman Old Style" w:hAnsi="Bookman Old Style"/>
          <w:i/>
          <w:sz w:val="24"/>
          <w:szCs w:val="24"/>
          <w:lang w:val="es-CO"/>
        </w:rPr>
        <w:t>l</w:t>
      </w:r>
      <w:r>
        <w:rPr>
          <w:rFonts w:ascii="Bookman Old Style" w:hAnsi="Bookman Old Style"/>
          <w:i/>
          <w:sz w:val="24"/>
          <w:szCs w:val="24"/>
          <w:lang w:val="es-CO"/>
        </w:rPr>
        <w:t>as previsiones del</w:t>
      </w:r>
      <w:r w:rsidRPr="00B4622B">
        <w:rPr>
          <w:rFonts w:ascii="Bookman Old Style" w:hAnsi="Bookman Old Style"/>
          <w:i/>
          <w:sz w:val="24"/>
          <w:szCs w:val="24"/>
          <w:lang w:val="es-CO"/>
        </w:rPr>
        <w:t xml:space="preserve"> art</w:t>
      </w:r>
      <w:r>
        <w:rPr>
          <w:rFonts w:ascii="Bookman Old Style" w:hAnsi="Bookman Old Style"/>
          <w:i/>
          <w:sz w:val="24"/>
          <w:szCs w:val="24"/>
          <w:lang w:val="es-CO"/>
        </w:rPr>
        <w:t>ículo</w:t>
      </w:r>
      <w:r w:rsidRPr="00B4622B">
        <w:rPr>
          <w:rFonts w:ascii="Bookman Old Style" w:hAnsi="Bookman Old Style"/>
          <w:i/>
          <w:sz w:val="24"/>
          <w:szCs w:val="24"/>
          <w:lang w:val="es-CO"/>
        </w:rPr>
        <w:t xml:space="preserve"> 135 numeral primero </w:t>
      </w:r>
      <w:r>
        <w:rPr>
          <w:rFonts w:ascii="Bookman Old Style" w:hAnsi="Bookman Old Style"/>
          <w:i/>
          <w:sz w:val="24"/>
          <w:szCs w:val="24"/>
          <w:lang w:val="es-CO"/>
        </w:rPr>
        <w:t>y que deben responder por autorí</w:t>
      </w:r>
      <w:r w:rsidRPr="00B4622B">
        <w:rPr>
          <w:rFonts w:ascii="Bookman Old Style" w:hAnsi="Bookman Old Style"/>
          <w:i/>
          <w:sz w:val="24"/>
          <w:szCs w:val="24"/>
          <w:lang w:val="es-CO"/>
        </w:rPr>
        <w:t xml:space="preserve">a mediata los señoras </w:t>
      </w:r>
      <w:r>
        <w:rPr>
          <w:rFonts w:ascii="Bookman Old Style" w:hAnsi="Bookman Old Style"/>
          <w:i/>
          <w:sz w:val="24"/>
          <w:szCs w:val="24"/>
          <w:lang w:val="es-CO"/>
        </w:rPr>
        <w:t>RAFAEL SALGADO MERCHÁN y JOSÉ BALDOMERO LINARES MORENO.</w:t>
      </w:r>
      <w:r w:rsidRPr="00B4622B">
        <w:rPr>
          <w:rFonts w:ascii="Bookman Old Style" w:hAnsi="Bookman Old Style"/>
          <w:i/>
          <w:sz w:val="24"/>
          <w:szCs w:val="24"/>
          <w:lang w:val="es-CO"/>
        </w:rPr>
        <w:t xml:space="preserve">  </w:t>
      </w:r>
    </w:p>
    <w:p w:rsidR="00AD777C" w:rsidRPr="00B4622B" w:rsidRDefault="00AD777C" w:rsidP="00AD777C">
      <w:pPr>
        <w:spacing w:line="360" w:lineRule="auto"/>
        <w:jc w:val="both"/>
        <w:rPr>
          <w:rFonts w:ascii="Bookman Old Style" w:hAnsi="Bookman Old Style"/>
          <w:i/>
          <w:color w:val="C00000"/>
          <w:sz w:val="24"/>
          <w:szCs w:val="24"/>
          <w:lang w:val="es-CO"/>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El 13 de julio de 2010 se adelantó la sesión de audiencia de formulación de cargos</w:t>
      </w:r>
      <w:r>
        <w:rPr>
          <w:rStyle w:val="Refdenotaalpie"/>
          <w:rFonts w:ascii="Bookman Old Style" w:hAnsi="Bookman Old Style" w:cs="Sakkal Majalla"/>
          <w:sz w:val="28"/>
          <w:szCs w:val="28"/>
        </w:rPr>
        <w:footnoteReference w:id="69"/>
      </w:r>
      <w:r>
        <w:rPr>
          <w:rFonts w:ascii="Bookman Old Style" w:hAnsi="Bookman Old Style" w:cs="Sakkal Majalla"/>
          <w:sz w:val="28"/>
          <w:szCs w:val="28"/>
        </w:rPr>
        <w:t>, la cual se realizó en idénticos términos, es decir, en contra de SALGADO MERCHÁN y BALDOMERO LINARES, por el delito de homicidio en persona protegida,  presentación que se repitió en la audiencia de legalización de cargos</w:t>
      </w:r>
      <w:r>
        <w:rPr>
          <w:rStyle w:val="Refdenotaalpie"/>
          <w:rFonts w:ascii="Bookman Old Style" w:hAnsi="Bookman Old Style" w:cs="Sakkal Majalla"/>
          <w:sz w:val="28"/>
          <w:szCs w:val="28"/>
        </w:rPr>
        <w:footnoteReference w:id="70"/>
      </w:r>
      <w:r>
        <w:rPr>
          <w:rFonts w:ascii="Bookman Old Style" w:hAnsi="Bookman Old Style" w:cs="Sakkal Majalla"/>
          <w:sz w:val="28"/>
          <w:szCs w:val="28"/>
        </w:rPr>
        <w:t xml:space="preserve"> pero adicionando el punible de tortura que también fue aceptado por los postulados.</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Nada dijo el </w:t>
      </w:r>
      <w:r w:rsidRPr="00E85782">
        <w:rPr>
          <w:rFonts w:ascii="Bookman Old Style" w:hAnsi="Bookman Old Style" w:cs="Sakkal Majalla"/>
          <w:i/>
          <w:sz w:val="28"/>
          <w:szCs w:val="28"/>
        </w:rPr>
        <w:t>A quo</w:t>
      </w:r>
      <w:r>
        <w:rPr>
          <w:rFonts w:ascii="Bookman Old Style" w:hAnsi="Bookman Old Style" w:cs="Sakkal Majalla"/>
          <w:sz w:val="28"/>
          <w:szCs w:val="28"/>
        </w:rPr>
        <w:t xml:space="preserve"> en la sentencia acerca del delito de homicidio en persona protegida del que fuera víctima el ciudadano Nilson Alirio Torres Cuyares, pese a ser un hecho confesado y aceptado por los comandantes del grupo  ACMV, como a continuación se verá:</w:t>
      </w: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 </w:t>
      </w: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Atendiendo la fecha de ocurrencia del homicidio (18 de febrero de 2002), el análisis debía enmarcase en la tipicidad descrita por el artículo 135 de la Ley 599 de 2000</w:t>
      </w:r>
      <w:r>
        <w:rPr>
          <w:rStyle w:val="Refdenotaalpie"/>
          <w:rFonts w:ascii="Bookman Old Style" w:hAnsi="Bookman Old Style" w:cs="Sakkal Majalla"/>
          <w:sz w:val="28"/>
          <w:szCs w:val="28"/>
        </w:rPr>
        <w:footnoteReference w:id="71"/>
      </w:r>
      <w:r>
        <w:rPr>
          <w:rFonts w:ascii="Bookman Old Style" w:hAnsi="Bookman Old Style" w:cs="Sakkal Majalla"/>
          <w:sz w:val="28"/>
          <w:szCs w:val="28"/>
        </w:rPr>
        <w:t>, no obstante, omitió el Tribunal de primera instancia su inclusión, y consecuencialmente el examen propio con miras a determinar si era una conducta viable de ser legalizada.</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Así, el </w:t>
      </w:r>
      <w:r w:rsidRPr="007E022A">
        <w:rPr>
          <w:rFonts w:ascii="Bookman Old Style" w:hAnsi="Bookman Old Style" w:cs="Sakkal Majalla"/>
          <w:i/>
          <w:sz w:val="28"/>
          <w:szCs w:val="28"/>
        </w:rPr>
        <w:t>A quo</w:t>
      </w:r>
      <w:r>
        <w:rPr>
          <w:rFonts w:ascii="Bookman Old Style" w:hAnsi="Bookman Old Style" w:cs="Sakkal Majalla"/>
          <w:sz w:val="28"/>
          <w:szCs w:val="28"/>
        </w:rPr>
        <w:t xml:space="preserve"> se refirió a los cargos legalizados por el punible de homicidio en persona protegida</w:t>
      </w:r>
      <w:r>
        <w:rPr>
          <w:rStyle w:val="Refdenotaalpie"/>
          <w:rFonts w:ascii="Bookman Old Style" w:hAnsi="Bookman Old Style" w:cs="Sakkal Majalla"/>
          <w:sz w:val="28"/>
          <w:szCs w:val="28"/>
        </w:rPr>
        <w:footnoteReference w:id="72"/>
      </w:r>
      <w:r>
        <w:rPr>
          <w:rFonts w:ascii="Bookman Old Style" w:hAnsi="Bookman Old Style" w:cs="Sakkal Majalla"/>
          <w:sz w:val="28"/>
          <w:szCs w:val="28"/>
        </w:rPr>
        <w:t>:</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Pr="00371C25" w:rsidRDefault="00AD777C" w:rsidP="00AD777C">
      <w:pPr>
        <w:spacing w:line="360" w:lineRule="auto"/>
        <w:ind w:left="708" w:right="-187"/>
        <w:jc w:val="both"/>
        <w:rPr>
          <w:rFonts w:ascii="Bookman Old Style" w:hAnsi="Bookman Old Style" w:cs="Sakkal Majalla"/>
          <w:i/>
          <w:sz w:val="24"/>
          <w:szCs w:val="24"/>
        </w:rPr>
      </w:pPr>
      <w:r w:rsidRPr="00371C25">
        <w:rPr>
          <w:rFonts w:ascii="Bookman Old Style" w:hAnsi="Bookman Old Style" w:cs="Sakkal Majalla"/>
          <w:i/>
          <w:sz w:val="24"/>
          <w:szCs w:val="24"/>
        </w:rPr>
        <w:t xml:space="preserve">1020. Los cargos que corresponden a estos parámetros son los hechos 5, 25, 26, 85, 91, 106 y 116, que serán legalizados como homicidios en persona protegida art. 135 numeral 1, artículo que fue analizado en párrafos anteriores.   </w:t>
      </w: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w:t>
      </w:r>
    </w:p>
    <w:p w:rsidR="00AD777C" w:rsidRPr="000B38BA" w:rsidRDefault="00AD777C" w:rsidP="00AD777C">
      <w:pPr>
        <w:spacing w:line="360" w:lineRule="auto"/>
        <w:ind w:left="708" w:right="-187"/>
        <w:jc w:val="both"/>
        <w:rPr>
          <w:rFonts w:ascii="Bookman Old Style" w:hAnsi="Bookman Old Style" w:cs="Sakkal Majalla"/>
          <w:i/>
          <w:sz w:val="24"/>
          <w:szCs w:val="24"/>
        </w:rPr>
      </w:pPr>
      <w:r w:rsidRPr="000B38BA">
        <w:rPr>
          <w:rFonts w:ascii="Bookman Old Style" w:hAnsi="Bookman Old Style" w:cs="Sakkal Majalla"/>
          <w:i/>
          <w:sz w:val="24"/>
          <w:szCs w:val="24"/>
        </w:rPr>
        <w:t xml:space="preserve">1043. Por lo expuesto, la Sala decide </w:t>
      </w:r>
      <w:r w:rsidRPr="000B38BA">
        <w:rPr>
          <w:rFonts w:ascii="Bookman Old Style" w:hAnsi="Bookman Old Style" w:cs="Sakkal Majalla"/>
          <w:b/>
          <w:i/>
          <w:sz w:val="24"/>
          <w:szCs w:val="24"/>
        </w:rPr>
        <w:t>LEGALIZAR</w:t>
      </w:r>
      <w:r w:rsidRPr="000B38BA">
        <w:rPr>
          <w:rFonts w:ascii="Bookman Old Style" w:hAnsi="Bookman Old Style" w:cs="Sakkal Majalla"/>
          <w:i/>
          <w:sz w:val="24"/>
          <w:szCs w:val="24"/>
        </w:rPr>
        <w:t xml:space="preserve"> el delito de homicidio en persona protegida art. 135 parágrafo numeral 1, en concurso con desaparición forzada artículo 165 de la Ley 599 de 2000, formulado en los hechos 3, 8, 10, 21, 24, 27, 30, 33, 34, 56, 60, 61, 65, 80, 86, 104, 110, 113, 114, 115 y 119.  </w:t>
      </w:r>
      <w:r w:rsidRPr="000B38BA">
        <w:rPr>
          <w:rFonts w:ascii="Bookman Old Style" w:hAnsi="Bookman Old Style" w:cs="Sakkal Majalla"/>
          <w:b/>
          <w:i/>
          <w:sz w:val="24"/>
          <w:szCs w:val="24"/>
        </w:rPr>
        <w:t>LEGALIZAR</w:t>
      </w:r>
      <w:r w:rsidRPr="000B38BA">
        <w:rPr>
          <w:rFonts w:ascii="Bookman Old Style" w:hAnsi="Bookman Old Style" w:cs="Sakkal Majalla"/>
          <w:i/>
          <w:sz w:val="24"/>
          <w:szCs w:val="24"/>
        </w:rPr>
        <w:t xml:space="preserve"> el delito de homicidio en persona protegida art. 135 parágrafo numeral 1, que fue formulado en el hecho 69, y </w:t>
      </w:r>
      <w:r w:rsidRPr="000B38BA">
        <w:rPr>
          <w:rFonts w:ascii="Bookman Old Style" w:hAnsi="Bookman Old Style" w:cs="Sakkal Majalla"/>
          <w:b/>
          <w:i/>
          <w:sz w:val="24"/>
          <w:szCs w:val="24"/>
        </w:rPr>
        <w:t>NO LEGALIZAR</w:t>
      </w:r>
      <w:r>
        <w:rPr>
          <w:rFonts w:ascii="Bookman Old Style" w:hAnsi="Bookman Old Style" w:cs="Sakkal Majalla"/>
          <w:i/>
          <w:sz w:val="24"/>
          <w:szCs w:val="24"/>
        </w:rPr>
        <w:t xml:space="preserve"> el delito de desapari</w:t>
      </w:r>
      <w:r w:rsidRPr="000B38BA">
        <w:rPr>
          <w:rFonts w:ascii="Bookman Old Style" w:hAnsi="Bookman Old Style" w:cs="Sakkal Majalla"/>
          <w:i/>
          <w:sz w:val="24"/>
          <w:szCs w:val="24"/>
        </w:rPr>
        <w:t xml:space="preserve">ción forzada del artículo 165 de la Ley 599 de 2000, en su lugar legalizar el delito de secuestro agravado conforme a los artículos 168 y 170 numeral 2, 10 </w:t>
      </w:r>
      <w:r>
        <w:rPr>
          <w:rFonts w:ascii="Bookman Old Style" w:hAnsi="Bookman Old Style" w:cs="Sakkal Majalla"/>
          <w:i/>
          <w:sz w:val="24"/>
          <w:szCs w:val="24"/>
        </w:rPr>
        <w:t>d</w:t>
      </w:r>
      <w:r w:rsidRPr="000B38BA">
        <w:rPr>
          <w:rFonts w:ascii="Bookman Old Style" w:hAnsi="Bookman Old Style" w:cs="Sakkal Majalla"/>
          <w:i/>
          <w:sz w:val="24"/>
          <w:szCs w:val="24"/>
        </w:rPr>
        <w:t xml:space="preserve">e la Ley 599 de 2000. </w:t>
      </w:r>
      <w:r w:rsidRPr="000B38BA">
        <w:rPr>
          <w:rFonts w:ascii="Bookman Old Style" w:hAnsi="Bookman Old Style" w:cs="Sakkal Majalla"/>
          <w:b/>
          <w:i/>
          <w:sz w:val="24"/>
          <w:szCs w:val="24"/>
        </w:rPr>
        <w:t>NO LEGALIZAR</w:t>
      </w:r>
      <w:r w:rsidRPr="000B38BA">
        <w:rPr>
          <w:rFonts w:ascii="Bookman Old Style" w:hAnsi="Bookman Old Style" w:cs="Sakkal Majalla"/>
          <w:i/>
          <w:sz w:val="24"/>
          <w:szCs w:val="24"/>
        </w:rPr>
        <w:t xml:space="preserve"> los delitos formulados en el hecho 20.</w:t>
      </w:r>
      <w:r>
        <w:rPr>
          <w:rStyle w:val="Refdenotaalpie"/>
          <w:rFonts w:ascii="Bookman Old Style" w:hAnsi="Bookman Old Style" w:cs="Sakkal Majalla"/>
          <w:i/>
          <w:sz w:val="24"/>
          <w:szCs w:val="24"/>
        </w:rPr>
        <w:footnoteReference w:id="73"/>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De esa forma, resulta procedente acceder a lo pretendido por la Fiscalía, por cuanto el cargo de homicidio en persona protegida cometido en Nilson Alirio Torres Cuyares (</w:t>
      </w:r>
      <w:r>
        <w:rPr>
          <w:rFonts w:ascii="Bookman Old Style" w:hAnsi="Bookman Old Style" w:cs="Sakkal Majalla"/>
          <w:b/>
          <w:sz w:val="28"/>
          <w:szCs w:val="28"/>
        </w:rPr>
        <w:t>hecho No</w:t>
      </w:r>
      <w:r w:rsidRPr="00A166FF">
        <w:rPr>
          <w:rFonts w:ascii="Bookman Old Style" w:hAnsi="Bookman Old Style" w:cs="Sakkal Majalla"/>
          <w:b/>
          <w:sz w:val="28"/>
          <w:szCs w:val="28"/>
        </w:rPr>
        <w:t>. 22</w:t>
      </w:r>
      <w:r>
        <w:rPr>
          <w:rFonts w:ascii="Bookman Old Style" w:hAnsi="Bookman Old Style" w:cs="Sakkal Majalla"/>
          <w:sz w:val="28"/>
          <w:szCs w:val="28"/>
        </w:rPr>
        <w:t xml:space="preserve">) evidentemente fue objeto de imputación y formulación de cargos, así como de aceptación por parte de los postulados, a la vez que se ajusta a la narración fáctica realizada desde el comienzo de la etapa judicial del proceso, por la Fiscalía, solo que, ante la cantidad de hechos y víctimas, se obvió su legalización. </w:t>
      </w:r>
    </w:p>
    <w:p w:rsidR="00AD777C" w:rsidRDefault="00AD777C" w:rsidP="00AD777C">
      <w:pPr>
        <w:spacing w:line="360" w:lineRule="auto"/>
        <w:ind w:right="-187"/>
        <w:jc w:val="both"/>
        <w:rPr>
          <w:rFonts w:ascii="Bookman Old Style" w:hAnsi="Bookman Old Style" w:cs="Sakkal Majalla"/>
          <w:color w:val="7030A0"/>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Pasando a otra de las inconformidades, este sujeto recurrente solicita que en segunda instancia se incluya en la parte resolutiva la decisión sobre la legalización de los cargos formulados en el </w:t>
      </w:r>
      <w:r w:rsidRPr="0056790F">
        <w:rPr>
          <w:rFonts w:ascii="Bookman Old Style" w:hAnsi="Bookman Old Style" w:cs="Sakkal Majalla"/>
          <w:b/>
          <w:sz w:val="28"/>
          <w:szCs w:val="28"/>
        </w:rPr>
        <w:t>hecho 52</w:t>
      </w:r>
      <w:r w:rsidRPr="00E008AB">
        <w:rPr>
          <w:rFonts w:ascii="Bookman Old Style" w:hAnsi="Bookman Old Style" w:cs="Sakkal Majalla"/>
          <w:sz w:val="28"/>
          <w:szCs w:val="28"/>
        </w:rPr>
        <w:t>.</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Ha de recordarse que este caso fue referenciado someramente por la Fiscalía durante la audiencia de formulación de cargos</w:t>
      </w:r>
      <w:r>
        <w:rPr>
          <w:rStyle w:val="Refdenotaalpie"/>
          <w:rFonts w:ascii="Bookman Old Style" w:hAnsi="Bookman Old Style" w:cs="Sakkal Majalla"/>
          <w:sz w:val="28"/>
          <w:szCs w:val="28"/>
        </w:rPr>
        <w:footnoteReference w:id="74"/>
      </w:r>
      <w:r>
        <w:rPr>
          <w:rFonts w:ascii="Bookman Old Style" w:hAnsi="Bookman Old Style" w:cs="Sakkal Majalla"/>
          <w:sz w:val="28"/>
          <w:szCs w:val="28"/>
        </w:rPr>
        <w:t xml:space="preserve">, como una de las afectaciones surgidas a raíz de la incursión de varios hombres uniformados y armados al corregimiento San Teodoro  (Vichada), el  3 de mayo de 1999. En ella, se agruparon los </w:t>
      </w:r>
      <w:r w:rsidRPr="0056790F">
        <w:rPr>
          <w:rFonts w:ascii="Bookman Old Style" w:hAnsi="Bookman Old Style" w:cs="Sakkal Majalla"/>
          <w:b/>
          <w:sz w:val="28"/>
          <w:szCs w:val="28"/>
        </w:rPr>
        <w:t>hechos 46 a 54</w:t>
      </w:r>
      <w:r>
        <w:rPr>
          <w:rFonts w:ascii="Bookman Old Style" w:hAnsi="Bookman Old Style" w:cs="Sakkal Majalla"/>
          <w:sz w:val="28"/>
          <w:szCs w:val="28"/>
        </w:rPr>
        <w:t xml:space="preserve"> y se formularon cargos por:</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Pr="002447E3" w:rsidRDefault="00AD777C" w:rsidP="00AD777C">
      <w:pPr>
        <w:spacing w:line="360" w:lineRule="auto"/>
        <w:ind w:left="708"/>
        <w:jc w:val="both"/>
        <w:rPr>
          <w:rFonts w:ascii="Bookman Old Style" w:hAnsi="Bookman Old Style"/>
          <w:i/>
          <w:sz w:val="24"/>
          <w:szCs w:val="24"/>
          <w:lang w:val="es-CO"/>
        </w:rPr>
      </w:pPr>
      <w:r>
        <w:rPr>
          <w:rFonts w:ascii="Bookman Old Style" w:hAnsi="Bookman Old Style"/>
          <w:i/>
          <w:sz w:val="24"/>
          <w:szCs w:val="24"/>
          <w:lang w:val="es-CO"/>
        </w:rPr>
        <w:t>(…) 6 episodios de s</w:t>
      </w:r>
      <w:r w:rsidRPr="002447E3">
        <w:rPr>
          <w:rFonts w:ascii="Bookman Old Style" w:hAnsi="Bookman Old Style"/>
          <w:i/>
          <w:sz w:val="24"/>
          <w:szCs w:val="24"/>
          <w:lang w:val="es-CO"/>
        </w:rPr>
        <w:t>angre el 3 de mayo de 1999 y todos son crímenes de lesa humanidad.</w:t>
      </w:r>
    </w:p>
    <w:p w:rsidR="00AD777C" w:rsidRPr="002447E3" w:rsidRDefault="00AD777C" w:rsidP="00AD777C">
      <w:pPr>
        <w:spacing w:line="360" w:lineRule="auto"/>
        <w:ind w:left="708"/>
        <w:jc w:val="both"/>
        <w:rPr>
          <w:rFonts w:ascii="Bookman Old Style" w:hAnsi="Bookman Old Style"/>
          <w:i/>
          <w:sz w:val="24"/>
          <w:szCs w:val="24"/>
          <w:lang w:val="es-CO"/>
        </w:rPr>
      </w:pPr>
      <w:r w:rsidRPr="002447E3">
        <w:rPr>
          <w:rFonts w:ascii="Bookman Old Style" w:hAnsi="Bookman Old Style"/>
          <w:i/>
          <w:sz w:val="24"/>
          <w:szCs w:val="24"/>
          <w:lang w:val="es-CO"/>
        </w:rPr>
        <w:t xml:space="preserve">(21:52) Cargos a BALDOMERO </w:t>
      </w:r>
      <w:r>
        <w:rPr>
          <w:rFonts w:ascii="Bookman Old Style" w:hAnsi="Bookman Old Style"/>
          <w:i/>
          <w:sz w:val="24"/>
          <w:szCs w:val="24"/>
          <w:lang w:val="es-CO"/>
        </w:rPr>
        <w:t xml:space="preserve">LINARES </w:t>
      </w:r>
      <w:r w:rsidRPr="002447E3">
        <w:rPr>
          <w:rFonts w:ascii="Bookman Old Style" w:hAnsi="Bookman Old Style"/>
          <w:i/>
          <w:sz w:val="24"/>
          <w:szCs w:val="24"/>
          <w:lang w:val="es-CO"/>
        </w:rPr>
        <w:t>Y RAFAEL SALGADO MERCHAN: homicidio agravado</w:t>
      </w:r>
      <w:r>
        <w:rPr>
          <w:rFonts w:ascii="Bookman Old Style" w:hAnsi="Bookman Old Style"/>
          <w:i/>
          <w:sz w:val="24"/>
          <w:szCs w:val="24"/>
          <w:lang w:val="es-CO"/>
        </w:rPr>
        <w:t xml:space="preserve"> por el artículo</w:t>
      </w:r>
      <w:r w:rsidRPr="002447E3">
        <w:rPr>
          <w:rFonts w:ascii="Bookman Old Style" w:hAnsi="Bookman Old Style"/>
          <w:i/>
          <w:sz w:val="24"/>
          <w:szCs w:val="24"/>
          <w:lang w:val="es-CO"/>
        </w:rPr>
        <w:t xml:space="preserve"> 324 inciso 7</w:t>
      </w:r>
      <w:r>
        <w:rPr>
          <w:rFonts w:ascii="Bookman Old Style" w:hAnsi="Bookman Old Style"/>
          <w:i/>
          <w:sz w:val="24"/>
          <w:szCs w:val="24"/>
          <w:lang w:val="es-CO"/>
        </w:rPr>
        <w:t>º</w:t>
      </w:r>
      <w:r w:rsidRPr="002447E3">
        <w:rPr>
          <w:rFonts w:ascii="Bookman Old Style" w:hAnsi="Bookman Old Style"/>
          <w:i/>
          <w:sz w:val="24"/>
          <w:szCs w:val="24"/>
          <w:lang w:val="es-CO"/>
        </w:rPr>
        <w:t xml:space="preserve">, </w:t>
      </w:r>
      <w:r>
        <w:rPr>
          <w:rFonts w:ascii="Bookman Old Style" w:hAnsi="Bookman Old Style"/>
          <w:i/>
          <w:sz w:val="24"/>
          <w:szCs w:val="24"/>
          <w:lang w:val="es-CO"/>
        </w:rPr>
        <w:t>indefensión de ví</w:t>
      </w:r>
      <w:r w:rsidRPr="002447E3">
        <w:rPr>
          <w:rFonts w:ascii="Bookman Old Style" w:hAnsi="Bookman Old Style"/>
          <w:i/>
          <w:sz w:val="24"/>
          <w:szCs w:val="24"/>
          <w:lang w:val="es-CO"/>
        </w:rPr>
        <w:t>ctimas</w:t>
      </w:r>
      <w:r>
        <w:rPr>
          <w:rFonts w:ascii="Bookman Old Style" w:hAnsi="Bookman Old Style"/>
          <w:i/>
          <w:sz w:val="24"/>
          <w:szCs w:val="24"/>
          <w:lang w:val="es-CO"/>
        </w:rPr>
        <w:t>,</w:t>
      </w:r>
      <w:r w:rsidRPr="002447E3">
        <w:rPr>
          <w:rFonts w:ascii="Bookman Old Style" w:hAnsi="Bookman Old Style"/>
          <w:i/>
          <w:sz w:val="24"/>
          <w:szCs w:val="24"/>
          <w:lang w:val="es-CO"/>
        </w:rPr>
        <w:t xml:space="preserve"> por las muertes </w:t>
      </w:r>
      <w:r>
        <w:rPr>
          <w:rFonts w:ascii="Bookman Old Style" w:hAnsi="Bookman Old Style"/>
          <w:i/>
          <w:sz w:val="24"/>
          <w:szCs w:val="24"/>
          <w:lang w:val="es-CO"/>
        </w:rPr>
        <w:t>d</w:t>
      </w:r>
      <w:r w:rsidRPr="002447E3">
        <w:rPr>
          <w:rFonts w:ascii="Bookman Old Style" w:hAnsi="Bookman Old Style"/>
          <w:i/>
          <w:sz w:val="24"/>
          <w:szCs w:val="24"/>
          <w:lang w:val="es-CO"/>
        </w:rPr>
        <w:t xml:space="preserve">e </w:t>
      </w:r>
      <w:r>
        <w:rPr>
          <w:rFonts w:ascii="Bookman Old Style" w:hAnsi="Bookman Old Style"/>
          <w:i/>
          <w:sz w:val="24"/>
          <w:szCs w:val="24"/>
          <w:lang w:val="es-CO"/>
        </w:rPr>
        <w:t>Luis Eduardo Ríos Pérez, Erik Ríos Pérez, Eliécer Gasca Polanco y José</w:t>
      </w:r>
      <w:r w:rsidRPr="002447E3">
        <w:rPr>
          <w:rFonts w:ascii="Bookman Old Style" w:hAnsi="Bookman Old Style"/>
          <w:i/>
          <w:sz w:val="24"/>
          <w:szCs w:val="24"/>
          <w:lang w:val="es-CO"/>
        </w:rPr>
        <w:t xml:space="preserve"> Henao</w:t>
      </w:r>
      <w:r>
        <w:rPr>
          <w:rFonts w:ascii="Bookman Old Style" w:hAnsi="Bookman Old Style"/>
          <w:i/>
          <w:sz w:val="24"/>
          <w:szCs w:val="24"/>
          <w:lang w:val="es-CO"/>
        </w:rPr>
        <w:t>, en</w:t>
      </w:r>
      <w:r w:rsidRPr="002447E3">
        <w:rPr>
          <w:rFonts w:ascii="Bookman Old Style" w:hAnsi="Bookman Old Style"/>
          <w:i/>
          <w:sz w:val="24"/>
          <w:szCs w:val="24"/>
          <w:lang w:val="es-CO"/>
        </w:rPr>
        <w:t xml:space="preserve"> concurso homogéneo por homicidio simple</w:t>
      </w:r>
      <w:r>
        <w:rPr>
          <w:rFonts w:ascii="Bookman Old Style" w:hAnsi="Bookman Old Style"/>
          <w:i/>
          <w:sz w:val="24"/>
          <w:szCs w:val="24"/>
          <w:lang w:val="es-CO"/>
        </w:rPr>
        <w:t>…</w:t>
      </w:r>
      <w:r w:rsidRPr="002447E3">
        <w:rPr>
          <w:rFonts w:ascii="Bookman Old Style" w:hAnsi="Bookman Old Style"/>
          <w:i/>
          <w:sz w:val="24"/>
          <w:szCs w:val="24"/>
          <w:lang w:val="es-CO"/>
        </w:rPr>
        <w:t xml:space="preserve"> favorabilidad del art</w:t>
      </w:r>
      <w:r>
        <w:rPr>
          <w:rFonts w:ascii="Bookman Old Style" w:hAnsi="Bookman Old Style"/>
          <w:i/>
          <w:sz w:val="24"/>
          <w:szCs w:val="24"/>
          <w:lang w:val="es-CO"/>
        </w:rPr>
        <w:t>ículo</w:t>
      </w:r>
      <w:r w:rsidRPr="002447E3">
        <w:rPr>
          <w:rFonts w:ascii="Bookman Old Style" w:hAnsi="Bookman Old Style"/>
          <w:i/>
          <w:sz w:val="24"/>
          <w:szCs w:val="24"/>
          <w:lang w:val="es-CO"/>
        </w:rPr>
        <w:t xml:space="preserve"> 104 de la ley 599 por</w:t>
      </w:r>
      <w:r>
        <w:rPr>
          <w:rFonts w:ascii="Bookman Old Style" w:hAnsi="Bookman Old Style"/>
          <w:i/>
          <w:sz w:val="24"/>
          <w:szCs w:val="24"/>
          <w:lang w:val="es-CO"/>
        </w:rPr>
        <w:t xml:space="preserve"> las muertes de Roberto Mario A</w:t>
      </w:r>
      <w:r w:rsidRPr="002447E3">
        <w:rPr>
          <w:rFonts w:ascii="Bookman Old Style" w:hAnsi="Bookman Old Style"/>
          <w:i/>
          <w:sz w:val="24"/>
          <w:szCs w:val="24"/>
          <w:lang w:val="es-CO"/>
        </w:rPr>
        <w:t xml:space="preserve">guirre alias </w:t>
      </w:r>
      <w:r>
        <w:rPr>
          <w:rFonts w:ascii="Bookman Old Style" w:hAnsi="Bookman Old Style"/>
          <w:i/>
          <w:sz w:val="24"/>
          <w:szCs w:val="24"/>
          <w:lang w:val="es-CO"/>
        </w:rPr>
        <w:t>‘</w:t>
      </w:r>
      <w:r w:rsidRPr="002447E3">
        <w:rPr>
          <w:rFonts w:ascii="Bookman Old Style" w:hAnsi="Bookman Old Style"/>
          <w:i/>
          <w:sz w:val="24"/>
          <w:szCs w:val="24"/>
          <w:lang w:val="es-CO"/>
        </w:rPr>
        <w:t>narices</w:t>
      </w:r>
      <w:r>
        <w:rPr>
          <w:rFonts w:ascii="Bookman Old Style" w:hAnsi="Bookman Old Style"/>
          <w:i/>
          <w:sz w:val="24"/>
          <w:szCs w:val="24"/>
          <w:lang w:val="es-CO"/>
        </w:rPr>
        <w:t>’</w:t>
      </w:r>
      <w:r w:rsidRPr="002447E3">
        <w:rPr>
          <w:rFonts w:ascii="Bookman Old Style" w:hAnsi="Bookman Old Style"/>
          <w:i/>
          <w:sz w:val="24"/>
          <w:szCs w:val="24"/>
          <w:lang w:val="es-CO"/>
        </w:rPr>
        <w:t xml:space="preserve"> y alias </w:t>
      </w:r>
      <w:r>
        <w:rPr>
          <w:rFonts w:ascii="Bookman Old Style" w:hAnsi="Bookman Old Style"/>
          <w:i/>
          <w:sz w:val="24"/>
          <w:szCs w:val="24"/>
          <w:lang w:val="es-CO"/>
        </w:rPr>
        <w:t>‘</w:t>
      </w:r>
      <w:r w:rsidRPr="002447E3">
        <w:rPr>
          <w:rFonts w:ascii="Bookman Old Style" w:hAnsi="Bookman Old Style"/>
          <w:i/>
          <w:sz w:val="24"/>
          <w:szCs w:val="24"/>
          <w:lang w:val="es-CO"/>
        </w:rPr>
        <w:t>lapo</w:t>
      </w:r>
      <w:r>
        <w:rPr>
          <w:rFonts w:ascii="Bookman Old Style" w:hAnsi="Bookman Old Style"/>
          <w:i/>
          <w:sz w:val="24"/>
          <w:szCs w:val="24"/>
          <w:lang w:val="es-CO"/>
        </w:rPr>
        <w:t xml:space="preserve">’… </w:t>
      </w:r>
      <w:r w:rsidRPr="002447E3">
        <w:rPr>
          <w:rFonts w:ascii="Bookman Old Style" w:hAnsi="Bookman Old Style"/>
          <w:i/>
          <w:sz w:val="24"/>
          <w:szCs w:val="24"/>
          <w:lang w:val="es-CO"/>
        </w:rPr>
        <w:t>Igualmente, el episodio acaecido el 3 de mayo de 1999 generó  o</w:t>
      </w:r>
      <w:r>
        <w:rPr>
          <w:rFonts w:ascii="Bookman Old Style" w:hAnsi="Bookman Old Style"/>
          <w:i/>
          <w:sz w:val="24"/>
          <w:szCs w:val="24"/>
          <w:lang w:val="es-CO"/>
        </w:rPr>
        <w:t>t</w:t>
      </w:r>
      <w:r w:rsidRPr="002447E3">
        <w:rPr>
          <w:rFonts w:ascii="Bookman Old Style" w:hAnsi="Bookman Old Style"/>
          <w:i/>
          <w:sz w:val="24"/>
          <w:szCs w:val="24"/>
          <w:lang w:val="es-CO"/>
        </w:rPr>
        <w:t xml:space="preserve">ro tipo de conductas igualmente </w:t>
      </w:r>
      <w:r>
        <w:rPr>
          <w:rFonts w:ascii="Bookman Old Style" w:hAnsi="Bookman Old Style"/>
          <w:i/>
          <w:sz w:val="24"/>
          <w:szCs w:val="24"/>
          <w:lang w:val="es-CO"/>
        </w:rPr>
        <w:t>relevantes.</w:t>
      </w:r>
      <w:r w:rsidRPr="002447E3">
        <w:rPr>
          <w:rFonts w:ascii="Bookman Old Style" w:hAnsi="Bookman Old Style"/>
          <w:i/>
          <w:sz w:val="24"/>
          <w:szCs w:val="24"/>
          <w:lang w:val="es-CO"/>
        </w:rPr>
        <w:t xml:space="preserve"> </w:t>
      </w:r>
      <w:r>
        <w:rPr>
          <w:rFonts w:ascii="Bookman Old Style" w:hAnsi="Bookman Old Style"/>
          <w:i/>
          <w:sz w:val="24"/>
          <w:szCs w:val="24"/>
          <w:lang w:val="es-CO"/>
        </w:rPr>
        <w:t>D</w:t>
      </w:r>
      <w:r w:rsidRPr="002447E3">
        <w:rPr>
          <w:rFonts w:ascii="Bookman Old Style" w:hAnsi="Bookman Old Style"/>
          <w:i/>
          <w:sz w:val="24"/>
          <w:szCs w:val="24"/>
          <w:lang w:val="es-CO"/>
        </w:rPr>
        <w:t>e acuerdo con las dicci</w:t>
      </w:r>
      <w:r>
        <w:rPr>
          <w:rFonts w:ascii="Bookman Old Style" w:hAnsi="Bookman Old Style"/>
          <w:i/>
          <w:sz w:val="24"/>
          <w:szCs w:val="24"/>
          <w:lang w:val="es-CO"/>
        </w:rPr>
        <w:t>ones de los testigos que el des</w:t>
      </w:r>
      <w:r w:rsidRPr="002447E3">
        <w:rPr>
          <w:rFonts w:ascii="Bookman Old Style" w:hAnsi="Bookman Old Style"/>
          <w:i/>
          <w:sz w:val="24"/>
          <w:szCs w:val="24"/>
          <w:lang w:val="es-CO"/>
        </w:rPr>
        <w:t>pacho ha escuchado</w:t>
      </w:r>
      <w:r>
        <w:rPr>
          <w:rFonts w:ascii="Bookman Old Style" w:hAnsi="Bookman Old Style"/>
          <w:i/>
          <w:sz w:val="24"/>
          <w:szCs w:val="24"/>
          <w:lang w:val="es-CO"/>
        </w:rPr>
        <w:t>,</w:t>
      </w:r>
      <w:r w:rsidRPr="002447E3">
        <w:rPr>
          <w:rFonts w:ascii="Bookman Old Style" w:hAnsi="Bookman Old Style"/>
          <w:i/>
          <w:sz w:val="24"/>
          <w:szCs w:val="24"/>
          <w:lang w:val="es-CO"/>
        </w:rPr>
        <w:t xml:space="preserve"> hay una constante en advertir que </w:t>
      </w:r>
      <w:r>
        <w:rPr>
          <w:rFonts w:ascii="Bookman Old Style" w:hAnsi="Bookman Old Style"/>
          <w:i/>
          <w:sz w:val="24"/>
          <w:szCs w:val="24"/>
          <w:lang w:val="es-CO"/>
        </w:rPr>
        <w:t>mientras unos se dedi</w:t>
      </w:r>
      <w:r w:rsidRPr="002447E3">
        <w:rPr>
          <w:rFonts w:ascii="Bookman Old Style" w:hAnsi="Bookman Old Style"/>
          <w:i/>
          <w:sz w:val="24"/>
          <w:szCs w:val="24"/>
          <w:lang w:val="es-CO"/>
        </w:rPr>
        <w:t>caban a matar, los otros saqueaban las viviendas y los negocios</w:t>
      </w:r>
      <w:r>
        <w:rPr>
          <w:rFonts w:ascii="Bookman Old Style" w:hAnsi="Bookman Old Style"/>
          <w:i/>
          <w:sz w:val="24"/>
          <w:szCs w:val="24"/>
          <w:lang w:val="es-CO"/>
        </w:rPr>
        <w:t>,</w:t>
      </w:r>
      <w:r w:rsidRPr="002447E3">
        <w:rPr>
          <w:rFonts w:ascii="Bookman Old Style" w:hAnsi="Bookman Old Style"/>
          <w:i/>
          <w:sz w:val="24"/>
          <w:szCs w:val="24"/>
          <w:lang w:val="es-CO"/>
        </w:rPr>
        <w:t xml:space="preserve"> como ocurrió con los negocios y la viviendas de los </w:t>
      </w:r>
      <w:r>
        <w:rPr>
          <w:rFonts w:ascii="Bookman Old Style" w:hAnsi="Bookman Old Style"/>
          <w:i/>
          <w:sz w:val="24"/>
          <w:szCs w:val="24"/>
          <w:lang w:val="es-CO"/>
        </w:rPr>
        <w:t>señ</w:t>
      </w:r>
      <w:r w:rsidRPr="002447E3">
        <w:rPr>
          <w:rFonts w:ascii="Bookman Old Style" w:hAnsi="Bookman Old Style"/>
          <w:i/>
          <w:sz w:val="24"/>
          <w:szCs w:val="24"/>
          <w:lang w:val="es-CO"/>
        </w:rPr>
        <w:t xml:space="preserve">ores Uriel </w:t>
      </w:r>
      <w:r>
        <w:rPr>
          <w:rFonts w:ascii="Bookman Old Style" w:hAnsi="Bookman Old Style"/>
          <w:i/>
          <w:sz w:val="24"/>
          <w:szCs w:val="24"/>
          <w:lang w:val="es-CO"/>
        </w:rPr>
        <w:t>Moncada Infante, Ana Delia Gutiérrez He</w:t>
      </w:r>
      <w:r w:rsidRPr="002447E3">
        <w:rPr>
          <w:rFonts w:ascii="Bookman Old Style" w:hAnsi="Bookman Old Style"/>
          <w:i/>
          <w:sz w:val="24"/>
          <w:szCs w:val="24"/>
          <w:lang w:val="es-CO"/>
        </w:rPr>
        <w:t>r</w:t>
      </w:r>
      <w:r>
        <w:rPr>
          <w:rFonts w:ascii="Bookman Old Style" w:hAnsi="Bookman Old Style"/>
          <w:i/>
          <w:sz w:val="24"/>
          <w:szCs w:val="24"/>
          <w:lang w:val="es-CO"/>
        </w:rPr>
        <w:t>renuma</w:t>
      </w:r>
      <w:r w:rsidRPr="002447E3">
        <w:rPr>
          <w:rFonts w:ascii="Bookman Old Style" w:hAnsi="Bookman Old Style"/>
          <w:i/>
          <w:sz w:val="24"/>
          <w:szCs w:val="24"/>
          <w:lang w:val="es-CO"/>
        </w:rPr>
        <w:t>, Luz Mireya Busai Gual</w:t>
      </w:r>
      <w:r>
        <w:rPr>
          <w:rFonts w:ascii="Bookman Old Style" w:hAnsi="Bookman Old Style"/>
          <w:i/>
          <w:sz w:val="24"/>
          <w:szCs w:val="24"/>
          <w:lang w:val="es-CO"/>
        </w:rPr>
        <w:t>dró</w:t>
      </w:r>
      <w:r w:rsidRPr="002447E3">
        <w:rPr>
          <w:rFonts w:ascii="Bookman Old Style" w:hAnsi="Bookman Old Style"/>
          <w:i/>
          <w:sz w:val="24"/>
          <w:szCs w:val="24"/>
          <w:lang w:val="es-CO"/>
        </w:rPr>
        <w:t xml:space="preserve">n, </w:t>
      </w:r>
      <w:r w:rsidRPr="00AA0540">
        <w:rPr>
          <w:rFonts w:ascii="Bookman Old Style" w:hAnsi="Bookman Old Style"/>
          <w:b/>
          <w:i/>
          <w:sz w:val="24"/>
          <w:szCs w:val="24"/>
          <w:lang w:val="es-CO"/>
        </w:rPr>
        <w:t>Rafael Humberto Santos Ponare</w:t>
      </w:r>
      <w:r>
        <w:rPr>
          <w:rFonts w:ascii="Bookman Old Style" w:hAnsi="Bookman Old Style"/>
          <w:i/>
          <w:sz w:val="24"/>
          <w:szCs w:val="24"/>
          <w:lang w:val="es-CO"/>
        </w:rPr>
        <w:t xml:space="preserve"> y</w:t>
      </w:r>
      <w:r w:rsidRPr="002447E3">
        <w:rPr>
          <w:rFonts w:ascii="Bookman Old Style" w:hAnsi="Bookman Old Style"/>
          <w:i/>
          <w:sz w:val="24"/>
          <w:szCs w:val="24"/>
          <w:lang w:val="es-CO"/>
        </w:rPr>
        <w:t xml:space="preserve"> Maryuris Cantor Moreno </w:t>
      </w:r>
      <w:r>
        <w:rPr>
          <w:rFonts w:ascii="Bookman Old Style" w:hAnsi="Bookman Old Style"/>
          <w:i/>
          <w:sz w:val="24"/>
          <w:szCs w:val="24"/>
          <w:lang w:val="es-CO"/>
        </w:rPr>
        <w:t>y Silvia Marí</w:t>
      </w:r>
      <w:r w:rsidRPr="002447E3">
        <w:rPr>
          <w:rFonts w:ascii="Bookman Old Style" w:hAnsi="Bookman Old Style"/>
          <w:i/>
          <w:sz w:val="24"/>
          <w:szCs w:val="24"/>
          <w:lang w:val="es-CO"/>
        </w:rPr>
        <w:t>a Godoy, quienes además fueron desplazados por la violencia e impacto q</w:t>
      </w:r>
      <w:r>
        <w:rPr>
          <w:rFonts w:ascii="Bookman Old Style" w:hAnsi="Bookman Old Style"/>
          <w:i/>
          <w:sz w:val="24"/>
          <w:szCs w:val="24"/>
          <w:lang w:val="es-CO"/>
        </w:rPr>
        <w:t>ue le produjeron las acciones bé</w:t>
      </w:r>
      <w:r w:rsidRPr="002447E3">
        <w:rPr>
          <w:rFonts w:ascii="Bookman Old Style" w:hAnsi="Bookman Old Style"/>
          <w:i/>
          <w:sz w:val="24"/>
          <w:szCs w:val="24"/>
          <w:lang w:val="es-CO"/>
        </w:rPr>
        <w:t>licas y l</w:t>
      </w:r>
      <w:r>
        <w:rPr>
          <w:rFonts w:ascii="Bookman Old Style" w:hAnsi="Bookman Old Style"/>
          <w:i/>
          <w:sz w:val="24"/>
          <w:szCs w:val="24"/>
          <w:lang w:val="es-CO"/>
        </w:rPr>
        <w:t>a</w:t>
      </w:r>
      <w:r w:rsidRPr="002447E3">
        <w:rPr>
          <w:rFonts w:ascii="Bookman Old Style" w:hAnsi="Bookman Old Style"/>
          <w:i/>
          <w:sz w:val="24"/>
          <w:szCs w:val="24"/>
          <w:lang w:val="es-CO"/>
        </w:rPr>
        <w:t>s orden</w:t>
      </w:r>
      <w:r>
        <w:rPr>
          <w:rFonts w:ascii="Bookman Old Style" w:hAnsi="Bookman Old Style"/>
          <w:i/>
          <w:sz w:val="24"/>
          <w:szCs w:val="24"/>
          <w:lang w:val="es-CO"/>
        </w:rPr>
        <w:t>e</w:t>
      </w:r>
      <w:r w:rsidRPr="002447E3">
        <w:rPr>
          <w:rFonts w:ascii="Bookman Old Style" w:hAnsi="Bookman Old Style"/>
          <w:i/>
          <w:sz w:val="24"/>
          <w:szCs w:val="24"/>
          <w:lang w:val="es-CO"/>
        </w:rPr>
        <w:t>s otorgadas por los miembros paramilitares. En el cargo en concreto referente a Uriel Moncada Infante, re</w:t>
      </w:r>
      <w:r>
        <w:rPr>
          <w:rFonts w:ascii="Bookman Old Style" w:hAnsi="Bookman Old Style"/>
          <w:i/>
          <w:sz w:val="24"/>
          <w:szCs w:val="24"/>
          <w:lang w:val="es-CO"/>
        </w:rPr>
        <w:t>fiere</w:t>
      </w:r>
      <w:r w:rsidRPr="002447E3">
        <w:rPr>
          <w:rFonts w:ascii="Bookman Old Style" w:hAnsi="Bookman Old Style"/>
          <w:i/>
          <w:sz w:val="24"/>
          <w:szCs w:val="24"/>
          <w:lang w:val="es-CO"/>
        </w:rPr>
        <w:t xml:space="preserve"> que se llevaron todo el surtido, la ropa, el licor, el mercado, los enlatados, dinero en efectivo, etc.</w:t>
      </w:r>
    </w:p>
    <w:p w:rsidR="00AD777C" w:rsidRPr="002447E3" w:rsidRDefault="00AD777C" w:rsidP="00AD777C">
      <w:pPr>
        <w:spacing w:line="360" w:lineRule="auto"/>
        <w:ind w:right="-187" w:firstLine="708"/>
        <w:jc w:val="both"/>
        <w:rPr>
          <w:rFonts w:ascii="Bookman Old Style" w:hAnsi="Bookman Old Style" w:cs="Sakkal Majalla"/>
          <w:i/>
          <w:sz w:val="24"/>
          <w:szCs w:val="24"/>
        </w:rPr>
      </w:pPr>
    </w:p>
    <w:p w:rsidR="00AD777C" w:rsidRPr="004E0F1C" w:rsidRDefault="00AD777C" w:rsidP="00AD777C">
      <w:pPr>
        <w:spacing w:line="360" w:lineRule="auto"/>
        <w:ind w:left="709"/>
        <w:jc w:val="both"/>
        <w:rPr>
          <w:rFonts w:ascii="Bookman Old Style" w:hAnsi="Bookman Old Style"/>
          <w:i/>
          <w:color w:val="000000"/>
          <w:sz w:val="24"/>
          <w:szCs w:val="24"/>
          <w:lang w:val="es-CO"/>
        </w:rPr>
      </w:pPr>
      <w:r w:rsidRPr="004E0F1C">
        <w:rPr>
          <w:rFonts w:ascii="Bookman Old Style" w:hAnsi="Bookman Old Style"/>
          <w:i/>
          <w:color w:val="000000"/>
          <w:sz w:val="24"/>
          <w:szCs w:val="24"/>
          <w:lang w:val="es-CO"/>
        </w:rPr>
        <w:t>En ese contexto, Señoría la fiscalía considera que el concurso de homicidios ya referenciados al señor LINARES MORENO y al señor SALGADO MERCHAN, se debe concursar heterogéneamente por los hurto calificados, artículo 350 incisos 1 y 2 de que fueron víctimas los patrimonios económicos de los señores Uriel Moncada Infante, Ana Delia Gutiérrez Herrenuma, Luis Mireya Busai Gualdrón, Rafael Humberto Santos Ponare Maryuris Cantor Moreno Y Silvia María Godoy, conducta ésta que también debe ser concursada heterogéneamente por el delito de terrorismo, previsto en el artículo 187 del Código Penal, modificado por el Decreto 2266 de 1991, artículo 4, toda vez que para la época en que ocurrieron estos episodios no estaba previsto el delito de desplazamiento forzado. Espero Señoría que con base en la información aducida haya quedado claro los episodios que ocurrieron en la zona</w:t>
      </w:r>
      <w:r w:rsidRPr="00AA0540">
        <w:rPr>
          <w:color w:val="538135"/>
          <w:sz w:val="32"/>
          <w:szCs w:val="32"/>
          <w:lang w:val="es-CO"/>
        </w:rPr>
        <w:t>.</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firstLine="709"/>
        <w:jc w:val="both"/>
        <w:rPr>
          <w:rFonts w:ascii="Bookman Old Style" w:hAnsi="Bookman Old Style"/>
          <w:color w:val="000000"/>
          <w:sz w:val="28"/>
          <w:szCs w:val="28"/>
          <w:lang w:val="es-CO"/>
        </w:rPr>
      </w:pPr>
      <w:r w:rsidRPr="004959B2">
        <w:rPr>
          <w:rFonts w:ascii="Bookman Old Style" w:hAnsi="Bookman Old Style" w:cs="Sakkal Majalla"/>
          <w:sz w:val="28"/>
          <w:szCs w:val="28"/>
        </w:rPr>
        <w:t>El 28 de marzo de 2011</w:t>
      </w:r>
      <w:r w:rsidRPr="004959B2">
        <w:rPr>
          <w:rStyle w:val="Refdenotaalpie"/>
          <w:rFonts w:ascii="Bookman Old Style" w:hAnsi="Bookman Old Style" w:cs="Sakkal Majalla"/>
          <w:sz w:val="28"/>
          <w:szCs w:val="28"/>
        </w:rPr>
        <w:footnoteReference w:id="75"/>
      </w:r>
      <w:r>
        <w:rPr>
          <w:rFonts w:ascii="Bookman Old Style" w:hAnsi="Bookman Old Style" w:cs="Sakkal Majalla"/>
          <w:sz w:val="28"/>
          <w:szCs w:val="28"/>
        </w:rPr>
        <w:t>,</w:t>
      </w:r>
      <w:r w:rsidRPr="004959B2">
        <w:rPr>
          <w:rFonts w:ascii="Bookman Old Style" w:hAnsi="Bookman Old Style" w:cs="Sakkal Majalla"/>
          <w:sz w:val="28"/>
          <w:szCs w:val="28"/>
        </w:rPr>
        <w:t xml:space="preserve"> en audiencia de legalización de cargos, el fiscal señala que en el </w:t>
      </w:r>
      <w:r w:rsidRPr="0076502A">
        <w:rPr>
          <w:rFonts w:ascii="Bookman Old Style" w:hAnsi="Bookman Old Style" w:cs="Sakkal Majalla"/>
          <w:b/>
          <w:sz w:val="28"/>
          <w:szCs w:val="28"/>
        </w:rPr>
        <w:t>hecho 52</w:t>
      </w:r>
      <w:r w:rsidRPr="004959B2">
        <w:rPr>
          <w:rFonts w:ascii="Bookman Old Style" w:hAnsi="Bookman Old Style" w:cs="Sakkal Majalla"/>
          <w:sz w:val="28"/>
          <w:szCs w:val="28"/>
        </w:rPr>
        <w:t xml:space="preserve"> la víctima directa responde al nombre de Maryuris Cantor Romero, y luego de hacer el r</w:t>
      </w:r>
      <w:r>
        <w:rPr>
          <w:rFonts w:ascii="Bookman Old Style" w:hAnsi="Bookman Old Style" w:cs="Sakkal Majalla"/>
          <w:sz w:val="28"/>
          <w:szCs w:val="28"/>
        </w:rPr>
        <w:t>ecuento de lo sucedido el 3 de m</w:t>
      </w:r>
      <w:r w:rsidRPr="004959B2">
        <w:rPr>
          <w:rFonts w:ascii="Bookman Old Style" w:hAnsi="Bookman Old Style" w:cs="Sakkal Majalla"/>
          <w:sz w:val="28"/>
          <w:szCs w:val="28"/>
        </w:rPr>
        <w:t>ayo de 1999 en San Teodoro</w:t>
      </w:r>
      <w:r>
        <w:rPr>
          <w:rFonts w:ascii="Bookman Old Style" w:hAnsi="Bookman Old Style" w:cs="Sakkal Majalla"/>
          <w:sz w:val="28"/>
          <w:szCs w:val="28"/>
        </w:rPr>
        <w:t>, formuló los cargos reiterando que los postulados responderían por los delitos de homicidio en persona protegida, en concurso con homicidio simple, terrorismo y hurto calificado, por las pérdidas patrimoniales que sufrieron</w:t>
      </w:r>
      <w:r w:rsidRPr="00413D76">
        <w:rPr>
          <w:rFonts w:ascii="Bookman Old Style" w:hAnsi="Bookman Old Style" w:cs="Sakkal Majalla"/>
          <w:sz w:val="28"/>
          <w:szCs w:val="28"/>
        </w:rPr>
        <w:t xml:space="preserve"> </w:t>
      </w:r>
      <w:r w:rsidRPr="00413D76">
        <w:rPr>
          <w:rFonts w:ascii="Bookman Old Style" w:hAnsi="Bookman Old Style"/>
          <w:color w:val="000000"/>
          <w:sz w:val="28"/>
          <w:szCs w:val="28"/>
          <w:lang w:val="es-CO"/>
        </w:rPr>
        <w:t>Uriel Moncada Infante, Ana Delia Gutiérrez Herrenuma, Luis Mireya Busai Gualdrón, Rafael Humberto Santos</w:t>
      </w:r>
      <w:r>
        <w:rPr>
          <w:rFonts w:ascii="Bookman Old Style" w:hAnsi="Bookman Old Style"/>
          <w:color w:val="000000"/>
          <w:sz w:val="28"/>
          <w:szCs w:val="28"/>
          <w:lang w:val="es-CO"/>
        </w:rPr>
        <w:t xml:space="preserve"> Ponare, Maryuris Cantor Moreno y</w:t>
      </w:r>
      <w:r w:rsidRPr="00413D76">
        <w:rPr>
          <w:rFonts w:ascii="Bookman Old Style" w:hAnsi="Bookman Old Style"/>
          <w:color w:val="000000"/>
          <w:sz w:val="28"/>
          <w:szCs w:val="28"/>
          <w:lang w:val="es-CO"/>
        </w:rPr>
        <w:t xml:space="preserve"> Silvia María Godoy</w:t>
      </w:r>
      <w:r>
        <w:rPr>
          <w:rFonts w:ascii="Bookman Old Style" w:hAnsi="Bookman Old Style"/>
          <w:color w:val="000000"/>
          <w:sz w:val="28"/>
          <w:szCs w:val="28"/>
          <w:lang w:val="es-CO"/>
        </w:rPr>
        <w:t>.</w:t>
      </w:r>
    </w:p>
    <w:p w:rsidR="00AD777C" w:rsidRDefault="00AD777C" w:rsidP="00AD777C">
      <w:pPr>
        <w:spacing w:line="360" w:lineRule="auto"/>
        <w:ind w:firstLine="709"/>
        <w:jc w:val="both"/>
        <w:rPr>
          <w:rFonts w:ascii="Bookman Old Style" w:hAnsi="Bookman Old Style"/>
          <w:color w:val="000000"/>
          <w:sz w:val="28"/>
          <w:szCs w:val="28"/>
          <w:lang w:val="es-CO"/>
        </w:rPr>
      </w:pPr>
    </w:p>
    <w:p w:rsidR="00AD777C" w:rsidRDefault="00AD777C" w:rsidP="00AD777C">
      <w:pPr>
        <w:spacing w:line="360" w:lineRule="auto"/>
        <w:ind w:firstLine="709"/>
        <w:jc w:val="both"/>
        <w:rPr>
          <w:rFonts w:ascii="Bookman Old Style" w:hAnsi="Bookman Old Style"/>
          <w:color w:val="000000"/>
          <w:sz w:val="28"/>
          <w:szCs w:val="28"/>
          <w:lang w:val="es-CO"/>
        </w:rPr>
      </w:pPr>
      <w:r>
        <w:rPr>
          <w:rFonts w:ascii="Bookman Old Style" w:hAnsi="Bookman Old Style"/>
          <w:color w:val="000000"/>
          <w:sz w:val="28"/>
          <w:szCs w:val="28"/>
          <w:lang w:val="es-CO"/>
        </w:rPr>
        <w:t>El 29 de marzo de 2011</w:t>
      </w:r>
      <w:r>
        <w:rPr>
          <w:rStyle w:val="Refdenotaalpie"/>
          <w:rFonts w:ascii="Bookman Old Style" w:hAnsi="Bookman Old Style"/>
          <w:color w:val="000000"/>
          <w:sz w:val="28"/>
          <w:szCs w:val="28"/>
          <w:lang w:val="es-CO"/>
        </w:rPr>
        <w:footnoteReference w:id="76"/>
      </w:r>
      <w:r>
        <w:rPr>
          <w:rFonts w:ascii="Bookman Old Style" w:hAnsi="Bookman Old Style"/>
          <w:color w:val="000000"/>
          <w:sz w:val="28"/>
          <w:szCs w:val="28"/>
          <w:lang w:val="es-CO"/>
        </w:rPr>
        <w:t xml:space="preserve"> continuó la exposición del caso conocido como incursión a San Teodoro, y finalmente, después de varios cuestionamientos de la magistratura y abogados representantes de víctimas, la Fiscalía solicitó la legalización de cargos, así:</w:t>
      </w:r>
    </w:p>
    <w:p w:rsidR="00AD777C" w:rsidRDefault="00AD777C" w:rsidP="00AD777C">
      <w:pPr>
        <w:spacing w:line="360" w:lineRule="auto"/>
        <w:ind w:firstLine="709"/>
        <w:jc w:val="both"/>
        <w:rPr>
          <w:rFonts w:ascii="Bookman Old Style" w:hAnsi="Bookman Old Style"/>
          <w:color w:val="000000"/>
          <w:sz w:val="28"/>
          <w:szCs w:val="28"/>
          <w:lang w:val="es-CO"/>
        </w:rPr>
      </w:pPr>
    </w:p>
    <w:p w:rsidR="00AD777C" w:rsidRPr="00AA2953" w:rsidRDefault="00AD777C" w:rsidP="00AD777C">
      <w:pPr>
        <w:spacing w:line="360" w:lineRule="auto"/>
        <w:ind w:left="709"/>
        <w:jc w:val="both"/>
        <w:rPr>
          <w:rFonts w:ascii="Bookman Old Style" w:hAnsi="Bookman Old Style"/>
          <w:i/>
          <w:sz w:val="24"/>
          <w:szCs w:val="24"/>
          <w:lang w:val="es-CO"/>
        </w:rPr>
      </w:pPr>
      <w:r>
        <w:rPr>
          <w:rFonts w:ascii="Bookman Old Style" w:hAnsi="Bookman Old Style"/>
          <w:i/>
          <w:sz w:val="24"/>
          <w:szCs w:val="24"/>
          <w:lang w:val="es-CO"/>
        </w:rPr>
        <w:t>«</w:t>
      </w:r>
      <w:r w:rsidRPr="00AA2953">
        <w:rPr>
          <w:rFonts w:ascii="Bookman Old Style" w:hAnsi="Bookman Old Style"/>
          <w:i/>
          <w:sz w:val="24"/>
          <w:szCs w:val="24"/>
          <w:lang w:val="es-CO"/>
        </w:rPr>
        <w:t>En ese sentido</w:t>
      </w:r>
      <w:r>
        <w:rPr>
          <w:rFonts w:ascii="Bookman Old Style" w:hAnsi="Bookman Old Style"/>
          <w:i/>
          <w:sz w:val="24"/>
          <w:szCs w:val="24"/>
          <w:lang w:val="es-CO"/>
        </w:rPr>
        <w:t>,</w:t>
      </w:r>
      <w:r w:rsidRPr="00AA2953">
        <w:rPr>
          <w:rFonts w:ascii="Bookman Old Style" w:hAnsi="Bookman Old Style"/>
          <w:i/>
          <w:sz w:val="24"/>
          <w:szCs w:val="24"/>
          <w:lang w:val="es-CO"/>
        </w:rPr>
        <w:t xml:space="preserve"> por estos hechos contra el patrimonio económico a </w:t>
      </w:r>
      <w:r>
        <w:rPr>
          <w:rFonts w:ascii="Bookman Old Style" w:hAnsi="Bookman Old Style"/>
          <w:i/>
          <w:sz w:val="24"/>
          <w:szCs w:val="24"/>
          <w:lang w:val="es-CO"/>
        </w:rPr>
        <w:t>JOSÉ BALDOMERO LINARES MORENO y RAFAEL SALGADO MERCHÁN</w:t>
      </w:r>
      <w:r w:rsidRPr="00AA2953">
        <w:rPr>
          <w:rFonts w:ascii="Bookman Old Style" w:hAnsi="Bookman Old Style"/>
          <w:i/>
          <w:sz w:val="24"/>
          <w:szCs w:val="24"/>
          <w:lang w:val="es-CO"/>
        </w:rPr>
        <w:t xml:space="preserve"> por hurto calificado 350 inciso 1 y 2 de que fu</w:t>
      </w:r>
      <w:r>
        <w:rPr>
          <w:rFonts w:ascii="Bookman Old Style" w:hAnsi="Bookman Old Style"/>
          <w:i/>
          <w:sz w:val="24"/>
          <w:szCs w:val="24"/>
          <w:lang w:val="es-CO"/>
        </w:rPr>
        <w:t>eron objeto los patrimonios de U</w:t>
      </w:r>
      <w:r w:rsidRPr="00AA2953">
        <w:rPr>
          <w:rFonts w:ascii="Bookman Old Style" w:hAnsi="Bookman Old Style"/>
          <w:i/>
          <w:sz w:val="24"/>
          <w:szCs w:val="24"/>
          <w:lang w:val="es-CO"/>
        </w:rPr>
        <w:t>riel</w:t>
      </w:r>
      <w:r>
        <w:rPr>
          <w:rFonts w:ascii="Bookman Old Style" w:hAnsi="Bookman Old Style"/>
          <w:i/>
          <w:sz w:val="24"/>
          <w:szCs w:val="24"/>
          <w:lang w:val="es-CO"/>
        </w:rPr>
        <w:t xml:space="preserve"> Moncada…</w:t>
      </w:r>
      <w:r w:rsidRPr="00AA2953">
        <w:rPr>
          <w:rFonts w:ascii="Bookman Old Style" w:hAnsi="Bookman Old Style"/>
          <w:i/>
          <w:sz w:val="24"/>
          <w:szCs w:val="24"/>
          <w:lang w:val="es-CO"/>
        </w:rPr>
        <w:t xml:space="preserve"> Ana Delia, Mireya</w:t>
      </w:r>
      <w:r>
        <w:rPr>
          <w:rFonts w:ascii="Bookman Old Style" w:hAnsi="Bookman Old Style"/>
          <w:i/>
          <w:sz w:val="24"/>
          <w:szCs w:val="24"/>
          <w:lang w:val="es-CO"/>
        </w:rPr>
        <w:t xml:space="preserve"> Busai Gualdrón</w:t>
      </w:r>
      <w:r w:rsidRPr="00AA2953">
        <w:rPr>
          <w:rFonts w:ascii="Bookman Old Style" w:hAnsi="Bookman Old Style"/>
          <w:i/>
          <w:sz w:val="24"/>
          <w:szCs w:val="24"/>
          <w:lang w:val="es-CO"/>
        </w:rPr>
        <w:t xml:space="preserve">, </w:t>
      </w:r>
      <w:r w:rsidRPr="00886364">
        <w:rPr>
          <w:rFonts w:ascii="Bookman Old Style" w:hAnsi="Bookman Old Style"/>
          <w:b/>
          <w:i/>
          <w:sz w:val="24"/>
          <w:szCs w:val="24"/>
          <w:lang w:val="es-CO"/>
        </w:rPr>
        <w:t>Rafael Humberto Santos</w:t>
      </w:r>
      <w:r w:rsidRPr="00AA2953">
        <w:rPr>
          <w:rFonts w:ascii="Bookman Old Style" w:hAnsi="Bookman Old Style"/>
          <w:i/>
          <w:sz w:val="24"/>
          <w:szCs w:val="24"/>
          <w:lang w:val="es-CO"/>
        </w:rPr>
        <w:t>, Maryuris</w:t>
      </w:r>
      <w:r>
        <w:rPr>
          <w:rFonts w:ascii="Bookman Old Style" w:hAnsi="Bookman Old Style"/>
          <w:i/>
          <w:sz w:val="24"/>
          <w:szCs w:val="24"/>
          <w:lang w:val="es-CO"/>
        </w:rPr>
        <w:t xml:space="preserve">…, </w:t>
      </w:r>
      <w:r w:rsidRPr="00AA2953">
        <w:rPr>
          <w:rFonts w:ascii="Bookman Old Style" w:hAnsi="Bookman Old Style"/>
          <w:i/>
          <w:sz w:val="24"/>
          <w:szCs w:val="24"/>
          <w:lang w:val="es-CO"/>
        </w:rPr>
        <w:t>Silvia Godoy</w:t>
      </w:r>
      <w:r>
        <w:rPr>
          <w:rFonts w:ascii="Bookman Old Style" w:hAnsi="Bookman Old Style"/>
          <w:i/>
          <w:sz w:val="24"/>
          <w:szCs w:val="24"/>
          <w:lang w:val="es-CO"/>
        </w:rPr>
        <w:t>, Luis A. Téllez…</w:t>
      </w:r>
      <w:r w:rsidRPr="00AA2953">
        <w:rPr>
          <w:rFonts w:ascii="Bookman Old Style" w:hAnsi="Bookman Old Style"/>
          <w:i/>
          <w:sz w:val="24"/>
          <w:szCs w:val="24"/>
          <w:lang w:val="es-CO"/>
        </w:rPr>
        <w:t xml:space="preserve"> </w:t>
      </w:r>
      <w:r>
        <w:rPr>
          <w:rFonts w:ascii="Bookman Old Style" w:hAnsi="Bookman Old Style"/>
          <w:i/>
          <w:sz w:val="24"/>
          <w:szCs w:val="24"/>
          <w:lang w:val="es-CO"/>
        </w:rPr>
        <w:t>en conc</w:t>
      </w:r>
      <w:r w:rsidRPr="00AA2953">
        <w:rPr>
          <w:rFonts w:ascii="Bookman Old Style" w:hAnsi="Bookman Old Style"/>
          <w:i/>
          <w:sz w:val="24"/>
          <w:szCs w:val="24"/>
          <w:lang w:val="es-CO"/>
        </w:rPr>
        <w:t>urso con el delito d</w:t>
      </w:r>
      <w:r>
        <w:rPr>
          <w:rFonts w:ascii="Bookman Old Style" w:hAnsi="Bookman Old Style"/>
          <w:i/>
          <w:sz w:val="24"/>
          <w:szCs w:val="24"/>
          <w:lang w:val="es-CO"/>
        </w:rPr>
        <w:t>e terrorismo»</w:t>
      </w:r>
      <w:r w:rsidRPr="00AA2953">
        <w:rPr>
          <w:rFonts w:ascii="Bookman Old Style" w:hAnsi="Bookman Old Style"/>
          <w:i/>
          <w:sz w:val="24"/>
          <w:szCs w:val="24"/>
          <w:lang w:val="es-CO"/>
        </w:rPr>
        <w:t>.</w:t>
      </w:r>
    </w:p>
    <w:p w:rsidR="00AD777C" w:rsidRDefault="00AD777C" w:rsidP="00AD777C">
      <w:pPr>
        <w:spacing w:line="360" w:lineRule="auto"/>
        <w:ind w:firstLine="709"/>
        <w:jc w:val="both"/>
        <w:rPr>
          <w:rFonts w:ascii="Bookman Old Style" w:hAnsi="Bookman Old Style"/>
          <w:color w:val="000000"/>
          <w:sz w:val="28"/>
          <w:szCs w:val="28"/>
          <w:lang w:val="es-CO"/>
        </w:rPr>
      </w:pPr>
    </w:p>
    <w:p w:rsidR="00AD777C" w:rsidRDefault="00AD777C" w:rsidP="00AD777C">
      <w:pPr>
        <w:spacing w:line="360" w:lineRule="auto"/>
        <w:ind w:firstLine="709"/>
        <w:jc w:val="both"/>
        <w:rPr>
          <w:rFonts w:ascii="Bookman Old Style" w:hAnsi="Bookman Old Style"/>
          <w:color w:val="000000"/>
          <w:sz w:val="28"/>
          <w:szCs w:val="28"/>
          <w:lang w:val="es-CO"/>
        </w:rPr>
      </w:pPr>
      <w:r>
        <w:rPr>
          <w:rFonts w:ascii="Bookman Old Style" w:hAnsi="Bookman Old Style"/>
          <w:color w:val="000000"/>
          <w:sz w:val="28"/>
          <w:szCs w:val="28"/>
          <w:lang w:val="es-CO"/>
        </w:rPr>
        <w:t>Ya durante el alegato de conclusión, el representante de las víctimas</w:t>
      </w:r>
      <w:r>
        <w:rPr>
          <w:rStyle w:val="Refdenotaalpie"/>
          <w:rFonts w:ascii="Bookman Old Style" w:hAnsi="Bookman Old Style"/>
          <w:color w:val="000000"/>
          <w:sz w:val="28"/>
          <w:szCs w:val="28"/>
          <w:lang w:val="es-CO"/>
        </w:rPr>
        <w:footnoteReference w:id="77"/>
      </w:r>
      <w:r>
        <w:rPr>
          <w:rFonts w:ascii="Bookman Old Style" w:hAnsi="Bookman Old Style"/>
          <w:color w:val="000000"/>
          <w:sz w:val="28"/>
          <w:szCs w:val="28"/>
          <w:lang w:val="es-CO"/>
        </w:rPr>
        <w:t xml:space="preserve"> del </w:t>
      </w:r>
      <w:r w:rsidRPr="0056790F">
        <w:rPr>
          <w:rFonts w:ascii="Bookman Old Style" w:hAnsi="Bookman Old Style"/>
          <w:b/>
          <w:color w:val="000000"/>
          <w:sz w:val="28"/>
          <w:szCs w:val="28"/>
          <w:lang w:val="es-CO"/>
        </w:rPr>
        <w:t>hecho 52</w:t>
      </w:r>
      <w:r>
        <w:rPr>
          <w:rFonts w:ascii="Bookman Old Style" w:hAnsi="Bookman Old Style"/>
          <w:color w:val="000000"/>
          <w:sz w:val="28"/>
          <w:szCs w:val="28"/>
          <w:lang w:val="es-CO"/>
        </w:rPr>
        <w:t xml:space="preserve"> señala como afectados a RAFAEL SANTOS PONARE y a su núcleo familiar.</w:t>
      </w:r>
    </w:p>
    <w:p w:rsidR="00AD777C" w:rsidRDefault="00AD777C" w:rsidP="00AD777C">
      <w:pPr>
        <w:spacing w:line="360" w:lineRule="auto"/>
        <w:ind w:firstLine="709"/>
        <w:jc w:val="both"/>
        <w:rPr>
          <w:rFonts w:ascii="Bookman Old Style" w:hAnsi="Bookman Old Style"/>
          <w:color w:val="000000"/>
          <w:sz w:val="28"/>
          <w:szCs w:val="28"/>
          <w:lang w:val="es-CO"/>
        </w:rPr>
      </w:pPr>
    </w:p>
    <w:p w:rsidR="00AD777C" w:rsidRDefault="00AD777C" w:rsidP="00AD777C">
      <w:pPr>
        <w:spacing w:line="360" w:lineRule="auto"/>
        <w:ind w:firstLine="709"/>
        <w:jc w:val="both"/>
        <w:rPr>
          <w:rFonts w:ascii="Bookman Old Style" w:hAnsi="Bookman Old Style"/>
          <w:color w:val="000000"/>
          <w:sz w:val="28"/>
          <w:szCs w:val="28"/>
          <w:lang w:val="es-CO"/>
        </w:rPr>
      </w:pPr>
      <w:r>
        <w:rPr>
          <w:rFonts w:ascii="Bookman Old Style" w:hAnsi="Bookman Old Style"/>
          <w:color w:val="000000"/>
          <w:sz w:val="28"/>
          <w:szCs w:val="28"/>
          <w:lang w:val="es-CO"/>
        </w:rPr>
        <w:t>Tal recapitulación permite a la Sala esclarecer, en primer término, que pese a la confusión presentada en la identificación del caso, sin duda es uno de los hechos que hace parte de la toma a la población de San Teodoro; en segundo lugar, que la víctima es Rafael Santos Ponare y su familia, y finalmente, que ciertamente el caso fue objeto de solicitud de legalización.</w:t>
      </w:r>
    </w:p>
    <w:p w:rsidR="00AD777C" w:rsidRDefault="00AD777C" w:rsidP="00AD777C">
      <w:pPr>
        <w:spacing w:line="360" w:lineRule="auto"/>
        <w:ind w:firstLine="709"/>
        <w:jc w:val="both"/>
        <w:rPr>
          <w:rFonts w:ascii="Bookman Old Style" w:hAnsi="Bookman Old Style"/>
          <w:color w:val="000000"/>
          <w:sz w:val="28"/>
          <w:szCs w:val="28"/>
          <w:lang w:val="es-CO"/>
        </w:rPr>
      </w:pPr>
    </w:p>
    <w:p w:rsidR="00AD777C" w:rsidRPr="00A335F0" w:rsidRDefault="00AD777C" w:rsidP="00AD777C">
      <w:pPr>
        <w:spacing w:line="360" w:lineRule="auto"/>
        <w:ind w:firstLine="709"/>
        <w:jc w:val="both"/>
        <w:rPr>
          <w:rFonts w:ascii="Bookman Old Style" w:hAnsi="Bookman Old Style"/>
          <w:sz w:val="28"/>
          <w:szCs w:val="28"/>
          <w:lang w:val="es-CO"/>
        </w:rPr>
      </w:pPr>
      <w:r>
        <w:rPr>
          <w:rFonts w:ascii="Bookman Old Style" w:hAnsi="Bookman Old Style"/>
          <w:color w:val="000000"/>
          <w:sz w:val="28"/>
          <w:szCs w:val="28"/>
          <w:lang w:val="es-CO"/>
        </w:rPr>
        <w:t xml:space="preserve"> Razón le asiste al Fiscal al requerir la inclusión del </w:t>
      </w:r>
      <w:r w:rsidRPr="0056790F">
        <w:rPr>
          <w:rFonts w:ascii="Bookman Old Style" w:hAnsi="Bookman Old Style"/>
          <w:b/>
          <w:color w:val="000000"/>
          <w:sz w:val="28"/>
          <w:szCs w:val="28"/>
          <w:lang w:val="es-CO"/>
        </w:rPr>
        <w:t xml:space="preserve">hecho </w:t>
      </w:r>
      <w:r>
        <w:rPr>
          <w:rFonts w:ascii="Bookman Old Style" w:hAnsi="Bookman Old Style"/>
          <w:b/>
          <w:color w:val="000000"/>
          <w:sz w:val="28"/>
          <w:szCs w:val="28"/>
          <w:lang w:val="es-CO"/>
        </w:rPr>
        <w:t xml:space="preserve">No. </w:t>
      </w:r>
      <w:r w:rsidRPr="0056790F">
        <w:rPr>
          <w:rFonts w:ascii="Bookman Old Style" w:hAnsi="Bookman Old Style"/>
          <w:b/>
          <w:color w:val="000000"/>
          <w:sz w:val="28"/>
          <w:szCs w:val="28"/>
          <w:lang w:val="es-CO"/>
        </w:rPr>
        <w:t>52</w:t>
      </w:r>
      <w:r>
        <w:rPr>
          <w:rFonts w:ascii="Bookman Old Style" w:hAnsi="Bookman Old Style"/>
          <w:color w:val="000000"/>
          <w:sz w:val="28"/>
          <w:szCs w:val="28"/>
          <w:lang w:val="es-CO"/>
        </w:rPr>
        <w:t xml:space="preserve"> como uno de los que fuera legalizado por el Tribunal, pues aunque la motivación se realizó en forma generalizada para los casos 46 a 54, en la parte resolutiva se omitió la inclusión de este hecho, pese a la disertación efectuada por el </w:t>
      </w:r>
      <w:r w:rsidRPr="00A335F0">
        <w:rPr>
          <w:rFonts w:ascii="Bookman Old Style" w:hAnsi="Bookman Old Style"/>
          <w:i/>
          <w:color w:val="000000"/>
          <w:sz w:val="28"/>
          <w:szCs w:val="28"/>
          <w:lang w:val="es-CO"/>
        </w:rPr>
        <w:t>A quo</w:t>
      </w:r>
      <w:r>
        <w:rPr>
          <w:rFonts w:ascii="Bookman Old Style" w:hAnsi="Bookman Old Style"/>
          <w:color w:val="000000"/>
          <w:sz w:val="28"/>
          <w:szCs w:val="28"/>
          <w:lang w:val="es-CO"/>
        </w:rPr>
        <w:t xml:space="preserve">, para concluir que la narración de los hechos permite la adecuación en el punible de actos de terrorismo y hurto calificado de que fuera víctima directa Rafael Santos Ponare, tal y como lo aceptaran los postulados.  De esa forma, se accederá a la pretensión de la Fiscalía </w:t>
      </w:r>
      <w:r w:rsidRPr="00A335F0">
        <w:rPr>
          <w:rFonts w:ascii="Bookman Old Style" w:hAnsi="Bookman Old Style"/>
          <w:sz w:val="28"/>
          <w:szCs w:val="28"/>
          <w:lang w:val="es-CO"/>
        </w:rPr>
        <w:t>de comprender en la parte resolutiva la legalización de tales delitos.</w:t>
      </w:r>
    </w:p>
    <w:p w:rsidR="00AD777C" w:rsidRDefault="00AD777C" w:rsidP="00AD777C">
      <w:pPr>
        <w:spacing w:line="360" w:lineRule="auto"/>
        <w:ind w:firstLine="708"/>
        <w:jc w:val="both"/>
        <w:rPr>
          <w:rFonts w:ascii="Bookman Old Style" w:hAnsi="Bookman Old Style"/>
          <w:color w:val="C00000"/>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Continuando con e</w:t>
      </w:r>
      <w:r w:rsidRPr="00A335F0">
        <w:rPr>
          <w:rFonts w:ascii="Bookman Old Style" w:hAnsi="Bookman Old Style"/>
          <w:sz w:val="28"/>
          <w:szCs w:val="28"/>
          <w:lang w:val="es-CO"/>
        </w:rPr>
        <w:t xml:space="preserve">l </w:t>
      </w:r>
      <w:r w:rsidRPr="0056790F">
        <w:rPr>
          <w:rFonts w:ascii="Bookman Old Style" w:hAnsi="Bookman Old Style"/>
          <w:b/>
          <w:sz w:val="28"/>
          <w:szCs w:val="28"/>
          <w:lang w:val="es-CO"/>
        </w:rPr>
        <w:t xml:space="preserve">hecho </w:t>
      </w:r>
      <w:r>
        <w:rPr>
          <w:rFonts w:ascii="Bookman Old Style" w:hAnsi="Bookman Old Style"/>
          <w:b/>
          <w:sz w:val="28"/>
          <w:szCs w:val="28"/>
          <w:lang w:val="es-CO"/>
        </w:rPr>
        <w:t xml:space="preserve">No. </w:t>
      </w:r>
      <w:r w:rsidRPr="0056790F">
        <w:rPr>
          <w:rFonts w:ascii="Bookman Old Style" w:hAnsi="Bookman Old Style"/>
          <w:b/>
          <w:sz w:val="28"/>
          <w:szCs w:val="28"/>
          <w:lang w:val="es-CO"/>
        </w:rPr>
        <w:t>71</w:t>
      </w:r>
      <w:r w:rsidRPr="00A335F0">
        <w:rPr>
          <w:rFonts w:ascii="Bookman Old Style" w:hAnsi="Bookman Old Style"/>
          <w:sz w:val="28"/>
          <w:szCs w:val="28"/>
          <w:lang w:val="es-CO"/>
        </w:rPr>
        <w:t xml:space="preserve"> en el que</w:t>
      </w:r>
      <w:r>
        <w:rPr>
          <w:rFonts w:ascii="Bookman Old Style" w:hAnsi="Bookman Old Style"/>
          <w:sz w:val="28"/>
          <w:szCs w:val="28"/>
          <w:lang w:val="es-CO"/>
        </w:rPr>
        <w:t xml:space="preserve"> el Tribunal legalizó</w:t>
      </w:r>
      <w:r w:rsidRPr="00D65F42">
        <w:rPr>
          <w:rFonts w:ascii="Bookman Old Style" w:hAnsi="Bookman Old Style"/>
          <w:sz w:val="28"/>
          <w:szCs w:val="28"/>
          <w:lang w:val="es-CO"/>
        </w:rPr>
        <w:t xml:space="preserve"> una conducta punibl</w:t>
      </w:r>
      <w:r>
        <w:rPr>
          <w:rFonts w:ascii="Bookman Old Style" w:hAnsi="Bookman Old Style"/>
          <w:sz w:val="28"/>
          <w:szCs w:val="28"/>
          <w:lang w:val="es-CO"/>
        </w:rPr>
        <w:t>e no mencionada (homicidio agravado) por la F</w:t>
      </w:r>
      <w:r w:rsidRPr="00D65F42">
        <w:rPr>
          <w:rFonts w:ascii="Bookman Old Style" w:hAnsi="Bookman Old Style"/>
          <w:sz w:val="28"/>
          <w:szCs w:val="28"/>
          <w:lang w:val="es-CO"/>
        </w:rPr>
        <w:t>i</w:t>
      </w:r>
      <w:r>
        <w:rPr>
          <w:rFonts w:ascii="Bookman Old Style" w:hAnsi="Bookman Old Style"/>
          <w:sz w:val="28"/>
          <w:szCs w:val="28"/>
          <w:lang w:val="es-CO"/>
        </w:rPr>
        <w:t>s</w:t>
      </w:r>
      <w:r w:rsidRPr="00D65F42">
        <w:rPr>
          <w:rFonts w:ascii="Bookman Old Style" w:hAnsi="Bookman Old Style"/>
          <w:sz w:val="28"/>
          <w:szCs w:val="28"/>
          <w:lang w:val="es-CO"/>
        </w:rPr>
        <w:t>ca</w:t>
      </w:r>
      <w:r>
        <w:rPr>
          <w:rFonts w:ascii="Bookman Old Style" w:hAnsi="Bookman Old Style"/>
          <w:sz w:val="28"/>
          <w:szCs w:val="28"/>
          <w:lang w:val="es-CO"/>
        </w:rPr>
        <w:t>lía en audiencia de formulación</w:t>
      </w:r>
      <w:r w:rsidRPr="00D65F42">
        <w:rPr>
          <w:rFonts w:ascii="Bookman Old Style" w:hAnsi="Bookman Old Style"/>
          <w:sz w:val="28"/>
          <w:szCs w:val="28"/>
          <w:lang w:val="es-CO"/>
        </w:rPr>
        <w:t xml:space="preserve"> de cargos, </w:t>
      </w:r>
      <w:r>
        <w:rPr>
          <w:rFonts w:ascii="Bookman Old Style" w:hAnsi="Bookman Old Style"/>
          <w:sz w:val="28"/>
          <w:szCs w:val="28"/>
          <w:lang w:val="es-CO"/>
        </w:rPr>
        <w:t>encuentra la Sala que, como lo requiere el delegado Fiscal, procede impartir legalidad a la conducta tal y como fue imputada y aceptada por los postulados, es decir, homicidio en persona protegida y no como lo entendió el Tribunal, homicidio agravado.</w:t>
      </w:r>
    </w:p>
    <w:p w:rsidR="00AD777C" w:rsidRPr="00D65F42"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9"/>
        <w:jc w:val="both"/>
        <w:rPr>
          <w:rFonts w:ascii="Bookman Old Style" w:hAnsi="Bookman Old Style"/>
          <w:sz w:val="28"/>
          <w:szCs w:val="28"/>
          <w:lang w:val="es-CO"/>
        </w:rPr>
      </w:pPr>
      <w:r w:rsidRPr="00F17042">
        <w:rPr>
          <w:rFonts w:ascii="Bookman Old Style" w:hAnsi="Bookman Old Style"/>
          <w:sz w:val="28"/>
          <w:szCs w:val="28"/>
          <w:lang w:val="es-CO"/>
        </w:rPr>
        <w:t>En efecto, en la audiencia de legalización de cargos</w:t>
      </w:r>
      <w:r w:rsidRPr="00F17042">
        <w:rPr>
          <w:rStyle w:val="Refdenotaalpie"/>
          <w:rFonts w:ascii="Bookman Old Style" w:hAnsi="Bookman Old Style"/>
          <w:sz w:val="28"/>
          <w:szCs w:val="28"/>
          <w:lang w:val="es-CO"/>
        </w:rPr>
        <w:footnoteReference w:id="78"/>
      </w:r>
      <w:r w:rsidRPr="00F17042">
        <w:rPr>
          <w:rFonts w:ascii="Bookman Old Style" w:hAnsi="Bookman Old Style"/>
          <w:sz w:val="28"/>
          <w:szCs w:val="28"/>
          <w:lang w:val="es-CO"/>
        </w:rPr>
        <w:t xml:space="preserve">, refirió el </w:t>
      </w:r>
      <w:r>
        <w:rPr>
          <w:rFonts w:ascii="Bookman Old Style" w:hAnsi="Bookman Old Style"/>
          <w:sz w:val="28"/>
          <w:szCs w:val="28"/>
          <w:lang w:val="es-CO"/>
        </w:rPr>
        <w:t>F</w:t>
      </w:r>
      <w:r w:rsidRPr="00F17042">
        <w:rPr>
          <w:rFonts w:ascii="Bookman Old Style" w:hAnsi="Bookman Old Style"/>
          <w:sz w:val="28"/>
          <w:szCs w:val="28"/>
          <w:lang w:val="es-CO"/>
        </w:rPr>
        <w:t>iscal que el señor Holman Gustavo Siábato Plazas fue interceptado el 23 de agosto de 2003 cuando se desplazaba en un bus que cubría la ruta Puerto Príncipe (Vichada) hacia Villavicencio, momento a partir del cual no se conoció nada sobre su ubicaci</w:t>
      </w:r>
      <w:r>
        <w:rPr>
          <w:rFonts w:ascii="Bookman Old Style" w:hAnsi="Bookman Old Style"/>
          <w:sz w:val="28"/>
          <w:szCs w:val="28"/>
          <w:lang w:val="es-CO"/>
        </w:rPr>
        <w:t xml:space="preserve">ón hasta cuando JOSÉ DELFÍN VILLALOBOS en diligencias de versión libre confesó que ordenó su muerte porque se decía que estaba al servicio del frente 16 de las FARC, por cuanto tenía una central de radios HF que facilitaba las comunicaciones de la guerrilla, situación ante la cual JOSÉ DELFÍN sostuvo conversaciones con él pidiéndole que manejara las frecuencias en banda cerrada, pero él hizo caso omiso argumentando que su actividad era legal y contaba con los permisos del Ministerio de Comunicaciones. </w:t>
      </w:r>
    </w:p>
    <w:p w:rsidR="00AD777C" w:rsidRDefault="00AD777C" w:rsidP="00AD777C">
      <w:pPr>
        <w:spacing w:line="360" w:lineRule="auto"/>
        <w:ind w:firstLine="709"/>
        <w:jc w:val="both"/>
        <w:rPr>
          <w:rFonts w:ascii="Bookman Old Style" w:hAnsi="Bookman Old Style"/>
          <w:sz w:val="28"/>
          <w:szCs w:val="28"/>
          <w:lang w:val="es-CO"/>
        </w:rPr>
      </w:pPr>
    </w:p>
    <w:p w:rsidR="00AD777C" w:rsidRDefault="00AD777C" w:rsidP="00AD777C">
      <w:pPr>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Agrega JOSÉ DELFÍN VILLALOBOS que en una oportunidad le “decomisó” un radio para verificar qué frecuencias se estaban utilizando y pudo confirmar que a través de ellas se comunicó un hombre de la guerrilla dando órdenes a alguien en la ciudad de Villavicencio, por lo que dispuso la ejecución de Holman Gustavo.</w:t>
      </w:r>
    </w:p>
    <w:p w:rsidR="00AD777C" w:rsidRDefault="00AD777C" w:rsidP="00AD777C">
      <w:pPr>
        <w:spacing w:line="360" w:lineRule="auto"/>
        <w:ind w:firstLine="709"/>
        <w:jc w:val="both"/>
        <w:rPr>
          <w:rFonts w:ascii="Bookman Old Style" w:hAnsi="Bookman Old Style"/>
          <w:sz w:val="28"/>
          <w:szCs w:val="28"/>
          <w:lang w:val="es-CO"/>
        </w:rPr>
      </w:pPr>
    </w:p>
    <w:p w:rsidR="00AD777C" w:rsidRDefault="00AD777C" w:rsidP="00AD777C">
      <w:pPr>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Ante las dudas acerca de las actividades a las que se dedicaba Holman Gustavo Siabato, se escuchó la versión de la señora Flor Alba Plazas, madre de aquél, quien aclaró que debido a la situación de desempleo en que se hallaba su hijo, decidió comprarle a su padre una </w:t>
      </w:r>
      <w:r w:rsidRPr="00BA7E91">
        <w:rPr>
          <w:rFonts w:ascii="Bookman Old Style" w:hAnsi="Bookman Old Style"/>
          <w:sz w:val="28"/>
          <w:szCs w:val="28"/>
          <w:lang w:val="es-CO"/>
        </w:rPr>
        <w:t>“central”</w:t>
      </w:r>
      <w:r>
        <w:rPr>
          <w:rFonts w:ascii="Bookman Old Style" w:hAnsi="Bookman Old Style"/>
          <w:sz w:val="28"/>
          <w:szCs w:val="28"/>
          <w:lang w:val="es-CO"/>
        </w:rPr>
        <w:t xml:space="preserve"> para dedicarse a trabajar en esa área porque ya había laborado en Villavicencio en “Hernández Comunicaciones”, es decir, la actividad era lícita y consistía en facilitar las comunicaciones de voz entre personas ubicadas en puntos donde ninguna otra opción existía por su aislamiento en términos de lejanía y condiciones topográficas.</w:t>
      </w:r>
    </w:p>
    <w:p w:rsidR="00AD777C" w:rsidRDefault="00AD777C" w:rsidP="00AD777C">
      <w:pPr>
        <w:spacing w:line="360" w:lineRule="auto"/>
        <w:ind w:firstLine="709"/>
        <w:jc w:val="both"/>
        <w:rPr>
          <w:rFonts w:ascii="Bookman Old Style" w:hAnsi="Bookman Old Style"/>
          <w:sz w:val="28"/>
          <w:szCs w:val="28"/>
          <w:lang w:val="es-CO"/>
        </w:rPr>
      </w:pPr>
    </w:p>
    <w:p w:rsidR="00AD777C" w:rsidRDefault="00AD777C" w:rsidP="00AD777C">
      <w:pPr>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Atendiendo esa situación fáctica y como quiera que Holman Gustavo Siabato era un civil que no participaba del conflicto ni directa ni indirectamente, la Fiscalía solicitó legalizar cargos, conforme a lo aceptado en audiencia de formulación de imputación por los postulados, es decir, homicidio en persona protegida, en concurso con desaparición forzada.</w:t>
      </w:r>
    </w:p>
    <w:p w:rsidR="00AD777C" w:rsidRDefault="00AD777C" w:rsidP="00AD777C">
      <w:pPr>
        <w:spacing w:line="360" w:lineRule="auto"/>
        <w:ind w:firstLine="709"/>
        <w:jc w:val="both"/>
        <w:rPr>
          <w:rFonts w:ascii="Bookman Old Style" w:hAnsi="Bookman Old Style"/>
          <w:sz w:val="28"/>
          <w:szCs w:val="28"/>
          <w:lang w:val="es-CO"/>
        </w:rPr>
      </w:pPr>
    </w:p>
    <w:p w:rsidR="00AD777C" w:rsidRDefault="00AD777C" w:rsidP="00AD777C">
      <w:pPr>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La única referencia que se encuentra en la parte motiva de la sentencia, se limita a la enunciación desdibujada del caso enunciado como 71</w:t>
      </w:r>
      <w:r>
        <w:rPr>
          <w:rStyle w:val="Refdenotaalpie"/>
          <w:rFonts w:ascii="Bookman Old Style" w:hAnsi="Bookman Old Style"/>
          <w:sz w:val="28"/>
          <w:szCs w:val="28"/>
          <w:lang w:val="es-CO"/>
        </w:rPr>
        <w:footnoteReference w:id="79"/>
      </w:r>
      <w:r>
        <w:rPr>
          <w:rFonts w:ascii="Bookman Old Style" w:hAnsi="Bookman Old Style"/>
          <w:sz w:val="28"/>
          <w:szCs w:val="28"/>
          <w:lang w:val="es-CO"/>
        </w:rPr>
        <w:t>:</w:t>
      </w:r>
    </w:p>
    <w:p w:rsidR="00AD777C" w:rsidRDefault="00AD777C" w:rsidP="00AD777C">
      <w:pPr>
        <w:spacing w:line="360" w:lineRule="auto"/>
        <w:ind w:firstLine="709"/>
        <w:jc w:val="both"/>
        <w:rPr>
          <w:rFonts w:ascii="Bookman Old Style" w:hAnsi="Bookman Old Style"/>
          <w:sz w:val="28"/>
          <w:szCs w:val="28"/>
          <w:lang w:val="es-CO"/>
        </w:rPr>
      </w:pPr>
    </w:p>
    <w:p w:rsidR="00AD777C" w:rsidRPr="008B0802" w:rsidRDefault="00AD777C" w:rsidP="00AD777C">
      <w:pPr>
        <w:spacing w:line="360" w:lineRule="auto"/>
        <w:ind w:left="708" w:firstLine="1"/>
        <w:jc w:val="both"/>
        <w:rPr>
          <w:rFonts w:ascii="Bookman Old Style" w:hAnsi="Bookman Old Style"/>
          <w:i/>
          <w:sz w:val="24"/>
          <w:szCs w:val="24"/>
          <w:lang w:val="es-CO"/>
        </w:rPr>
      </w:pPr>
      <w:r w:rsidRPr="008B0802">
        <w:rPr>
          <w:rFonts w:ascii="Bookman Old Style" w:hAnsi="Bookman Old Style"/>
          <w:i/>
          <w:sz w:val="24"/>
          <w:szCs w:val="24"/>
          <w:lang w:val="es-CO"/>
        </w:rPr>
        <w:t>JOSÉ DELFÍN VILLALOBOS, manifestó en versión libre que esta persona se dedicaba a comerciar con radio de comunicaciones y que en repetidas ocasiones le habían hecho la advertencia que no ingresara radios que pudieran ser utilizados por la subversión, luego de una interceptación realizada por los paramilitares, éstos, presuntamente, descubrieron que uno de los radios suministrados por la víctima estaba siendo utilizado por miembros de las FARC…</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La primera corrección que corresponde realizar, de cara a conservar la fidelidad con las razones que motivaron la muerte de Holman Gustavo Siábato, según el relato del postulado JOSÉ DELFÍN, consiste en clarificar que éste efectivamente adelantaba la actividad lícita de operador de radio de comunicaciones en la que tenía experiencia por haber trabajado anteriormente en la ciudad de Villavicencio, razón por la cual se resistía a seguir las instrucciones de los miembros del grupo paramilitar, pues defendía su labor como autorizada y por tanto no accedía a las limitaciones que de su actividad pretendía la organización armada ilegal.</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Adicionalmente, también debe clarificarse que el relato efectuado por JOSÉ DELFÍN no se refirió a la venta de radios de comunicación por parte de Siábato Plazas a la guerrilla, de tal forma que no es exacto afirmar que se comprobó que uno de los radios de propiedad de éste, era utilizado por ese grupo armado ilegal, pues realmente se valían de las frecuencias y no de los receptores pertenecientes a Holman Gustavo Siábato.</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Para arribar a tal conclusión, ha de señalarse que por las características del medio de comunicación que utilizaba con fines comerciales la víctima, era posible acceder a “bandas” que permitieran la intercomunicación de grupos guerrilleros.</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En el caso concreto, no es como lo señala el desmovilizado en su versión, que la frecuencia o banda del aparato de propiedad de Holman Gustavo Siábato era específicamente utilizada por la guerrilla para sus comunicaciones, sino que, como puede suceder con cualquier receptor de estos, si se ubica el mismo en la “banda” que está utilizando el grupo guerrillero y dentro del radio de acción y longitud de onda de la conversación, se escuchada la misma, independientemente del querer o interés de quienes participan en ella.</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En estricto sentido, la muerte de Holman Gustavo Siábato no vino a consecuencia de ofrecer o prestar algún tipo de apoyo logístico a los grupos subversivos, sino específicamente de haber incumplido la orden expresa del aquí desmovilizado de cesar la actividad comercial ejecutada lícitamente.</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Las anteriores precisiones resultan necesarias para depurar los hechos cuya reconstrucción se logró con la conjugación de las versiones aportadas por el postulado JOSÉ DELFÍN VILLALOBOS, y por la señora madre de Holman Gustavo Siabato, de cara a enaltecer la verdad histórica sobre la desaparición y muerte de éste, como primer paso para lograr las medidas de satisfacción que empiezan con la difusión de la verdad a través de las decisiones judiciales.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Corresponde entonces al juez colegiado de primera instancia correlacionar las versiones de lo sucedido con la adecuación jurídica efectuada por el ente acusador, de cara a emitir el pronunciamiento de legalización de los cargos, argumentación que se extraña.  En cambio, el </w:t>
      </w:r>
      <w:r w:rsidRPr="009E43AD">
        <w:rPr>
          <w:rFonts w:ascii="Bookman Old Style" w:hAnsi="Bookman Old Style"/>
          <w:i/>
          <w:sz w:val="28"/>
          <w:szCs w:val="28"/>
          <w:lang w:val="es-CO"/>
        </w:rPr>
        <w:t>A quo</w:t>
      </w:r>
      <w:r>
        <w:rPr>
          <w:rFonts w:ascii="Bookman Old Style" w:hAnsi="Bookman Old Style"/>
          <w:sz w:val="28"/>
          <w:szCs w:val="28"/>
          <w:lang w:val="es-CO"/>
        </w:rPr>
        <w:t xml:space="preserve"> erradamente incluyó a esta víctima en un cuadro</w:t>
      </w:r>
      <w:r>
        <w:rPr>
          <w:rStyle w:val="Refdenotaalpie"/>
          <w:rFonts w:ascii="Bookman Old Style" w:hAnsi="Bookman Old Style"/>
          <w:sz w:val="28"/>
          <w:szCs w:val="28"/>
          <w:lang w:val="es-CO"/>
        </w:rPr>
        <w:footnoteReference w:id="80"/>
      </w:r>
      <w:r>
        <w:rPr>
          <w:rFonts w:ascii="Bookman Old Style" w:hAnsi="Bookman Old Style"/>
          <w:sz w:val="28"/>
          <w:szCs w:val="28"/>
          <w:lang w:val="es-CO"/>
        </w:rPr>
        <w:t xml:space="preserve"> que corresponde a las personas pertenecientes al grupo ilegal ACMV, cuando, por el contrario, lo desaparecieron y asesinaron por señalamientos infundados de colaborar con  el Frente 16 de las FARC.  Ese yerro conllevó a que el Tribunal impartiera legalidad a un punible que no corresponde con el imputado y aceptado.</w:t>
      </w: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 </w:t>
      </w:r>
    </w:p>
    <w:p w:rsidR="00AD777C" w:rsidRPr="003D45E0" w:rsidRDefault="00AD777C" w:rsidP="00AD777C">
      <w:pPr>
        <w:spacing w:line="360" w:lineRule="auto"/>
        <w:ind w:firstLine="709"/>
        <w:jc w:val="both"/>
        <w:rPr>
          <w:rFonts w:ascii="Bookman Old Style" w:hAnsi="Bookman Old Style"/>
          <w:sz w:val="28"/>
          <w:szCs w:val="28"/>
          <w:lang w:val="es-MX"/>
        </w:rPr>
      </w:pPr>
      <w:r>
        <w:rPr>
          <w:rFonts w:ascii="Bookman Old Style" w:hAnsi="Bookman Old Style"/>
          <w:sz w:val="28"/>
          <w:szCs w:val="28"/>
          <w:lang w:val="es-CO"/>
        </w:rPr>
        <w:t xml:space="preserve">Es así como en la labor de reconstrucción de la verdad como </w:t>
      </w:r>
      <w:r w:rsidRPr="00E0043B">
        <w:rPr>
          <w:rFonts w:ascii="Bookman Old Style" w:hAnsi="Bookman Old Style"/>
          <w:sz w:val="28"/>
          <w:szCs w:val="28"/>
          <w:lang w:val="es-CO"/>
        </w:rPr>
        <w:t>uno de los pilares fundamentales del proceso de justicia y paz,</w:t>
      </w:r>
      <w:r>
        <w:rPr>
          <w:rFonts w:ascii="Bookman Old Style" w:hAnsi="Bookman Old Style"/>
          <w:sz w:val="28"/>
          <w:szCs w:val="28"/>
          <w:lang w:val="es-CO"/>
        </w:rPr>
        <w:t xml:space="preserve"> cobra relevancia el deber de </w:t>
      </w:r>
      <w:r>
        <w:rPr>
          <w:rFonts w:ascii="Bookman Old Style" w:hAnsi="Bookman Old Style"/>
          <w:sz w:val="28"/>
          <w:szCs w:val="28"/>
          <w:lang w:val="es-MX"/>
        </w:rPr>
        <w:t>los jueces de</w:t>
      </w:r>
      <w:r w:rsidRPr="003D45E0">
        <w:rPr>
          <w:rFonts w:ascii="Bookman Old Style" w:hAnsi="Bookman Old Style"/>
          <w:sz w:val="28"/>
          <w:szCs w:val="28"/>
          <w:lang w:val="es-MX"/>
        </w:rPr>
        <w:t xml:space="preserve"> da</w:t>
      </w:r>
      <w:r>
        <w:rPr>
          <w:rFonts w:ascii="Bookman Old Style" w:hAnsi="Bookman Old Style"/>
          <w:sz w:val="28"/>
          <w:szCs w:val="28"/>
          <w:lang w:val="es-MX"/>
        </w:rPr>
        <w:t>r</w:t>
      </w:r>
      <w:r w:rsidRPr="003D45E0">
        <w:rPr>
          <w:rFonts w:ascii="Bookman Old Style" w:hAnsi="Bookman Old Style"/>
          <w:sz w:val="28"/>
          <w:szCs w:val="28"/>
          <w:lang w:val="es-MX"/>
        </w:rPr>
        <w:t xml:space="preserve"> a conocer las razones para acoger o desestimar las pretensiones de las partes, necesidad de</w:t>
      </w:r>
      <w:r>
        <w:rPr>
          <w:rFonts w:ascii="Bookman Old Style" w:hAnsi="Bookman Old Style"/>
          <w:sz w:val="28"/>
          <w:szCs w:val="28"/>
          <w:lang w:val="es-MX"/>
        </w:rPr>
        <w:t xml:space="preserve"> </w:t>
      </w:r>
      <w:r w:rsidRPr="003D45E0">
        <w:rPr>
          <w:rFonts w:ascii="Bookman Old Style" w:hAnsi="Bookman Old Style"/>
          <w:sz w:val="28"/>
          <w:szCs w:val="28"/>
          <w:lang w:val="es-MX"/>
        </w:rPr>
        <w:t>l</w:t>
      </w:r>
      <w:r>
        <w:rPr>
          <w:rFonts w:ascii="Bookman Old Style" w:hAnsi="Bookman Old Style"/>
          <w:sz w:val="28"/>
          <w:szCs w:val="28"/>
          <w:lang w:val="es-MX"/>
        </w:rPr>
        <w:t>a</w:t>
      </w:r>
      <w:r w:rsidRPr="003D45E0">
        <w:rPr>
          <w:rFonts w:ascii="Bookman Old Style" w:hAnsi="Bookman Old Style"/>
          <w:sz w:val="28"/>
          <w:szCs w:val="28"/>
          <w:lang w:val="es-MX"/>
        </w:rPr>
        <w:t xml:space="preserve"> cual se aparta la Sala de Conocimiento cuando simplemente elabora consideraciones doctrinales de carácter general</w:t>
      </w:r>
      <w:r w:rsidRPr="003D45E0">
        <w:rPr>
          <w:rStyle w:val="Refdenotaalpie"/>
          <w:rFonts w:ascii="Bookman Old Style" w:hAnsi="Bookman Old Style"/>
          <w:sz w:val="28"/>
          <w:szCs w:val="28"/>
          <w:lang w:val="es-MX"/>
        </w:rPr>
        <w:footnoteReference w:id="81"/>
      </w:r>
      <w:r>
        <w:rPr>
          <w:rFonts w:ascii="Bookman Old Style" w:hAnsi="Bookman Old Style"/>
          <w:sz w:val="28"/>
          <w:szCs w:val="28"/>
          <w:lang w:val="es-MX"/>
        </w:rPr>
        <w:t xml:space="preserve"> que finalmente no</w:t>
      </w:r>
      <w:r w:rsidRPr="003D45E0">
        <w:rPr>
          <w:rFonts w:ascii="Bookman Old Style" w:hAnsi="Bookman Old Style"/>
          <w:sz w:val="28"/>
          <w:szCs w:val="28"/>
          <w:lang w:val="es-MX"/>
        </w:rPr>
        <w:t xml:space="preserve"> descienden al plano casuístico que ocupa cada proceso penal, incluso el regido por la Ley 975 de 2005, aunque en forma flexibilizada.</w:t>
      </w:r>
    </w:p>
    <w:p w:rsidR="00AD777C" w:rsidRPr="003D45E0" w:rsidRDefault="00AD777C" w:rsidP="00AD777C">
      <w:pPr>
        <w:spacing w:line="360" w:lineRule="auto"/>
        <w:ind w:firstLine="709"/>
        <w:jc w:val="both"/>
        <w:rPr>
          <w:rFonts w:ascii="Bookman Old Style" w:hAnsi="Bookman Old Style"/>
          <w:sz w:val="28"/>
          <w:szCs w:val="28"/>
          <w:lang w:val="es-MX"/>
        </w:rPr>
      </w:pPr>
    </w:p>
    <w:p w:rsidR="00AD777C" w:rsidRDefault="00AD777C" w:rsidP="00AD777C">
      <w:pPr>
        <w:spacing w:line="360" w:lineRule="auto"/>
        <w:ind w:firstLine="709"/>
        <w:jc w:val="both"/>
        <w:rPr>
          <w:rFonts w:ascii="Bookman Old Style" w:hAnsi="Bookman Old Style"/>
          <w:sz w:val="28"/>
          <w:szCs w:val="28"/>
          <w:lang w:val="es-MX"/>
        </w:rPr>
      </w:pPr>
      <w:r w:rsidRPr="003D45E0">
        <w:rPr>
          <w:rFonts w:ascii="Bookman Old Style" w:hAnsi="Bookman Old Style"/>
          <w:sz w:val="28"/>
          <w:szCs w:val="28"/>
          <w:lang w:val="es-MX"/>
        </w:rPr>
        <w:t>C</w:t>
      </w:r>
      <w:r>
        <w:rPr>
          <w:rFonts w:ascii="Bookman Old Style" w:hAnsi="Bookman Old Style"/>
          <w:sz w:val="28"/>
          <w:szCs w:val="28"/>
          <w:lang w:val="es-MX"/>
        </w:rPr>
        <w:t>omo en el caso bajo estudio la F</w:t>
      </w:r>
      <w:r w:rsidRPr="003D45E0">
        <w:rPr>
          <w:rFonts w:ascii="Bookman Old Style" w:hAnsi="Bookman Old Style"/>
          <w:sz w:val="28"/>
          <w:szCs w:val="28"/>
          <w:lang w:val="es-MX"/>
        </w:rPr>
        <w:t xml:space="preserve">iscalía solicitó legalizar cargos por los delitos de homicidio en persona protegida y desaparición forzada, </w:t>
      </w:r>
      <w:r>
        <w:rPr>
          <w:rFonts w:ascii="Bookman Old Style" w:hAnsi="Bookman Old Style"/>
          <w:sz w:val="28"/>
          <w:szCs w:val="28"/>
          <w:lang w:val="es-MX"/>
        </w:rPr>
        <w:t xml:space="preserve">aceptados sin discusión alguna por los postulados, se reconocerá que la muerte de Holman Gustavo Siábato se enmarca en la descripción típica del delito de homicidio en persona protegida, por cuanto se habla de un integrante de la población civil que sin participar en el conflicto armado interno se dedicaba a una actividad laboral lícita (radio operador) que fue mal interpretada por los miembros de las ACMV como facilitadora de las operaciones de la guerrilla. En consecuencia, también se legalizará en el </w:t>
      </w:r>
      <w:r w:rsidRPr="006C6D10">
        <w:rPr>
          <w:rFonts w:ascii="Bookman Old Style" w:hAnsi="Bookman Old Style"/>
          <w:b/>
          <w:sz w:val="28"/>
          <w:szCs w:val="28"/>
          <w:lang w:val="es-MX"/>
        </w:rPr>
        <w:t>hecho No. 71</w:t>
      </w:r>
      <w:r>
        <w:rPr>
          <w:rFonts w:ascii="Bookman Old Style" w:hAnsi="Bookman Old Style"/>
          <w:sz w:val="28"/>
          <w:szCs w:val="28"/>
          <w:lang w:val="es-MX"/>
        </w:rPr>
        <w:t xml:space="preserve"> el cargo por el delito de homicidio en persona protegida, del cual se dio amplia cuenta durante las versiones y audiencias preliminares y de conocimiento, acogiendo los planteamientos de la Fiscalía.</w:t>
      </w:r>
    </w:p>
    <w:p w:rsidR="00AD777C" w:rsidRDefault="00AD777C" w:rsidP="00AD777C">
      <w:pPr>
        <w:spacing w:line="360" w:lineRule="auto"/>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Semejante es la situación que se presenta </w:t>
      </w:r>
      <w:r w:rsidRPr="00A6239F">
        <w:rPr>
          <w:rFonts w:ascii="Bookman Old Style" w:hAnsi="Bookman Old Style"/>
          <w:sz w:val="28"/>
          <w:szCs w:val="28"/>
          <w:lang w:val="es-CO"/>
        </w:rPr>
        <w:t xml:space="preserve">con el </w:t>
      </w:r>
      <w:r w:rsidRPr="002B1F2E">
        <w:rPr>
          <w:rFonts w:ascii="Bookman Old Style" w:hAnsi="Bookman Old Style"/>
          <w:b/>
          <w:sz w:val="28"/>
          <w:szCs w:val="28"/>
          <w:lang w:val="es-CO"/>
        </w:rPr>
        <w:t xml:space="preserve">hecho </w:t>
      </w:r>
      <w:r>
        <w:rPr>
          <w:rFonts w:ascii="Bookman Old Style" w:hAnsi="Bookman Old Style"/>
          <w:b/>
          <w:sz w:val="28"/>
          <w:szCs w:val="28"/>
          <w:lang w:val="es-CO"/>
        </w:rPr>
        <w:t xml:space="preserve">No. </w:t>
      </w:r>
      <w:r w:rsidRPr="002B1F2E">
        <w:rPr>
          <w:rFonts w:ascii="Bookman Old Style" w:hAnsi="Bookman Old Style"/>
          <w:b/>
          <w:sz w:val="28"/>
          <w:szCs w:val="28"/>
          <w:lang w:val="es-CO"/>
        </w:rPr>
        <w:t>108</w:t>
      </w:r>
      <w:r w:rsidRPr="00A6239F">
        <w:rPr>
          <w:rFonts w:ascii="Bookman Old Style" w:hAnsi="Bookman Old Style"/>
          <w:sz w:val="28"/>
          <w:szCs w:val="28"/>
          <w:lang w:val="es-CO"/>
        </w:rPr>
        <w:t xml:space="preserve"> en</w:t>
      </w:r>
      <w:r>
        <w:rPr>
          <w:rFonts w:ascii="Bookman Old Style" w:hAnsi="Bookman Old Style"/>
          <w:sz w:val="28"/>
          <w:szCs w:val="28"/>
          <w:lang w:val="es-CO"/>
        </w:rPr>
        <w:t xml:space="preserve"> el que la Fiscalía solicitó la legalización de cargos por los delitos de homicidio en persona protegida en concurso con desaparición forzada</w:t>
      </w:r>
      <w:r>
        <w:rPr>
          <w:rStyle w:val="Refdenotaalpie"/>
          <w:rFonts w:ascii="Bookman Old Style" w:hAnsi="Bookman Old Style"/>
          <w:sz w:val="28"/>
          <w:szCs w:val="28"/>
          <w:lang w:val="es-CO"/>
        </w:rPr>
        <w:footnoteReference w:id="82"/>
      </w:r>
      <w:r>
        <w:rPr>
          <w:rFonts w:ascii="Bookman Old Style" w:hAnsi="Bookman Old Style"/>
          <w:sz w:val="28"/>
          <w:szCs w:val="28"/>
          <w:lang w:val="es-CO"/>
        </w:rPr>
        <w:t xml:space="preserve">, siendo víctima directa Oscar Andrés Pardo Pinzón, exmilitante de las ACMV.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 Ninguna argumentación realizó el Tribunal en torno al hecho concreto en el que sólo se legalizó el punible de homicidio en persona protegida, mientras que hubo absoluto silencio de cara al estudio de la desaparición forzada de Oscar Andrés Pardo Pinzón</w:t>
      </w:r>
      <w:r w:rsidRPr="003D45E0">
        <w:rPr>
          <w:rFonts w:ascii="Bookman Old Style" w:hAnsi="Bookman Old Style"/>
          <w:sz w:val="28"/>
          <w:szCs w:val="28"/>
          <w:lang w:val="es-CO"/>
        </w:rPr>
        <w:t xml:space="preserve">, </w:t>
      </w:r>
      <w:r>
        <w:rPr>
          <w:rFonts w:ascii="Bookman Old Style" w:hAnsi="Bookman Old Style"/>
          <w:sz w:val="28"/>
          <w:szCs w:val="28"/>
          <w:lang w:val="es-CO"/>
        </w:rPr>
        <w:t>no obstante que la clara y extensa narración cumplida por la Fiscalía con fundamento en las versiones de JOSÉ DELFÍN VILLALOBOS JIMÉNEZ, JOSÉ BALDOMERO LINARES MORENO y la señora madre de la víctima directa, dan cuenta de que el grupo armado ilegal de las ACMV ordenó su privación de la libertad, lo ocultó y a la fecha no ha sido posible encontrar los restos óseos.</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Así lo reseñó la Fiscalía durante la audiencia de legalización de cargos</w:t>
      </w:r>
      <w:r>
        <w:rPr>
          <w:rStyle w:val="Refdenotaalpie"/>
          <w:rFonts w:ascii="Bookman Old Style" w:hAnsi="Bookman Old Style"/>
          <w:sz w:val="28"/>
          <w:szCs w:val="28"/>
          <w:lang w:val="es-CO"/>
        </w:rPr>
        <w:footnoteReference w:id="83"/>
      </w:r>
      <w:r>
        <w:rPr>
          <w:rFonts w:ascii="Bookman Old Style" w:hAnsi="Bookman Old Style"/>
          <w:sz w:val="28"/>
          <w:szCs w:val="28"/>
          <w:lang w:val="es-CO"/>
        </w:rPr>
        <w:t>:</w:t>
      </w:r>
    </w:p>
    <w:p w:rsidR="00AD777C" w:rsidRPr="00E936F9" w:rsidRDefault="00AD777C" w:rsidP="00AD777C">
      <w:pPr>
        <w:spacing w:line="360" w:lineRule="auto"/>
        <w:ind w:firstLine="708"/>
        <w:jc w:val="both"/>
        <w:rPr>
          <w:rFonts w:ascii="Bookman Old Style" w:hAnsi="Bookman Old Style"/>
          <w:i/>
          <w:sz w:val="24"/>
          <w:szCs w:val="24"/>
          <w:lang w:val="es-CO"/>
        </w:rPr>
      </w:pPr>
    </w:p>
    <w:p w:rsidR="00AD777C" w:rsidRDefault="00AD777C" w:rsidP="00AD777C">
      <w:pPr>
        <w:spacing w:line="360" w:lineRule="auto"/>
        <w:ind w:left="708"/>
        <w:jc w:val="both"/>
        <w:rPr>
          <w:rFonts w:ascii="Bookman Old Style" w:hAnsi="Bookman Old Style"/>
          <w:i/>
          <w:sz w:val="24"/>
          <w:szCs w:val="24"/>
          <w:lang w:val="es-CO"/>
        </w:rPr>
      </w:pPr>
      <w:r w:rsidRPr="00E936F9">
        <w:rPr>
          <w:rFonts w:ascii="Bookman Old Style" w:hAnsi="Bookman Old Style"/>
          <w:i/>
          <w:sz w:val="24"/>
          <w:szCs w:val="24"/>
          <w:lang w:val="es-CO"/>
        </w:rPr>
        <w:t>Después de dos años de ocurrido este episodio llega el domingo 25 de mayo de 2003 a eso de las 13 horas aprox</w:t>
      </w:r>
      <w:r>
        <w:rPr>
          <w:rFonts w:ascii="Bookman Old Style" w:hAnsi="Bookman Old Style"/>
          <w:i/>
          <w:sz w:val="24"/>
          <w:szCs w:val="24"/>
          <w:lang w:val="es-CO"/>
        </w:rPr>
        <w:t>imadamente donde se recibe una l</w:t>
      </w:r>
      <w:r w:rsidRPr="00E936F9">
        <w:rPr>
          <w:rFonts w:ascii="Bookman Old Style" w:hAnsi="Bookman Old Style"/>
          <w:i/>
          <w:sz w:val="24"/>
          <w:szCs w:val="24"/>
          <w:lang w:val="es-CO"/>
        </w:rPr>
        <w:t>l</w:t>
      </w:r>
      <w:r>
        <w:rPr>
          <w:rFonts w:ascii="Bookman Old Style" w:hAnsi="Bookman Old Style"/>
          <w:i/>
          <w:sz w:val="24"/>
          <w:szCs w:val="24"/>
          <w:lang w:val="es-CO"/>
        </w:rPr>
        <w:t>a</w:t>
      </w:r>
      <w:r w:rsidRPr="00E936F9">
        <w:rPr>
          <w:rFonts w:ascii="Bookman Old Style" w:hAnsi="Bookman Old Style"/>
          <w:i/>
          <w:sz w:val="24"/>
          <w:szCs w:val="24"/>
          <w:lang w:val="es-CO"/>
        </w:rPr>
        <w:t>m</w:t>
      </w:r>
      <w:r>
        <w:rPr>
          <w:rFonts w:ascii="Bookman Old Style" w:hAnsi="Bookman Old Style"/>
          <w:i/>
          <w:sz w:val="24"/>
          <w:szCs w:val="24"/>
          <w:lang w:val="es-CO"/>
        </w:rPr>
        <w:t>a</w:t>
      </w:r>
      <w:r w:rsidRPr="00E936F9">
        <w:rPr>
          <w:rFonts w:ascii="Bookman Old Style" w:hAnsi="Bookman Old Style"/>
          <w:i/>
          <w:sz w:val="24"/>
          <w:szCs w:val="24"/>
          <w:lang w:val="es-CO"/>
        </w:rPr>
        <w:t xml:space="preserve">da telefónica que lo puso bastante nervioso, no comentó a sus </w:t>
      </w:r>
      <w:r>
        <w:rPr>
          <w:rFonts w:ascii="Bookman Old Style" w:hAnsi="Bookman Old Style"/>
          <w:i/>
          <w:sz w:val="24"/>
          <w:szCs w:val="24"/>
          <w:lang w:val="es-CO"/>
        </w:rPr>
        <w:t>familiares qué es lo que estaba</w:t>
      </w:r>
      <w:r w:rsidRPr="00E936F9">
        <w:rPr>
          <w:rFonts w:ascii="Bookman Old Style" w:hAnsi="Bookman Old Style"/>
          <w:i/>
          <w:sz w:val="24"/>
          <w:szCs w:val="24"/>
          <w:lang w:val="es-CO"/>
        </w:rPr>
        <w:t xml:space="preserve"> pasando, sin embargo</w:t>
      </w:r>
      <w:r>
        <w:rPr>
          <w:rFonts w:ascii="Bookman Old Style" w:hAnsi="Bookman Old Style"/>
          <w:i/>
          <w:sz w:val="24"/>
          <w:szCs w:val="24"/>
          <w:lang w:val="es-CO"/>
        </w:rPr>
        <w:t>,</w:t>
      </w:r>
      <w:r w:rsidRPr="00E936F9">
        <w:rPr>
          <w:rFonts w:ascii="Bookman Old Style" w:hAnsi="Bookman Old Style"/>
          <w:i/>
          <w:sz w:val="24"/>
          <w:szCs w:val="24"/>
          <w:lang w:val="es-CO"/>
        </w:rPr>
        <w:t xml:space="preserve"> se viste, </w:t>
      </w:r>
      <w:r w:rsidRPr="00E936F9">
        <w:rPr>
          <w:rFonts w:ascii="Bookman Old Style" w:hAnsi="Bookman Old Style"/>
          <w:b/>
          <w:i/>
          <w:sz w:val="24"/>
          <w:szCs w:val="24"/>
          <w:lang w:val="es-CO"/>
        </w:rPr>
        <w:t>luego sale y desde ese momento se desconoce su suerte.</w:t>
      </w:r>
      <w:r>
        <w:rPr>
          <w:rFonts w:ascii="Bookman Old Style" w:hAnsi="Bookman Old Style"/>
          <w:i/>
          <w:sz w:val="24"/>
          <w:szCs w:val="24"/>
          <w:lang w:val="es-CO"/>
        </w:rPr>
        <w:t xml:space="preserve">  L</w:t>
      </w:r>
      <w:r w:rsidRPr="00E936F9">
        <w:rPr>
          <w:rFonts w:ascii="Bookman Old Style" w:hAnsi="Bookman Old Style"/>
          <w:i/>
          <w:sz w:val="24"/>
          <w:szCs w:val="24"/>
          <w:lang w:val="es-CO"/>
        </w:rPr>
        <w:t>os familiares d</w:t>
      </w:r>
      <w:r>
        <w:rPr>
          <w:rFonts w:ascii="Bookman Old Style" w:hAnsi="Bookman Old Style"/>
          <w:i/>
          <w:sz w:val="24"/>
          <w:szCs w:val="24"/>
          <w:lang w:val="es-CO"/>
        </w:rPr>
        <w:t>e la víctima conocieron en su búsqueda que lam</w:t>
      </w:r>
      <w:r w:rsidRPr="00E936F9">
        <w:rPr>
          <w:rFonts w:ascii="Bookman Old Style" w:hAnsi="Bookman Old Style"/>
          <w:i/>
          <w:sz w:val="24"/>
          <w:szCs w:val="24"/>
          <w:lang w:val="es-CO"/>
        </w:rPr>
        <w:t>e</w:t>
      </w:r>
      <w:r>
        <w:rPr>
          <w:rFonts w:ascii="Bookman Old Style" w:hAnsi="Bookman Old Style"/>
          <w:i/>
          <w:sz w:val="24"/>
          <w:szCs w:val="24"/>
          <w:lang w:val="es-CO"/>
        </w:rPr>
        <w:t>ntablemente la ví</w:t>
      </w:r>
      <w:r w:rsidRPr="00E936F9">
        <w:rPr>
          <w:rFonts w:ascii="Bookman Old Style" w:hAnsi="Bookman Old Style"/>
          <w:i/>
          <w:sz w:val="24"/>
          <w:szCs w:val="24"/>
          <w:lang w:val="es-CO"/>
        </w:rPr>
        <w:t>ctima había perten</w:t>
      </w:r>
      <w:r>
        <w:rPr>
          <w:rFonts w:ascii="Bookman Old Style" w:hAnsi="Bookman Old Style"/>
          <w:i/>
          <w:sz w:val="24"/>
          <w:szCs w:val="24"/>
          <w:lang w:val="es-CO"/>
        </w:rPr>
        <w:t>ecido a las A</w:t>
      </w:r>
      <w:r w:rsidRPr="00E936F9">
        <w:rPr>
          <w:rFonts w:ascii="Bookman Old Style" w:hAnsi="Bookman Old Style"/>
          <w:i/>
          <w:sz w:val="24"/>
          <w:szCs w:val="24"/>
          <w:lang w:val="es-CO"/>
        </w:rPr>
        <w:t>CMV y que</w:t>
      </w:r>
      <w:r>
        <w:rPr>
          <w:rFonts w:ascii="Bookman Old Style" w:hAnsi="Bookman Old Style"/>
          <w:i/>
          <w:sz w:val="24"/>
          <w:szCs w:val="24"/>
          <w:lang w:val="es-CO"/>
        </w:rPr>
        <w:t xml:space="preserve"> allá se le había reconocido con el alias de B</w:t>
      </w:r>
      <w:r w:rsidRPr="00E936F9">
        <w:rPr>
          <w:rFonts w:ascii="Bookman Old Style" w:hAnsi="Bookman Old Style"/>
          <w:i/>
          <w:sz w:val="24"/>
          <w:szCs w:val="24"/>
          <w:lang w:val="es-CO"/>
        </w:rPr>
        <w:t>raimar</w:t>
      </w:r>
      <w:r>
        <w:rPr>
          <w:rFonts w:ascii="Bookman Old Style" w:hAnsi="Bookman Old Style"/>
          <w:i/>
          <w:sz w:val="24"/>
          <w:szCs w:val="24"/>
          <w:lang w:val="es-CO"/>
        </w:rPr>
        <w:t>.</w:t>
      </w:r>
      <w:r w:rsidRPr="00E936F9">
        <w:rPr>
          <w:rFonts w:ascii="Bookman Old Style" w:hAnsi="Bookman Old Style"/>
          <w:i/>
          <w:sz w:val="24"/>
          <w:szCs w:val="24"/>
          <w:lang w:val="es-CO"/>
        </w:rPr>
        <w:t xml:space="preserve"> </w:t>
      </w:r>
      <w:r>
        <w:rPr>
          <w:rFonts w:ascii="Bookman Old Style" w:hAnsi="Bookman Old Style"/>
          <w:i/>
          <w:sz w:val="24"/>
          <w:szCs w:val="24"/>
          <w:lang w:val="es-CO"/>
        </w:rPr>
        <w:t>(…)</w:t>
      </w:r>
      <w:r w:rsidRPr="00E936F9">
        <w:rPr>
          <w:rFonts w:ascii="Bookman Old Style" w:hAnsi="Bookman Old Style"/>
          <w:i/>
          <w:sz w:val="24"/>
          <w:szCs w:val="24"/>
          <w:lang w:val="es-CO"/>
        </w:rPr>
        <w:t xml:space="preserve">  A su turno, y en versiones confesas por los postulados, donde se reconoce el episodio de sangre</w:t>
      </w:r>
      <w:r>
        <w:rPr>
          <w:rFonts w:ascii="Bookman Old Style" w:hAnsi="Bookman Old Style"/>
          <w:i/>
          <w:sz w:val="24"/>
          <w:szCs w:val="24"/>
          <w:lang w:val="es-CO"/>
        </w:rPr>
        <w:t>, el señor JOSÉ DELFÍ</w:t>
      </w:r>
      <w:r w:rsidRPr="00E936F9">
        <w:rPr>
          <w:rFonts w:ascii="Bookman Old Style" w:hAnsi="Bookman Old Style"/>
          <w:i/>
          <w:sz w:val="24"/>
          <w:szCs w:val="24"/>
          <w:lang w:val="es-CO"/>
        </w:rPr>
        <w:t>N V</w:t>
      </w:r>
      <w:r>
        <w:rPr>
          <w:rFonts w:ascii="Bookman Old Style" w:hAnsi="Bookman Old Style"/>
          <w:i/>
          <w:sz w:val="24"/>
          <w:szCs w:val="24"/>
          <w:lang w:val="es-CO"/>
        </w:rPr>
        <w:t>ILLALOBOS</w:t>
      </w:r>
      <w:r w:rsidRPr="00E936F9">
        <w:rPr>
          <w:rFonts w:ascii="Bookman Old Style" w:hAnsi="Bookman Old Style"/>
          <w:i/>
          <w:sz w:val="24"/>
          <w:szCs w:val="24"/>
          <w:lang w:val="es-CO"/>
        </w:rPr>
        <w:t xml:space="preserve"> JIMÉNEZ</w:t>
      </w:r>
      <w:r>
        <w:rPr>
          <w:rFonts w:ascii="Bookman Old Style" w:hAnsi="Bookman Old Style"/>
          <w:i/>
          <w:sz w:val="24"/>
          <w:szCs w:val="24"/>
          <w:lang w:val="es-CO"/>
        </w:rPr>
        <w:t xml:space="preserve"> manifiesta que di</w:t>
      </w:r>
      <w:r w:rsidRPr="00E936F9">
        <w:rPr>
          <w:rFonts w:ascii="Bookman Old Style" w:hAnsi="Bookman Old Style"/>
          <w:i/>
          <w:sz w:val="24"/>
          <w:szCs w:val="24"/>
          <w:lang w:val="es-CO"/>
        </w:rPr>
        <w:t xml:space="preserve">stinguió a </w:t>
      </w:r>
      <w:r>
        <w:rPr>
          <w:rFonts w:ascii="Bookman Old Style" w:hAnsi="Bookman Old Style"/>
          <w:i/>
          <w:sz w:val="24"/>
          <w:szCs w:val="24"/>
          <w:lang w:val="es-CO"/>
        </w:rPr>
        <w:t>Braima</w:t>
      </w:r>
      <w:r w:rsidRPr="00E936F9">
        <w:rPr>
          <w:rFonts w:ascii="Bookman Old Style" w:hAnsi="Bookman Old Style"/>
          <w:i/>
          <w:sz w:val="24"/>
          <w:szCs w:val="24"/>
          <w:lang w:val="es-CO"/>
        </w:rPr>
        <w:t>r, que efectivamente él fue militante de la organización y que fue recogido en la ciudad de Vill</w:t>
      </w:r>
      <w:r>
        <w:rPr>
          <w:rFonts w:ascii="Bookman Old Style" w:hAnsi="Bookman Old Style"/>
          <w:i/>
          <w:sz w:val="24"/>
          <w:szCs w:val="24"/>
          <w:lang w:val="es-CO"/>
        </w:rPr>
        <w:t>a</w:t>
      </w:r>
      <w:r w:rsidRPr="00E936F9">
        <w:rPr>
          <w:rFonts w:ascii="Bookman Old Style" w:hAnsi="Bookman Old Style"/>
          <w:i/>
          <w:sz w:val="24"/>
          <w:szCs w:val="24"/>
          <w:lang w:val="es-CO"/>
        </w:rPr>
        <w:t xml:space="preserve">vicencio </w:t>
      </w:r>
      <w:r w:rsidRPr="00737FD0">
        <w:rPr>
          <w:rFonts w:ascii="Bookman Old Style" w:hAnsi="Bookman Old Style"/>
          <w:b/>
          <w:i/>
          <w:sz w:val="24"/>
          <w:szCs w:val="24"/>
          <w:lang w:val="es-CO"/>
        </w:rPr>
        <w:t>por alias Gavilán, que la víctima fue conducida hasta el sector de La Cristalina donde fue ejecutado y echado al río Guambi, por lo cual afirmaba que era imposible de recuperar sus restos</w:t>
      </w:r>
      <w:r>
        <w:rPr>
          <w:rFonts w:ascii="Bookman Old Style" w:hAnsi="Bookman Old Style"/>
          <w:i/>
          <w:sz w:val="24"/>
          <w:szCs w:val="24"/>
          <w:lang w:val="es-CO"/>
        </w:rPr>
        <w:t>.  A</w:t>
      </w:r>
      <w:r w:rsidRPr="00E936F9">
        <w:rPr>
          <w:rFonts w:ascii="Bookman Old Style" w:hAnsi="Bookman Old Style"/>
          <w:i/>
          <w:sz w:val="24"/>
          <w:szCs w:val="24"/>
          <w:lang w:val="es-CO"/>
        </w:rPr>
        <w:t>grega que la víctima cuando militó con las ACMV era escolta del entonces c</w:t>
      </w:r>
      <w:r>
        <w:rPr>
          <w:rFonts w:ascii="Bookman Old Style" w:hAnsi="Bookman Old Style"/>
          <w:i/>
          <w:sz w:val="24"/>
          <w:szCs w:val="24"/>
          <w:lang w:val="es-CO"/>
        </w:rPr>
        <w:t>omandante militar alias Pablito.  F</w:t>
      </w:r>
      <w:r w:rsidRPr="00E936F9">
        <w:rPr>
          <w:rFonts w:ascii="Bookman Old Style" w:hAnsi="Bookman Old Style"/>
          <w:i/>
          <w:sz w:val="24"/>
          <w:szCs w:val="24"/>
          <w:lang w:val="es-CO"/>
        </w:rPr>
        <w:t>rente a la n</w:t>
      </w:r>
      <w:r>
        <w:rPr>
          <w:rFonts w:ascii="Bookman Old Style" w:hAnsi="Bookman Old Style"/>
          <w:i/>
          <w:sz w:val="24"/>
          <w:szCs w:val="24"/>
          <w:lang w:val="es-CO"/>
        </w:rPr>
        <w:t>ueva exposición del caso manifestó qu</w:t>
      </w:r>
      <w:r w:rsidRPr="00E936F9">
        <w:rPr>
          <w:rFonts w:ascii="Bookman Old Style" w:hAnsi="Bookman Old Style"/>
          <w:i/>
          <w:sz w:val="24"/>
          <w:szCs w:val="24"/>
          <w:lang w:val="es-CO"/>
        </w:rPr>
        <w:t>e alias Pablito le comentó al señor Linares de las actividades que estaba realizando la ví</w:t>
      </w:r>
      <w:r>
        <w:rPr>
          <w:rFonts w:ascii="Bookman Old Style" w:hAnsi="Bookman Old Style"/>
          <w:i/>
          <w:sz w:val="24"/>
          <w:szCs w:val="24"/>
          <w:lang w:val="es-CO"/>
        </w:rPr>
        <w:t>ctima con las autoridades en co</w:t>
      </w:r>
      <w:r w:rsidRPr="00E936F9">
        <w:rPr>
          <w:rFonts w:ascii="Bookman Old Style" w:hAnsi="Bookman Old Style"/>
          <w:i/>
          <w:sz w:val="24"/>
          <w:szCs w:val="24"/>
          <w:lang w:val="es-CO"/>
        </w:rPr>
        <w:t>n</w:t>
      </w:r>
      <w:r>
        <w:rPr>
          <w:rFonts w:ascii="Bookman Old Style" w:hAnsi="Bookman Old Style"/>
          <w:i/>
          <w:sz w:val="24"/>
          <w:szCs w:val="24"/>
          <w:lang w:val="es-CO"/>
        </w:rPr>
        <w:t>t</w:t>
      </w:r>
      <w:r w:rsidRPr="00E936F9">
        <w:rPr>
          <w:rFonts w:ascii="Bookman Old Style" w:hAnsi="Bookman Old Style"/>
          <w:i/>
          <w:sz w:val="24"/>
          <w:szCs w:val="24"/>
          <w:lang w:val="es-CO"/>
        </w:rPr>
        <w:t>ra del grupo</w:t>
      </w:r>
      <w:r>
        <w:rPr>
          <w:rFonts w:ascii="Bookman Old Style" w:hAnsi="Bookman Old Style"/>
          <w:i/>
          <w:sz w:val="24"/>
          <w:szCs w:val="24"/>
          <w:lang w:val="es-CO"/>
        </w:rPr>
        <w:t xml:space="preserve"> ilegal, por consiguiente ordenó</w:t>
      </w:r>
      <w:r w:rsidRPr="00E936F9">
        <w:rPr>
          <w:rFonts w:ascii="Bookman Old Style" w:hAnsi="Bookman Old Style"/>
          <w:i/>
          <w:sz w:val="24"/>
          <w:szCs w:val="24"/>
          <w:lang w:val="es-CO"/>
        </w:rPr>
        <w:t xml:space="preserve"> </w:t>
      </w:r>
      <w:r>
        <w:rPr>
          <w:rFonts w:ascii="Bookman Old Style" w:hAnsi="Bookman Old Style"/>
          <w:i/>
          <w:sz w:val="24"/>
          <w:szCs w:val="24"/>
          <w:lang w:val="es-CO"/>
        </w:rPr>
        <w:t>a alias G</w:t>
      </w:r>
      <w:r w:rsidRPr="00E936F9">
        <w:rPr>
          <w:rFonts w:ascii="Bookman Old Style" w:hAnsi="Bookman Old Style"/>
          <w:i/>
          <w:sz w:val="24"/>
          <w:szCs w:val="24"/>
          <w:lang w:val="es-CO"/>
        </w:rPr>
        <w:t>avilán para que recogi</w:t>
      </w:r>
      <w:r>
        <w:rPr>
          <w:rFonts w:ascii="Bookman Old Style" w:hAnsi="Bookman Old Style"/>
          <w:i/>
          <w:sz w:val="24"/>
          <w:szCs w:val="24"/>
          <w:lang w:val="es-CO"/>
        </w:rPr>
        <w:t>era a la víc</w:t>
      </w:r>
      <w:r w:rsidRPr="00E936F9">
        <w:rPr>
          <w:rFonts w:ascii="Bookman Old Style" w:hAnsi="Bookman Old Style"/>
          <w:i/>
          <w:sz w:val="24"/>
          <w:szCs w:val="24"/>
          <w:lang w:val="es-CO"/>
        </w:rPr>
        <w:t>tima y lo</w:t>
      </w:r>
      <w:r w:rsidRPr="001A78E7">
        <w:rPr>
          <w:rFonts w:ascii="Bookman Old Style" w:hAnsi="Bookman Old Style"/>
          <w:sz w:val="28"/>
          <w:szCs w:val="28"/>
          <w:lang w:val="es-CO"/>
        </w:rPr>
        <w:t xml:space="preserve"> (sic)</w:t>
      </w:r>
      <w:r w:rsidRPr="00E936F9">
        <w:rPr>
          <w:rFonts w:ascii="Bookman Old Style" w:hAnsi="Bookman Old Style"/>
          <w:i/>
          <w:sz w:val="24"/>
          <w:szCs w:val="24"/>
          <w:lang w:val="es-CO"/>
        </w:rPr>
        <w:t xml:space="preserve"> l</w:t>
      </w:r>
      <w:r>
        <w:rPr>
          <w:rFonts w:ascii="Bookman Old Style" w:hAnsi="Bookman Old Style"/>
          <w:i/>
          <w:sz w:val="24"/>
          <w:szCs w:val="24"/>
          <w:lang w:val="es-CO"/>
        </w:rPr>
        <w:t>l</w:t>
      </w:r>
      <w:r w:rsidRPr="00E936F9">
        <w:rPr>
          <w:rFonts w:ascii="Bookman Old Style" w:hAnsi="Bookman Old Style"/>
          <w:i/>
          <w:sz w:val="24"/>
          <w:szCs w:val="24"/>
          <w:lang w:val="es-CO"/>
        </w:rPr>
        <w:t>e</w:t>
      </w:r>
      <w:r>
        <w:rPr>
          <w:rFonts w:ascii="Bookman Old Style" w:hAnsi="Bookman Old Style"/>
          <w:i/>
          <w:sz w:val="24"/>
          <w:szCs w:val="24"/>
          <w:lang w:val="es-CO"/>
        </w:rPr>
        <w:t>v</w:t>
      </w:r>
      <w:r w:rsidRPr="00E936F9">
        <w:rPr>
          <w:rFonts w:ascii="Bookman Old Style" w:hAnsi="Bookman Old Style"/>
          <w:i/>
          <w:sz w:val="24"/>
          <w:szCs w:val="24"/>
          <w:lang w:val="es-CO"/>
        </w:rPr>
        <w:t xml:space="preserve">ara hasta </w:t>
      </w:r>
      <w:r>
        <w:rPr>
          <w:rFonts w:ascii="Bookman Old Style" w:hAnsi="Bookman Old Style"/>
          <w:i/>
          <w:sz w:val="24"/>
          <w:szCs w:val="24"/>
          <w:lang w:val="es-CO"/>
        </w:rPr>
        <w:t>Puerto</w:t>
      </w:r>
      <w:r w:rsidRPr="00E936F9">
        <w:rPr>
          <w:rFonts w:ascii="Bookman Old Style" w:hAnsi="Bookman Old Style"/>
          <w:i/>
          <w:sz w:val="24"/>
          <w:szCs w:val="24"/>
          <w:lang w:val="es-CO"/>
        </w:rPr>
        <w:t xml:space="preserve"> Gaitán, fue así como se transportó a </w:t>
      </w:r>
      <w:r>
        <w:rPr>
          <w:rFonts w:ascii="Bookman Old Style" w:hAnsi="Bookman Old Style"/>
          <w:i/>
          <w:sz w:val="24"/>
          <w:szCs w:val="24"/>
          <w:lang w:val="es-CO"/>
        </w:rPr>
        <w:t>esta persona hasta la finca La E</w:t>
      </w:r>
      <w:r w:rsidRPr="00E936F9">
        <w:rPr>
          <w:rFonts w:ascii="Bookman Old Style" w:hAnsi="Bookman Old Style"/>
          <w:i/>
          <w:sz w:val="24"/>
          <w:szCs w:val="24"/>
          <w:lang w:val="es-CO"/>
        </w:rPr>
        <w:t>speranza donde después de comunicarse con su máximo c</w:t>
      </w:r>
      <w:r>
        <w:rPr>
          <w:rFonts w:ascii="Bookman Old Style" w:hAnsi="Bookman Old Style"/>
          <w:i/>
          <w:sz w:val="24"/>
          <w:szCs w:val="24"/>
          <w:lang w:val="es-CO"/>
        </w:rPr>
        <w:t>omandante alias Guillermo Torres este dio</w:t>
      </w:r>
      <w:r w:rsidRPr="00E936F9">
        <w:rPr>
          <w:rFonts w:ascii="Bookman Old Style" w:hAnsi="Bookman Old Style"/>
          <w:i/>
          <w:sz w:val="24"/>
          <w:szCs w:val="24"/>
          <w:lang w:val="es-CO"/>
        </w:rPr>
        <w:t xml:space="preserve"> autonomía pa</w:t>
      </w:r>
      <w:r>
        <w:rPr>
          <w:rFonts w:ascii="Bookman Old Style" w:hAnsi="Bookman Old Style"/>
          <w:i/>
          <w:sz w:val="24"/>
          <w:szCs w:val="24"/>
          <w:lang w:val="es-CO"/>
        </w:rPr>
        <w:t>ra que s</w:t>
      </w:r>
      <w:r w:rsidRPr="00E936F9">
        <w:rPr>
          <w:rFonts w:ascii="Bookman Old Style" w:hAnsi="Bookman Old Style"/>
          <w:i/>
          <w:sz w:val="24"/>
          <w:szCs w:val="24"/>
          <w:lang w:val="es-CO"/>
        </w:rPr>
        <w:t>e</w:t>
      </w:r>
      <w:r>
        <w:rPr>
          <w:rFonts w:ascii="Bookman Old Style" w:hAnsi="Bookman Old Style"/>
          <w:i/>
          <w:sz w:val="24"/>
          <w:szCs w:val="24"/>
          <w:lang w:val="es-CO"/>
        </w:rPr>
        <w:t xml:space="preserve"> </w:t>
      </w:r>
      <w:r w:rsidRPr="00E936F9">
        <w:rPr>
          <w:rFonts w:ascii="Bookman Old Style" w:hAnsi="Bookman Old Style"/>
          <w:i/>
          <w:sz w:val="24"/>
          <w:szCs w:val="24"/>
          <w:lang w:val="es-CO"/>
        </w:rPr>
        <w:t xml:space="preserve">tomaran las </w:t>
      </w:r>
      <w:r>
        <w:rPr>
          <w:rFonts w:ascii="Bookman Old Style" w:hAnsi="Bookman Old Style"/>
          <w:i/>
          <w:sz w:val="24"/>
          <w:szCs w:val="24"/>
          <w:lang w:val="es-CO"/>
        </w:rPr>
        <w:t>d</w:t>
      </w:r>
      <w:r w:rsidRPr="00E936F9">
        <w:rPr>
          <w:rFonts w:ascii="Bookman Old Style" w:hAnsi="Bookman Old Style"/>
          <w:i/>
          <w:sz w:val="24"/>
          <w:szCs w:val="24"/>
          <w:lang w:val="es-CO"/>
        </w:rPr>
        <w:t>eterminacio</w:t>
      </w:r>
      <w:r>
        <w:rPr>
          <w:rFonts w:ascii="Bookman Old Style" w:hAnsi="Bookman Old Style"/>
          <w:i/>
          <w:sz w:val="24"/>
          <w:szCs w:val="24"/>
          <w:lang w:val="es-CO"/>
        </w:rPr>
        <w:t>nes</w:t>
      </w:r>
      <w:r w:rsidRPr="00E936F9">
        <w:rPr>
          <w:rFonts w:ascii="Bookman Old Style" w:hAnsi="Bookman Old Style"/>
          <w:i/>
          <w:sz w:val="24"/>
          <w:szCs w:val="24"/>
          <w:lang w:val="es-CO"/>
        </w:rPr>
        <w:t xml:space="preserve"> frente al caso y por eso como c</w:t>
      </w:r>
      <w:r>
        <w:rPr>
          <w:rFonts w:ascii="Bookman Old Style" w:hAnsi="Bookman Old Style"/>
          <w:i/>
          <w:sz w:val="24"/>
          <w:szCs w:val="24"/>
          <w:lang w:val="es-CO"/>
        </w:rPr>
        <w:t xml:space="preserve">omandante militar de la época </w:t>
      </w:r>
      <w:r w:rsidRPr="00E936F9">
        <w:rPr>
          <w:rFonts w:ascii="Bookman Old Style" w:hAnsi="Bookman Old Style"/>
          <w:i/>
          <w:sz w:val="24"/>
          <w:szCs w:val="24"/>
          <w:lang w:val="es-CO"/>
        </w:rPr>
        <w:t>dio l</w:t>
      </w:r>
      <w:r>
        <w:rPr>
          <w:rFonts w:ascii="Bookman Old Style" w:hAnsi="Bookman Old Style"/>
          <w:i/>
          <w:sz w:val="24"/>
          <w:szCs w:val="24"/>
          <w:lang w:val="es-CO"/>
        </w:rPr>
        <w:t>a orden directa de su ejecución, conocién</w:t>
      </w:r>
      <w:r w:rsidRPr="00E936F9">
        <w:rPr>
          <w:rFonts w:ascii="Bookman Old Style" w:hAnsi="Bookman Old Style"/>
          <w:i/>
          <w:sz w:val="24"/>
          <w:szCs w:val="24"/>
          <w:lang w:val="es-CO"/>
        </w:rPr>
        <w:t>do</w:t>
      </w:r>
      <w:r>
        <w:rPr>
          <w:rFonts w:ascii="Bookman Old Style" w:hAnsi="Bookman Old Style"/>
          <w:i/>
          <w:sz w:val="24"/>
          <w:szCs w:val="24"/>
          <w:lang w:val="es-CO"/>
        </w:rPr>
        <w:t>se</w:t>
      </w:r>
      <w:r w:rsidRPr="00E936F9">
        <w:rPr>
          <w:rFonts w:ascii="Bookman Old Style" w:hAnsi="Bookman Old Style"/>
          <w:i/>
          <w:sz w:val="24"/>
          <w:szCs w:val="24"/>
          <w:lang w:val="es-CO"/>
        </w:rPr>
        <w:t xml:space="preserve"> que cumplió con la disposición alias 120 que le confirmó directamente que ya había realizado la acción</w:t>
      </w:r>
      <w:r>
        <w:rPr>
          <w:rFonts w:ascii="Bookman Old Style" w:hAnsi="Bookman Old Style"/>
          <w:i/>
          <w:sz w:val="24"/>
          <w:szCs w:val="24"/>
          <w:lang w:val="es-CO"/>
        </w:rPr>
        <w:t>…</w:t>
      </w:r>
    </w:p>
    <w:p w:rsidR="00AD777C" w:rsidRDefault="00AD777C" w:rsidP="00AD777C">
      <w:pPr>
        <w:spacing w:line="360" w:lineRule="auto"/>
        <w:ind w:left="708"/>
        <w:jc w:val="both"/>
        <w:rPr>
          <w:rFonts w:ascii="Bookman Old Style" w:hAnsi="Bookman Old Style"/>
          <w:i/>
          <w:sz w:val="24"/>
          <w:szCs w:val="24"/>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Las versiones vertidas son coincidentes en las circunstancias temporo espaciales y modales que desencadenaron en la muerte de Oscar Andrés Pardo quien militó por pocos meses (año 2000) en las ACMV, desertó en el año 2001; fue visto por última vez por sus familiares el día 25 de mayo de 2003 en su residencia en la ciudad de Villavicencio, y después de recibir una llamada telefónica salió a cumplir una cita de la cual no regresó.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Fue así como mediante la información suministrada por JOSÉ DELFÍN VILLALOBOS JIMÉNEZ</w:t>
      </w:r>
      <w:r>
        <w:rPr>
          <w:rStyle w:val="Refdenotaalpie"/>
          <w:rFonts w:ascii="Bookman Old Style" w:hAnsi="Bookman Old Style"/>
          <w:sz w:val="28"/>
          <w:szCs w:val="28"/>
          <w:lang w:val="es-CO"/>
        </w:rPr>
        <w:footnoteReference w:id="84"/>
      </w:r>
      <w:r>
        <w:rPr>
          <w:rFonts w:ascii="Bookman Old Style" w:hAnsi="Bookman Old Style"/>
          <w:sz w:val="28"/>
          <w:szCs w:val="28"/>
          <w:lang w:val="es-CO"/>
        </w:rPr>
        <w:t xml:space="preserve"> y JOSÉ BALDOMERO LINARES MORENO</w:t>
      </w:r>
      <w:r>
        <w:rPr>
          <w:rStyle w:val="Refdenotaalpie"/>
          <w:rFonts w:ascii="Bookman Old Style" w:hAnsi="Bookman Old Style"/>
          <w:sz w:val="28"/>
          <w:szCs w:val="28"/>
          <w:lang w:val="es-CO"/>
        </w:rPr>
        <w:footnoteReference w:id="85"/>
      </w:r>
      <w:r>
        <w:rPr>
          <w:rFonts w:ascii="Bookman Old Style" w:hAnsi="Bookman Old Style"/>
          <w:sz w:val="28"/>
          <w:szCs w:val="28"/>
          <w:lang w:val="es-CO"/>
        </w:rPr>
        <w:t xml:space="preserve"> se conoció que Oscar Andrés Pardo fue declarado objetivo militar debido a que alias ‘Pablito’ le informó a LINARES que el ex militante estaba suministrando información a la Fiscalía sobre los lugares donde el grupo ilegal permanecía acantonado, por lo que se dispuso que alias ‘Gavilán’ retuviera a la víctima en Villavicencio para luego trasladarla hasta la finca ‘La Esperanza’ en Puerto Gaitán (Meta) en donde fue atado, torturado y después de ocho días ejecutado por alias ‘120’ quien arrojó el cuerpo a un caño, por lo que no ha sido posible su localización.</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La verdad reconstruida enseña que, aunque el Tribunal omitiera la correspondiente argumentación y legalización de la desaparición forzada de que fuera víctima Oscar Andrés Pardo Pinzón, fue un hecho confesado por los comandantes JOSÉ BALDOMERO LINARES (autor mediato) y JOSÉ DELFÍN VILLALOBOS (coautor impropio), quienes aceptaron responsabilidad, así como también lo hizo RAFAEL SALGADO MERCHÁN (autor mediato).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En ese orden, no queda duda acerca de la estructuración del delito de desaparición forzada, como lo presentara la Fiscalía en las audiencias de formulación y legalización de cargos, motivo por el cual, se adicionará la legalización de éste, conforme lo solicita el Fiscal delegado y en congruencia con la situación fáctica descrita en el </w:t>
      </w:r>
      <w:r w:rsidRPr="00332309">
        <w:rPr>
          <w:rFonts w:ascii="Bookman Old Style" w:hAnsi="Bookman Old Style"/>
          <w:b/>
          <w:sz w:val="28"/>
          <w:szCs w:val="28"/>
          <w:lang w:val="es-CO"/>
        </w:rPr>
        <w:t>hecho No. 108.</w:t>
      </w:r>
      <w:r>
        <w:rPr>
          <w:rFonts w:ascii="Bookman Old Style" w:hAnsi="Bookman Old Style"/>
          <w:sz w:val="28"/>
          <w:szCs w:val="28"/>
          <w:lang w:val="es-CO"/>
        </w:rPr>
        <w:t xml:space="preserve">  </w:t>
      </w:r>
    </w:p>
    <w:p w:rsidR="00AD777C" w:rsidRDefault="00AD777C" w:rsidP="00AD777C">
      <w:pPr>
        <w:spacing w:line="360" w:lineRule="auto"/>
        <w:ind w:right="-187"/>
        <w:jc w:val="both"/>
        <w:rPr>
          <w:rFonts w:ascii="Bookman Old Style" w:hAnsi="Bookman Old Style" w:cs="Sakkal Majalla"/>
          <w:sz w:val="28"/>
          <w:szCs w:val="28"/>
        </w:rPr>
      </w:pPr>
    </w:p>
    <w:p w:rsidR="00AD777C" w:rsidRPr="00D00F9C" w:rsidRDefault="00AD777C" w:rsidP="00AD777C">
      <w:pPr>
        <w:spacing w:line="360" w:lineRule="auto"/>
        <w:ind w:firstLine="708"/>
        <w:jc w:val="both"/>
        <w:rPr>
          <w:rFonts w:ascii="Bookman Old Style" w:hAnsi="Bookman Old Style"/>
          <w:sz w:val="28"/>
          <w:szCs w:val="28"/>
        </w:rPr>
      </w:pPr>
      <w:r>
        <w:rPr>
          <w:rFonts w:ascii="Bookman Old Style" w:hAnsi="Bookman Old Style" w:cs="Arial"/>
          <w:b/>
          <w:sz w:val="28"/>
          <w:szCs w:val="28"/>
        </w:rPr>
        <w:t>3. D</w:t>
      </w:r>
      <w:r w:rsidRPr="003037B6">
        <w:rPr>
          <w:rFonts w:ascii="Bookman Old Style" w:hAnsi="Bookman Old Style" w:cs="Arial"/>
          <w:b/>
          <w:sz w:val="28"/>
          <w:szCs w:val="28"/>
        </w:rPr>
        <w:t>e la excepción de inconstitucionalidad</w:t>
      </w:r>
    </w:p>
    <w:p w:rsidR="00AD777C" w:rsidRPr="003037B6" w:rsidRDefault="00AD777C" w:rsidP="00AD777C">
      <w:pPr>
        <w:spacing w:line="360" w:lineRule="auto"/>
        <w:ind w:firstLine="708"/>
        <w:jc w:val="both"/>
        <w:rPr>
          <w:rFonts w:ascii="Bookman Old Style" w:hAnsi="Bookman Old Style" w:cs="Arial"/>
          <w:sz w:val="28"/>
          <w:szCs w:val="28"/>
        </w:rPr>
      </w:pPr>
    </w:p>
    <w:p w:rsidR="00AD777C" w:rsidRDefault="00AD777C" w:rsidP="00AD777C">
      <w:pPr>
        <w:spacing w:line="360" w:lineRule="auto"/>
        <w:ind w:right="-187" w:firstLine="709"/>
        <w:jc w:val="both"/>
        <w:rPr>
          <w:rFonts w:ascii="Bookman Old Style" w:hAnsi="Bookman Old Style" w:cs="Arial"/>
          <w:sz w:val="28"/>
          <w:szCs w:val="28"/>
        </w:rPr>
      </w:pPr>
      <w:r>
        <w:rPr>
          <w:rFonts w:ascii="Bookman Old Style" w:hAnsi="Bookman Old Style" w:cs="Arial"/>
          <w:sz w:val="28"/>
          <w:szCs w:val="28"/>
        </w:rPr>
        <w:t xml:space="preserve">De entrada ha de señalar la Sala que ante la </w:t>
      </w:r>
      <w:r w:rsidRPr="003037B6">
        <w:rPr>
          <w:rFonts w:ascii="Bookman Old Style" w:hAnsi="Bookman Old Style" w:cs="Arial"/>
          <w:sz w:val="28"/>
          <w:szCs w:val="28"/>
        </w:rPr>
        <w:t>declaratoria de inexequibilidad de los artículos 23, 24 y 25, entre</w:t>
      </w:r>
      <w:r>
        <w:rPr>
          <w:rFonts w:ascii="Bookman Old Style" w:hAnsi="Bookman Old Style" w:cs="Arial"/>
          <w:sz w:val="28"/>
          <w:szCs w:val="28"/>
        </w:rPr>
        <w:t xml:space="preserve"> otros, de la Ley 1592 de 2012,</w:t>
      </w:r>
      <w:r w:rsidRPr="003037B6">
        <w:rPr>
          <w:rFonts w:ascii="Bookman Old Style" w:hAnsi="Bookman Old Style" w:cs="Arial"/>
          <w:sz w:val="28"/>
          <w:szCs w:val="28"/>
        </w:rPr>
        <w:t xml:space="preserve"> evidentemente</w:t>
      </w:r>
      <w:r>
        <w:rPr>
          <w:rFonts w:ascii="Bookman Old Style" w:hAnsi="Bookman Old Style" w:cs="Arial"/>
          <w:sz w:val="28"/>
          <w:szCs w:val="28"/>
        </w:rPr>
        <w:t xml:space="preserve"> no hay lugar al estudio de la procedencia de la aplicación de la excepción de inconstitucionalidad.  Por lo tanto, se determinará si el procedimiento adelantado por la Magistratura se ajusta o no a los artículos de la Ley 975 de 2005, que reingresaron al ordenamiento jurídico por virtud de la sentencia de inconstitucionalidad a la que se aludirá más adelante.</w:t>
      </w:r>
    </w:p>
    <w:p w:rsidR="00AD777C" w:rsidRDefault="00AD777C" w:rsidP="00AD777C">
      <w:pPr>
        <w:spacing w:line="360" w:lineRule="auto"/>
        <w:ind w:right="-187" w:firstLine="709"/>
        <w:jc w:val="both"/>
        <w:rPr>
          <w:rFonts w:ascii="Bookman Old Style" w:hAnsi="Bookman Old Style" w:cs="Arial"/>
          <w:sz w:val="28"/>
          <w:szCs w:val="28"/>
        </w:rPr>
      </w:pPr>
    </w:p>
    <w:p w:rsidR="00AD777C" w:rsidRDefault="00AD777C" w:rsidP="00AD777C">
      <w:pPr>
        <w:spacing w:line="360" w:lineRule="auto"/>
        <w:ind w:right="-187" w:firstLine="709"/>
        <w:jc w:val="both"/>
        <w:rPr>
          <w:rFonts w:ascii="Bookman Old Style" w:hAnsi="Bookman Old Style" w:cs="Arial"/>
          <w:sz w:val="28"/>
          <w:szCs w:val="28"/>
        </w:rPr>
      </w:pPr>
      <w:r>
        <w:rPr>
          <w:rFonts w:ascii="Bookman Old Style" w:hAnsi="Bookman Old Style" w:cs="Arial"/>
          <w:sz w:val="28"/>
          <w:szCs w:val="28"/>
        </w:rPr>
        <w:t>El proveído objeto de impugnación comprende la legalización de cargos y el fallo de primera instancia emitido el 6 de diciembre de 2013.  El incidente de identificación y afectaciones a las víctimas se tramitó</w:t>
      </w:r>
      <w:r>
        <w:rPr>
          <w:rStyle w:val="Refdenotaalpie"/>
          <w:rFonts w:ascii="Bookman Old Style" w:hAnsi="Bookman Old Style" w:cs="Arial"/>
          <w:sz w:val="28"/>
          <w:szCs w:val="28"/>
        </w:rPr>
        <w:footnoteReference w:id="86"/>
      </w:r>
      <w:r>
        <w:rPr>
          <w:rFonts w:ascii="Bookman Old Style" w:hAnsi="Bookman Old Style" w:cs="Arial"/>
          <w:sz w:val="28"/>
          <w:szCs w:val="28"/>
        </w:rPr>
        <w:t xml:space="preserve"> bajo la ritualidad del artículo 23 de la Ley 1592 de 2012, por cuanto era la norma vigente cuando se adelantó esa etapa del proceso. </w:t>
      </w:r>
    </w:p>
    <w:p w:rsidR="00AD777C" w:rsidRDefault="00AD777C" w:rsidP="00AD777C">
      <w:pPr>
        <w:spacing w:line="360" w:lineRule="auto"/>
        <w:ind w:right="-187" w:firstLine="709"/>
        <w:jc w:val="both"/>
        <w:rPr>
          <w:rFonts w:ascii="Bookman Old Style" w:hAnsi="Bookman Old Style" w:cs="Arial"/>
          <w:sz w:val="28"/>
          <w:szCs w:val="28"/>
        </w:rPr>
      </w:pPr>
    </w:p>
    <w:p w:rsidR="00AD777C" w:rsidRDefault="00AD777C" w:rsidP="00AD777C">
      <w:pPr>
        <w:spacing w:line="360" w:lineRule="auto"/>
        <w:ind w:firstLine="708"/>
        <w:jc w:val="both"/>
        <w:rPr>
          <w:rFonts w:ascii="Bookman Old Style" w:hAnsi="Bookman Old Style" w:cs="Arial"/>
          <w:sz w:val="28"/>
          <w:szCs w:val="28"/>
        </w:rPr>
      </w:pPr>
      <w:r>
        <w:rPr>
          <w:rFonts w:ascii="Bookman Old Style" w:hAnsi="Bookman Old Style" w:cs="Arial"/>
          <w:sz w:val="28"/>
          <w:szCs w:val="28"/>
        </w:rPr>
        <w:t>El máximo organismo constitucional, el 27 de marzo de 2014, mediante Sentencia C-180, resolvió:</w:t>
      </w:r>
    </w:p>
    <w:p w:rsidR="00AD777C" w:rsidRDefault="00AD777C" w:rsidP="00AD777C">
      <w:pPr>
        <w:spacing w:line="360" w:lineRule="auto"/>
        <w:ind w:firstLine="708"/>
        <w:jc w:val="both"/>
        <w:rPr>
          <w:rFonts w:ascii="Bookman Old Style" w:hAnsi="Bookman Old Style" w:cs="Arial"/>
          <w:sz w:val="28"/>
          <w:szCs w:val="28"/>
        </w:rPr>
      </w:pPr>
    </w:p>
    <w:p w:rsidR="00AD777C" w:rsidRPr="0098476B" w:rsidRDefault="00AD777C" w:rsidP="00AD777C">
      <w:pPr>
        <w:spacing w:line="360" w:lineRule="auto"/>
        <w:ind w:left="708"/>
        <w:jc w:val="both"/>
        <w:rPr>
          <w:rFonts w:ascii="Bookman Old Style" w:hAnsi="Bookman Old Style" w:cs="Arial"/>
          <w:i/>
          <w:sz w:val="24"/>
          <w:szCs w:val="24"/>
        </w:rPr>
      </w:pPr>
      <w:r w:rsidRPr="0098476B">
        <w:rPr>
          <w:rFonts w:ascii="Bookman Old Style" w:hAnsi="Bookman Old Style" w:cs="Arial"/>
          <w:i/>
          <w:sz w:val="24"/>
          <w:szCs w:val="24"/>
        </w:rPr>
        <w:t>«</w:t>
      </w:r>
      <w:r w:rsidRPr="0098476B">
        <w:rPr>
          <w:rFonts w:ascii="Bookman Old Style" w:hAnsi="Bookman Old Style" w:cs="Tahoma"/>
          <w:i/>
          <w:sz w:val="24"/>
          <w:szCs w:val="24"/>
        </w:rPr>
        <w:t>Declarar</w:t>
      </w:r>
      <w:r w:rsidRPr="0098476B">
        <w:rPr>
          <w:rStyle w:val="apple-converted-space"/>
          <w:rFonts w:ascii="Bookman Old Style" w:hAnsi="Bookman Old Style" w:cs="Tahoma"/>
          <w:i/>
          <w:sz w:val="24"/>
          <w:szCs w:val="24"/>
        </w:rPr>
        <w:t> </w:t>
      </w:r>
      <w:r w:rsidRPr="0098476B">
        <w:rPr>
          <w:rStyle w:val="apple-converted-space"/>
          <w:rFonts w:ascii="Bookman Old Style" w:hAnsi="Bookman Old Style" w:cs="Tahoma"/>
          <w:b/>
          <w:i/>
          <w:sz w:val="24"/>
          <w:szCs w:val="24"/>
        </w:rPr>
        <w:t>IN</w:t>
      </w:r>
      <w:r w:rsidRPr="0098476B">
        <w:rPr>
          <w:rFonts w:ascii="Bookman Old Style" w:hAnsi="Bookman Old Style" w:cs="Tahoma"/>
          <w:b/>
          <w:bCs/>
          <w:i/>
          <w:sz w:val="24"/>
          <w:szCs w:val="24"/>
        </w:rPr>
        <w:t>EXEQUIBLES</w:t>
      </w:r>
      <w:r w:rsidRPr="0098476B">
        <w:rPr>
          <w:rFonts w:ascii="Bookman Old Style" w:hAnsi="Bookman Old Style" w:cs="Tahoma"/>
          <w:i/>
          <w:sz w:val="24"/>
          <w:szCs w:val="24"/>
        </w:rPr>
        <w:t xml:space="preserve"> las expresiones “</w:t>
      </w:r>
      <w:r w:rsidRPr="0098476B">
        <w:rPr>
          <w:rFonts w:ascii="Bookman Old Style" w:hAnsi="Bookman Old Style" w:cs="Tahoma"/>
          <w:i/>
          <w:sz w:val="24"/>
          <w:szCs w:val="24"/>
          <w:shd w:val="clear" w:color="auto" w:fill="FFFFFF"/>
        </w:rPr>
        <w:t>las cuales en ningún caso serán tasadas”, del inciso cuarto del artículo 23 de la Ley 1592 de 2012 y el apartado “</w:t>
      </w:r>
      <w:r w:rsidRPr="0098476B">
        <w:rPr>
          <w:rFonts w:ascii="Bookman Old Style" w:hAnsi="Bookman Old Style" w:cs="Tahoma"/>
          <w:i/>
          <w:sz w:val="24"/>
          <w:szCs w:val="24"/>
        </w:rPr>
        <w:t>y remitirá el expediente a la Unidad Administrativa Especial para la Atención y Reparación Integral a las Víctimas y/o a la Unidad Administrativa Especial de Gestión de Restitución de Tierras Despojadas para la inclusión de las víctimas en los registros correspondientes para acceder de manera preferente a los programas de reparación integral y de restitución de tierras de que trata la Ley 1448 de 2011 a los que haya lugar” del inciso quinto del artículo 23, como también, el inciso segundo del artículo 24 de la Ley 1592 de 2012».</w:t>
      </w:r>
    </w:p>
    <w:p w:rsidR="00AD777C" w:rsidRDefault="00AD777C" w:rsidP="00AD777C">
      <w:pPr>
        <w:spacing w:line="360" w:lineRule="auto"/>
        <w:ind w:right="-187" w:firstLine="709"/>
        <w:jc w:val="both"/>
        <w:rPr>
          <w:rFonts w:ascii="Bookman Old Style" w:hAnsi="Bookman Old Style" w:cs="Arial"/>
          <w:sz w:val="28"/>
          <w:szCs w:val="28"/>
        </w:rPr>
      </w:pPr>
    </w:p>
    <w:p w:rsidR="00AD777C" w:rsidRDefault="00AD777C" w:rsidP="00AD777C">
      <w:pPr>
        <w:autoSpaceDE w:val="0"/>
        <w:autoSpaceDN w:val="0"/>
        <w:adjustRightInd w:val="0"/>
        <w:spacing w:line="360" w:lineRule="auto"/>
        <w:ind w:firstLine="708"/>
        <w:jc w:val="both"/>
        <w:rPr>
          <w:rFonts w:ascii="Bookman Old Style" w:hAnsi="Bookman Old Style" w:cs="Tahoma"/>
          <w:sz w:val="28"/>
          <w:szCs w:val="28"/>
        </w:rPr>
      </w:pPr>
      <w:r>
        <w:rPr>
          <w:rFonts w:ascii="Bookman Old Style" w:hAnsi="Bookman Old Style" w:cs="Arial"/>
          <w:sz w:val="28"/>
          <w:szCs w:val="28"/>
        </w:rPr>
        <w:t>Inconstitucionalidad que por virtud de la Sentencia C-286 del 19 de mayo de 2014 se extendió a la totalidad de los artículos 23 y 24 –entre otros- de la Ley 1592 de 2012, reincorporando a través de la figura de reviviscencia de disposiciones derogadas por la declaratoria de inexequibilidad de las normas que las han sustituido, los artículos 23 y 24 de la Ley 975 de 200</w:t>
      </w:r>
      <w:r w:rsidRPr="00AA3197">
        <w:rPr>
          <w:rFonts w:ascii="Bookman Old Style" w:hAnsi="Bookman Old Style" w:cs="Arial"/>
          <w:sz w:val="28"/>
          <w:szCs w:val="28"/>
        </w:rPr>
        <w:t>5</w:t>
      </w:r>
      <w:r w:rsidRPr="00AA3197">
        <w:rPr>
          <w:rFonts w:ascii="Bookman Old Style" w:hAnsi="Bookman Old Style" w:cs="Tahoma"/>
          <w:sz w:val="28"/>
          <w:szCs w:val="28"/>
        </w:rPr>
        <w:t xml:space="preserve"> que regulan el incidente de reparación integral</w:t>
      </w:r>
      <w:r>
        <w:rPr>
          <w:rFonts w:ascii="Bookman Old Style" w:hAnsi="Bookman Old Style" w:cs="Tahoma"/>
          <w:sz w:val="28"/>
          <w:szCs w:val="28"/>
        </w:rPr>
        <w:t xml:space="preserve">.  </w:t>
      </w:r>
    </w:p>
    <w:p w:rsidR="00AD777C" w:rsidRDefault="00AD777C" w:rsidP="00AD777C">
      <w:pPr>
        <w:autoSpaceDE w:val="0"/>
        <w:autoSpaceDN w:val="0"/>
        <w:adjustRightInd w:val="0"/>
        <w:spacing w:line="360" w:lineRule="auto"/>
        <w:ind w:firstLine="708"/>
        <w:jc w:val="both"/>
        <w:rPr>
          <w:rFonts w:ascii="Bookman Old Style" w:hAnsi="Bookman Old Style" w:cs="Tahoma"/>
          <w:sz w:val="28"/>
          <w:szCs w:val="28"/>
        </w:rPr>
      </w:pPr>
    </w:p>
    <w:p w:rsidR="00AD777C" w:rsidRDefault="00AD777C" w:rsidP="00AD777C">
      <w:pPr>
        <w:autoSpaceDE w:val="0"/>
        <w:autoSpaceDN w:val="0"/>
        <w:adjustRightInd w:val="0"/>
        <w:spacing w:line="360" w:lineRule="auto"/>
        <w:ind w:firstLine="708"/>
        <w:jc w:val="both"/>
        <w:rPr>
          <w:rFonts w:ascii="Bookman Old Style" w:hAnsi="Bookman Old Style"/>
          <w:sz w:val="28"/>
          <w:szCs w:val="28"/>
        </w:rPr>
      </w:pPr>
      <w:r>
        <w:rPr>
          <w:rFonts w:ascii="Bookman Old Style" w:hAnsi="Bookman Old Style" w:cs="Tahoma"/>
          <w:sz w:val="28"/>
          <w:szCs w:val="28"/>
        </w:rPr>
        <w:t xml:space="preserve">En esta ocasión (C-286 de 2014), consideró la Corte que la supresión </w:t>
      </w:r>
      <w:r w:rsidRPr="0054182E">
        <w:rPr>
          <w:rFonts w:ascii="Bookman Old Style" w:hAnsi="Bookman Old Style"/>
          <w:sz w:val="28"/>
          <w:szCs w:val="28"/>
        </w:rPr>
        <w:t>del incidente</w:t>
      </w:r>
      <w:r>
        <w:t xml:space="preserve"> </w:t>
      </w:r>
      <w:r w:rsidRPr="0054182E">
        <w:rPr>
          <w:rFonts w:ascii="Bookman Old Style" w:hAnsi="Bookman Old Style"/>
          <w:sz w:val="28"/>
          <w:szCs w:val="28"/>
        </w:rPr>
        <w:t>de reparación integral a las víctimas por la vía judicial penal, vulnera el derecho fundamental de acceso a la administración de justicia y a un recurso judicial efectivo para lograr dicha reparación</w:t>
      </w:r>
      <w:r>
        <w:rPr>
          <w:rFonts w:ascii="Bookman Old Style" w:hAnsi="Bookman Old Style"/>
          <w:sz w:val="28"/>
          <w:szCs w:val="28"/>
        </w:rPr>
        <w:t>:</w:t>
      </w:r>
    </w:p>
    <w:p w:rsidR="00AD777C" w:rsidRDefault="00AD777C" w:rsidP="00AD777C">
      <w:pPr>
        <w:autoSpaceDE w:val="0"/>
        <w:autoSpaceDN w:val="0"/>
        <w:adjustRightInd w:val="0"/>
        <w:spacing w:line="360" w:lineRule="auto"/>
        <w:ind w:firstLine="708"/>
        <w:jc w:val="both"/>
        <w:rPr>
          <w:rFonts w:ascii="Bookman Old Style" w:hAnsi="Bookman Old Style"/>
          <w:sz w:val="28"/>
          <w:szCs w:val="28"/>
        </w:rPr>
      </w:pPr>
    </w:p>
    <w:p w:rsidR="00AD777C" w:rsidRPr="0054182E" w:rsidRDefault="00AD777C" w:rsidP="00AD777C">
      <w:pPr>
        <w:autoSpaceDE w:val="0"/>
        <w:autoSpaceDN w:val="0"/>
        <w:adjustRightInd w:val="0"/>
        <w:spacing w:line="360" w:lineRule="auto"/>
        <w:ind w:left="708"/>
        <w:jc w:val="both"/>
        <w:rPr>
          <w:rFonts w:ascii="Bookman Old Style" w:hAnsi="Bookman Old Style"/>
          <w:i/>
          <w:sz w:val="24"/>
          <w:szCs w:val="24"/>
        </w:rPr>
      </w:pPr>
      <w:r w:rsidRPr="0054182E">
        <w:rPr>
          <w:rFonts w:ascii="Bookman Old Style" w:hAnsi="Bookman Old Style"/>
          <w:i/>
          <w:sz w:val="24"/>
          <w:szCs w:val="24"/>
        </w:rPr>
        <w:t xml:space="preserve">…lo cual restringe desproporcionadamente el derecho de las víctimas a contar con un recurso judicial efectivo para obtener la reparación integral por la vía judicial en el proceso especial de justicia y paz, remitiéndola a la vía administrativa de reparación, o a la vía civil, lo que en últimas hace nugatoria la reparación integral en sede judicial. </w:t>
      </w:r>
    </w:p>
    <w:p w:rsidR="00AD777C" w:rsidRPr="0054182E" w:rsidRDefault="00AD777C" w:rsidP="00AD777C">
      <w:pPr>
        <w:autoSpaceDE w:val="0"/>
        <w:autoSpaceDN w:val="0"/>
        <w:adjustRightInd w:val="0"/>
        <w:spacing w:line="360" w:lineRule="auto"/>
        <w:ind w:left="708"/>
        <w:jc w:val="both"/>
        <w:rPr>
          <w:rFonts w:ascii="Bookman Old Style" w:hAnsi="Bookman Old Style"/>
          <w:i/>
          <w:sz w:val="24"/>
          <w:szCs w:val="24"/>
        </w:rPr>
      </w:pPr>
    </w:p>
    <w:p w:rsidR="00AD777C" w:rsidRPr="0054182E" w:rsidRDefault="00AD777C" w:rsidP="00AD777C">
      <w:pPr>
        <w:autoSpaceDE w:val="0"/>
        <w:autoSpaceDN w:val="0"/>
        <w:adjustRightInd w:val="0"/>
        <w:spacing w:line="360" w:lineRule="auto"/>
        <w:ind w:left="708"/>
        <w:jc w:val="both"/>
        <w:rPr>
          <w:rFonts w:ascii="Bookman Old Style" w:hAnsi="Bookman Old Style"/>
          <w:i/>
          <w:sz w:val="24"/>
          <w:szCs w:val="24"/>
        </w:rPr>
      </w:pPr>
      <w:r w:rsidRPr="0054182E">
        <w:rPr>
          <w:rFonts w:ascii="Bookman Old Style" w:hAnsi="Bookman Old Style"/>
          <w:i/>
          <w:sz w:val="24"/>
          <w:szCs w:val="24"/>
        </w:rPr>
        <w:t>En este sentido, la Sala evidenció que las normas demandadas de la Ley 1592 de 2012, al sustituir o reemplazar el incidente de reparación integral por la vía penal de justicia transicional consagrada en la Ley 975 de 2005 por el incidente de identificación de afectaciones regulado por la Ley 1592 de 2012, que se homologa con los mecanismos de reparación integral por la vía administrativa, excedió los límites competenciales impuestos al legislador para regular los regímenes de justicia transicional por parte de los derechos fundamentales de las víctimas, en este caso a la reparación integral en conexidad con el derecho a la justicia en su aspecto del derecho a un recurso judicial efectivo, de acceso a la administración de justicia y debido proceso de conformidad con los artículos 250, 229 y 29 CP, así como los artículos 2, 8 y 25 de la Convención Americana de los Derechos Humanos y el art. 2.3 del Pacto Internacional de Derechos Civiles y Políticos del bloque de constitucionalidad, que consagran el derecho de acceso a la administración de justicia y a un recurso judicial efectivo y al debido proceso para obtener la reparación judicial integral.</w:t>
      </w:r>
    </w:p>
    <w:p w:rsidR="00AD777C" w:rsidRPr="0054182E" w:rsidRDefault="00AD777C" w:rsidP="00AD777C">
      <w:pPr>
        <w:autoSpaceDE w:val="0"/>
        <w:autoSpaceDN w:val="0"/>
        <w:adjustRightInd w:val="0"/>
        <w:spacing w:line="360" w:lineRule="auto"/>
        <w:ind w:left="708"/>
        <w:jc w:val="both"/>
        <w:rPr>
          <w:rFonts w:ascii="Bookman Old Style" w:hAnsi="Bookman Old Style"/>
          <w:i/>
          <w:sz w:val="24"/>
          <w:szCs w:val="24"/>
        </w:rPr>
      </w:pPr>
    </w:p>
    <w:p w:rsidR="00AD777C" w:rsidRPr="0054182E" w:rsidRDefault="00AD777C" w:rsidP="00AD777C">
      <w:pPr>
        <w:autoSpaceDE w:val="0"/>
        <w:autoSpaceDN w:val="0"/>
        <w:adjustRightInd w:val="0"/>
        <w:spacing w:line="360" w:lineRule="auto"/>
        <w:ind w:left="708"/>
        <w:jc w:val="both"/>
        <w:rPr>
          <w:sz w:val="24"/>
          <w:szCs w:val="24"/>
        </w:rPr>
      </w:pPr>
      <w:r w:rsidRPr="0054182E">
        <w:rPr>
          <w:rFonts w:ascii="Bookman Old Style" w:hAnsi="Bookman Old Style"/>
          <w:i/>
          <w:sz w:val="24"/>
          <w:szCs w:val="24"/>
        </w:rPr>
        <w:t>Igualmente, la Sala concluyó que las normas demandadas son inconstitucionales por cuanto homologan, fusionan y reemplazan la vía penal de reparación integral del régimen de transición de Justicia y Paz con la vía administrativa de reparación integral, diluyendo las cruciales diferencias que existen entre ambas vías, y de contera desconocen con ello los derechos de las víctimas a recurrir tanto a la vía judicial como a la vía administrativa, sin que estas vías deban ser excluyentes, sino por el contrario complementarias y articuladas.</w:t>
      </w:r>
    </w:p>
    <w:p w:rsidR="00AD777C" w:rsidRDefault="00AD777C" w:rsidP="00AD777C">
      <w:pPr>
        <w:pStyle w:val="NormalWeb"/>
        <w:spacing w:before="0" w:beforeAutospacing="0" w:after="0" w:afterAutospacing="0" w:line="360" w:lineRule="auto"/>
        <w:ind w:left="708"/>
        <w:jc w:val="both"/>
        <w:rPr>
          <w:rFonts w:ascii="Bookman Old Style" w:hAnsi="Bookman Old Style" w:cs="Arial"/>
          <w:sz w:val="28"/>
          <w:szCs w:val="28"/>
        </w:rPr>
      </w:pPr>
    </w:p>
    <w:p w:rsidR="00AD777C" w:rsidRDefault="00AD777C" w:rsidP="00AD777C">
      <w:pPr>
        <w:spacing w:line="360" w:lineRule="auto"/>
        <w:ind w:right="-187" w:firstLine="709"/>
        <w:jc w:val="both"/>
        <w:rPr>
          <w:rFonts w:ascii="Bookman Old Style" w:hAnsi="Bookman Old Style" w:cs="Arial"/>
          <w:sz w:val="28"/>
          <w:szCs w:val="28"/>
        </w:rPr>
      </w:pPr>
      <w:r>
        <w:rPr>
          <w:rFonts w:ascii="Bookman Old Style" w:hAnsi="Bookman Old Style" w:cs="Arial"/>
          <w:sz w:val="28"/>
          <w:szCs w:val="28"/>
        </w:rPr>
        <w:t>Coinciden entonces, en lo general, los planteamientos de los representantes de las víctimas, con los expuestos por la Corte Constitucional para sacar del ordenamiento legal el incidente de identificación de afectaciones y regresar al de reparación integral judicial, dentro del cual corresponde al juez la tasación de perjuicios, atendiendo las reclamaciones presentadas y probadas al interior del mismo.</w:t>
      </w:r>
    </w:p>
    <w:p w:rsidR="00AD777C" w:rsidRDefault="00AD777C" w:rsidP="00AD777C">
      <w:pPr>
        <w:spacing w:line="360" w:lineRule="auto"/>
        <w:ind w:right="-187" w:firstLine="709"/>
        <w:jc w:val="both"/>
        <w:rPr>
          <w:rFonts w:ascii="Bookman Old Style" w:hAnsi="Bookman Old Style" w:cs="Arial"/>
          <w:sz w:val="28"/>
          <w:szCs w:val="28"/>
        </w:rPr>
      </w:pPr>
    </w:p>
    <w:p w:rsidR="00AD777C" w:rsidRDefault="00AD777C" w:rsidP="00AD777C">
      <w:pPr>
        <w:spacing w:line="360" w:lineRule="auto"/>
        <w:ind w:right="-187" w:firstLine="709"/>
        <w:jc w:val="both"/>
        <w:rPr>
          <w:rFonts w:ascii="Bookman Old Style" w:hAnsi="Bookman Old Style" w:cs="Arial"/>
          <w:sz w:val="28"/>
          <w:szCs w:val="28"/>
        </w:rPr>
      </w:pPr>
      <w:r>
        <w:rPr>
          <w:rFonts w:ascii="Bookman Old Style" w:hAnsi="Bookman Old Style" w:cs="Arial"/>
          <w:sz w:val="28"/>
          <w:szCs w:val="28"/>
        </w:rPr>
        <w:t xml:space="preserve">En ese orden, como quiera que la sentencia de primera instancia se profirió antes del 27 de marzo de 2014 (fecha de la C-180 de 2014), pero aún no había resuelto la impugnación, deberá el </w:t>
      </w:r>
      <w:r>
        <w:rPr>
          <w:rFonts w:ascii="Bookman Old Style" w:hAnsi="Bookman Old Style" w:cs="Arial"/>
          <w:i/>
          <w:sz w:val="28"/>
          <w:szCs w:val="28"/>
        </w:rPr>
        <w:t xml:space="preserve">A </w:t>
      </w:r>
      <w:r w:rsidRPr="0059419B">
        <w:rPr>
          <w:rFonts w:ascii="Bookman Old Style" w:hAnsi="Bookman Old Style" w:cs="Arial"/>
          <w:i/>
          <w:sz w:val="28"/>
          <w:szCs w:val="28"/>
        </w:rPr>
        <w:t>quo</w:t>
      </w:r>
      <w:r>
        <w:rPr>
          <w:rFonts w:ascii="Bookman Old Style" w:hAnsi="Bookman Old Style" w:cs="Arial"/>
          <w:sz w:val="28"/>
          <w:szCs w:val="28"/>
        </w:rPr>
        <w:t xml:space="preserve"> tramitar el incidente de reparación integral una vez ejecutoriado el fallo, conforme con el artículo 102 de la Ley 906 de 2004, el cual se aplicará acudiendo al principio de complementariedad, como lo dispone el artículo 62 de la Ley 975 de 2005.</w:t>
      </w:r>
    </w:p>
    <w:p w:rsidR="00AD777C" w:rsidRDefault="00AD777C" w:rsidP="00AD777C">
      <w:pPr>
        <w:spacing w:line="360" w:lineRule="auto"/>
        <w:ind w:right="-187" w:firstLine="709"/>
        <w:jc w:val="both"/>
        <w:rPr>
          <w:rFonts w:ascii="Bookman Old Style" w:hAnsi="Bookman Old Style" w:cs="Arial"/>
          <w:sz w:val="28"/>
          <w:szCs w:val="28"/>
        </w:rPr>
      </w:pPr>
    </w:p>
    <w:p w:rsidR="00AD777C" w:rsidRDefault="00AD777C" w:rsidP="00AD777C">
      <w:pPr>
        <w:spacing w:line="360" w:lineRule="auto"/>
        <w:ind w:right="-187" w:firstLine="709"/>
        <w:jc w:val="both"/>
        <w:rPr>
          <w:rFonts w:ascii="Bookman Old Style" w:hAnsi="Bookman Old Style" w:cs="Arial"/>
          <w:sz w:val="28"/>
          <w:szCs w:val="28"/>
        </w:rPr>
      </w:pPr>
      <w:r>
        <w:rPr>
          <w:rFonts w:ascii="Bookman Old Style" w:hAnsi="Bookman Old Style" w:cs="Arial"/>
          <w:sz w:val="28"/>
          <w:szCs w:val="28"/>
        </w:rPr>
        <w:t>Medida que la Sala considera es la que mejor se ajusta a la interpretación realizada por la Corte Constitucional al declarar la inexequibilidad del artículo 23 de la Ley 1592 de 2012, por cuanto de esa manera se garantizará el ejercicio de los derechos de la víctima a proponer en forma concreta la reparación que pretende, mostrando las pruebas que hará valer para fundamentar sus pretensiones, sin que las actuaciones ya surtidas en desarrollo de la audiencia de identificación de las afectaciones, pierdan vigencia, por cuanto no se está declarando la invalidación del incidente, sino complementando lo efectuado, para ajustarlo al procedimiento establecido por la Ley 975 de 2005.</w:t>
      </w:r>
    </w:p>
    <w:p w:rsidR="00AD777C" w:rsidRDefault="00AD777C" w:rsidP="00AD777C">
      <w:pPr>
        <w:spacing w:line="360" w:lineRule="auto"/>
        <w:ind w:right="-187" w:firstLine="709"/>
        <w:jc w:val="both"/>
        <w:rPr>
          <w:rFonts w:ascii="Bookman Old Style" w:hAnsi="Bookman Old Style" w:cs="Arial"/>
          <w:sz w:val="28"/>
          <w:szCs w:val="28"/>
        </w:rPr>
      </w:pPr>
    </w:p>
    <w:p w:rsidR="00AD777C" w:rsidRDefault="00AD777C" w:rsidP="00AD777C">
      <w:pPr>
        <w:spacing w:line="360" w:lineRule="auto"/>
        <w:ind w:right="-187" w:firstLine="708"/>
        <w:jc w:val="both"/>
        <w:rPr>
          <w:rFonts w:ascii="Bookman Old Style" w:hAnsi="Bookman Old Style" w:cs="Arial"/>
          <w:sz w:val="28"/>
          <w:szCs w:val="28"/>
        </w:rPr>
      </w:pPr>
      <w:r>
        <w:rPr>
          <w:rFonts w:ascii="Bookman Old Style" w:hAnsi="Bookman Old Style" w:cs="Arial"/>
          <w:sz w:val="28"/>
          <w:szCs w:val="28"/>
        </w:rPr>
        <w:t xml:space="preserve">Así lo señaló la Corte en oportunidad anterior: </w:t>
      </w:r>
    </w:p>
    <w:p w:rsidR="00AD777C" w:rsidRDefault="00AD777C" w:rsidP="00AD777C">
      <w:pPr>
        <w:pStyle w:val="NormalWeb"/>
        <w:spacing w:before="0" w:beforeAutospacing="0" w:after="0" w:afterAutospacing="0" w:line="360" w:lineRule="auto"/>
        <w:jc w:val="both"/>
        <w:rPr>
          <w:rFonts w:ascii="Bookman Old Style" w:hAnsi="Bookman Old Style" w:cs="Arial"/>
          <w:sz w:val="28"/>
          <w:szCs w:val="28"/>
        </w:rPr>
      </w:pPr>
    </w:p>
    <w:p w:rsidR="00AD777C" w:rsidRPr="009A32D4" w:rsidRDefault="00AD777C" w:rsidP="00AD777C">
      <w:pPr>
        <w:pStyle w:val="NormalWeb"/>
        <w:spacing w:before="0" w:beforeAutospacing="0" w:after="0" w:afterAutospacing="0" w:line="360" w:lineRule="auto"/>
        <w:ind w:left="708"/>
        <w:jc w:val="both"/>
        <w:rPr>
          <w:rFonts w:ascii="Bookman Old Style" w:hAnsi="Bookman Old Style" w:cs="Arial"/>
          <w:i/>
        </w:rPr>
      </w:pPr>
      <w:r w:rsidRPr="009A32D4">
        <w:rPr>
          <w:rFonts w:ascii="Bookman Old Style" w:hAnsi="Bookman Old Style" w:cs="Arial"/>
          <w:i/>
        </w:rPr>
        <w:t>Debido a que por virtud de la sentencia C-286 del 19 de mayo de 2014 el artículo 23 de la Ley 975 de 2005 fue reincorporado al ordenamiento jurídico por la declaratoria de inexequibilidad del artículo 23 de la Ley 1592 de 2012, se establecerá si es posible adaptar el procedimiento que aquí se adelantó en el incidente de identificación de las afectaciones causadas a las víctimas -de la Ley 1592- al de reparación integral -de la Ley 975- pues de no lograrse el ajuste aplicaría la medida extrema de la invalidación de lo actuado.</w:t>
      </w:r>
    </w:p>
    <w:p w:rsidR="00AD777C" w:rsidRPr="009A32D4" w:rsidRDefault="00AD777C" w:rsidP="00AD777C">
      <w:pPr>
        <w:spacing w:line="360" w:lineRule="auto"/>
        <w:ind w:firstLine="708"/>
        <w:jc w:val="both"/>
        <w:rPr>
          <w:rFonts w:ascii="Bookman Old Style" w:hAnsi="Bookman Old Style" w:cs="Arial"/>
          <w:i/>
          <w:sz w:val="24"/>
          <w:szCs w:val="24"/>
        </w:rPr>
      </w:pPr>
    </w:p>
    <w:p w:rsidR="00AD777C" w:rsidRPr="009A32D4" w:rsidRDefault="00AD777C" w:rsidP="00AD777C">
      <w:pPr>
        <w:spacing w:line="360" w:lineRule="auto"/>
        <w:ind w:left="708"/>
        <w:jc w:val="both"/>
        <w:rPr>
          <w:rFonts w:ascii="Bookman Old Style" w:hAnsi="Bookman Old Style" w:cs="Arial"/>
          <w:i/>
          <w:sz w:val="24"/>
          <w:szCs w:val="24"/>
        </w:rPr>
      </w:pPr>
      <w:r w:rsidRPr="009A32D4">
        <w:rPr>
          <w:rFonts w:ascii="Bookman Old Style" w:hAnsi="Bookman Old Style" w:cs="Arial"/>
          <w:i/>
          <w:sz w:val="24"/>
          <w:szCs w:val="24"/>
        </w:rPr>
        <w:t>En cuanto a la oportunidad procesal no existe diferencia entre las normas.  Ambos incidentes correspondía efectuarlos en la audiencia donde se declara la legalidad de la aceptación de los cargos formulados.</w:t>
      </w:r>
    </w:p>
    <w:p w:rsidR="00AD777C" w:rsidRPr="009A32D4" w:rsidRDefault="00AD777C" w:rsidP="00AD777C">
      <w:pPr>
        <w:spacing w:line="360" w:lineRule="auto"/>
        <w:jc w:val="both"/>
        <w:rPr>
          <w:rFonts w:ascii="Bookman Old Style" w:hAnsi="Bookman Old Style" w:cs="Arial"/>
          <w:i/>
          <w:sz w:val="24"/>
          <w:szCs w:val="24"/>
        </w:rPr>
      </w:pPr>
      <w:r w:rsidRPr="009A32D4">
        <w:rPr>
          <w:rFonts w:ascii="Bookman Old Style" w:hAnsi="Bookman Old Style" w:cs="Arial"/>
          <w:i/>
          <w:sz w:val="24"/>
          <w:szCs w:val="24"/>
        </w:rPr>
        <w:t xml:space="preserve"> </w:t>
      </w:r>
      <w:r w:rsidRPr="009A32D4">
        <w:rPr>
          <w:rFonts w:ascii="Bookman Old Style" w:hAnsi="Bookman Old Style" w:cs="Arial"/>
          <w:i/>
          <w:sz w:val="24"/>
          <w:szCs w:val="24"/>
        </w:rPr>
        <w:tab/>
      </w:r>
    </w:p>
    <w:p w:rsidR="00AD777C" w:rsidRPr="009A32D4" w:rsidRDefault="00AD777C" w:rsidP="00AD777C">
      <w:pPr>
        <w:spacing w:line="360" w:lineRule="auto"/>
        <w:ind w:left="708"/>
        <w:jc w:val="both"/>
        <w:rPr>
          <w:rFonts w:ascii="Bookman Old Style" w:hAnsi="Bookman Old Style" w:cs="Arial"/>
          <w:i/>
          <w:sz w:val="24"/>
          <w:szCs w:val="24"/>
        </w:rPr>
      </w:pPr>
      <w:r w:rsidRPr="009A32D4">
        <w:rPr>
          <w:rFonts w:ascii="Bookman Old Style" w:hAnsi="Bookman Old Style" w:cs="Arial"/>
          <w:i/>
          <w:sz w:val="24"/>
          <w:szCs w:val="24"/>
        </w:rPr>
        <w:t>La finalidad del incidente de reparación integral previsto en la Ley 975, en segundo lugar, es la identificación de los daños causados con la conducta criminal. Se convirtió ese objetivo, con la Ley 1592, en la identificación de las afectaciones ocasionadas a la víctima, fijándose para el efecto un término que no podía exceder de veinte días hábiles.</w:t>
      </w:r>
    </w:p>
    <w:p w:rsidR="00AD777C" w:rsidRPr="009A32D4" w:rsidRDefault="00AD777C" w:rsidP="00AD777C">
      <w:pPr>
        <w:spacing w:line="360" w:lineRule="auto"/>
        <w:jc w:val="both"/>
        <w:rPr>
          <w:rFonts w:ascii="Bookman Old Style" w:hAnsi="Bookman Old Style" w:cs="Arial"/>
          <w:i/>
          <w:sz w:val="24"/>
          <w:szCs w:val="24"/>
        </w:rPr>
      </w:pPr>
    </w:p>
    <w:p w:rsidR="00AD777C" w:rsidRPr="009A32D4" w:rsidRDefault="00AD777C" w:rsidP="00AD777C">
      <w:pPr>
        <w:spacing w:line="360" w:lineRule="auto"/>
        <w:ind w:left="705"/>
        <w:jc w:val="both"/>
        <w:rPr>
          <w:rFonts w:ascii="Bookman Old Style" w:hAnsi="Bookman Old Style" w:cs="Arial"/>
          <w:i/>
          <w:sz w:val="24"/>
          <w:szCs w:val="24"/>
        </w:rPr>
      </w:pPr>
      <w:r w:rsidRPr="009A32D4">
        <w:rPr>
          <w:rFonts w:ascii="Bookman Old Style" w:hAnsi="Bookman Old Style" w:cs="Arial"/>
          <w:i/>
          <w:sz w:val="24"/>
          <w:szCs w:val="24"/>
        </w:rPr>
        <w:t>En los dos procedimientos la víctima interviene en forma directa o a través de apoderado o representante legal.  Sin embargo, la Ley 975 de 2005, amplía la oportunidad para concretar la forma de reparación que pretende y la indicación de las pruebas que hará valer para fundamentar sus pretensiones, mientras que de cara al artículo 23 declarado inexequible sólo contaba con la posibilidad de precisar las afectaciones causadas.</w:t>
      </w:r>
    </w:p>
    <w:p w:rsidR="00AD777C" w:rsidRPr="009A32D4" w:rsidRDefault="00AD777C" w:rsidP="00AD777C">
      <w:pPr>
        <w:spacing w:line="360" w:lineRule="auto"/>
        <w:jc w:val="both"/>
        <w:rPr>
          <w:rFonts w:ascii="Bookman Old Style" w:hAnsi="Bookman Old Style" w:cs="Arial"/>
          <w:i/>
          <w:sz w:val="24"/>
          <w:szCs w:val="24"/>
        </w:rPr>
      </w:pPr>
    </w:p>
    <w:p w:rsidR="00AD777C" w:rsidRPr="009A32D4" w:rsidRDefault="00AD777C" w:rsidP="00AD777C">
      <w:pPr>
        <w:spacing w:line="360" w:lineRule="auto"/>
        <w:ind w:left="705" w:firstLine="3"/>
        <w:jc w:val="both"/>
        <w:rPr>
          <w:rFonts w:ascii="Bookman Old Style" w:hAnsi="Bookman Old Style" w:cs="Arial"/>
          <w:i/>
          <w:sz w:val="24"/>
          <w:szCs w:val="24"/>
        </w:rPr>
      </w:pPr>
      <w:r w:rsidRPr="009A32D4">
        <w:rPr>
          <w:rFonts w:ascii="Bookman Old Style" w:hAnsi="Bookman Old Style" w:cs="Arial"/>
          <w:i/>
          <w:sz w:val="24"/>
          <w:szCs w:val="24"/>
        </w:rPr>
        <w:t>En el caso examinado, culminadas las intervenciones de las víctimas y sus representantes judiciales, el postulado y su defensor tuvieron oportunidad de manifestarse frente a ellas,</w:t>
      </w:r>
      <w:r w:rsidRPr="009A32D4">
        <w:rPr>
          <w:rStyle w:val="Refdenotaalpie"/>
          <w:rFonts w:ascii="Bookman Old Style" w:hAnsi="Bookman Old Style" w:cs="Arial"/>
          <w:i/>
          <w:sz w:val="24"/>
          <w:szCs w:val="24"/>
        </w:rPr>
        <w:footnoteReference w:id="87"/>
      </w:r>
      <w:r w:rsidRPr="009A32D4">
        <w:rPr>
          <w:rFonts w:ascii="Bookman Old Style" w:hAnsi="Bookman Old Style" w:cs="Arial"/>
          <w:i/>
          <w:sz w:val="24"/>
          <w:szCs w:val="24"/>
        </w:rPr>
        <w:t>cumpliéndose así con lo dispuesto por el inciso 3º del artículo 23 de la Ley 975/2005.</w:t>
      </w:r>
    </w:p>
    <w:p w:rsidR="00AD777C" w:rsidRPr="009A32D4" w:rsidRDefault="00AD777C" w:rsidP="00AD777C">
      <w:pPr>
        <w:spacing w:line="360" w:lineRule="auto"/>
        <w:jc w:val="both"/>
        <w:rPr>
          <w:rFonts w:ascii="Bookman Old Style" w:hAnsi="Bookman Old Style" w:cs="Arial"/>
          <w:i/>
          <w:sz w:val="24"/>
          <w:szCs w:val="24"/>
        </w:rPr>
      </w:pPr>
    </w:p>
    <w:p w:rsidR="00AD777C" w:rsidRPr="009A32D4" w:rsidRDefault="00AD777C" w:rsidP="00AD777C">
      <w:pPr>
        <w:spacing w:line="360" w:lineRule="auto"/>
        <w:ind w:left="705" w:firstLine="3"/>
        <w:jc w:val="both"/>
        <w:rPr>
          <w:rFonts w:ascii="Bookman Old Style" w:hAnsi="Bookman Old Style" w:cs="Arial"/>
          <w:i/>
          <w:sz w:val="24"/>
          <w:szCs w:val="24"/>
        </w:rPr>
      </w:pPr>
      <w:r w:rsidRPr="009A32D4">
        <w:rPr>
          <w:rFonts w:ascii="Bookman Old Style" w:hAnsi="Bookman Old Style" w:cs="Arial"/>
          <w:i/>
          <w:sz w:val="24"/>
          <w:szCs w:val="24"/>
        </w:rPr>
        <w:t xml:space="preserve">Aunque existe una diferencia entre los trámites que se comparan, consistente en que el dispuesto por el artículo 23 -declarado inexequible- era de iniciación oficiosa, mientras que el de reparación integral -hoy vigente- requiere de solicitud expresa de la víctima, del Fiscal del caso o del Ministerio Público a instancia de ella, claramente las dos normas </w:t>
      </w:r>
      <w:r w:rsidRPr="009A32D4">
        <w:rPr>
          <w:rFonts w:ascii="Bookman Old Style" w:hAnsi="Bookman Old Style" w:cs="Arial"/>
          <w:i/>
          <w:sz w:val="24"/>
          <w:szCs w:val="24"/>
          <w:lang w:val="es-MX"/>
        </w:rPr>
        <w:t xml:space="preserve">consultan los fines de este excepcional mecanismo de justicia transicional, en el que no hay enfrentamiento entre partes.  La iniciación oficiosa del incidente, en el presente caso, por ende, </w:t>
      </w:r>
      <w:r w:rsidRPr="009A32D4">
        <w:rPr>
          <w:rFonts w:ascii="Bookman Old Style" w:hAnsi="Bookman Old Style" w:cs="Arial"/>
          <w:i/>
          <w:sz w:val="24"/>
          <w:szCs w:val="24"/>
        </w:rPr>
        <w:t>no se opone a la teleología del proceso de Justicia y Paz y, por el contrario, resulta más garantista para las víctimas que la Magistratura, en cumplimiento de sus deberes, impulse dicho trámite.  En ninguno de</w:t>
      </w:r>
      <w:r>
        <w:rPr>
          <w:rFonts w:ascii="Bookman Old Style" w:hAnsi="Bookman Old Style" w:cs="Arial"/>
          <w:i/>
          <w:sz w:val="24"/>
          <w:szCs w:val="24"/>
        </w:rPr>
        <w:t xml:space="preserve"> esos eventos, además, resultan</w:t>
      </w:r>
      <w:r w:rsidRPr="009A32D4">
        <w:rPr>
          <w:rFonts w:ascii="Bookman Old Style" w:hAnsi="Bookman Old Style" w:cs="Arial"/>
          <w:i/>
          <w:sz w:val="24"/>
          <w:szCs w:val="24"/>
        </w:rPr>
        <w:t xml:space="preserve"> afectados los derechos del postulado.</w:t>
      </w:r>
    </w:p>
    <w:p w:rsidR="00AD777C" w:rsidRPr="009A32D4" w:rsidRDefault="00AD777C" w:rsidP="00AD777C">
      <w:pPr>
        <w:spacing w:line="360" w:lineRule="auto"/>
        <w:ind w:firstLine="708"/>
        <w:jc w:val="both"/>
        <w:rPr>
          <w:rFonts w:ascii="Bookman Old Style" w:hAnsi="Bookman Old Style" w:cs="Arial"/>
          <w:i/>
          <w:sz w:val="24"/>
          <w:szCs w:val="24"/>
        </w:rPr>
      </w:pPr>
    </w:p>
    <w:p w:rsidR="00AD777C" w:rsidRPr="009A32D4" w:rsidRDefault="00AD777C" w:rsidP="00AD777C">
      <w:pPr>
        <w:spacing w:line="360" w:lineRule="auto"/>
        <w:ind w:left="705" w:firstLine="3"/>
        <w:jc w:val="both"/>
        <w:rPr>
          <w:rFonts w:ascii="Bookman Old Style" w:hAnsi="Bookman Old Style" w:cs="Arial"/>
          <w:i/>
          <w:sz w:val="24"/>
          <w:szCs w:val="24"/>
        </w:rPr>
      </w:pPr>
      <w:r w:rsidRPr="009A32D4">
        <w:rPr>
          <w:rFonts w:ascii="Bookman Old Style" w:hAnsi="Bookman Old Style" w:cs="Arial"/>
          <w:i/>
          <w:sz w:val="24"/>
          <w:szCs w:val="24"/>
        </w:rPr>
        <w:t>Así las cosas, la actuación realizada por el Tribunal en vigencia del artículo 23 de la Ley 1592 de 2012, en nada interfiere con los fines y procedimiento del original artículo 23 de la Ley 975 de 2005, por lo que deriva válida.</w:t>
      </w:r>
    </w:p>
    <w:p w:rsidR="00AD777C" w:rsidRDefault="00AD777C" w:rsidP="00AD777C">
      <w:pPr>
        <w:spacing w:line="360" w:lineRule="auto"/>
        <w:jc w:val="both"/>
        <w:rPr>
          <w:rFonts w:ascii="Bookman Old Style" w:hAnsi="Bookman Old Style" w:cs="Arial"/>
          <w:sz w:val="28"/>
          <w:szCs w:val="28"/>
        </w:rPr>
      </w:pPr>
    </w:p>
    <w:p w:rsidR="00AD777C" w:rsidRDefault="00AD777C" w:rsidP="00AD777C">
      <w:pPr>
        <w:spacing w:line="360" w:lineRule="auto"/>
        <w:ind w:firstLine="705"/>
        <w:jc w:val="both"/>
        <w:rPr>
          <w:rFonts w:ascii="Bookman Old Style" w:hAnsi="Bookman Old Style" w:cs="Arial"/>
          <w:sz w:val="28"/>
          <w:szCs w:val="28"/>
        </w:rPr>
      </w:pPr>
      <w:r>
        <w:rPr>
          <w:rFonts w:ascii="Bookman Old Style" w:hAnsi="Bookman Old Style" w:cs="Arial"/>
          <w:sz w:val="28"/>
          <w:szCs w:val="28"/>
        </w:rPr>
        <w:t>De tal forma que la audiencia del incidente de reparación integral es la etapa propicia para que las víctimas den a conocer la manera de reparación concreta a la que aspiran, pero además para allegar los soportes que respaldan dicha reclamación, habida cuenta que aún con la flexibilización probatoria que la Corte ha admitido para las víctimas del conflicto interno en los procesos de Justicia y Paz, el funcionario judicial requiere</w:t>
      </w:r>
      <w:r w:rsidRPr="000E6092">
        <w:rPr>
          <w:rFonts w:ascii="Bookman Old Style" w:hAnsi="Bookman Old Style" w:cs="Arial"/>
          <w:sz w:val="28"/>
          <w:szCs w:val="28"/>
        </w:rPr>
        <w:t xml:space="preserve"> confrontar la información suministrada en el incidente</w:t>
      </w:r>
      <w:r>
        <w:rPr>
          <w:rFonts w:ascii="Bookman Old Style" w:hAnsi="Bookman Old Style" w:cs="Arial"/>
          <w:sz w:val="28"/>
          <w:szCs w:val="28"/>
        </w:rPr>
        <w:t>,</w:t>
      </w:r>
      <w:r w:rsidRPr="000E6092">
        <w:rPr>
          <w:rFonts w:ascii="Bookman Old Style" w:hAnsi="Bookman Old Style" w:cs="Arial"/>
          <w:sz w:val="28"/>
          <w:szCs w:val="28"/>
        </w:rPr>
        <w:t xml:space="preserve"> con el propósito de evitar la inclusión de personas que no fueron </w:t>
      </w:r>
      <w:r>
        <w:rPr>
          <w:rFonts w:ascii="Bookman Old Style" w:hAnsi="Bookman Old Style" w:cs="Arial"/>
          <w:sz w:val="28"/>
          <w:szCs w:val="28"/>
        </w:rPr>
        <w:t>perjudicadas directas o indirectas de los hechos por los cuales se formularon y legalizaron cargos en el proceso o, por el contrario, se queden sin pronunciamiento otras que pretenden el reconocimiento de tal condición.</w:t>
      </w:r>
      <w:r w:rsidRPr="000E6092">
        <w:rPr>
          <w:rFonts w:ascii="Bookman Old Style" w:hAnsi="Bookman Old Style" w:cs="Arial"/>
          <w:sz w:val="28"/>
          <w:szCs w:val="28"/>
        </w:rPr>
        <w:t xml:space="preserve"> </w:t>
      </w:r>
    </w:p>
    <w:p w:rsidR="00AD777C" w:rsidRDefault="00AD777C" w:rsidP="00AD777C">
      <w:pPr>
        <w:spacing w:line="360" w:lineRule="auto"/>
        <w:jc w:val="both"/>
        <w:rPr>
          <w:rFonts w:ascii="Bookman Old Style" w:hAnsi="Bookman Old Style" w:cs="Arial"/>
          <w:sz w:val="28"/>
          <w:szCs w:val="28"/>
        </w:rPr>
      </w:pPr>
    </w:p>
    <w:p w:rsidR="00AD777C" w:rsidRDefault="00AD777C" w:rsidP="00AD777C">
      <w:pPr>
        <w:spacing w:line="360" w:lineRule="auto"/>
        <w:jc w:val="both"/>
        <w:rPr>
          <w:rFonts w:ascii="Bookman Old Style" w:hAnsi="Bookman Old Style" w:cs="Arial"/>
          <w:sz w:val="28"/>
          <w:szCs w:val="28"/>
        </w:rPr>
      </w:pPr>
      <w:r>
        <w:rPr>
          <w:rFonts w:ascii="Bookman Old Style" w:hAnsi="Bookman Old Style" w:cs="Arial"/>
          <w:sz w:val="28"/>
          <w:szCs w:val="28"/>
        </w:rPr>
        <w:tab/>
        <w:t>Será entonces en respuesta a las pretensiones de las partes, cuando el Tribunal argumente en derredor del reconocimiento o no de las víctimas directas o indirectas, así como las medidas de reparación individuales o colectivas, que no se encuentran limitadas al resarcimiento económico, sino que trascienden a la rehabilitación y satisfacción.</w:t>
      </w:r>
    </w:p>
    <w:p w:rsidR="00AD777C" w:rsidRDefault="00AD777C" w:rsidP="00AD777C">
      <w:pPr>
        <w:spacing w:line="360" w:lineRule="auto"/>
        <w:jc w:val="both"/>
        <w:rPr>
          <w:rFonts w:ascii="Bookman Old Style" w:hAnsi="Bookman Old Style" w:cs="Arial"/>
          <w:sz w:val="28"/>
          <w:szCs w:val="28"/>
        </w:rPr>
      </w:pPr>
    </w:p>
    <w:p w:rsidR="00AD777C" w:rsidRPr="00556032" w:rsidRDefault="00AD777C" w:rsidP="00AD777C">
      <w:pPr>
        <w:spacing w:line="360" w:lineRule="auto"/>
        <w:ind w:firstLine="708"/>
        <w:jc w:val="both"/>
        <w:rPr>
          <w:rFonts w:ascii="Bookman Old Style" w:hAnsi="Bookman Old Style" w:cs="Arial"/>
          <w:i/>
          <w:sz w:val="28"/>
          <w:szCs w:val="28"/>
        </w:rPr>
      </w:pPr>
      <w:r>
        <w:rPr>
          <w:rFonts w:ascii="Bookman Old Style" w:hAnsi="Bookman Old Style"/>
          <w:sz w:val="28"/>
          <w:szCs w:val="28"/>
          <w:lang w:val="es-CO"/>
        </w:rPr>
        <w:t xml:space="preserve">Así las cosas, se devolverá la actuación para que la Sala de Conocimiento de Justicia y Paz del Tribunal Superior de Bogotá, adelante la audiencia de reparación integral, a cuyo término se proferirá la decisión que se </w:t>
      </w:r>
      <w:r w:rsidRPr="00556032">
        <w:rPr>
          <w:rFonts w:ascii="Bookman Old Style" w:hAnsi="Bookman Old Style"/>
          <w:sz w:val="28"/>
          <w:szCs w:val="28"/>
          <w:lang w:val="es-CO"/>
        </w:rPr>
        <w:t xml:space="preserve">integrará a esta sentencia. </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firstLine="708"/>
        <w:jc w:val="both"/>
        <w:rPr>
          <w:rFonts w:ascii="Bookman Old Style" w:hAnsi="Bookman Old Style"/>
          <w:b/>
          <w:sz w:val="28"/>
          <w:szCs w:val="28"/>
          <w:lang w:val="es-CO"/>
        </w:rPr>
      </w:pPr>
      <w:r>
        <w:rPr>
          <w:rFonts w:ascii="Bookman Old Style" w:hAnsi="Bookman Old Style"/>
          <w:b/>
          <w:sz w:val="28"/>
          <w:szCs w:val="28"/>
          <w:lang w:val="es-CO"/>
        </w:rPr>
        <w:t>4. Del no reconocimiento de algunas víctimas directas e indirectas y</w:t>
      </w:r>
      <w:r w:rsidRPr="000D5D92">
        <w:rPr>
          <w:rFonts w:ascii="Bookman Old Style" w:hAnsi="Bookman Old Style"/>
          <w:b/>
          <w:sz w:val="28"/>
          <w:szCs w:val="28"/>
          <w:lang w:val="es-CO"/>
        </w:rPr>
        <w:t xml:space="preserve"> la cuantific</w:t>
      </w:r>
      <w:r>
        <w:rPr>
          <w:rFonts w:ascii="Bookman Old Style" w:hAnsi="Bookman Old Style"/>
          <w:b/>
          <w:sz w:val="28"/>
          <w:szCs w:val="28"/>
          <w:lang w:val="es-CO"/>
        </w:rPr>
        <w:t>ación del daño</w:t>
      </w: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 </w:t>
      </w: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Corolario de lo últimamente expuesto, las comunes inconformidades acerca de este punto serán objeto de estudio por parte del Tribunal en la decisión que culmine con el trámite del incidente de reparación integral, dado que es el espacio procesal idóneo para plantear el debate.</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Ante los múltiples reclamos</w:t>
      </w:r>
      <w:r>
        <w:rPr>
          <w:rStyle w:val="Refdenotaalpie"/>
          <w:rFonts w:ascii="Bookman Old Style" w:hAnsi="Bookman Old Style"/>
          <w:sz w:val="28"/>
          <w:szCs w:val="28"/>
          <w:lang w:val="es-CO"/>
        </w:rPr>
        <w:footnoteReference w:id="88"/>
      </w:r>
      <w:r>
        <w:rPr>
          <w:rFonts w:ascii="Bookman Old Style" w:hAnsi="Bookman Old Style"/>
          <w:sz w:val="28"/>
          <w:szCs w:val="28"/>
          <w:lang w:val="es-CO"/>
        </w:rPr>
        <w:t xml:space="preserve"> por la ausencia de pronunciamiento en torno de las pretensiones de las partes, resulta oportuno recordar a la primera instancia la obligación de responder los planteamientos elaborados por cada una de ellas, pues de esa manera se garantiza el derecho a la contradicción y la judicatura cumple con el deber de fundamentar sus decisiones.</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Con mayor razón en el proceso de la justicia transicional en el que estrictamente no hay contradicción probatoria, sino que su desarrollo y avance se finca en las versiones de los desmovilizados con las cuales se pretende reconstruir los hechos y de esa manera ayudar a la visibilización de las víctimas que durante años han esperado del Estado, a través de la Rama Judicial, una declaración clara y contundente en contra de los miembros de grupos armados al margen de la ley que sembraron el terror en los Departamentos del Meta y Vichada.</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De ahí que sea indispensable para la consecución de los derechos a la verdad y la justicia, que la judicatura responda las simples y sencillas peticiones que las víctimas realizan a través de sus apoderados y que las providencias no se limiten a las extendidas consideraciones doctrinales de carácter general que no se focalizan en las situaciones planteadas concretamente dentro del proceso.</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Si bien es cierto tal labor se dificulta en tratándose de los procesos de justicia y paz que siempre se ocupan del juzgamiento de múltiples hechos, conductas típicas y víctimas, el desarrollo jurisprudencial y legal ha proporcionado medidas que alivian tal carga, con miras, no a que se obvie el sustento de las decisiones, sino a que la función investigativa y judicial se adelante en diferentes procesos (imputaciones parciales) que aunque pueden obedecer a un contexto similar o incluso igual, dado que se refieren a hechos cometidos durante lapsos coincidentes, por el mismo grupo armado ilegal y en las mismas regiones del país, por diferentes razones deben adelantarse separadamente.</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Esta reflexión para concluir que las motivaciones que solo apuntan a reiterar los conceptos plasmados por la doctrina y jurisprudencia foráneas y nacional, no logran suplir las argumentaciones requeridas en casos sobre los cuales ha habido controversia o peticiones, y por ende, resulta ineludible que el funcionario judicial de a conocer los motivos por los cuales accede o niega las pretensiones de las partes.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A modo de ejemplo, ninguna víctima indirecta podrá sentirse satisfecha si la judicatura no responde –aprobando o no- su ruego de ser sujeto de reparación.  Tampoco es asimilable a la motivación de una providencia la elaboración de un cuadro en el que se enlistan todas las personas que se presentaron como víctimas (directas o indirectas) y en otro acápite encontrar una relación similar pero esta vez con la exclusión de algunas de ellas, debiéndose suponer que quienes allí no aparecen es porque no cumplen con los requisitos exigidos en la ley para tal fin.</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Ausencia de pronunciamiento que también se refleja en el silencio frente a los documentos aportados por las víctimas, con los cuales pretenden probar tanto el parentesco como algunas afectaciones y sin embargo no se exponen las razones por las cuales, en sentir de la Sala de Conocimiento, no son aptos, idóneos o suficientes para lograr tales fines.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Similar situación se presenta con algunas peticiones elevadas por la representación del Ministerio Público y abogados de las víctimas, como la doctora Yudy Marinella Castillo, quien demanda de la Corte resolver las pretensiones sobre las cuales nada dijo la primera instancia,</w:t>
      </w:r>
      <w:r>
        <w:rPr>
          <w:rStyle w:val="Refdenotaalpie"/>
          <w:rFonts w:ascii="Bookman Old Style" w:hAnsi="Bookman Old Style"/>
          <w:sz w:val="28"/>
          <w:szCs w:val="28"/>
          <w:lang w:val="es-CO"/>
        </w:rPr>
        <w:footnoteReference w:id="89"/>
      </w:r>
      <w:r>
        <w:rPr>
          <w:rFonts w:ascii="Bookman Old Style" w:hAnsi="Bookman Old Style"/>
          <w:sz w:val="28"/>
          <w:szCs w:val="28"/>
          <w:lang w:val="es-CO"/>
        </w:rPr>
        <w:t xml:space="preserve"> y que afortunadamente, para las víctimas, guardan relación con determinaciones propias del incidente.</w:t>
      </w:r>
    </w:p>
    <w:p w:rsidR="00AD777C" w:rsidRDefault="00AD777C" w:rsidP="00AD777C">
      <w:pPr>
        <w:spacing w:line="360" w:lineRule="auto"/>
        <w:ind w:firstLine="708"/>
        <w:jc w:val="both"/>
        <w:rPr>
          <w:rFonts w:ascii="Bookman Old Style" w:hAnsi="Bookman Old Style"/>
          <w:sz w:val="28"/>
          <w:szCs w:val="28"/>
          <w:lang w:val="es-CO"/>
        </w:rPr>
      </w:pPr>
    </w:p>
    <w:p w:rsidR="00AD777C" w:rsidRPr="00D95D60" w:rsidRDefault="00AD777C" w:rsidP="00AD777C">
      <w:pPr>
        <w:spacing w:line="360" w:lineRule="auto"/>
        <w:ind w:right="-187" w:firstLine="708"/>
        <w:jc w:val="both"/>
        <w:rPr>
          <w:rFonts w:ascii="Bookman Old Style" w:hAnsi="Bookman Old Style"/>
          <w:color w:val="7030A0"/>
          <w:sz w:val="28"/>
          <w:szCs w:val="28"/>
        </w:rPr>
      </w:pPr>
      <w:r>
        <w:rPr>
          <w:rFonts w:ascii="Bookman Old Style" w:hAnsi="Bookman Old Style"/>
          <w:sz w:val="28"/>
          <w:szCs w:val="28"/>
          <w:lang w:val="es-CO"/>
        </w:rPr>
        <w:t>Por último, si como una de las medidas de reparación, se requiere la declaratoria de la justicia acerca de que las víctimas directas no pertenecían a grupos armados al margen de la ley,</w:t>
      </w:r>
      <w:r>
        <w:rPr>
          <w:rStyle w:val="Refdenotaalpie"/>
          <w:rFonts w:ascii="Bookman Old Style" w:hAnsi="Bookman Old Style"/>
          <w:sz w:val="28"/>
          <w:szCs w:val="28"/>
          <w:lang w:val="es-CO"/>
        </w:rPr>
        <w:footnoteReference w:id="90"/>
      </w:r>
      <w:r>
        <w:rPr>
          <w:rFonts w:ascii="Bookman Old Style" w:hAnsi="Bookman Old Style"/>
          <w:sz w:val="28"/>
          <w:szCs w:val="28"/>
          <w:lang w:val="es-CO"/>
        </w:rPr>
        <w:t xml:space="preserve"> necesariamente ha de responderse –en cualquier sentido- tal postulación para que a través del debate público y las subsecuentes decisiones judiciales, surja el conocimiento de la verdad. </w:t>
      </w:r>
    </w:p>
    <w:p w:rsidR="00AD777C" w:rsidRDefault="00AD777C" w:rsidP="00AD777C">
      <w:pPr>
        <w:spacing w:line="360" w:lineRule="auto"/>
        <w:ind w:firstLine="708"/>
        <w:jc w:val="both"/>
        <w:rPr>
          <w:rFonts w:ascii="Bookman Old Style" w:hAnsi="Bookman Old Style"/>
          <w:sz w:val="28"/>
          <w:szCs w:val="28"/>
          <w:lang w:val="es-CO"/>
        </w:rPr>
      </w:pPr>
    </w:p>
    <w:p w:rsidR="00AD777C" w:rsidRDefault="00AD777C" w:rsidP="00AD777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De tal forma que la primera instancia deberá prestar especial atención al momento de decidir las pretensiones de las partes intervinientes en el proceso, para que cada una obtenga respuesta, que no necesariamente debe ser positiva, pero si, que despache las inquietudes específicas que cada víctima concibe como las más importantes de la actuación.  En definitiva, en este pronunciamiento se verán materializados sus derechos. </w:t>
      </w:r>
    </w:p>
    <w:p w:rsidR="00AD777C" w:rsidRDefault="00AD777C" w:rsidP="00AD777C">
      <w:pPr>
        <w:spacing w:line="360" w:lineRule="auto"/>
        <w:ind w:firstLine="708"/>
        <w:jc w:val="both"/>
        <w:rPr>
          <w:rFonts w:ascii="Bookman Old Style" w:hAnsi="Bookman Old Style" w:cs="Arial"/>
          <w:sz w:val="28"/>
          <w:szCs w:val="28"/>
        </w:rPr>
      </w:pPr>
    </w:p>
    <w:p w:rsidR="00AD777C" w:rsidRDefault="00AD777C" w:rsidP="00AD777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Acerca de la especial importancia de las necesidades de las víctimas dentro del proceso de justicia transicional, la Corte tuvo oportunidad de pronunciarse: </w:t>
      </w:r>
    </w:p>
    <w:p w:rsidR="00AD777C" w:rsidRDefault="00AD777C" w:rsidP="00AD777C">
      <w:pPr>
        <w:spacing w:line="360" w:lineRule="auto"/>
        <w:ind w:firstLine="708"/>
        <w:jc w:val="both"/>
        <w:rPr>
          <w:rFonts w:ascii="Bookman Old Style" w:hAnsi="Bookman Old Style" w:cs="Arial"/>
          <w:sz w:val="28"/>
          <w:szCs w:val="28"/>
        </w:rPr>
      </w:pPr>
    </w:p>
    <w:p w:rsidR="00AD777C" w:rsidRPr="00EB04DA" w:rsidRDefault="00AD777C" w:rsidP="00AD777C">
      <w:pPr>
        <w:spacing w:line="360" w:lineRule="auto"/>
        <w:ind w:left="708"/>
        <w:jc w:val="both"/>
        <w:rPr>
          <w:rFonts w:ascii="Bookman Old Style" w:hAnsi="Bookman Old Style" w:cs="Arial"/>
          <w:i/>
          <w:sz w:val="24"/>
          <w:szCs w:val="24"/>
        </w:rPr>
      </w:pPr>
      <w:r w:rsidRPr="00EB04DA">
        <w:rPr>
          <w:rFonts w:ascii="Bookman Old Style" w:hAnsi="Bookman Old Style" w:cs="Arial"/>
          <w:i/>
          <w:sz w:val="24"/>
          <w:szCs w:val="24"/>
        </w:rPr>
        <w:t xml:space="preserve">Aunque todos corresponden al accionar del Bloque Bananero de las Autodefensas Unidas de Colombia y sucedieron en el contexto reseñado en la sentencia, las circunstancias de cada uno son distintas e igual sus víctimas, dueñas de sus necesidades y a cuyas pretensiones, por tanto, no puede responderse con una motivación general.  </w:t>
      </w:r>
    </w:p>
    <w:p w:rsidR="00AD777C" w:rsidRPr="00EB04DA" w:rsidRDefault="00AD777C" w:rsidP="00AD777C">
      <w:pPr>
        <w:spacing w:line="360" w:lineRule="auto"/>
        <w:ind w:firstLine="708"/>
        <w:jc w:val="both"/>
        <w:rPr>
          <w:rFonts w:ascii="Bookman Old Style" w:hAnsi="Bookman Old Style" w:cs="Arial"/>
          <w:i/>
          <w:sz w:val="24"/>
          <w:szCs w:val="24"/>
        </w:rPr>
      </w:pPr>
    </w:p>
    <w:p w:rsidR="00AD777C" w:rsidRPr="00E63825" w:rsidRDefault="00AD777C" w:rsidP="00AD777C">
      <w:pPr>
        <w:spacing w:line="360" w:lineRule="auto"/>
        <w:ind w:left="708"/>
        <w:jc w:val="both"/>
        <w:rPr>
          <w:rFonts w:ascii="Bookman Old Style" w:hAnsi="Bookman Old Style" w:cs="Arial"/>
          <w:sz w:val="28"/>
          <w:szCs w:val="28"/>
        </w:rPr>
      </w:pPr>
      <w:r w:rsidRPr="00EB04DA">
        <w:rPr>
          <w:rFonts w:ascii="Bookman Old Style" w:hAnsi="Bookman Old Style" w:cs="Arial"/>
          <w:i/>
          <w:sz w:val="24"/>
          <w:szCs w:val="24"/>
        </w:rPr>
        <w:t xml:space="preserve">La visibilización, reconocimiento y reparación de las víctimas en el proceso transicional, requiere que el Estado a través de la judicatura examine cada caso para proceder al reconocimiento conforme a los lineamientos fijados </w:t>
      </w:r>
      <w:r w:rsidRPr="00EB04DA">
        <w:rPr>
          <w:rFonts w:ascii="Bookman Old Style" w:hAnsi="Bookman Old Style"/>
          <w:i/>
          <w:iCs/>
          <w:color w:val="000000"/>
          <w:sz w:val="24"/>
          <w:szCs w:val="24"/>
          <w:shd w:val="clear" w:color="auto" w:fill="FFFFFF"/>
        </w:rPr>
        <w:t>desde el derecho internacional en relación con las normas de justicia transicional, de tal forma que debe dárseles un trato acorde con su condición y derechos</w:t>
      </w:r>
      <w:r w:rsidRPr="00EB04DA">
        <w:rPr>
          <w:rFonts w:ascii="Bookman Old Style" w:hAnsi="Bookman Old Style" w:cs="Arial"/>
          <w:i/>
          <w:sz w:val="24"/>
          <w:szCs w:val="24"/>
        </w:rPr>
        <w:t xml:space="preserve"> y no reducirlas a un simple dato estadístico.</w:t>
      </w:r>
      <w:r>
        <w:rPr>
          <w:rFonts w:ascii="Bookman Old Style" w:hAnsi="Bookman Old Style" w:cs="Arial"/>
          <w:i/>
          <w:sz w:val="24"/>
          <w:szCs w:val="24"/>
        </w:rPr>
        <w:t xml:space="preserve"> </w:t>
      </w:r>
      <w:r w:rsidRPr="00E63825">
        <w:rPr>
          <w:rFonts w:ascii="Bookman Old Style" w:hAnsi="Bookman Old Style" w:cs="Arial"/>
          <w:sz w:val="28"/>
          <w:szCs w:val="28"/>
        </w:rPr>
        <w:t>(CSJ. SP 15924-2014. 20 de nov. 2014. Radicado 42799)</w:t>
      </w:r>
      <w:r>
        <w:rPr>
          <w:rFonts w:ascii="Bookman Old Style" w:hAnsi="Bookman Old Style" w:cs="Arial"/>
          <w:sz w:val="28"/>
          <w:szCs w:val="28"/>
        </w:rPr>
        <w:t>.</w:t>
      </w:r>
    </w:p>
    <w:p w:rsidR="00AD777C" w:rsidRDefault="00AD777C" w:rsidP="00AD777C">
      <w:pPr>
        <w:spacing w:line="360" w:lineRule="auto"/>
        <w:ind w:firstLine="708"/>
        <w:jc w:val="both"/>
        <w:rPr>
          <w:rFonts w:ascii="Bookman Old Style" w:hAnsi="Bookman Old Style" w:cs="Arial"/>
          <w:sz w:val="28"/>
          <w:szCs w:val="28"/>
        </w:rPr>
      </w:pPr>
    </w:p>
    <w:p w:rsidR="00AD777C" w:rsidRDefault="00AD777C" w:rsidP="00AD777C">
      <w:pPr>
        <w:spacing w:line="360" w:lineRule="auto"/>
        <w:ind w:right="23" w:firstLine="708"/>
        <w:jc w:val="both"/>
        <w:rPr>
          <w:rFonts w:ascii="Bookman Old Style" w:hAnsi="Bookman Old Style" w:cs="Arial"/>
          <w:sz w:val="28"/>
          <w:szCs w:val="32"/>
          <w:lang w:val="es-MX"/>
        </w:rPr>
      </w:pPr>
      <w:r>
        <w:rPr>
          <w:rFonts w:ascii="Bookman Old Style" w:hAnsi="Bookman Old Style" w:cs="Arial"/>
          <w:sz w:val="28"/>
          <w:szCs w:val="28"/>
        </w:rPr>
        <w:t>Corolario de lo anterior, se revocarán los numerales 39 a 63, 68 y 69 de la parte resolutiva del proveído recurrido, por hallarse ligados con el tema de reparación del cual se ocupará el pronunciamiento con el que finalizará el incidente de reparación integral</w:t>
      </w:r>
      <w:r>
        <w:rPr>
          <w:rFonts w:ascii="Bookman Old Style" w:hAnsi="Bookman Old Style" w:cs="Arial"/>
          <w:sz w:val="28"/>
          <w:szCs w:val="32"/>
          <w:lang w:val="es-MX"/>
        </w:rPr>
        <w:t xml:space="preserve"> que se adelantará y cuya decisión, una vez en firme, hará parte de esta sentencia conforme con lo dispuesto por la Ley 906 de 2004.</w:t>
      </w:r>
    </w:p>
    <w:p w:rsidR="00AD777C" w:rsidRDefault="00AD777C" w:rsidP="00AD777C">
      <w:pPr>
        <w:spacing w:line="360" w:lineRule="auto"/>
        <w:ind w:right="-187"/>
        <w:jc w:val="both"/>
        <w:rPr>
          <w:rFonts w:ascii="Bookman Old Style" w:hAnsi="Bookman Old Style" w:cs="Arial"/>
          <w:sz w:val="28"/>
          <w:szCs w:val="32"/>
          <w:lang w:val="es-MX"/>
        </w:rPr>
      </w:pPr>
    </w:p>
    <w:p w:rsidR="00AD777C" w:rsidRPr="0043006D" w:rsidRDefault="00AD777C" w:rsidP="00AD777C">
      <w:pPr>
        <w:numPr>
          <w:ilvl w:val="0"/>
          <w:numId w:val="26"/>
        </w:numPr>
        <w:spacing w:line="360" w:lineRule="auto"/>
        <w:ind w:right="-187"/>
        <w:jc w:val="both"/>
        <w:rPr>
          <w:rFonts w:ascii="Bookman Old Style" w:hAnsi="Bookman Old Style" w:cs="Sakkal Majalla"/>
          <w:b/>
          <w:sz w:val="28"/>
          <w:szCs w:val="28"/>
        </w:rPr>
      </w:pPr>
      <w:r>
        <w:rPr>
          <w:rFonts w:ascii="Bookman Old Style" w:hAnsi="Bookman Old Style" w:cs="Sakkal Majalla"/>
          <w:b/>
          <w:sz w:val="28"/>
          <w:szCs w:val="28"/>
        </w:rPr>
        <w:t>EL DEFENSOR</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cs="Sakkal Majalla"/>
          <w:b/>
          <w:sz w:val="28"/>
          <w:szCs w:val="28"/>
        </w:rPr>
      </w:pPr>
      <w:r>
        <w:rPr>
          <w:rFonts w:ascii="Bookman Old Style" w:hAnsi="Bookman Old Style" w:cs="Sakkal Majalla"/>
          <w:b/>
          <w:sz w:val="28"/>
          <w:szCs w:val="28"/>
        </w:rPr>
        <w:t>5.</w:t>
      </w:r>
      <w:r w:rsidRPr="00FD2524">
        <w:rPr>
          <w:rFonts w:ascii="Bookman Old Style" w:hAnsi="Bookman Old Style" w:cs="Sakkal Majalla"/>
          <w:b/>
          <w:sz w:val="28"/>
          <w:szCs w:val="28"/>
        </w:rPr>
        <w:t>1</w:t>
      </w:r>
      <w:r>
        <w:rPr>
          <w:rFonts w:ascii="Bookman Old Style" w:hAnsi="Bookman Old Style" w:cs="Sakkal Majalla"/>
          <w:b/>
          <w:sz w:val="28"/>
          <w:szCs w:val="28"/>
        </w:rPr>
        <w:t xml:space="preserve">. De la pena alternativa </w:t>
      </w:r>
    </w:p>
    <w:p w:rsidR="00AD777C" w:rsidRPr="00FD2524" w:rsidRDefault="00AD777C" w:rsidP="00AD777C">
      <w:pPr>
        <w:spacing w:line="360" w:lineRule="auto"/>
        <w:ind w:right="-187" w:firstLine="708"/>
        <w:jc w:val="both"/>
        <w:rPr>
          <w:rFonts w:ascii="Bookman Old Style" w:hAnsi="Bookman Old Style" w:cs="Sakkal Majalla"/>
          <w:b/>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La Sala confirmará el </w:t>
      </w:r>
      <w:r w:rsidRPr="00A94C67">
        <w:rPr>
          <w:rFonts w:ascii="Bookman Old Style" w:hAnsi="Bookman Old Style" w:cs="Sakkal Majalla"/>
          <w:i/>
          <w:sz w:val="28"/>
          <w:szCs w:val="28"/>
        </w:rPr>
        <w:t>quantum</w:t>
      </w:r>
      <w:r>
        <w:rPr>
          <w:rFonts w:ascii="Bookman Old Style" w:hAnsi="Bookman Old Style" w:cs="Sakkal Majalla"/>
          <w:sz w:val="28"/>
          <w:szCs w:val="28"/>
        </w:rPr>
        <w:t xml:space="preserve"> punitivo de ocho años impuesto a los postulados RAFAEL SALGADO MERCHÁN y JOSÉ DELFÍN VILLALOBOS JIMÉNEZ, por las siguientes razones:</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El beneficio de la pena alternativa se encuentra previsto en el artículo 29 de la Ley 975 de 2005:</w:t>
      </w:r>
    </w:p>
    <w:p w:rsidR="00AD777C" w:rsidRPr="001B6DC7"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Pr="002E3760" w:rsidRDefault="00AD777C" w:rsidP="00AD777C">
      <w:pPr>
        <w:tabs>
          <w:tab w:val="left" w:pos="-720"/>
        </w:tabs>
        <w:suppressAutoHyphens/>
        <w:spacing w:line="360" w:lineRule="auto"/>
        <w:ind w:left="708" w:right="-7"/>
        <w:jc w:val="both"/>
        <w:rPr>
          <w:rFonts w:ascii="Bookman Old Style" w:hAnsi="Bookman Old Style" w:cs="Arial"/>
          <w:bCs/>
          <w:i/>
          <w:sz w:val="24"/>
          <w:szCs w:val="24"/>
        </w:rPr>
      </w:pPr>
      <w:r w:rsidRPr="00607EE2">
        <w:rPr>
          <w:rFonts w:ascii="Bookman Old Style" w:hAnsi="Bookman Old Style" w:cs="Arial"/>
          <w:b/>
          <w:bCs/>
          <w:i/>
          <w:sz w:val="24"/>
          <w:szCs w:val="24"/>
        </w:rPr>
        <w:t>Pena alternativa</w:t>
      </w:r>
      <w:r w:rsidRPr="002E3760">
        <w:rPr>
          <w:rFonts w:ascii="Bookman Old Style" w:hAnsi="Bookman Old Style" w:cs="Arial"/>
          <w:bCs/>
          <w:i/>
          <w:sz w:val="24"/>
          <w:szCs w:val="24"/>
        </w:rPr>
        <w:t>. La Sala competente del Tribunal Superior de Distrito Judicial determinará la pena que corresponda por los delitos cometidos, de acuerdo con las reglas del Código Penal.</w:t>
      </w:r>
    </w:p>
    <w:p w:rsidR="00AD777C" w:rsidRPr="002E3760" w:rsidRDefault="00AD777C" w:rsidP="00AD777C">
      <w:pPr>
        <w:tabs>
          <w:tab w:val="left" w:pos="-720"/>
        </w:tabs>
        <w:suppressAutoHyphens/>
        <w:spacing w:line="360" w:lineRule="auto"/>
        <w:ind w:left="708" w:right="-7"/>
        <w:jc w:val="both"/>
        <w:rPr>
          <w:rFonts w:ascii="Bookman Old Style" w:hAnsi="Bookman Old Style" w:cs="Arial"/>
          <w:bCs/>
          <w:i/>
          <w:sz w:val="24"/>
          <w:szCs w:val="24"/>
        </w:rPr>
      </w:pPr>
    </w:p>
    <w:p w:rsidR="00AD777C" w:rsidRPr="002E3760" w:rsidRDefault="00AD777C" w:rsidP="00AD777C">
      <w:pPr>
        <w:tabs>
          <w:tab w:val="left" w:pos="-720"/>
        </w:tabs>
        <w:suppressAutoHyphens/>
        <w:spacing w:line="360" w:lineRule="auto"/>
        <w:ind w:left="708" w:right="-7"/>
        <w:jc w:val="both"/>
        <w:rPr>
          <w:rFonts w:ascii="Bookman Old Style" w:hAnsi="Bookman Old Style" w:cs="Arial"/>
          <w:bCs/>
          <w:i/>
          <w:sz w:val="24"/>
          <w:szCs w:val="24"/>
        </w:rPr>
      </w:pPr>
      <w:r w:rsidRPr="002E3760">
        <w:rPr>
          <w:rFonts w:ascii="Bookman Old Style" w:hAnsi="Bookman Old Style" w:cs="Arial"/>
          <w:bCs/>
          <w:i/>
          <w:sz w:val="24"/>
          <w:szCs w:val="24"/>
        </w:rPr>
        <w:t>En caso que el condenado haya cumplido las condiciones previstas en esta ley, la Sala le impondrá una pena alternativa que consiste en privación de la libertad por un período mínimo de cinco (5) años y no superior a ocho (8) años, tasada de acuerdo con la gravedad de los delitos y su colaboración efectiva en el esclarecimiento de los mismos.</w:t>
      </w:r>
    </w:p>
    <w:p w:rsidR="00AD777C" w:rsidRPr="002E3760" w:rsidRDefault="00AD777C" w:rsidP="00AD777C">
      <w:pPr>
        <w:tabs>
          <w:tab w:val="left" w:pos="-720"/>
        </w:tabs>
        <w:suppressAutoHyphens/>
        <w:spacing w:line="360" w:lineRule="auto"/>
        <w:ind w:left="708" w:right="-7"/>
        <w:jc w:val="both"/>
        <w:rPr>
          <w:rFonts w:ascii="Bookman Old Style" w:hAnsi="Bookman Old Style" w:cs="Arial"/>
          <w:bCs/>
          <w:i/>
          <w:sz w:val="24"/>
          <w:szCs w:val="24"/>
        </w:rPr>
      </w:pPr>
    </w:p>
    <w:p w:rsidR="00AD777C" w:rsidRPr="00607EE2" w:rsidRDefault="00AD777C" w:rsidP="00AD777C">
      <w:pPr>
        <w:tabs>
          <w:tab w:val="left" w:pos="-720"/>
        </w:tabs>
        <w:suppressAutoHyphens/>
        <w:spacing w:line="360" w:lineRule="auto"/>
        <w:ind w:left="708" w:right="-7"/>
        <w:jc w:val="both"/>
        <w:rPr>
          <w:rFonts w:ascii="Bookman Old Style" w:hAnsi="Bookman Old Style" w:cs="Arial"/>
          <w:bCs/>
          <w:i/>
          <w:sz w:val="24"/>
          <w:szCs w:val="24"/>
        </w:rPr>
      </w:pPr>
      <w:r w:rsidRPr="00607EE2">
        <w:rPr>
          <w:rFonts w:ascii="Bookman Old Style" w:hAnsi="Bookman Old Style" w:cs="Arial"/>
          <w:bCs/>
          <w:i/>
          <w:sz w:val="24"/>
          <w:szCs w:val="24"/>
        </w:rPr>
        <w:t>Para tener derecho a la pena alternativa se requerirá que el beneficiario se comprometa a contribuir con su resocialización a través del trabajo, estudio o enseñanza durante el tiempo que permanezca privado de la libertad, y a promover actividades orientadas a la desmovilización del grupo armado al margen de la ley al cual perteneció.</w:t>
      </w:r>
    </w:p>
    <w:p w:rsidR="00AD777C" w:rsidRPr="002E3760" w:rsidRDefault="00AD777C" w:rsidP="00AD777C">
      <w:pPr>
        <w:tabs>
          <w:tab w:val="left" w:pos="-720"/>
        </w:tabs>
        <w:suppressAutoHyphens/>
        <w:spacing w:line="360" w:lineRule="auto"/>
        <w:ind w:left="708" w:right="-7"/>
        <w:jc w:val="both"/>
        <w:rPr>
          <w:rFonts w:ascii="Bookman Old Style" w:hAnsi="Bookman Old Style" w:cs="Arial"/>
          <w:bCs/>
          <w:i/>
          <w:sz w:val="24"/>
          <w:szCs w:val="24"/>
          <w:u w:val="single"/>
        </w:rPr>
      </w:pPr>
    </w:p>
    <w:p w:rsidR="00AD777C" w:rsidRPr="00607EE2" w:rsidRDefault="00AD777C" w:rsidP="00AD777C">
      <w:pPr>
        <w:tabs>
          <w:tab w:val="left" w:pos="-720"/>
        </w:tabs>
        <w:suppressAutoHyphens/>
        <w:spacing w:line="360" w:lineRule="auto"/>
        <w:ind w:left="708" w:right="-7"/>
        <w:jc w:val="both"/>
        <w:rPr>
          <w:rFonts w:ascii="Bookman Old Style" w:hAnsi="Bookman Old Style" w:cs="Arial"/>
          <w:bCs/>
          <w:i/>
          <w:sz w:val="24"/>
          <w:szCs w:val="24"/>
        </w:rPr>
      </w:pPr>
      <w:r w:rsidRPr="002E3760">
        <w:rPr>
          <w:rFonts w:ascii="Bookman Old Style" w:hAnsi="Bookman Old Style" w:cs="Arial"/>
          <w:bCs/>
          <w:i/>
          <w:sz w:val="24"/>
          <w:szCs w:val="24"/>
        </w:rPr>
        <w:t xml:space="preserve">Cumplida la pena alternativa y las condiciones impuestas en la sentencia se le concederá la libertad a prueba por un término igual a la mitad de la pena alternativa impuesta, período durante el cual el beneficiado </w:t>
      </w:r>
      <w:r>
        <w:rPr>
          <w:rFonts w:ascii="Bookman Old Style" w:hAnsi="Bookman Old Style" w:cs="Arial"/>
          <w:bCs/>
          <w:i/>
          <w:sz w:val="24"/>
          <w:szCs w:val="24"/>
        </w:rPr>
        <w:t>se compromete a no reincidir en</w:t>
      </w:r>
      <w:r w:rsidRPr="002E3760">
        <w:rPr>
          <w:rFonts w:ascii="Bookman Old Style" w:hAnsi="Bookman Old Style" w:cs="Arial"/>
          <w:bCs/>
          <w:i/>
          <w:sz w:val="24"/>
          <w:szCs w:val="24"/>
        </w:rPr>
        <w:t xml:space="preserve"> delitos, a presentarse periódicamente ante el Tribunal Superior del Distrito Judicial que corresponda y a informar cualquier cambio de residencia”.</w:t>
      </w:r>
    </w:p>
    <w:p w:rsidR="00AD777C"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Tanto el beneficio de la pena alternativa, como la dosificación, obedecen a características y propósitos específicos del proceso transicional y por tanto, no hay lugar a remitirse a la Ley 906 de 2004.</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r>
      <w:r w:rsidRPr="0039147E">
        <w:rPr>
          <w:rFonts w:ascii="Bookman Old Style" w:hAnsi="Bookman Old Style" w:cs="Arial"/>
          <w:bCs/>
          <w:sz w:val="28"/>
          <w:szCs w:val="28"/>
        </w:rPr>
        <w:t>Por ser sustitutiva de la pena ordinaria, su imposición se encuentra condicionada a que concurran los presupuestos específicos previstos en la Ley 975 de 2005</w:t>
      </w:r>
      <w:r>
        <w:rPr>
          <w:rFonts w:ascii="Bookman Old Style" w:hAnsi="Bookman Old Style" w:cs="Arial"/>
          <w:bCs/>
          <w:sz w:val="28"/>
          <w:szCs w:val="28"/>
        </w:rPr>
        <w:t>, exigencias que consideró superadas el Tribunal, por lo que procedió a la dosificación de las penas que de ordinario corresponden al concurso de conductas punibles conforme al Código Penal, y luego las sustituyó por la alternativa.</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 xml:space="preserve">Entonces, cuando el inciso primero de la norma comentada señala que la tasación punitiva se realizará conforme al Código Penal, ha de entenderse, sin lugar a dudas, que el mandato va dirigido a la primera estimación de la cual debe ocuparse el juez de conocimiento, es decir, las penas principales y accesorias que corresponderían por fuera del proceso especial de justicia y paz a los penalmente responsables de esas conductas. </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Entendimiento que se desprende del tenor literal de la norma, dado que el inciso 2º continúa fijando los parámetros para la tasación de la pena alternativa, que se limitan a dos:</w:t>
      </w:r>
      <w:r w:rsidRPr="00105A16">
        <w:rPr>
          <w:rFonts w:ascii="Bookman Old Style" w:hAnsi="Bookman Old Style" w:cs="Arial"/>
          <w:bCs/>
          <w:sz w:val="28"/>
          <w:szCs w:val="28"/>
        </w:rPr>
        <w:t xml:space="preserve"> </w:t>
      </w:r>
      <w:r w:rsidRPr="00105A16">
        <w:rPr>
          <w:rFonts w:ascii="Bookman Old Style" w:hAnsi="Bookman Old Style" w:cs="Arial"/>
          <w:bCs/>
          <w:i/>
          <w:sz w:val="28"/>
          <w:szCs w:val="28"/>
        </w:rPr>
        <w:t>(i)</w:t>
      </w:r>
      <w:r w:rsidRPr="00105A16">
        <w:rPr>
          <w:rFonts w:ascii="Bookman Old Style" w:hAnsi="Bookman Old Style" w:cs="Arial"/>
          <w:bCs/>
          <w:sz w:val="28"/>
          <w:szCs w:val="28"/>
        </w:rPr>
        <w:t xml:space="preserve"> la gravedad de los delitos</w:t>
      </w:r>
      <w:r>
        <w:rPr>
          <w:rFonts w:ascii="Bookman Old Style" w:hAnsi="Bookman Old Style" w:cs="Arial"/>
          <w:bCs/>
          <w:sz w:val="28"/>
          <w:szCs w:val="28"/>
        </w:rPr>
        <w:t>,</w:t>
      </w:r>
      <w:r w:rsidRPr="00105A16">
        <w:rPr>
          <w:rFonts w:ascii="Bookman Old Style" w:hAnsi="Bookman Old Style" w:cs="Arial"/>
          <w:bCs/>
          <w:sz w:val="28"/>
          <w:szCs w:val="28"/>
        </w:rPr>
        <w:t xml:space="preserve"> y, </w:t>
      </w:r>
      <w:r w:rsidRPr="00105A16">
        <w:rPr>
          <w:rFonts w:ascii="Bookman Old Style" w:hAnsi="Bookman Old Style" w:cs="Arial"/>
          <w:bCs/>
          <w:i/>
          <w:sz w:val="28"/>
          <w:szCs w:val="28"/>
        </w:rPr>
        <w:t>(ii)</w:t>
      </w:r>
      <w:r w:rsidRPr="00105A16">
        <w:rPr>
          <w:rFonts w:ascii="Bookman Old Style" w:hAnsi="Bookman Old Style" w:cs="Arial"/>
          <w:bCs/>
          <w:sz w:val="28"/>
          <w:szCs w:val="28"/>
        </w:rPr>
        <w:t xml:space="preserve"> </w:t>
      </w:r>
      <w:r>
        <w:rPr>
          <w:rFonts w:ascii="Bookman Old Style" w:hAnsi="Bookman Old Style" w:cs="Arial"/>
          <w:bCs/>
          <w:sz w:val="28"/>
          <w:szCs w:val="28"/>
        </w:rPr>
        <w:t xml:space="preserve">la colaboración </w:t>
      </w:r>
      <w:r w:rsidRPr="00105A16">
        <w:rPr>
          <w:rFonts w:ascii="Bookman Old Style" w:hAnsi="Bookman Old Style" w:cs="Arial"/>
          <w:bCs/>
          <w:sz w:val="28"/>
          <w:szCs w:val="28"/>
        </w:rPr>
        <w:t>efectiva en el esclarecimiento de los mismos.</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Parámetros a los que se ciñó la Sala de Conocimiento para imponer el máximo de ocho (8) años de prisión a los excomandantes operativo (RAFAEL SALGADO MERCHÁN) y militar (JOSÉ DELFÍN VILLALOBOS JIMÉNEZ)</w:t>
      </w:r>
      <w:r>
        <w:rPr>
          <w:rStyle w:val="Refdenotaalpie"/>
          <w:rFonts w:ascii="Bookman Old Style" w:hAnsi="Bookman Old Style" w:cs="Arial"/>
          <w:bCs/>
          <w:sz w:val="28"/>
          <w:szCs w:val="28"/>
        </w:rPr>
        <w:footnoteReference w:id="91"/>
      </w:r>
      <w:r>
        <w:rPr>
          <w:rFonts w:ascii="Bookman Old Style" w:hAnsi="Bookman Old Style" w:cs="Arial"/>
          <w:bCs/>
          <w:sz w:val="28"/>
          <w:szCs w:val="28"/>
        </w:rPr>
        <w:t>:</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Pr="000A498C" w:rsidRDefault="00AD777C" w:rsidP="00AD777C">
      <w:pPr>
        <w:tabs>
          <w:tab w:val="left" w:pos="-720"/>
        </w:tabs>
        <w:suppressAutoHyphens/>
        <w:spacing w:line="360" w:lineRule="auto"/>
        <w:ind w:left="708" w:right="-7"/>
        <w:jc w:val="both"/>
        <w:rPr>
          <w:rFonts w:ascii="Bookman Old Style" w:hAnsi="Bookman Old Style" w:cs="Arial"/>
          <w:bCs/>
          <w:i/>
          <w:sz w:val="24"/>
          <w:szCs w:val="24"/>
        </w:rPr>
      </w:pPr>
      <w:r w:rsidRPr="000A498C">
        <w:rPr>
          <w:rFonts w:ascii="Bookman Old Style" w:hAnsi="Bookman Old Style" w:cs="Arial"/>
          <w:bCs/>
          <w:i/>
          <w:sz w:val="24"/>
          <w:szCs w:val="24"/>
        </w:rPr>
        <w:t>…la pena ordinaria fue individualizada con fundamento en lo previsto en el artículo 31 del Código Penal qu</w:t>
      </w:r>
      <w:r>
        <w:rPr>
          <w:rFonts w:ascii="Bookman Old Style" w:hAnsi="Bookman Old Style" w:cs="Arial"/>
          <w:bCs/>
          <w:i/>
          <w:sz w:val="24"/>
          <w:szCs w:val="24"/>
        </w:rPr>
        <w:t>e para los casos de concurso de</w:t>
      </w:r>
      <w:r w:rsidRPr="000A498C">
        <w:rPr>
          <w:rFonts w:ascii="Bookman Old Style" w:hAnsi="Bookman Old Style" w:cs="Arial"/>
          <w:bCs/>
          <w:i/>
          <w:sz w:val="24"/>
          <w:szCs w:val="24"/>
        </w:rPr>
        <w:t xml:space="preserve"> conductas punibles, como sucede en este caso, quedaron sometidos a las más graves, según su natu</w:t>
      </w:r>
      <w:r>
        <w:rPr>
          <w:rFonts w:ascii="Bookman Old Style" w:hAnsi="Bookman Old Style" w:cs="Arial"/>
          <w:bCs/>
          <w:i/>
          <w:sz w:val="24"/>
          <w:szCs w:val="24"/>
        </w:rPr>
        <w:t>r</w:t>
      </w:r>
      <w:r w:rsidRPr="000A498C">
        <w:rPr>
          <w:rFonts w:ascii="Bookman Old Style" w:hAnsi="Bookman Old Style" w:cs="Arial"/>
          <w:bCs/>
          <w:i/>
          <w:sz w:val="24"/>
          <w:szCs w:val="24"/>
        </w:rPr>
        <w:t>aleza aumentada hasta en otro tanto.  De esta manera, el monto determinado alcanzó el máximo previsto por el inciso 2º de dicho artículo.  Por lo que la Sala la sustituirá por el máximo de la pena alternativa de ocho (8) años.</w:t>
      </w:r>
    </w:p>
    <w:p w:rsidR="00AD777C" w:rsidRPr="000A498C" w:rsidRDefault="00AD777C" w:rsidP="00AD777C">
      <w:pPr>
        <w:tabs>
          <w:tab w:val="left" w:pos="-720"/>
        </w:tabs>
        <w:suppressAutoHyphens/>
        <w:spacing w:line="360" w:lineRule="auto"/>
        <w:ind w:left="708" w:right="-7"/>
        <w:jc w:val="both"/>
        <w:rPr>
          <w:rFonts w:ascii="Bookman Old Style" w:hAnsi="Bookman Old Style" w:cs="Arial"/>
          <w:bCs/>
          <w:i/>
          <w:sz w:val="24"/>
          <w:szCs w:val="24"/>
        </w:rPr>
      </w:pPr>
    </w:p>
    <w:p w:rsidR="00AD777C" w:rsidRPr="000A498C" w:rsidRDefault="00AD777C" w:rsidP="00AD777C">
      <w:pPr>
        <w:tabs>
          <w:tab w:val="left" w:pos="-720"/>
        </w:tabs>
        <w:suppressAutoHyphens/>
        <w:spacing w:line="360" w:lineRule="auto"/>
        <w:ind w:left="708" w:right="-7"/>
        <w:jc w:val="both"/>
        <w:rPr>
          <w:rFonts w:ascii="Bookman Old Style" w:hAnsi="Bookman Old Style" w:cs="Arial"/>
          <w:bCs/>
          <w:i/>
          <w:sz w:val="24"/>
          <w:szCs w:val="24"/>
        </w:rPr>
      </w:pPr>
      <w:r w:rsidRPr="000A498C">
        <w:rPr>
          <w:rFonts w:ascii="Bookman Old Style" w:hAnsi="Bookman Old Style" w:cs="Arial"/>
          <w:bCs/>
          <w:i/>
          <w:sz w:val="24"/>
          <w:szCs w:val="24"/>
        </w:rPr>
        <w:t>Además porque los postulados JOSÉ BALDOMERO LINARES MORENO, JOSÉ DELFÍN VILLALOBOS JIMÉNEZ, RAFAEL SALGADO MERCHÁN Y MIGUEL ÁNGEL ACHURY, en su condición de comandantes de las Autodefensas Campesinas del Meta y Vichada (ACMV), impartieron órdenes directas a los hombres bajo su mando para cometer graves violaciones a los derechos humanos e infracciones al Derecho Internacional Humanitario.  A lo largo de este proceso quedó probado que el grupo comandado por JOSÉ BALDOMERO LINARES MORENO, cometió en múltiples ocasiones incursiones paramilitares, aterrorizando a la población civil, cometiendo delitos de homicidios en persona protegida, secuestros, desaparición forzadas (sic), tortura en persona protegida, desplazamiento forzado de la población civil, actos de terrorismo, destrucción y apropiación de bienes protegidos, exacciones o contribuciones arbitrarias, reclutamiento ilícito de menores, entre otros delitos, que ahora son objeto de sentencia, incluso en muchos de ellos los desmovilizados participaron en forma directa.</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En consecuencia, no le asiste razón al defensor cuando afirma que la ausencia de antecedentes penales de los postulados SALGADO MERCHÁN y VILLALOBOS JIMÉNEZ, impiden que se imponga el máximo de la pena alternativa.</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Tampoco se accederá a la postulación, según la cual, la pena alternativa debe imponerse atendiendo el sistema de cuartos previsto en la Ley 906 de 2004, puesto que, como quedó visto, tal forma de tasación no es aplicable al procedimiento especial de justicia y paz.</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r>
        <w:rPr>
          <w:rFonts w:ascii="Bookman Old Style" w:hAnsi="Bookman Old Style" w:cs="Arial"/>
          <w:bCs/>
          <w:sz w:val="28"/>
          <w:szCs w:val="28"/>
        </w:rPr>
        <w:tab/>
        <w:t>Ahora, si de favorabilidad se trata -como lo argumenta el defensor- ha de señalar la Sala que no existe punto de comparación a partir del cual se logre si quiera sugerir que las penas previstas en el Código Penal resultarían más benéficas para SALGADO MERCHÁN y VILLALOBOS JIMÉNEZ, razón por la cual, el abogado propugna por la escogencia de la reducida pena contemplada en la Ley 975 de 2005, pero la tasación conforme al artículo 61 del Código Penal.</w:t>
      </w:r>
    </w:p>
    <w:p w:rsidR="00AD777C" w:rsidRDefault="00AD777C" w:rsidP="00AD777C">
      <w:pPr>
        <w:tabs>
          <w:tab w:val="left" w:pos="-720"/>
        </w:tabs>
        <w:suppressAutoHyphens/>
        <w:spacing w:line="360" w:lineRule="auto"/>
        <w:ind w:right="-7"/>
        <w:jc w:val="both"/>
        <w:rPr>
          <w:rFonts w:ascii="Bookman Old Style" w:hAnsi="Bookman Old Style" w:cs="Arial"/>
          <w:bCs/>
          <w:sz w:val="28"/>
          <w:szCs w:val="28"/>
        </w:rPr>
      </w:pPr>
    </w:p>
    <w:p w:rsidR="00AD777C" w:rsidRPr="00261C13" w:rsidRDefault="00AD777C" w:rsidP="00AD777C">
      <w:pPr>
        <w:spacing w:line="360" w:lineRule="auto"/>
        <w:jc w:val="both"/>
        <w:rPr>
          <w:rFonts w:ascii="Bookman Old Style" w:hAnsi="Bookman Old Style"/>
          <w:sz w:val="28"/>
          <w:szCs w:val="28"/>
        </w:rPr>
      </w:pPr>
      <w:r>
        <w:rPr>
          <w:rFonts w:ascii="Bookman Old Style" w:hAnsi="Bookman Old Style" w:cs="Arial"/>
          <w:bCs/>
          <w:sz w:val="28"/>
          <w:szCs w:val="28"/>
        </w:rPr>
        <w:tab/>
        <w:t xml:space="preserve">De manera que </w:t>
      </w:r>
      <w:r w:rsidRPr="0031426B">
        <w:rPr>
          <w:rFonts w:ascii="Bookman Old Style" w:hAnsi="Bookman Old Style" w:cs="Arial"/>
          <w:bCs/>
          <w:sz w:val="28"/>
          <w:szCs w:val="28"/>
        </w:rPr>
        <w:t xml:space="preserve">se </w:t>
      </w:r>
      <w:r>
        <w:rPr>
          <w:rFonts w:ascii="Bookman Old Style" w:hAnsi="Bookman Old Style" w:cs="Arial"/>
          <w:bCs/>
          <w:sz w:val="28"/>
          <w:szCs w:val="28"/>
        </w:rPr>
        <w:t xml:space="preserve">aspira a </w:t>
      </w:r>
      <w:r w:rsidRPr="0031426B">
        <w:rPr>
          <w:rFonts w:ascii="Bookman Old Style" w:hAnsi="Bookman Old Style" w:cs="Arial"/>
          <w:bCs/>
          <w:sz w:val="28"/>
          <w:szCs w:val="28"/>
        </w:rPr>
        <w:t>la aplicación de una</w:t>
      </w:r>
      <w:r w:rsidRPr="0031426B">
        <w:rPr>
          <w:rFonts w:ascii="Bookman Old Style" w:hAnsi="Bookman Old Style"/>
          <w:sz w:val="28"/>
          <w:szCs w:val="28"/>
        </w:rPr>
        <w:t xml:space="preserve"> mixtura normativa, lo cual resulta abiertamente improcedente, en tanto sería suplantar ilegalmente al legislador y crear, sin autorización, una</w:t>
      </w:r>
      <w:r w:rsidRPr="0031426B">
        <w:rPr>
          <w:rFonts w:ascii="Bookman Old Style" w:hAnsi="Bookman Old Style"/>
          <w:i/>
          <w:sz w:val="28"/>
          <w:szCs w:val="28"/>
        </w:rPr>
        <w:t xml:space="preserve"> lex tertia</w:t>
      </w:r>
      <w:r>
        <w:rPr>
          <w:rFonts w:ascii="Bookman Old Style" w:hAnsi="Bookman Old Style"/>
          <w:i/>
          <w:sz w:val="28"/>
          <w:szCs w:val="28"/>
        </w:rPr>
        <w:t xml:space="preserve">, </w:t>
      </w:r>
      <w:r w:rsidRPr="00261C13">
        <w:rPr>
          <w:rFonts w:ascii="Bookman Old Style" w:hAnsi="Bookman Old Style"/>
          <w:sz w:val="28"/>
          <w:szCs w:val="28"/>
        </w:rPr>
        <w:t>desnaturalizando por completo la figura de la pena alternativa, propia del proceso de justicia y paz.</w:t>
      </w:r>
    </w:p>
    <w:p w:rsidR="00AD777C" w:rsidRPr="00261C13" w:rsidRDefault="00AD777C" w:rsidP="00AD777C">
      <w:pPr>
        <w:spacing w:line="360" w:lineRule="auto"/>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cs="Arial"/>
          <w:bCs/>
          <w:sz w:val="28"/>
          <w:szCs w:val="28"/>
        </w:rPr>
      </w:pPr>
      <w:r>
        <w:rPr>
          <w:rFonts w:ascii="Bookman Old Style" w:hAnsi="Bookman Old Style" w:cs="Arial"/>
          <w:bCs/>
          <w:sz w:val="28"/>
          <w:szCs w:val="28"/>
        </w:rPr>
        <w:t>Finalmente, tampoco se vulnera el principio de igualdad con la imposición del máximo de la pena alternativa prevista para el proceso transicional, frente a casos en los que, aduce el abogado, se impuso dentro de otros procesos menor sanción punitiva a los postulados ORLANDO VILLA ZAPATA y HEBERT VELOZA GARCÍA, puesto que el procedimiento de tasación de la pena alternativa requiere de la valoración inherente a cada caso, con miras a juzgar la gravedad de los delitos cometidos.</w:t>
      </w:r>
    </w:p>
    <w:p w:rsidR="00AD777C" w:rsidRDefault="00AD777C" w:rsidP="00AD777C">
      <w:pPr>
        <w:spacing w:line="360" w:lineRule="auto"/>
        <w:ind w:firstLine="708"/>
        <w:jc w:val="both"/>
        <w:rPr>
          <w:rFonts w:ascii="Bookman Old Style" w:hAnsi="Bookman Old Style" w:cs="Arial"/>
          <w:bCs/>
          <w:sz w:val="28"/>
          <w:szCs w:val="28"/>
        </w:rPr>
      </w:pPr>
    </w:p>
    <w:p w:rsidR="00AD777C" w:rsidRDefault="00AD777C" w:rsidP="00AD777C">
      <w:pPr>
        <w:spacing w:line="360" w:lineRule="auto"/>
        <w:ind w:firstLine="708"/>
        <w:jc w:val="both"/>
        <w:rPr>
          <w:rFonts w:ascii="Bookman Old Style" w:hAnsi="Bookman Old Style" w:cs="Arial"/>
          <w:bCs/>
          <w:sz w:val="28"/>
          <w:szCs w:val="28"/>
        </w:rPr>
      </w:pPr>
      <w:r>
        <w:rPr>
          <w:rFonts w:ascii="Bookman Old Style" w:hAnsi="Bookman Old Style" w:cs="Arial"/>
          <w:bCs/>
          <w:sz w:val="28"/>
          <w:szCs w:val="28"/>
        </w:rPr>
        <w:t>Bajo esas circunstancias, no es factible alegar violación a tal principio constitucional, sin que se conozca cuál fue el patrón de igualdad; si desde la perspectiva fáctica el principio se violó por tratamiento desigual entre iguales o igual entre disímiles, y si, las situaciones objeto de comparación, desde la Constitución, ameritan un trato diferente o deben ser presentadas en forma igual.</w:t>
      </w:r>
    </w:p>
    <w:p w:rsidR="00AD777C" w:rsidRDefault="00AD777C" w:rsidP="00AD777C">
      <w:pPr>
        <w:spacing w:line="360" w:lineRule="auto"/>
        <w:ind w:firstLine="708"/>
        <w:jc w:val="both"/>
        <w:rPr>
          <w:rFonts w:ascii="Bookman Old Style" w:hAnsi="Bookman Old Style" w:cs="Arial"/>
          <w:bCs/>
          <w:sz w:val="28"/>
          <w:szCs w:val="28"/>
        </w:rPr>
      </w:pPr>
    </w:p>
    <w:p w:rsidR="00AD777C" w:rsidRDefault="00AD777C" w:rsidP="00AD777C">
      <w:pPr>
        <w:spacing w:line="360" w:lineRule="auto"/>
        <w:ind w:firstLine="708"/>
        <w:jc w:val="both"/>
        <w:rPr>
          <w:rFonts w:ascii="Bookman Old Style" w:hAnsi="Bookman Old Style" w:cs="Arial"/>
          <w:bCs/>
          <w:sz w:val="28"/>
          <w:szCs w:val="28"/>
        </w:rPr>
      </w:pPr>
      <w:r>
        <w:rPr>
          <w:rFonts w:ascii="Bookman Old Style" w:hAnsi="Bookman Old Style" w:cs="Arial"/>
          <w:bCs/>
          <w:sz w:val="28"/>
          <w:szCs w:val="28"/>
        </w:rPr>
        <w:t>Pero aun aceptando que se trata de situaciones fácticas idénticas -que no lo son-, se hace necesario recordar que en los dos casos citados por el abogado recurrente, la primera instancia acudió a criterios extraños a los señalados por el artículo 29 de la Ley 975 de 2005, razón por la cual, esta Corporación revocó las decisiones imponiendo el máximo del término dispuesto para la pena alternativa</w:t>
      </w:r>
      <w:r>
        <w:rPr>
          <w:rStyle w:val="Refdenotaalpie"/>
          <w:rFonts w:ascii="Bookman Old Style" w:hAnsi="Bookman Old Style" w:cs="Arial"/>
          <w:bCs/>
          <w:sz w:val="28"/>
          <w:szCs w:val="28"/>
        </w:rPr>
        <w:footnoteReference w:id="92"/>
      </w:r>
      <w:r>
        <w:rPr>
          <w:rFonts w:ascii="Bookman Old Style" w:hAnsi="Bookman Old Style" w:cs="Arial"/>
          <w:bCs/>
          <w:sz w:val="28"/>
          <w:szCs w:val="28"/>
        </w:rPr>
        <w:t>.</w:t>
      </w:r>
    </w:p>
    <w:p w:rsidR="00AD777C" w:rsidRDefault="00AD777C" w:rsidP="00AD777C">
      <w:pPr>
        <w:spacing w:line="360" w:lineRule="auto"/>
        <w:ind w:firstLine="708"/>
        <w:jc w:val="both"/>
        <w:rPr>
          <w:rFonts w:ascii="Bookman Old Style" w:hAnsi="Bookman Old Style" w:cs="Arial"/>
          <w:bCs/>
          <w:sz w:val="28"/>
          <w:szCs w:val="28"/>
        </w:rPr>
      </w:pPr>
    </w:p>
    <w:p w:rsidR="00AD777C" w:rsidRDefault="00AD777C" w:rsidP="00AD777C">
      <w:pPr>
        <w:spacing w:line="360" w:lineRule="auto"/>
        <w:ind w:firstLine="708"/>
        <w:jc w:val="both"/>
        <w:rPr>
          <w:rFonts w:ascii="Bookman Old Style" w:hAnsi="Bookman Old Style" w:cs="Arial"/>
          <w:bCs/>
          <w:sz w:val="28"/>
          <w:szCs w:val="28"/>
        </w:rPr>
      </w:pPr>
      <w:r>
        <w:rPr>
          <w:rFonts w:ascii="Bookman Old Style" w:hAnsi="Bookman Old Style" w:cs="Arial"/>
          <w:bCs/>
          <w:sz w:val="28"/>
          <w:szCs w:val="28"/>
        </w:rPr>
        <w:t>Conforme con lo expuesto, se confirmará la pena alternativa de ocho (8) años impuesta a los postulados JOSÉ DELFÍN VILLALOBOS JIMÉNEZ y RAFAEL SALGADO MERCHÁN.</w:t>
      </w:r>
    </w:p>
    <w:p w:rsidR="00AD777C" w:rsidRDefault="00AD777C" w:rsidP="00AD777C">
      <w:pPr>
        <w:spacing w:line="360" w:lineRule="auto"/>
        <w:ind w:firstLine="708"/>
        <w:jc w:val="both"/>
        <w:rPr>
          <w:rFonts w:ascii="Bookman Old Style" w:hAnsi="Bookman Old Style" w:cs="Arial"/>
          <w:bCs/>
          <w:sz w:val="28"/>
          <w:szCs w:val="28"/>
        </w:rPr>
      </w:pPr>
    </w:p>
    <w:p w:rsidR="00AD777C" w:rsidRPr="001446CE" w:rsidRDefault="00AD777C" w:rsidP="00AD777C">
      <w:pPr>
        <w:spacing w:line="360" w:lineRule="auto"/>
        <w:ind w:right="-187" w:firstLine="708"/>
        <w:jc w:val="both"/>
        <w:rPr>
          <w:rFonts w:ascii="Bookman Old Style" w:hAnsi="Bookman Old Style" w:cs="Sakkal Majalla"/>
          <w:b/>
          <w:i/>
          <w:sz w:val="28"/>
          <w:szCs w:val="28"/>
        </w:rPr>
      </w:pPr>
      <w:r>
        <w:rPr>
          <w:rFonts w:ascii="Bookman Old Style" w:hAnsi="Bookman Old Style" w:cs="Sakkal Majalla"/>
          <w:b/>
          <w:sz w:val="28"/>
          <w:szCs w:val="28"/>
        </w:rPr>
        <w:t>5.</w:t>
      </w:r>
      <w:r w:rsidRPr="00FD2524">
        <w:rPr>
          <w:rFonts w:ascii="Bookman Old Style" w:hAnsi="Bookman Old Style" w:cs="Sakkal Majalla"/>
          <w:b/>
          <w:sz w:val="28"/>
          <w:szCs w:val="28"/>
        </w:rPr>
        <w:t>2.</w:t>
      </w:r>
      <w:r>
        <w:rPr>
          <w:rFonts w:ascii="Bookman Old Style" w:hAnsi="Bookman Old Style" w:cs="Sakkal Majalla"/>
          <w:sz w:val="28"/>
          <w:szCs w:val="28"/>
        </w:rPr>
        <w:t xml:space="preserve"> </w:t>
      </w:r>
      <w:r w:rsidRPr="001446CE">
        <w:rPr>
          <w:rFonts w:ascii="Bookman Old Style" w:hAnsi="Bookman Old Style" w:cs="Sakkal Majalla"/>
          <w:b/>
          <w:sz w:val="28"/>
          <w:szCs w:val="28"/>
        </w:rPr>
        <w:t xml:space="preserve">La negativa de extinción </w:t>
      </w:r>
      <w:r>
        <w:rPr>
          <w:rFonts w:ascii="Bookman Old Style" w:hAnsi="Bookman Old Style" w:cs="Sakkal Majalla"/>
          <w:b/>
          <w:sz w:val="28"/>
          <w:szCs w:val="28"/>
        </w:rPr>
        <w:t>d</w:t>
      </w:r>
      <w:r w:rsidRPr="001446CE">
        <w:rPr>
          <w:rFonts w:ascii="Bookman Old Style" w:hAnsi="Bookman Old Style" w:cs="Sakkal Majalla"/>
          <w:b/>
          <w:sz w:val="28"/>
          <w:szCs w:val="28"/>
        </w:rPr>
        <w:t xml:space="preserve">el derecho de dominio </w:t>
      </w:r>
      <w:r>
        <w:rPr>
          <w:rFonts w:ascii="Bookman Old Style" w:hAnsi="Bookman Old Style" w:cs="Sakkal Majalla"/>
          <w:b/>
          <w:sz w:val="28"/>
          <w:szCs w:val="28"/>
        </w:rPr>
        <w:t xml:space="preserve">sobre el bien inmueble </w:t>
      </w:r>
      <w:r w:rsidRPr="001446CE">
        <w:rPr>
          <w:rFonts w:ascii="Bookman Old Style" w:hAnsi="Bookman Old Style" w:cs="Sakkal Majalla"/>
          <w:b/>
          <w:sz w:val="28"/>
          <w:szCs w:val="28"/>
        </w:rPr>
        <w:t xml:space="preserve">finca </w:t>
      </w:r>
      <w:r>
        <w:rPr>
          <w:rFonts w:ascii="Bookman Old Style" w:hAnsi="Bookman Old Style" w:cs="Sakkal Majalla"/>
          <w:b/>
          <w:sz w:val="28"/>
          <w:szCs w:val="28"/>
        </w:rPr>
        <w:t>‘</w:t>
      </w:r>
      <w:r w:rsidRPr="001446CE">
        <w:rPr>
          <w:rFonts w:ascii="Bookman Old Style" w:hAnsi="Bookman Old Style" w:cs="Sakkal Majalla"/>
          <w:b/>
          <w:i/>
          <w:sz w:val="28"/>
          <w:szCs w:val="28"/>
        </w:rPr>
        <w:t>La Porfía</w:t>
      </w:r>
      <w:r>
        <w:rPr>
          <w:rFonts w:ascii="Bookman Old Style" w:hAnsi="Bookman Old Style" w:cs="Sakkal Majalla"/>
          <w:b/>
          <w:i/>
          <w:sz w:val="28"/>
          <w:szCs w:val="28"/>
        </w:rPr>
        <w:t>’</w:t>
      </w:r>
    </w:p>
    <w:p w:rsidR="00AD777C" w:rsidRPr="001446CE" w:rsidRDefault="00AD777C" w:rsidP="00AD777C">
      <w:pPr>
        <w:spacing w:line="360" w:lineRule="auto"/>
        <w:ind w:right="-187"/>
        <w:jc w:val="both"/>
        <w:rPr>
          <w:rFonts w:ascii="Bookman Old Style" w:hAnsi="Bookman Old Style" w:cs="Sakkal Majalla"/>
          <w:b/>
          <w:i/>
          <w:sz w:val="28"/>
          <w:szCs w:val="28"/>
        </w:rPr>
      </w:pPr>
    </w:p>
    <w:p w:rsidR="00AD777C"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La segunda inconformidad con la decisión, recae en la negativa del Tribunal de primera instancia a declarar la extinción del dominio del inmueble denominado finca </w:t>
      </w:r>
      <w:r w:rsidRPr="00492482">
        <w:rPr>
          <w:rFonts w:ascii="Bookman Old Style" w:hAnsi="Bookman Old Style" w:cs="Sakkal Majalla"/>
          <w:sz w:val="28"/>
          <w:szCs w:val="28"/>
        </w:rPr>
        <w:t xml:space="preserve">‘La Porfía’ </w:t>
      </w:r>
      <w:r>
        <w:rPr>
          <w:rFonts w:ascii="Bookman Old Style" w:hAnsi="Bookman Old Style" w:cs="Sakkal Majalla"/>
          <w:sz w:val="28"/>
          <w:szCs w:val="28"/>
        </w:rPr>
        <w:t>ubicada en el municipio de Santa Rosalía (Vichada).</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Considera que la negligencia del Estado no puede perjudicar a sus postulados y tampoco a las víctimas, por cuanto el bien que fuera adquirido por BALDOMERO LINARES, fue ofrecido por él, y la Fiscalía solicitó la imposición de medidas cautelares decretadas por el Magistrado con Función de Control de Garantías de la Sala de Justicia y Paz del Tribunal de Bogotá el 20 de enero de 2009, decisión en la cual se dispuso el embargo y secuestro del bien, medida que se consolidó el 10 de marzo de 2010, fecha en que fue entregado a Acción Social.</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De cara a abordar este punto, es necesario hacer la sinopsis procesal de la situación del bien dentro de este proceso:</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El 15 de diciembre de 2008, la Fiscalía solicitó audiencia preliminar con el fin de requerir el embargo y secuestro del bien inmueble ‘La Porfía’,</w:t>
      </w:r>
      <w:r>
        <w:rPr>
          <w:rStyle w:val="Refdenotaalpie"/>
          <w:rFonts w:ascii="Bookman Old Style" w:hAnsi="Bookman Old Style" w:cs="Sakkal Majalla"/>
          <w:sz w:val="28"/>
          <w:szCs w:val="28"/>
        </w:rPr>
        <w:footnoteReference w:id="93"/>
      </w:r>
      <w:r>
        <w:rPr>
          <w:rFonts w:ascii="Bookman Old Style" w:hAnsi="Bookman Old Style" w:cs="Sakkal Majalla"/>
          <w:sz w:val="28"/>
          <w:szCs w:val="28"/>
        </w:rPr>
        <w:t xml:space="preserve"> ofrecido por JOSÉ BALDOMERO LINARES MORENO para la reparación de las víctimas.</w:t>
      </w:r>
    </w:p>
    <w:p w:rsidR="00AD777C" w:rsidRDefault="00AD777C" w:rsidP="00AD777C">
      <w:pPr>
        <w:spacing w:line="360" w:lineRule="auto"/>
        <w:ind w:right="-187"/>
        <w:jc w:val="both"/>
        <w:rPr>
          <w:rFonts w:ascii="Bookman Old Style" w:hAnsi="Bookman Old Style" w:cs="Sakkal Majalla"/>
          <w:sz w:val="28"/>
          <w:szCs w:val="28"/>
        </w:rPr>
      </w:pPr>
    </w:p>
    <w:p w:rsidR="00AD777C" w:rsidRDefault="00AD777C" w:rsidP="00AD777C">
      <w:pPr>
        <w:spacing w:line="360" w:lineRule="auto"/>
        <w:ind w:right="-187"/>
        <w:jc w:val="both"/>
        <w:rPr>
          <w:rFonts w:ascii="Bookman Old Style" w:hAnsi="Bookman Old Style" w:cs="Sakkal Majalla"/>
          <w:sz w:val="28"/>
          <w:szCs w:val="28"/>
        </w:rPr>
      </w:pPr>
      <w:r>
        <w:rPr>
          <w:rFonts w:ascii="Bookman Old Style" w:hAnsi="Bookman Old Style" w:cs="Sakkal Majalla"/>
          <w:sz w:val="28"/>
          <w:szCs w:val="28"/>
        </w:rPr>
        <w:tab/>
        <w:t>El 20 de enero de 2009 el Magistrado de Garantías impuso medidas cautelares</w:t>
      </w:r>
      <w:r>
        <w:rPr>
          <w:rStyle w:val="Refdenotaalpie"/>
          <w:rFonts w:ascii="Bookman Old Style" w:hAnsi="Bookman Old Style" w:cs="Sakkal Majalla"/>
          <w:sz w:val="28"/>
          <w:szCs w:val="28"/>
        </w:rPr>
        <w:footnoteReference w:id="94"/>
      </w:r>
      <w:r>
        <w:rPr>
          <w:rFonts w:ascii="Bookman Old Style" w:hAnsi="Bookman Old Style" w:cs="Sakkal Majalla"/>
          <w:sz w:val="28"/>
          <w:szCs w:val="28"/>
        </w:rPr>
        <w:t xml:space="preserve"> sobre el bien, después de escuchar la exposición del Fiscal delegado, quien dio cuenta de tratarse de un inmueble saneado civil y tributariamente, cuya propiedad aparece a nombre del postulado LINARES MORENO conforme a los elementos materiales probatorios aducidos.</w:t>
      </w:r>
      <w:r>
        <w:rPr>
          <w:rStyle w:val="Refdenotaalpie"/>
          <w:rFonts w:ascii="Bookman Old Style" w:hAnsi="Bookman Old Style" w:cs="Sakkal Majalla"/>
          <w:sz w:val="28"/>
          <w:szCs w:val="28"/>
        </w:rPr>
        <w:footnoteReference w:id="95"/>
      </w:r>
    </w:p>
    <w:p w:rsidR="00AD777C" w:rsidRDefault="00AD777C" w:rsidP="00AD777C">
      <w:pPr>
        <w:spacing w:line="360" w:lineRule="auto"/>
        <w:ind w:right="-187"/>
        <w:jc w:val="both"/>
        <w:rPr>
          <w:rFonts w:ascii="Bookman Old Style" w:hAnsi="Bookman Old Style" w:cs="Sakkal Majalla"/>
          <w:sz w:val="28"/>
          <w:szCs w:val="28"/>
        </w:rPr>
      </w:pPr>
    </w:p>
    <w:p w:rsidR="00AD777C" w:rsidRPr="00BD67AD" w:rsidRDefault="00AD777C" w:rsidP="00AD777C">
      <w:pPr>
        <w:spacing w:line="360" w:lineRule="auto"/>
        <w:ind w:right="-187" w:firstLine="708"/>
        <w:jc w:val="both"/>
        <w:rPr>
          <w:rFonts w:ascii="Bookman Old Style" w:hAnsi="Bookman Old Style" w:cs="Sakkal Majalla"/>
          <w:sz w:val="28"/>
          <w:szCs w:val="28"/>
        </w:rPr>
      </w:pPr>
      <w:r>
        <w:rPr>
          <w:rFonts w:ascii="Bookman Old Style" w:hAnsi="Bookman Old Style" w:cs="Sakkal Majalla"/>
          <w:sz w:val="28"/>
          <w:szCs w:val="28"/>
        </w:rPr>
        <w:t xml:space="preserve">De lo anterior se colige que las medidas cautelares se impusieron atendiendo la legislación vigente para el momento (enero de 2009) en que se adoptó la decisión, es decir, Ley 975 de 2005 y Decretos 4760 de 2005 y 3391 de </w:t>
      </w:r>
      <w:r w:rsidRPr="00BD67AD">
        <w:rPr>
          <w:rFonts w:ascii="Bookman Old Style" w:hAnsi="Bookman Old Style" w:cs="Sakkal Majalla"/>
          <w:sz w:val="28"/>
          <w:szCs w:val="28"/>
        </w:rPr>
        <w:t>2006.</w:t>
      </w:r>
    </w:p>
    <w:p w:rsidR="00AD777C" w:rsidRPr="00BD67AD" w:rsidRDefault="00AD777C" w:rsidP="00AD777C">
      <w:pPr>
        <w:spacing w:line="360" w:lineRule="auto"/>
        <w:ind w:right="-187" w:firstLine="708"/>
        <w:jc w:val="both"/>
        <w:rPr>
          <w:rFonts w:ascii="Bookman Old Style" w:hAnsi="Bookman Old Style" w:cs="Sakkal Majalla"/>
          <w:sz w:val="28"/>
          <w:szCs w:val="28"/>
        </w:rPr>
      </w:pPr>
    </w:p>
    <w:p w:rsidR="00AD777C" w:rsidRDefault="00AD777C" w:rsidP="00AD777C">
      <w:pPr>
        <w:spacing w:line="360" w:lineRule="auto"/>
        <w:ind w:right="-187" w:firstLine="708"/>
        <w:jc w:val="both"/>
        <w:rPr>
          <w:rFonts w:ascii="Bookman Old Style" w:hAnsi="Bookman Old Style"/>
          <w:sz w:val="28"/>
          <w:szCs w:val="28"/>
        </w:rPr>
      </w:pPr>
      <w:r w:rsidRPr="00BD67AD">
        <w:rPr>
          <w:rFonts w:ascii="Bookman Old Style" w:hAnsi="Bookman Old Style"/>
          <w:sz w:val="28"/>
          <w:szCs w:val="28"/>
        </w:rPr>
        <w:t>No obstante, en la búsqueda de diferentes procesos y mecanismos judiciales o extrajudiciales para lograr el fin último de la reconciliación nacional y la pa</w:t>
      </w:r>
      <w:r>
        <w:rPr>
          <w:rFonts w:ascii="Bookman Old Style" w:hAnsi="Bookman Old Style"/>
          <w:sz w:val="28"/>
          <w:szCs w:val="28"/>
        </w:rPr>
        <w:t>z duradera y sostenible y como parte de la política de justicia transicional, se exp</w:t>
      </w:r>
      <w:r w:rsidRPr="00BD67AD">
        <w:rPr>
          <w:rFonts w:ascii="Bookman Old Style" w:hAnsi="Bookman Old Style"/>
          <w:sz w:val="28"/>
          <w:szCs w:val="28"/>
        </w:rPr>
        <w:t>idió la Ley</w:t>
      </w:r>
      <w:r>
        <w:rPr>
          <w:rFonts w:ascii="Bookman Old Style" w:hAnsi="Bookman Old Style"/>
          <w:sz w:val="28"/>
          <w:szCs w:val="28"/>
        </w:rPr>
        <w:t xml:space="preserve"> 1448 de 2011</w:t>
      </w:r>
      <w:r w:rsidRPr="00BD67AD">
        <w:rPr>
          <w:rStyle w:val="Refdenotaalpie"/>
          <w:rFonts w:ascii="Bookman Old Style" w:hAnsi="Bookman Old Style"/>
          <w:sz w:val="28"/>
          <w:szCs w:val="28"/>
        </w:rPr>
        <w:footnoteReference w:id="96"/>
      </w:r>
      <w:r>
        <w:rPr>
          <w:rFonts w:ascii="Bookman Old Style" w:hAnsi="Bookman Old Style"/>
          <w:sz w:val="28"/>
          <w:szCs w:val="28"/>
        </w:rPr>
        <w:t xml:space="preserve"> a partir de la cual se creó un procedimiento judicial para la restitución de tierras a las víctimas del despojo y </w:t>
      </w:r>
      <w:r w:rsidRPr="00BD67AD">
        <w:rPr>
          <w:rFonts w:ascii="Bookman Old Style" w:hAnsi="Bookman Old Style"/>
          <w:sz w:val="28"/>
          <w:szCs w:val="28"/>
        </w:rPr>
        <w:t>las que hubieren abandonado sus predios forzadamente</w:t>
      </w:r>
      <w:r>
        <w:rPr>
          <w:rFonts w:ascii="Bookman Old Style" w:hAnsi="Bookman Old Style"/>
          <w:sz w:val="28"/>
          <w:szCs w:val="28"/>
        </w:rPr>
        <w:t>.</w:t>
      </w:r>
    </w:p>
    <w:p w:rsidR="00AD777C" w:rsidRDefault="00AD777C" w:rsidP="00AD777C">
      <w:pPr>
        <w:spacing w:line="360" w:lineRule="auto"/>
        <w:ind w:right="-187"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Más adelante la Ley 1592 de 2012 introdujo profundas modificaciones al proceso establecido por la Ley 975 de 2005, entre ellas, el concepto de “vocación reparadora de los bienes” entregados, ofrecidos o denunciados por los postulados para reparar de manera efectiva a las víctimas.  Así, el artículo 17A señala los bienes que podrán ser objeto de medidas cautelares para efectos de la extinción del derecho de dominio y el artículo 17B indica el procedimiento para la imposición de éstas, así como el trámite a seguir frente a solicitudes de restitución.</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Para el caso que ocupa a la Sala, recuérdese que el inmueble rural ‘La Porfía’ se encuentra afectado en este proceso con medidas cautelares desde el año 2009 y con miras a que se declare la extinción del dominio en la sentencia de primera instancia, como lo dispone el artículo  24 de la Ley 975 de 2005.</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Cuatro años después</w:t>
      </w:r>
      <w:r>
        <w:rPr>
          <w:rStyle w:val="Refdenotaalpie"/>
          <w:rFonts w:ascii="Bookman Old Style" w:hAnsi="Bookman Old Style"/>
          <w:sz w:val="28"/>
          <w:szCs w:val="28"/>
        </w:rPr>
        <w:footnoteReference w:id="97"/>
      </w:r>
      <w:r>
        <w:rPr>
          <w:rFonts w:ascii="Bookman Old Style" w:hAnsi="Bookman Old Style"/>
          <w:sz w:val="28"/>
          <w:szCs w:val="28"/>
        </w:rPr>
        <w:t xml:space="preserve">de la imposición de tales medidas limitativas de derechos reales, </w:t>
      </w:r>
      <w:r w:rsidRPr="00E205CE">
        <w:rPr>
          <w:rFonts w:ascii="Bookman Old Style" w:hAnsi="Bookman Old Style"/>
          <w:i/>
          <w:sz w:val="28"/>
          <w:szCs w:val="28"/>
        </w:rPr>
        <w:t>ad portas</w:t>
      </w:r>
      <w:r>
        <w:rPr>
          <w:rFonts w:ascii="Bookman Old Style" w:hAnsi="Bookman Old Style"/>
          <w:sz w:val="28"/>
          <w:szCs w:val="28"/>
        </w:rPr>
        <w:t xml:space="preserve"> de la emisión de la sentencia, la Unidad Para la Atención y Reparación Integral a las Víctimas presentó informe sobre el estado de los bienes ofrecidos por los postulados, conociéndose que:</w:t>
      </w:r>
    </w:p>
    <w:p w:rsidR="00AD777C" w:rsidRDefault="00AD777C" w:rsidP="00AD777C">
      <w:pPr>
        <w:spacing w:line="360" w:lineRule="auto"/>
        <w:ind w:firstLine="708"/>
        <w:jc w:val="both"/>
        <w:rPr>
          <w:rFonts w:ascii="Bookman Old Style" w:hAnsi="Bookman Old Style"/>
          <w:sz w:val="28"/>
          <w:szCs w:val="28"/>
        </w:rPr>
      </w:pPr>
    </w:p>
    <w:p w:rsidR="00AD777C" w:rsidRPr="00A73D9F" w:rsidRDefault="00AD777C" w:rsidP="00AD777C">
      <w:pPr>
        <w:spacing w:line="360" w:lineRule="auto"/>
        <w:ind w:left="708"/>
        <w:jc w:val="both"/>
        <w:rPr>
          <w:rFonts w:ascii="Bookman Old Style" w:hAnsi="Bookman Old Style"/>
          <w:i/>
          <w:sz w:val="24"/>
          <w:szCs w:val="24"/>
        </w:rPr>
      </w:pPr>
      <w:r w:rsidRPr="00A73D9F">
        <w:rPr>
          <w:rFonts w:ascii="Bookman Old Style" w:hAnsi="Bookman Old Style"/>
          <w:i/>
          <w:sz w:val="24"/>
          <w:szCs w:val="24"/>
        </w:rPr>
        <w:t>(Del 12 al 19/08/2013) De conformidad con la directriz impartida por la Coordinación del Fondo de Reparación para las Víctimas y de acuerdo con l</w:t>
      </w:r>
      <w:r>
        <w:rPr>
          <w:rFonts w:ascii="Bookman Old Style" w:hAnsi="Bookman Old Style"/>
          <w:i/>
          <w:sz w:val="24"/>
          <w:szCs w:val="24"/>
        </w:rPr>
        <w:t>a</w:t>
      </w:r>
      <w:r w:rsidRPr="00A73D9F">
        <w:rPr>
          <w:rFonts w:ascii="Bookman Old Style" w:hAnsi="Bookman Old Style"/>
          <w:i/>
          <w:sz w:val="24"/>
          <w:szCs w:val="24"/>
        </w:rPr>
        <w:t>s inquietudes planteadas por la Magistratura en audiencia de Imputación e Imposici</w:t>
      </w:r>
      <w:r>
        <w:rPr>
          <w:rFonts w:ascii="Bookman Old Style" w:hAnsi="Bookman Old Style"/>
          <w:i/>
          <w:sz w:val="24"/>
          <w:szCs w:val="24"/>
        </w:rPr>
        <w:t>ó</w:t>
      </w:r>
      <w:r w:rsidRPr="00A73D9F">
        <w:rPr>
          <w:rFonts w:ascii="Bookman Old Style" w:hAnsi="Bookman Old Style"/>
          <w:i/>
          <w:sz w:val="24"/>
          <w:szCs w:val="24"/>
        </w:rPr>
        <w:t>n de Medida de Aseguramiento celebrada el 9 de julio de 2013, se programó diligencia de inspección por parte del equipo del Fondo, a fin de establecer el estado actual del inmueble.</w:t>
      </w:r>
    </w:p>
    <w:p w:rsidR="00AD777C" w:rsidRPr="00A73D9F" w:rsidRDefault="00AD777C" w:rsidP="00AD777C">
      <w:pPr>
        <w:spacing w:line="360" w:lineRule="auto"/>
        <w:ind w:firstLine="708"/>
        <w:jc w:val="both"/>
        <w:rPr>
          <w:rFonts w:ascii="Bookman Old Style" w:hAnsi="Bookman Old Style"/>
          <w:i/>
          <w:sz w:val="24"/>
          <w:szCs w:val="24"/>
        </w:rPr>
      </w:pPr>
    </w:p>
    <w:p w:rsidR="00AD777C" w:rsidRPr="00A73D9F" w:rsidRDefault="00AD777C" w:rsidP="00AD777C">
      <w:pPr>
        <w:spacing w:line="360" w:lineRule="auto"/>
        <w:ind w:left="708"/>
        <w:jc w:val="both"/>
        <w:rPr>
          <w:rFonts w:ascii="Bookman Old Style" w:hAnsi="Bookman Old Style"/>
          <w:i/>
          <w:sz w:val="24"/>
          <w:szCs w:val="24"/>
        </w:rPr>
      </w:pPr>
      <w:r w:rsidRPr="00A73D9F">
        <w:rPr>
          <w:rFonts w:ascii="Bookman Old Style" w:hAnsi="Bookman Old Style"/>
          <w:i/>
          <w:sz w:val="24"/>
          <w:szCs w:val="24"/>
        </w:rPr>
        <w:t xml:space="preserve">Durante la inspección, se determinó que el predio está ocupado de manera irregular por parte de Sandra Maritza Ruiz </w:t>
      </w:r>
      <w:r w:rsidRPr="00A95FC3">
        <w:rPr>
          <w:rFonts w:ascii="Bookman Old Style" w:hAnsi="Bookman Old Style"/>
          <w:sz w:val="28"/>
          <w:szCs w:val="28"/>
        </w:rPr>
        <w:t>(sic)</w:t>
      </w:r>
      <w:r w:rsidRPr="00A73D9F">
        <w:rPr>
          <w:rFonts w:ascii="Bookman Old Style" w:hAnsi="Bookman Old Style"/>
          <w:i/>
          <w:sz w:val="24"/>
          <w:szCs w:val="24"/>
        </w:rPr>
        <w:t xml:space="preserve"> y David Ruiz </w:t>
      </w:r>
      <w:r w:rsidRPr="00A95FC3">
        <w:rPr>
          <w:rFonts w:ascii="Bookman Old Style" w:hAnsi="Bookman Old Style"/>
          <w:sz w:val="28"/>
          <w:szCs w:val="28"/>
        </w:rPr>
        <w:t xml:space="preserve">(sic), </w:t>
      </w:r>
      <w:r w:rsidRPr="00A73D9F">
        <w:rPr>
          <w:rFonts w:ascii="Bookman Old Style" w:hAnsi="Bookman Old Style"/>
          <w:i/>
          <w:sz w:val="24"/>
          <w:szCs w:val="24"/>
        </w:rPr>
        <w:t>quienes manifiestan haber realizado la compra del predio al señor Waldo Domínguez Gómez, quien con una solicitud de restitución calendada el quince de julio de 2013 y bajo el número consecutivo 07512401507131501, pretende hacerse dueño del predio.  El predio ha sido explotado y mejorado por los ocupantes, realizando modificaciones en la casa, como construcción de cocina, baños y dormitorios.</w:t>
      </w:r>
    </w:p>
    <w:p w:rsidR="00AD777C" w:rsidRPr="00A73D9F" w:rsidRDefault="00AD777C" w:rsidP="00AD777C">
      <w:pPr>
        <w:spacing w:line="360" w:lineRule="auto"/>
        <w:ind w:left="708"/>
        <w:jc w:val="both"/>
        <w:rPr>
          <w:rFonts w:ascii="Bookman Old Style" w:hAnsi="Bookman Old Style"/>
          <w:i/>
          <w:sz w:val="24"/>
          <w:szCs w:val="24"/>
        </w:rPr>
      </w:pPr>
      <w:r w:rsidRPr="00A73D9F">
        <w:rPr>
          <w:rFonts w:ascii="Bookman Old Style" w:hAnsi="Bookman Old Style"/>
          <w:i/>
          <w:sz w:val="24"/>
          <w:szCs w:val="24"/>
        </w:rPr>
        <w:t>(…)</w:t>
      </w:r>
    </w:p>
    <w:p w:rsidR="00AD777C" w:rsidRPr="00A73D9F" w:rsidRDefault="00AD777C" w:rsidP="00AD777C">
      <w:pPr>
        <w:spacing w:line="360" w:lineRule="auto"/>
        <w:ind w:left="708"/>
        <w:jc w:val="both"/>
        <w:rPr>
          <w:rFonts w:ascii="Bookman Old Style" w:hAnsi="Bookman Old Style"/>
          <w:i/>
          <w:sz w:val="24"/>
          <w:szCs w:val="24"/>
        </w:rPr>
      </w:pPr>
      <w:r w:rsidRPr="00A73D9F">
        <w:rPr>
          <w:rFonts w:ascii="Bookman Old Style" w:hAnsi="Bookman Old Style"/>
          <w:i/>
          <w:sz w:val="24"/>
          <w:szCs w:val="24"/>
        </w:rPr>
        <w:t>A la fecha, el predio no cuenta con un esquema de administración desarrollado por el Fondo para la Reparación a las Víctimas como consecuencia de la invasión.  Es de advertir que sobre el inmueble recae una solicitud de restitución del 15 de julio de 2013, presentada por el señor Waldo Dom</w:t>
      </w:r>
      <w:r>
        <w:rPr>
          <w:rFonts w:ascii="Bookman Old Style" w:hAnsi="Bookman Old Style"/>
          <w:i/>
          <w:sz w:val="24"/>
          <w:szCs w:val="24"/>
        </w:rPr>
        <w:t>í</w:t>
      </w:r>
      <w:r w:rsidRPr="00A73D9F">
        <w:rPr>
          <w:rFonts w:ascii="Bookman Old Style" w:hAnsi="Bookman Old Style"/>
          <w:i/>
          <w:sz w:val="24"/>
          <w:szCs w:val="24"/>
        </w:rPr>
        <w:t>nguez Gómez en calidad de hijo del señor Cirilo Dom</w:t>
      </w:r>
      <w:r>
        <w:rPr>
          <w:rFonts w:ascii="Bookman Old Style" w:hAnsi="Bookman Old Style"/>
          <w:i/>
          <w:sz w:val="24"/>
          <w:szCs w:val="24"/>
        </w:rPr>
        <w:t>í</w:t>
      </w:r>
      <w:r w:rsidRPr="00A73D9F">
        <w:rPr>
          <w:rFonts w:ascii="Bookman Old Style" w:hAnsi="Bookman Old Style"/>
          <w:i/>
          <w:sz w:val="24"/>
          <w:szCs w:val="24"/>
        </w:rPr>
        <w:t>nguez Gómez, fueron forzados a vender el bien a integrantes del grupo armado.  No obstante</w:t>
      </w:r>
      <w:r>
        <w:rPr>
          <w:rFonts w:ascii="Bookman Old Style" w:hAnsi="Bookman Old Style"/>
          <w:i/>
          <w:sz w:val="24"/>
          <w:szCs w:val="24"/>
        </w:rPr>
        <w:t xml:space="preserve"> no es clara la forma como los </w:t>
      </w:r>
      <w:r w:rsidRPr="00A73D9F">
        <w:rPr>
          <w:rFonts w:ascii="Bookman Old Style" w:hAnsi="Bookman Old Style"/>
          <w:i/>
          <w:sz w:val="24"/>
          <w:szCs w:val="24"/>
        </w:rPr>
        <w:t>a</w:t>
      </w:r>
      <w:r>
        <w:rPr>
          <w:rFonts w:ascii="Bookman Old Style" w:hAnsi="Bookman Old Style"/>
          <w:i/>
          <w:sz w:val="24"/>
          <w:szCs w:val="24"/>
        </w:rPr>
        <w:t>c</w:t>
      </w:r>
      <w:r w:rsidRPr="00A73D9F">
        <w:rPr>
          <w:rFonts w:ascii="Bookman Old Style" w:hAnsi="Bookman Old Style"/>
          <w:i/>
          <w:sz w:val="24"/>
          <w:szCs w:val="24"/>
        </w:rPr>
        <w:t>tuales ocupantes accedieron al predio, por lo cual se iniciarán las acciones policivas y judiciales a las que haya lugar, pues por una parte se pued</w:t>
      </w:r>
      <w:r>
        <w:rPr>
          <w:rFonts w:ascii="Bookman Old Style" w:hAnsi="Bookman Old Style"/>
          <w:i/>
          <w:sz w:val="24"/>
          <w:szCs w:val="24"/>
        </w:rPr>
        <w:t>e estar configurando una estafa</w:t>
      </w:r>
      <w:r w:rsidRPr="00A73D9F">
        <w:rPr>
          <w:rFonts w:ascii="Bookman Old Style" w:hAnsi="Bookman Old Style"/>
          <w:i/>
          <w:sz w:val="24"/>
          <w:szCs w:val="24"/>
        </w:rPr>
        <w:t xml:space="preserve"> y paralelamente existe un detrimento patrimonial del Fondo, dado que este bien ha venido siendo explotado desde hace más de un año sin que a la fecha se reporte algún ingreso para el Fondo de Reparación a las Víctimas.</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De tal forma que con posterioridad a la imposición de las medidas cautelares dentro de este proceso de justicia y paz, se elevó solicitud de restitución por parte del señor Waldo Domínguez Gómez, quien afirma ser hijo del anterior propietario del inmueble, quien a su vez fue obligado por el grupo armado ilegal de las Autodefensas del Meta y el Vichada a vender el predio, acorde con su dicho.</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La anterior situación impide que se pueda declarar la extinción del derecho de dominio sobre la Finca ‘La Porfía’, aunque sea un inmueble ofrecido por el postulado BALDOMERO LINARES para la reparación de las víctimas de las ACMV; la propiedad inscrita se encuentre a su nombre; fuera entregado debidamente saneado y se impusieran oportunamente las medidas cautelares, por cuanto el artículo 17B de la Ley 1592 de 2012, así lo dispone en el parágrafo 2º:</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left="708"/>
        <w:jc w:val="both"/>
        <w:rPr>
          <w:rFonts w:ascii="Bookman Old Style" w:hAnsi="Bookman Old Style"/>
          <w:i/>
          <w:sz w:val="24"/>
          <w:szCs w:val="24"/>
        </w:rPr>
      </w:pPr>
      <w:r w:rsidRPr="00944FE0">
        <w:rPr>
          <w:rFonts w:ascii="Bookman Old Style" w:hAnsi="Bookman Old Style"/>
          <w:i/>
          <w:sz w:val="24"/>
          <w:szCs w:val="24"/>
        </w:rPr>
        <w:t>Cuando la medida cautelar se decrete sobre bienes respecto de los cuales con posterioridad se eleve solicitud de restitución, tal</w:t>
      </w:r>
      <w:r>
        <w:rPr>
          <w:rFonts w:ascii="Bookman Old Style" w:hAnsi="Bookman Old Style"/>
          <w:i/>
          <w:sz w:val="24"/>
          <w:szCs w:val="24"/>
        </w:rPr>
        <w:t>es bienes y la solicitud de res</w:t>
      </w:r>
      <w:r w:rsidRPr="00944FE0">
        <w:rPr>
          <w:rFonts w:ascii="Bookman Old Style" w:hAnsi="Bookman Old Style"/>
          <w:i/>
          <w:sz w:val="24"/>
          <w:szCs w:val="24"/>
        </w:rPr>
        <w:t>t</w:t>
      </w:r>
      <w:r>
        <w:rPr>
          <w:rFonts w:ascii="Bookman Old Style" w:hAnsi="Bookman Old Style"/>
          <w:i/>
          <w:sz w:val="24"/>
          <w:szCs w:val="24"/>
        </w:rPr>
        <w:t>i</w:t>
      </w:r>
      <w:r w:rsidRPr="00944FE0">
        <w:rPr>
          <w:rFonts w:ascii="Bookman Old Style" w:hAnsi="Bookman Old Style"/>
          <w:i/>
          <w:sz w:val="24"/>
          <w:szCs w:val="24"/>
        </w:rPr>
        <w:t xml:space="preserve">tución serán transferidos al Fondo de la Unidad Administrativa Especial de Gestión de </w:t>
      </w:r>
      <w:r>
        <w:rPr>
          <w:rFonts w:ascii="Bookman Old Style" w:hAnsi="Bookman Old Style"/>
          <w:i/>
          <w:sz w:val="24"/>
          <w:szCs w:val="24"/>
        </w:rPr>
        <w:t>Restitución d</w:t>
      </w:r>
      <w:r w:rsidRPr="00944FE0">
        <w:rPr>
          <w:rFonts w:ascii="Bookman Old Style" w:hAnsi="Bookman Old Style"/>
          <w:i/>
          <w:sz w:val="24"/>
          <w:szCs w:val="24"/>
        </w:rPr>
        <w:t>e Tierras Despojadas, para efectos de su trámite a través de los procedimientos establecidos en la Ley 1448 d</w:t>
      </w:r>
      <w:r>
        <w:rPr>
          <w:rFonts w:ascii="Bookman Old Style" w:hAnsi="Bookman Old Style"/>
          <w:i/>
          <w:sz w:val="24"/>
          <w:szCs w:val="24"/>
        </w:rPr>
        <w:t>e 2011 y su normatividad comple</w:t>
      </w:r>
      <w:r w:rsidRPr="00944FE0">
        <w:rPr>
          <w:rFonts w:ascii="Bookman Old Style" w:hAnsi="Bookman Old Style"/>
          <w:i/>
          <w:sz w:val="24"/>
          <w:szCs w:val="24"/>
        </w:rPr>
        <w:t>mentaria, sin que se requiera el le</w:t>
      </w:r>
      <w:r>
        <w:rPr>
          <w:rFonts w:ascii="Bookman Old Style" w:hAnsi="Bookman Old Style"/>
          <w:i/>
          <w:sz w:val="24"/>
          <w:szCs w:val="24"/>
        </w:rPr>
        <w:t>v</w:t>
      </w:r>
      <w:r w:rsidRPr="00944FE0">
        <w:rPr>
          <w:rFonts w:ascii="Bookman Old Style" w:hAnsi="Bookman Old Style"/>
          <w:i/>
          <w:sz w:val="24"/>
          <w:szCs w:val="24"/>
        </w:rPr>
        <w:t>antamiento de la medida cautelar por parte de la magistratura.</w:t>
      </w:r>
    </w:p>
    <w:p w:rsidR="00AD777C" w:rsidRDefault="00AD777C" w:rsidP="00AD777C">
      <w:pPr>
        <w:spacing w:line="360" w:lineRule="auto"/>
        <w:ind w:left="708"/>
        <w:jc w:val="both"/>
        <w:rPr>
          <w:rFonts w:ascii="Bookman Old Style" w:hAnsi="Bookman Old Style"/>
          <w:i/>
          <w:sz w:val="24"/>
          <w:szCs w:val="24"/>
        </w:rPr>
      </w:pPr>
    </w:p>
    <w:p w:rsidR="00AD777C" w:rsidRDefault="00AD777C" w:rsidP="00AD777C">
      <w:pPr>
        <w:spacing w:line="360" w:lineRule="auto"/>
        <w:jc w:val="both"/>
        <w:rPr>
          <w:rFonts w:ascii="Bookman Old Style" w:hAnsi="Bookman Old Style"/>
          <w:sz w:val="28"/>
          <w:szCs w:val="28"/>
        </w:rPr>
      </w:pPr>
      <w:r>
        <w:rPr>
          <w:rFonts w:ascii="Bookman Old Style" w:hAnsi="Bookman Old Style"/>
          <w:i/>
          <w:sz w:val="24"/>
          <w:szCs w:val="24"/>
        </w:rPr>
        <w:tab/>
      </w:r>
      <w:r>
        <w:rPr>
          <w:rFonts w:ascii="Bookman Old Style" w:hAnsi="Bookman Old Style"/>
          <w:sz w:val="28"/>
          <w:szCs w:val="28"/>
        </w:rPr>
        <w:t>Ahora bien, aunque las medidas cautelares se adoptaron con anterioridad a la entrada en vigencia de las Leyes 1448 de 2011 y 1592 de 2012, no hubo dentro de este proceso de justicia y paz solicitud alguna de restitución de tierras o incidente de oposición de terceros a la medida cautelar, luego, al presentarse la reclamación, ya en vigencia de la mencionada normatividad, el procedimiento ha de ajustarse a las competencias y trámites allí establecidos, tal y como en oportunidad anterior lo señalara esta Sala (CSJ. AP.</w:t>
      </w:r>
      <w:r w:rsidRPr="00FF4EA8">
        <w:rPr>
          <w:rFonts w:ascii="Bookman Old Style" w:hAnsi="Bookman Old Style"/>
          <w:sz w:val="28"/>
          <w:szCs w:val="28"/>
        </w:rPr>
        <w:t xml:space="preserve"> 5061-2014</w:t>
      </w:r>
      <w:r>
        <w:rPr>
          <w:rFonts w:ascii="Bookman Old Style" w:hAnsi="Bookman Old Style"/>
          <w:sz w:val="28"/>
          <w:szCs w:val="28"/>
        </w:rPr>
        <w:t xml:space="preserve"> 28 de ago. 2014. Radicado 44218):</w:t>
      </w:r>
    </w:p>
    <w:p w:rsidR="00AD777C" w:rsidRDefault="00AD777C" w:rsidP="00AD777C">
      <w:pPr>
        <w:spacing w:line="360" w:lineRule="auto"/>
        <w:ind w:firstLine="708"/>
        <w:jc w:val="both"/>
        <w:rPr>
          <w:rFonts w:ascii="Bookman Old Style" w:hAnsi="Bookman Old Style"/>
          <w:sz w:val="28"/>
          <w:szCs w:val="28"/>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En ese orden, la regla general establecida en la Ley 975 de 2005, modificada por la Ley 1592 de 2012, prevé que las solicitudes de restitución de bienes despojados o abandonados a causa de la violencia generada por los grupos armados organizados al margen de la ley deben tramitarse en el marco de la Ley 1448 de 2011, por ser la jurisdicción especializada para resolver ese tipo de asuntos.</w:t>
      </w:r>
    </w:p>
    <w:p w:rsidR="00AD777C" w:rsidRPr="007F3543" w:rsidRDefault="00AD777C" w:rsidP="00AD777C">
      <w:pPr>
        <w:spacing w:line="360" w:lineRule="auto"/>
        <w:ind w:firstLine="708"/>
        <w:rPr>
          <w:rFonts w:ascii="Bookman Old Style" w:hAnsi="Bookman Old Style" w:cs="Arial"/>
          <w:i/>
          <w:sz w:val="24"/>
          <w:szCs w:val="24"/>
          <w:lang w:val="es-MX"/>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 xml:space="preserve">La única excepción a ese mandato la constituye el régimen de transición consagrado en el artículo 38 de la Ley 1592 de 2012 acorde con el cual, cuando al entrar a regir esa normativa se encontraba en curso un incidente de restitución de bienes, el mismo debe continuar su trámite en la jurisdicción de Justicia y Paz, siempre y cuando exista medida cautelar sobre el bien. </w:t>
      </w:r>
    </w:p>
    <w:p w:rsidR="00AD777C" w:rsidRPr="007F3543" w:rsidRDefault="00AD777C" w:rsidP="00AD777C">
      <w:pPr>
        <w:spacing w:line="360" w:lineRule="auto"/>
        <w:ind w:firstLine="708"/>
        <w:rPr>
          <w:rFonts w:ascii="Bookman Old Style" w:hAnsi="Bookman Old Style" w:cs="Arial"/>
          <w:i/>
          <w:sz w:val="24"/>
          <w:szCs w:val="24"/>
          <w:lang w:val="es-MX"/>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“Artículo 38.</w:t>
      </w:r>
      <w:r w:rsidRPr="007F3543">
        <w:rPr>
          <w:rFonts w:ascii="Bookman Old Style" w:hAnsi="Bookman Old Style" w:cs="Arial"/>
          <w:b/>
          <w:i/>
          <w:sz w:val="24"/>
          <w:szCs w:val="24"/>
          <w:lang w:val="es-MX"/>
        </w:rPr>
        <w:t xml:space="preserve"> Trámite excepcional de restitución de tierras en el marco de la Ley 975 de 2005</w:t>
      </w:r>
      <w:r w:rsidRPr="007F3543">
        <w:rPr>
          <w:rFonts w:ascii="Bookman Old Style" w:hAnsi="Bookman Old Style" w:cs="Arial"/>
          <w:i/>
          <w:sz w:val="24"/>
          <w:szCs w:val="24"/>
          <w:lang w:val="es-MX"/>
        </w:rPr>
        <w:t xml:space="preserve">. Si a la entrada en vigencia de la presente ley, existiere medida cautelar sobre un bien con ocasión de una solicitud u ofrecimiento de restitución en el marco del procedimiento de la Ley 975 de 2005, la autoridad judicial competente continuará el trámite en el marco de dicho procedimiento. En los demás casos, se observará lo dispuesto en la Ley 1448 de 2011”.     </w:t>
      </w:r>
    </w:p>
    <w:p w:rsidR="00AD777C" w:rsidRPr="007F3543" w:rsidRDefault="00AD777C" w:rsidP="00AD777C">
      <w:pPr>
        <w:spacing w:line="360" w:lineRule="auto"/>
        <w:ind w:firstLine="708"/>
        <w:rPr>
          <w:rFonts w:ascii="Bookman Old Style" w:hAnsi="Bookman Old Style" w:cs="Arial"/>
          <w:i/>
          <w:sz w:val="24"/>
          <w:szCs w:val="24"/>
          <w:lang w:val="es-MX"/>
        </w:rPr>
      </w:pPr>
    </w:p>
    <w:p w:rsidR="00AD777C" w:rsidRPr="00354EA5" w:rsidRDefault="00AD777C" w:rsidP="00AD777C">
      <w:pPr>
        <w:spacing w:line="360" w:lineRule="auto"/>
        <w:ind w:left="708"/>
        <w:jc w:val="both"/>
        <w:rPr>
          <w:rFonts w:ascii="Bookman Old Style" w:hAnsi="Bookman Old Style" w:cs="Arial"/>
          <w:b/>
          <w:i/>
          <w:sz w:val="24"/>
          <w:szCs w:val="24"/>
          <w:lang w:val="es-MX"/>
        </w:rPr>
      </w:pPr>
      <w:r w:rsidRPr="00354EA5">
        <w:rPr>
          <w:rFonts w:ascii="Bookman Old Style" w:hAnsi="Bookman Old Style" w:cs="Arial"/>
          <w:b/>
          <w:i/>
          <w:sz w:val="24"/>
          <w:szCs w:val="24"/>
          <w:lang w:val="es-MX"/>
        </w:rPr>
        <w:t>En ese orden, sólo los incidentes para la restitución de tierras que se encontraban en curso al 3 de diciembre de 2012 pueden continuarse tramitando dentro del marco de la Ley de Justicia y Paz, si existía medida cautelar sobre el objeto del mismo.</w:t>
      </w:r>
    </w:p>
    <w:p w:rsidR="00AD777C" w:rsidRPr="007F3543" w:rsidRDefault="00AD777C" w:rsidP="00AD777C">
      <w:pPr>
        <w:spacing w:line="360" w:lineRule="auto"/>
        <w:ind w:firstLine="708"/>
        <w:rPr>
          <w:rFonts w:ascii="Bookman Old Style" w:hAnsi="Bookman Old Style" w:cs="Arial"/>
          <w:i/>
          <w:sz w:val="24"/>
          <w:szCs w:val="24"/>
          <w:lang w:val="es-MX"/>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 xml:space="preserve">En sentido opuesto, si al entrar a regir la Ley 1592 de 2012 se adelantaba algún trámite de restitución en donde no se hubiesen gravado con cautelas los bienes involucrados, el Magistrado de Control de Garantías no puede continuar con la actuación y debe remitirla al Fondo de la Unidad Administrativa Especial de Gestión de Restitución de Tierras Despojadas, en tanto no se satisface el presupuesto que habilita la competencia de la jurisdicción de Justicia y Paz para mantener el conocimiento del asunto. </w:t>
      </w:r>
    </w:p>
    <w:p w:rsidR="00AD777C" w:rsidRPr="007F3543" w:rsidRDefault="00AD777C" w:rsidP="00AD777C">
      <w:pPr>
        <w:spacing w:line="360" w:lineRule="auto"/>
        <w:ind w:firstLine="708"/>
        <w:rPr>
          <w:rFonts w:ascii="Bookman Old Style" w:hAnsi="Bookman Old Style" w:cs="Arial"/>
          <w:i/>
          <w:sz w:val="24"/>
          <w:szCs w:val="24"/>
          <w:lang w:val="es-MX"/>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 xml:space="preserve">Con mayor razón resulta improcedente atender peticiones de restitución incoadas con posterioridad a la entrada en vigencia de la Ley 1592 de 2012, como ocurre en este caso, eventualidad que de ninguna manera puede resolverse dentro del proceso de Justicia y Paz sino en la jurisdicción de Restitución de Tierras, creada por el legislador para resolver este tipo de controversias. </w:t>
      </w:r>
    </w:p>
    <w:p w:rsidR="00AD777C" w:rsidRPr="007F3543" w:rsidRDefault="00AD777C" w:rsidP="00AD777C">
      <w:pPr>
        <w:spacing w:line="360" w:lineRule="auto"/>
        <w:ind w:firstLine="708"/>
        <w:rPr>
          <w:rFonts w:ascii="Bookman Old Style" w:hAnsi="Bookman Old Style" w:cs="Arial"/>
          <w:i/>
          <w:sz w:val="24"/>
          <w:szCs w:val="24"/>
          <w:lang w:val="es-MX"/>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 xml:space="preserve">En efecto, uno de los objetivos primordiales de ese ordenamiento jurídico consiste en garantizar la restitución de las tierras despojadas o abandonadas como lo establece el artículo 73-1 de la Ley 1448 de 2011: “La </w:t>
      </w:r>
      <w:r w:rsidRPr="007F3543">
        <w:rPr>
          <w:rFonts w:ascii="Bookman Old Style" w:hAnsi="Bookman Old Style" w:cs="Arial"/>
          <w:b/>
          <w:i/>
          <w:sz w:val="24"/>
          <w:szCs w:val="24"/>
          <w:lang w:val="es-MX"/>
        </w:rPr>
        <w:t>forzosamente a causa del conflicto armado, como forma de reparación preferente, tal</w:t>
      </w:r>
      <w:r w:rsidRPr="007F3543">
        <w:rPr>
          <w:rFonts w:ascii="Bookman Old Style" w:hAnsi="Bookman Old Style" w:cs="Arial"/>
          <w:i/>
          <w:sz w:val="24"/>
          <w:szCs w:val="24"/>
          <w:lang w:val="es-MX"/>
        </w:rPr>
        <w:t xml:space="preserve"> restitución de tierras, acompañada de acciones de apoyo pos-restitución, constituye la medida preferente de reparación integral para las víctimas”.  </w:t>
      </w:r>
    </w:p>
    <w:p w:rsidR="00AD777C" w:rsidRPr="007F3543" w:rsidRDefault="00AD777C" w:rsidP="00AD777C">
      <w:pPr>
        <w:spacing w:line="360" w:lineRule="auto"/>
        <w:ind w:firstLine="708"/>
        <w:jc w:val="both"/>
        <w:rPr>
          <w:rFonts w:ascii="Bookman Old Style" w:hAnsi="Bookman Old Style" w:cs="Arial"/>
          <w:i/>
          <w:sz w:val="24"/>
          <w:szCs w:val="24"/>
          <w:lang w:val="es-MX"/>
        </w:rPr>
      </w:pPr>
    </w:p>
    <w:p w:rsidR="00AD777C" w:rsidRPr="007F3543" w:rsidRDefault="00AD777C" w:rsidP="00AD777C">
      <w:pPr>
        <w:spacing w:line="360" w:lineRule="auto"/>
        <w:ind w:left="708"/>
        <w:jc w:val="both"/>
        <w:rPr>
          <w:rFonts w:ascii="Bookman Old Style" w:hAnsi="Bookman Old Style" w:cs="Arial"/>
          <w:i/>
          <w:sz w:val="24"/>
          <w:szCs w:val="24"/>
          <w:lang w:val="es-MX"/>
        </w:rPr>
      </w:pPr>
      <w:r w:rsidRPr="007F3543">
        <w:rPr>
          <w:rFonts w:ascii="Bookman Old Style" w:hAnsi="Bookman Old Style" w:cs="Arial"/>
          <w:i/>
          <w:sz w:val="24"/>
          <w:szCs w:val="24"/>
          <w:lang w:val="es-MX"/>
        </w:rPr>
        <w:t xml:space="preserve">A fin de materializar ese objetivo, dicha normativa estableció la </w:t>
      </w:r>
      <w:r w:rsidRPr="007F3543">
        <w:rPr>
          <w:rFonts w:ascii="Bookman Old Style" w:hAnsi="Bookman Old Style" w:cs="Arial"/>
          <w:b/>
          <w:i/>
          <w:sz w:val="24"/>
          <w:szCs w:val="24"/>
          <w:lang w:val="es-MX"/>
        </w:rPr>
        <w:t>acción de restitución</w:t>
      </w:r>
      <w:r w:rsidRPr="007F3543">
        <w:rPr>
          <w:rFonts w:ascii="Bookman Old Style" w:hAnsi="Bookman Old Style" w:cs="Arial"/>
          <w:i/>
          <w:sz w:val="24"/>
          <w:szCs w:val="24"/>
          <w:lang w:val="es-MX"/>
        </w:rPr>
        <w:t xml:space="preserve"> como mecanismo tendiente a lograr la devolución jurídica y material de las tierras a los despojados y desplazados, previendo, además, que de no ser posible la entrega, se reconocerá la compensación correspondiente.</w:t>
      </w:r>
    </w:p>
    <w:p w:rsidR="00AD777C" w:rsidRPr="00B57035" w:rsidRDefault="00AD777C" w:rsidP="00AD777C">
      <w:pPr>
        <w:spacing w:line="360" w:lineRule="auto"/>
        <w:ind w:firstLine="708"/>
        <w:rPr>
          <w:rFonts w:ascii="Bookman Old Style" w:hAnsi="Bookman Old Style" w:cs="Arial"/>
          <w:szCs w:val="28"/>
          <w:lang w:val="es-MX"/>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sz w:val="28"/>
          <w:szCs w:val="28"/>
        </w:rPr>
        <w:t>De otro lado, ha de aclararse</w:t>
      </w:r>
      <w:r w:rsidRPr="00944FE0">
        <w:rPr>
          <w:rFonts w:ascii="Bookman Old Style" w:hAnsi="Bookman Old Style"/>
          <w:sz w:val="28"/>
          <w:szCs w:val="28"/>
        </w:rPr>
        <w:t xml:space="preserve"> que </w:t>
      </w:r>
      <w:r>
        <w:rPr>
          <w:rFonts w:ascii="Bookman Old Style" w:hAnsi="Bookman Old Style"/>
          <w:sz w:val="28"/>
          <w:szCs w:val="28"/>
        </w:rPr>
        <w:t>la negativa a declarar la extinción del derecho de dominio no tiene que ver con la negligencia del Estado en la administración de la Finca ‘La Porfía’, como lo hace ver el abogado defensor, incuria que por supuesto no pasa inadvertida y por la que Tribunal dispuso la compulsa de copias para las correspondientes investigaciones, pero que no fue sustento de la decisión, pues la ocupación del bien por terceras personas no impediría adoptar pronunciamiento de fondo sobre el inmueble.</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jc w:val="both"/>
        <w:rPr>
          <w:rFonts w:ascii="Bookman Old Style" w:hAnsi="Bookman Old Style"/>
          <w:sz w:val="28"/>
          <w:szCs w:val="28"/>
        </w:rPr>
      </w:pPr>
      <w:r>
        <w:rPr>
          <w:rFonts w:ascii="Bookman Old Style" w:hAnsi="Bookman Old Style"/>
          <w:sz w:val="28"/>
          <w:szCs w:val="28"/>
        </w:rPr>
        <w:tab/>
        <w:t>Adicionalmente, esas terceras personas que ocupan y explotan comercialmente la finca no presentaron la solicitud de restitución, y por lo tanto, no es posible aducir que son terceros de mala fe al desconocer las medidas cautelares registradas en el certificado de libertad y tradición.</w:t>
      </w:r>
    </w:p>
    <w:p w:rsidR="00AD777C" w:rsidRDefault="00AD777C" w:rsidP="00AD777C">
      <w:pPr>
        <w:spacing w:line="360" w:lineRule="auto"/>
        <w:jc w:val="both"/>
        <w:rPr>
          <w:rFonts w:ascii="Bookman Old Style" w:hAnsi="Bookman Old Style"/>
          <w:sz w:val="28"/>
          <w:szCs w:val="28"/>
        </w:rPr>
      </w:pPr>
    </w:p>
    <w:p w:rsidR="00AD777C" w:rsidRDefault="00AD777C" w:rsidP="00AD777C">
      <w:pPr>
        <w:spacing w:line="360" w:lineRule="auto"/>
        <w:jc w:val="both"/>
        <w:rPr>
          <w:rFonts w:ascii="Bookman Old Style" w:hAnsi="Bookman Old Style" w:cs="Arial"/>
          <w:sz w:val="28"/>
          <w:szCs w:val="28"/>
          <w:lang w:val="es-MX"/>
        </w:rPr>
      </w:pPr>
      <w:r>
        <w:rPr>
          <w:rFonts w:ascii="Bookman Old Style" w:hAnsi="Bookman Old Style"/>
          <w:sz w:val="28"/>
          <w:szCs w:val="28"/>
        </w:rPr>
        <w:tab/>
        <w:t xml:space="preserve">Tampoco se constituye en requisito de procedibilidad para iniciar la acción de restitución, el haber presentado en el proceso de justicia y paz, el incidente de oposición a la medida cautelar; luego, quien se siente titular del derecho puede acudir directamente al trámite administrativo </w:t>
      </w:r>
      <w:r w:rsidRPr="006B5B0A">
        <w:rPr>
          <w:rFonts w:ascii="Bookman Old Style" w:hAnsi="Bookman Old Style" w:cs="Arial"/>
          <w:sz w:val="28"/>
          <w:szCs w:val="28"/>
          <w:lang w:val="es-MX"/>
        </w:rPr>
        <w:t>ante la Unidad Especial de Restitución de Tierras Despojada</w:t>
      </w:r>
      <w:r>
        <w:rPr>
          <w:rFonts w:ascii="Bookman Old Style" w:hAnsi="Bookman Old Style" w:cs="Arial"/>
          <w:sz w:val="28"/>
          <w:szCs w:val="28"/>
          <w:lang w:val="es-MX"/>
        </w:rPr>
        <w:t>s, como lo dispone el artículo 76 de la Ley 1448 de 2011.  En todo caso, si lo hace dentro del proceso de justicia transicional, la petición será remitida a los jueces competentes.</w:t>
      </w:r>
      <w:r>
        <w:rPr>
          <w:rStyle w:val="Refdenotaalpie"/>
          <w:rFonts w:ascii="Bookman Old Style" w:hAnsi="Bookman Old Style" w:cs="Arial"/>
          <w:sz w:val="28"/>
          <w:szCs w:val="28"/>
          <w:lang w:val="es-MX"/>
        </w:rPr>
        <w:footnoteReference w:id="98"/>
      </w:r>
      <w:r>
        <w:rPr>
          <w:rFonts w:ascii="Bookman Old Style" w:hAnsi="Bookman Old Style" w:cs="Arial"/>
          <w:sz w:val="28"/>
          <w:szCs w:val="28"/>
          <w:lang w:val="es-MX"/>
        </w:rPr>
        <w:t xml:space="preserve"> </w:t>
      </w:r>
    </w:p>
    <w:p w:rsidR="00AD777C" w:rsidRDefault="00AD777C" w:rsidP="00AD777C">
      <w:pPr>
        <w:spacing w:line="360" w:lineRule="auto"/>
        <w:jc w:val="both"/>
        <w:rPr>
          <w:rFonts w:ascii="Bookman Old Style" w:hAnsi="Bookman Old Style" w:cs="Arial"/>
          <w:sz w:val="28"/>
          <w:szCs w:val="28"/>
          <w:lang w:val="es-MX"/>
        </w:rPr>
      </w:pPr>
    </w:p>
    <w:p w:rsidR="00AD777C" w:rsidRDefault="00AD777C" w:rsidP="00AD777C">
      <w:pPr>
        <w:spacing w:line="360" w:lineRule="auto"/>
        <w:jc w:val="both"/>
        <w:rPr>
          <w:rFonts w:ascii="Bookman Old Style" w:hAnsi="Bookman Old Style" w:cs="Arial"/>
          <w:sz w:val="28"/>
          <w:szCs w:val="28"/>
          <w:lang w:val="es-MX"/>
        </w:rPr>
      </w:pPr>
      <w:r>
        <w:rPr>
          <w:rFonts w:ascii="Bookman Old Style" w:hAnsi="Bookman Old Style" w:cs="Arial"/>
          <w:sz w:val="28"/>
          <w:szCs w:val="28"/>
          <w:lang w:val="es-MX"/>
        </w:rPr>
        <w:tab/>
        <w:t>De lo anterior surge evidente que la discusión que se plantea acerca de si el predio fue adquirido mediante compra que realizara BALDOMERO LINARES a un precio justo, o si los actuales poseedores son de buena o mala fe o si el señor Waldo Domingo Gómez cuenta con pruebas siquiera sumarias de la propiedad, posesión, ocupación o de su condición de desplazado, o los motivos por los cuales no se presentó antes a impetrar sus derechos, son tópicos ajenos a este proceso de justicia y paz.</w:t>
      </w:r>
    </w:p>
    <w:p w:rsidR="00AD777C" w:rsidRDefault="00AD777C" w:rsidP="00AD777C">
      <w:pPr>
        <w:spacing w:line="360" w:lineRule="auto"/>
        <w:jc w:val="both"/>
        <w:rPr>
          <w:rFonts w:ascii="Bookman Old Style" w:hAnsi="Bookman Old Style" w:cs="Arial"/>
          <w:sz w:val="28"/>
          <w:szCs w:val="28"/>
          <w:lang w:val="es-MX"/>
        </w:rPr>
      </w:pPr>
    </w:p>
    <w:p w:rsidR="00AD777C" w:rsidRDefault="00AD777C" w:rsidP="00AD777C">
      <w:pPr>
        <w:spacing w:line="360" w:lineRule="auto"/>
        <w:jc w:val="both"/>
        <w:rPr>
          <w:rFonts w:ascii="Bookman Old Style" w:hAnsi="Bookman Old Style" w:cs="Arial"/>
          <w:sz w:val="28"/>
          <w:szCs w:val="28"/>
          <w:lang w:val="es-MX"/>
        </w:rPr>
      </w:pPr>
      <w:r>
        <w:rPr>
          <w:rFonts w:ascii="Bookman Old Style" w:hAnsi="Bookman Old Style" w:cs="Arial"/>
          <w:sz w:val="28"/>
          <w:szCs w:val="28"/>
          <w:lang w:val="es-MX"/>
        </w:rPr>
        <w:tab/>
        <w:t>Las anteriores razones permiten compartir la decisión de la Sala de Conocimiento de Justicia y Paz, en cuanto negó la extinción del derecho de dominio sobre el bien inmueble denominado ‘La Porfía’; sin embargo, se informará al Fondo de la Unidad Administrativa Especial de Gestión de Restitución de Tierras Despojadas, que en caso de no prosperar la solicitud elevada por el ciudadano Waldo Domingo Gómez, se comunique la decisión de manera inmediata a la Sala de Conocimiento de Justicia y Paz, dejando el bien a disposición de los procesos que continúan en curso en contra de JOSÉ BALDOMERO LINARES y otros integrantes de las ACMV.</w:t>
      </w:r>
    </w:p>
    <w:p w:rsidR="00AD777C" w:rsidRDefault="00AD777C" w:rsidP="00AD777C">
      <w:pPr>
        <w:spacing w:line="360" w:lineRule="auto"/>
        <w:jc w:val="both"/>
        <w:rPr>
          <w:rFonts w:ascii="Bookman Old Style" w:hAnsi="Bookman Old Style" w:cs="Arial"/>
          <w:sz w:val="28"/>
          <w:szCs w:val="28"/>
          <w:lang w:val="es-MX"/>
        </w:rPr>
      </w:pPr>
    </w:p>
    <w:p w:rsidR="00AD777C" w:rsidRDefault="00AD777C" w:rsidP="00AD777C">
      <w:pPr>
        <w:spacing w:line="360" w:lineRule="auto"/>
        <w:ind w:right="23" w:firstLine="708"/>
        <w:jc w:val="both"/>
        <w:rPr>
          <w:rFonts w:ascii="Bookman Old Style" w:hAnsi="Bookman Old Style" w:cs="Arial"/>
          <w:b/>
          <w:sz w:val="28"/>
          <w:szCs w:val="32"/>
          <w:lang w:val="es-MX"/>
        </w:rPr>
      </w:pPr>
      <w:r>
        <w:rPr>
          <w:rFonts w:ascii="Bookman Old Style" w:hAnsi="Bookman Old Style" w:cs="Arial"/>
          <w:b/>
          <w:sz w:val="28"/>
          <w:szCs w:val="32"/>
          <w:lang w:val="es-MX"/>
        </w:rPr>
        <w:t>6. CONSIDERACIONES FINALES</w:t>
      </w:r>
    </w:p>
    <w:p w:rsidR="00AD777C" w:rsidRDefault="00AD777C" w:rsidP="00AD777C">
      <w:pPr>
        <w:spacing w:line="360" w:lineRule="auto"/>
        <w:ind w:right="23" w:firstLine="708"/>
        <w:jc w:val="both"/>
        <w:rPr>
          <w:rFonts w:ascii="Bookman Old Style" w:hAnsi="Bookman Old Style" w:cs="Arial"/>
          <w:sz w:val="28"/>
          <w:szCs w:val="32"/>
          <w:lang w:val="es-MX"/>
        </w:rPr>
      </w:pPr>
    </w:p>
    <w:p w:rsidR="00AD777C" w:rsidRDefault="00AD777C" w:rsidP="00AD777C">
      <w:pPr>
        <w:spacing w:line="360" w:lineRule="auto"/>
        <w:ind w:right="23" w:firstLine="708"/>
        <w:jc w:val="both"/>
        <w:rPr>
          <w:rFonts w:ascii="Bookman Old Style" w:hAnsi="Bookman Old Style" w:cs="Arial"/>
          <w:sz w:val="28"/>
          <w:szCs w:val="32"/>
          <w:lang w:val="es-MX"/>
        </w:rPr>
      </w:pPr>
      <w:r>
        <w:rPr>
          <w:rFonts w:ascii="Bookman Old Style" w:hAnsi="Bookman Old Style" w:cs="Arial"/>
          <w:sz w:val="28"/>
          <w:szCs w:val="32"/>
          <w:lang w:val="es-MX"/>
        </w:rPr>
        <w:t xml:space="preserve">No entrará la Sala a estudiar los planteamientos del abogado Juan Carlos Córdoba Correa, tendientes a que la Corte “adicione” la sentencia de primera instancia para explicar el procedimiento a seguir por las víctimas que no aportaron las pruebas necesarias para su reconocimiento, para lo cual adjunta documentos relacionados con el </w:t>
      </w:r>
      <w:r w:rsidRPr="00960896">
        <w:rPr>
          <w:rFonts w:ascii="Bookman Old Style" w:hAnsi="Bookman Old Style" w:cs="Arial"/>
          <w:b/>
          <w:sz w:val="28"/>
          <w:szCs w:val="32"/>
          <w:lang w:val="es-MX"/>
        </w:rPr>
        <w:t xml:space="preserve">hecho </w:t>
      </w:r>
      <w:r>
        <w:rPr>
          <w:rFonts w:ascii="Bookman Old Style" w:hAnsi="Bookman Old Style" w:cs="Arial"/>
          <w:b/>
          <w:sz w:val="28"/>
          <w:szCs w:val="32"/>
          <w:lang w:val="es-MX"/>
        </w:rPr>
        <w:t xml:space="preserve">No. </w:t>
      </w:r>
      <w:r w:rsidRPr="00960896">
        <w:rPr>
          <w:rFonts w:ascii="Bookman Old Style" w:hAnsi="Bookman Old Style" w:cs="Arial"/>
          <w:b/>
          <w:sz w:val="28"/>
          <w:szCs w:val="32"/>
          <w:lang w:val="es-MX"/>
        </w:rPr>
        <w:t>118.</w:t>
      </w:r>
      <w:r>
        <w:rPr>
          <w:rFonts w:ascii="Bookman Old Style" w:hAnsi="Bookman Old Style" w:cs="Arial"/>
          <w:sz w:val="28"/>
          <w:szCs w:val="32"/>
          <w:lang w:val="es-MX"/>
        </w:rPr>
        <w:t xml:space="preserve">  </w:t>
      </w:r>
    </w:p>
    <w:p w:rsidR="00AD777C" w:rsidRDefault="00AD777C" w:rsidP="00AD777C">
      <w:pPr>
        <w:spacing w:line="360" w:lineRule="auto"/>
        <w:ind w:right="23" w:firstLine="708"/>
        <w:jc w:val="both"/>
        <w:rPr>
          <w:rFonts w:ascii="Bookman Old Style" w:hAnsi="Bookman Old Style" w:cs="Arial"/>
          <w:sz w:val="28"/>
          <w:szCs w:val="32"/>
          <w:lang w:val="es-MX"/>
        </w:rPr>
      </w:pPr>
    </w:p>
    <w:p w:rsidR="00AD777C" w:rsidRDefault="00AD777C" w:rsidP="00AD777C">
      <w:pPr>
        <w:spacing w:line="360" w:lineRule="auto"/>
        <w:ind w:right="23" w:firstLine="708"/>
        <w:jc w:val="both"/>
        <w:rPr>
          <w:rFonts w:ascii="Bookman Old Style" w:hAnsi="Bookman Old Style" w:cs="Arial"/>
          <w:sz w:val="28"/>
          <w:szCs w:val="32"/>
          <w:lang w:val="es-MX"/>
        </w:rPr>
      </w:pPr>
      <w:r>
        <w:rPr>
          <w:rFonts w:ascii="Bookman Old Style" w:hAnsi="Bookman Old Style" w:cs="Arial"/>
          <w:sz w:val="28"/>
          <w:szCs w:val="32"/>
          <w:lang w:val="es-MX"/>
        </w:rPr>
        <w:t xml:space="preserve">En primer lugar, porque las decisiones que se emiten en segunda instancia, corresponden al estudio de casos concretos sobre los cuales se presente la situación acerca de la cual se procura el pronunciamiento, y no, a hipótesis.  Adicionalmente, no resulta suficiente para provocar el pronunciamiento del </w:t>
      </w:r>
      <w:r w:rsidRPr="00F85DDC">
        <w:rPr>
          <w:rFonts w:ascii="Bookman Old Style" w:hAnsi="Bookman Old Style" w:cs="Arial"/>
          <w:i/>
          <w:sz w:val="28"/>
          <w:szCs w:val="32"/>
          <w:lang w:val="es-MX"/>
        </w:rPr>
        <w:t>Ad-quem</w:t>
      </w:r>
      <w:r>
        <w:rPr>
          <w:rFonts w:ascii="Bookman Old Style" w:hAnsi="Bookman Old Style" w:cs="Arial"/>
          <w:sz w:val="28"/>
          <w:szCs w:val="32"/>
          <w:lang w:val="es-MX"/>
        </w:rPr>
        <w:t>, que a una de las partes le surjan dudas acerca de la forma de enfrentar determinadas circunstancias, sino que debe haberse producido el debate en las instancias y oportunidades procesales respectivas.</w:t>
      </w:r>
    </w:p>
    <w:p w:rsidR="00AD777C" w:rsidRDefault="00AD777C" w:rsidP="00AD777C">
      <w:pPr>
        <w:spacing w:line="360" w:lineRule="auto"/>
        <w:ind w:right="23"/>
        <w:jc w:val="both"/>
        <w:rPr>
          <w:rFonts w:ascii="Bookman Old Style" w:hAnsi="Bookman Old Style" w:cs="Arial"/>
          <w:sz w:val="28"/>
          <w:szCs w:val="32"/>
          <w:lang w:val="es-MX"/>
        </w:rPr>
      </w:pPr>
    </w:p>
    <w:p w:rsidR="00AD777C" w:rsidRDefault="00AD777C" w:rsidP="00AD777C">
      <w:pPr>
        <w:spacing w:line="360" w:lineRule="auto"/>
        <w:ind w:right="23" w:firstLine="708"/>
        <w:jc w:val="both"/>
        <w:rPr>
          <w:rFonts w:ascii="Bookman Old Style" w:hAnsi="Bookman Old Style" w:cs="Arial"/>
          <w:sz w:val="28"/>
          <w:szCs w:val="32"/>
          <w:lang w:val="es-MX"/>
        </w:rPr>
      </w:pPr>
      <w:r>
        <w:rPr>
          <w:rFonts w:ascii="Bookman Old Style" w:hAnsi="Bookman Old Style" w:cs="Arial"/>
          <w:sz w:val="28"/>
          <w:szCs w:val="32"/>
          <w:lang w:val="es-MX"/>
        </w:rPr>
        <w:t>En segundo término, porque a través del recurso de alzada, la parte que disiente de los planteamientos de la decisión, tiene la carga de exponer los argumentos a partir de los cuales pretende la revocatoria del proveído apelado, más no, introducir nuevos puntos acerca de los cuales no hubo debate alguno o allegar en forma extemporánea documentación que la primera instancia no tuvo oportunidad de conocer</w:t>
      </w:r>
      <w:r>
        <w:rPr>
          <w:rStyle w:val="Refdenotaalpie"/>
          <w:rFonts w:ascii="Bookman Old Style" w:hAnsi="Bookman Old Style" w:cs="Arial"/>
          <w:sz w:val="28"/>
          <w:szCs w:val="32"/>
          <w:lang w:val="es-MX"/>
        </w:rPr>
        <w:footnoteReference w:id="99"/>
      </w:r>
      <w:r>
        <w:rPr>
          <w:rFonts w:ascii="Bookman Old Style" w:hAnsi="Bookman Old Style" w:cs="Arial"/>
          <w:sz w:val="28"/>
          <w:szCs w:val="32"/>
          <w:lang w:val="es-MX"/>
        </w:rPr>
        <w:t>.</w:t>
      </w:r>
    </w:p>
    <w:p w:rsidR="00AD777C" w:rsidRDefault="00AD777C" w:rsidP="00AD777C">
      <w:pPr>
        <w:spacing w:line="360" w:lineRule="auto"/>
        <w:ind w:right="23" w:firstLine="708"/>
        <w:jc w:val="both"/>
        <w:rPr>
          <w:rFonts w:ascii="Bookman Old Style" w:hAnsi="Bookman Old Style" w:cs="Arial"/>
          <w:sz w:val="28"/>
          <w:szCs w:val="32"/>
          <w:lang w:val="es-MX"/>
        </w:rPr>
      </w:pPr>
    </w:p>
    <w:p w:rsidR="00AD777C" w:rsidRDefault="00AD777C" w:rsidP="00AD777C">
      <w:pPr>
        <w:spacing w:line="360" w:lineRule="auto"/>
        <w:ind w:right="23" w:firstLine="708"/>
        <w:jc w:val="both"/>
        <w:rPr>
          <w:rFonts w:ascii="Bookman Old Style" w:hAnsi="Bookman Old Style" w:cs="Arial"/>
          <w:sz w:val="28"/>
          <w:szCs w:val="32"/>
          <w:lang w:val="es-MX"/>
        </w:rPr>
      </w:pPr>
      <w:r>
        <w:rPr>
          <w:rFonts w:ascii="Bookman Old Style" w:hAnsi="Bookman Old Style" w:cs="Arial"/>
          <w:sz w:val="28"/>
          <w:szCs w:val="32"/>
          <w:lang w:val="es-MX"/>
        </w:rPr>
        <w:t>No obstante, no sobra señalar que como el expediente se devolverá para adelantar el incidente de reparación integral, conforme al procedimiento establecido por la Ley 975 de 2005, se reabre la oportunidad para que las víctimas a través de sus apoderados, aporten las pruebas que consideren necesarias para acreditar tal calidad, así como para soportar la ocurrencia del daño y las medidas de reparación pretendidas.</w:t>
      </w:r>
    </w:p>
    <w:p w:rsidR="00AD777C" w:rsidRDefault="00AD777C" w:rsidP="00AD777C">
      <w:pPr>
        <w:spacing w:line="360" w:lineRule="auto"/>
        <w:ind w:right="23" w:firstLine="708"/>
        <w:jc w:val="both"/>
        <w:rPr>
          <w:rFonts w:ascii="Bookman Old Style" w:hAnsi="Bookman Old Style" w:cs="Arial"/>
          <w:sz w:val="28"/>
          <w:szCs w:val="32"/>
          <w:lang w:val="es-MX"/>
        </w:rPr>
      </w:pPr>
    </w:p>
    <w:p w:rsidR="00AD777C" w:rsidRPr="009B29C5" w:rsidRDefault="00AD777C" w:rsidP="00AD777C">
      <w:pPr>
        <w:spacing w:line="360" w:lineRule="auto"/>
        <w:ind w:right="23" w:firstLine="708"/>
        <w:jc w:val="both"/>
        <w:rPr>
          <w:rFonts w:ascii="Bookman Old Style" w:hAnsi="Bookman Old Style" w:cs="Arial"/>
          <w:sz w:val="28"/>
          <w:szCs w:val="32"/>
          <w:lang w:val="es-MX"/>
        </w:rPr>
      </w:pPr>
      <w:r>
        <w:rPr>
          <w:rFonts w:ascii="Bookman Old Style" w:hAnsi="Bookman Old Style" w:cs="Arial"/>
          <w:sz w:val="28"/>
          <w:szCs w:val="32"/>
          <w:lang w:val="es-MX"/>
        </w:rPr>
        <w:t>Para terminar, tampoco se accederá a la revisión de todos los documento</w:t>
      </w:r>
      <w:r w:rsidRPr="009B29C5">
        <w:rPr>
          <w:rFonts w:ascii="Bookman Old Style" w:hAnsi="Bookman Old Style" w:cs="Arial"/>
          <w:sz w:val="28"/>
          <w:szCs w:val="32"/>
          <w:lang w:val="es-MX"/>
        </w:rPr>
        <w:t xml:space="preserve">s </w:t>
      </w:r>
      <w:r w:rsidRPr="009B29C5">
        <w:rPr>
          <w:rFonts w:ascii="Bookman Old Style" w:hAnsi="Bookman Old Style"/>
          <w:sz w:val="28"/>
          <w:szCs w:val="28"/>
        </w:rPr>
        <w:t xml:space="preserve">que tanto él como la Fiscalía anexaron, por cuanto </w:t>
      </w:r>
      <w:r w:rsidRPr="009B29C5">
        <w:rPr>
          <w:rFonts w:ascii="Bookman Old Style" w:hAnsi="Bookman Old Style"/>
          <w:i/>
          <w:sz w:val="24"/>
          <w:szCs w:val="24"/>
        </w:rPr>
        <w:t>«en los casos que me son rechazados</w:t>
      </w:r>
      <w:r w:rsidRPr="009B29C5">
        <w:rPr>
          <w:rFonts w:ascii="Sakkal Majalla" w:hAnsi="Sakkal Majalla" w:cs="Sakkal Majalla"/>
          <w:i/>
          <w:sz w:val="24"/>
          <w:szCs w:val="24"/>
        </w:rPr>
        <w:t>»</w:t>
      </w:r>
      <w:r w:rsidRPr="009B29C5">
        <w:rPr>
          <w:rFonts w:ascii="Bookman Old Style" w:hAnsi="Bookman Old Style" w:cs="Sakkal Majalla"/>
          <w:sz w:val="28"/>
          <w:szCs w:val="28"/>
        </w:rPr>
        <w:t xml:space="preserve"> los sopor</w:t>
      </w:r>
      <w:r>
        <w:rPr>
          <w:rFonts w:ascii="Bookman Old Style" w:hAnsi="Bookman Old Style" w:cs="Sakkal Majalla"/>
          <w:sz w:val="28"/>
          <w:szCs w:val="28"/>
        </w:rPr>
        <w:t xml:space="preserve">tes se encuentran en el proceso, toda vez que el profesional ni siquiera expone a qué se refiere con casos rechazados y tampoco sustenta en cada uno de ellos cuáles fueron los yerros en que incurrió el Tribunal, para que sean objeto de revisión por la Corte.  </w:t>
      </w:r>
    </w:p>
    <w:p w:rsidR="00AD777C" w:rsidRDefault="00AD777C" w:rsidP="00AD777C">
      <w:pPr>
        <w:spacing w:line="360" w:lineRule="auto"/>
        <w:ind w:right="-187" w:firstLine="708"/>
        <w:jc w:val="both"/>
        <w:rPr>
          <w:rFonts w:ascii="Bookman Old Style" w:hAnsi="Bookman Old Style" w:cs="Sakkal Majalla"/>
          <w:b/>
          <w:color w:val="7030A0"/>
          <w:sz w:val="28"/>
          <w:szCs w:val="28"/>
        </w:rPr>
      </w:pPr>
    </w:p>
    <w:p w:rsidR="00AD777C" w:rsidRPr="00D7588C" w:rsidRDefault="00AD777C" w:rsidP="00AD777C">
      <w:pPr>
        <w:pStyle w:val="Textoindependiente"/>
        <w:tabs>
          <w:tab w:val="left" w:pos="5415"/>
        </w:tabs>
        <w:ind w:firstLine="708"/>
        <w:rPr>
          <w:rFonts w:ascii="Bookman Old Style" w:hAnsi="Bookman Old Style"/>
          <w:spacing w:val="-3"/>
          <w:sz w:val="28"/>
          <w:szCs w:val="28"/>
          <w:lang w:val="es-CO"/>
        </w:rPr>
      </w:pPr>
      <w:r w:rsidRPr="00EE44ED">
        <w:rPr>
          <w:rFonts w:ascii="Bookman Old Style" w:hAnsi="Bookman Old Style"/>
          <w:spacing w:val="-3"/>
          <w:sz w:val="28"/>
          <w:szCs w:val="28"/>
          <w:lang w:val="es-CO"/>
        </w:rPr>
        <w:t xml:space="preserve">En mérito de lo expuesto, </w:t>
      </w:r>
      <w:smartTag w:uri="urn:schemas-microsoft-com:office:smarttags" w:element="PersonName">
        <w:smartTagPr>
          <w:attr w:name="ProductID" w:val="la Corte Suprema"/>
        </w:smartTagPr>
        <w:smartTag w:uri="urn:schemas-microsoft-com:office:smarttags" w:element="PersonName">
          <w:smartTagPr>
            <w:attr w:name="ProductID" w:val="la Corte"/>
          </w:smartTagPr>
          <w:r w:rsidRPr="00EE44ED">
            <w:rPr>
              <w:rFonts w:ascii="Bookman Old Style" w:hAnsi="Bookman Old Style"/>
              <w:spacing w:val="-3"/>
              <w:sz w:val="28"/>
              <w:szCs w:val="28"/>
              <w:lang w:val="es-CO"/>
            </w:rPr>
            <w:t xml:space="preserve">la </w:t>
          </w:r>
          <w:r w:rsidRPr="00EE44ED">
            <w:rPr>
              <w:rFonts w:ascii="Bookman Old Style" w:hAnsi="Bookman Old Style"/>
              <w:b/>
              <w:spacing w:val="-3"/>
              <w:sz w:val="28"/>
              <w:szCs w:val="28"/>
              <w:lang w:val="es-CO"/>
            </w:rPr>
            <w:t>CORTE</w:t>
          </w:r>
        </w:smartTag>
        <w:r w:rsidRPr="00EE44ED">
          <w:rPr>
            <w:rFonts w:ascii="Bookman Old Style" w:hAnsi="Bookman Old Style"/>
            <w:b/>
            <w:spacing w:val="-3"/>
            <w:sz w:val="28"/>
            <w:szCs w:val="28"/>
            <w:lang w:val="es-CO"/>
          </w:rPr>
          <w:t xml:space="preserve"> SUPREMA</w:t>
        </w:r>
      </w:smartTag>
      <w:r w:rsidRPr="00EE44ED">
        <w:rPr>
          <w:rFonts w:ascii="Bookman Old Style" w:hAnsi="Bookman Old Style"/>
          <w:b/>
          <w:spacing w:val="-3"/>
          <w:sz w:val="28"/>
          <w:szCs w:val="28"/>
          <w:lang w:val="es-CO"/>
        </w:rPr>
        <w:t xml:space="preserve"> DE JUSTICIA, SALA DE CASACIÓN PENAL,</w:t>
      </w:r>
      <w:r>
        <w:rPr>
          <w:rFonts w:ascii="Bookman Old Style" w:hAnsi="Bookman Old Style"/>
          <w:b/>
          <w:spacing w:val="-3"/>
          <w:sz w:val="28"/>
          <w:szCs w:val="28"/>
          <w:lang w:val="es-CO"/>
        </w:rPr>
        <w:t xml:space="preserve"> </w:t>
      </w:r>
      <w:r>
        <w:rPr>
          <w:rFonts w:ascii="Bookman Old Style" w:hAnsi="Bookman Old Style"/>
          <w:spacing w:val="-3"/>
          <w:sz w:val="28"/>
          <w:szCs w:val="28"/>
          <w:lang w:val="es-CO"/>
        </w:rPr>
        <w:t>administrando justicia en nombre de la República y por autoridad de la ley,</w:t>
      </w:r>
    </w:p>
    <w:p w:rsidR="00AD777C" w:rsidRPr="00EE44ED" w:rsidRDefault="00AD777C" w:rsidP="00AD777C">
      <w:pPr>
        <w:pStyle w:val="Textoindependiente"/>
        <w:tabs>
          <w:tab w:val="left" w:pos="5415"/>
        </w:tabs>
        <w:ind w:firstLine="708"/>
        <w:rPr>
          <w:rFonts w:ascii="Bookman Old Style" w:hAnsi="Bookman Old Style"/>
          <w:spacing w:val="-3"/>
          <w:sz w:val="28"/>
          <w:szCs w:val="28"/>
          <w:lang w:val="es-CO"/>
        </w:rPr>
      </w:pPr>
    </w:p>
    <w:p w:rsidR="00AD777C" w:rsidRDefault="00AD777C" w:rsidP="00AD777C">
      <w:pPr>
        <w:spacing w:line="360" w:lineRule="auto"/>
        <w:jc w:val="center"/>
        <w:rPr>
          <w:rFonts w:ascii="Bookman Old Style" w:hAnsi="Bookman Old Style"/>
          <w:b/>
          <w:sz w:val="28"/>
          <w:szCs w:val="28"/>
        </w:rPr>
      </w:pPr>
      <w:r w:rsidRPr="00EE44ED">
        <w:rPr>
          <w:rFonts w:ascii="Bookman Old Style" w:hAnsi="Bookman Old Style"/>
          <w:b/>
          <w:sz w:val="28"/>
          <w:szCs w:val="28"/>
        </w:rPr>
        <w:t>RESUELVE:</w:t>
      </w:r>
    </w:p>
    <w:p w:rsidR="00AD777C" w:rsidRPr="00EE44ED" w:rsidRDefault="00AD777C" w:rsidP="00AD777C">
      <w:pPr>
        <w:spacing w:line="360" w:lineRule="auto"/>
        <w:jc w:val="center"/>
        <w:rPr>
          <w:rFonts w:ascii="Bookman Old Style" w:hAnsi="Bookman Old Style"/>
          <w:b/>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Primero. CONFIRMAR </w:t>
      </w:r>
      <w:r w:rsidRPr="00DB550C">
        <w:rPr>
          <w:rFonts w:ascii="Bookman Old Style" w:hAnsi="Bookman Old Style"/>
          <w:sz w:val="28"/>
          <w:szCs w:val="28"/>
        </w:rPr>
        <w:t xml:space="preserve">el numeral 4º de la decisión, </w:t>
      </w:r>
      <w:r>
        <w:rPr>
          <w:rFonts w:ascii="Bookman Old Style" w:hAnsi="Bookman Old Style"/>
          <w:sz w:val="28"/>
          <w:szCs w:val="28"/>
        </w:rPr>
        <w:t xml:space="preserve">mediante el cual se negó </w:t>
      </w:r>
      <w:r w:rsidRPr="00DB550C">
        <w:rPr>
          <w:rFonts w:ascii="Bookman Old Style" w:hAnsi="Bookman Old Style"/>
          <w:sz w:val="28"/>
          <w:szCs w:val="28"/>
        </w:rPr>
        <w:t>la nulidad de lo actuado</w:t>
      </w:r>
      <w:r>
        <w:rPr>
          <w:rFonts w:ascii="Bookman Old Style" w:hAnsi="Bookman Old Style"/>
          <w:sz w:val="28"/>
          <w:szCs w:val="28"/>
        </w:rPr>
        <w:t>.</w:t>
      </w:r>
      <w:r w:rsidRPr="00DB550C">
        <w:rPr>
          <w:rFonts w:ascii="Bookman Old Style" w:hAnsi="Bookman Old Style"/>
          <w:sz w:val="28"/>
          <w:szCs w:val="28"/>
        </w:rPr>
        <w:t xml:space="preserve"> </w:t>
      </w:r>
    </w:p>
    <w:p w:rsidR="00AD777C" w:rsidRDefault="00AD777C" w:rsidP="00AD777C">
      <w:pPr>
        <w:spacing w:line="360" w:lineRule="auto"/>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Segundo. CONFIRMAR </w:t>
      </w:r>
      <w:r w:rsidRPr="00F95D9D">
        <w:rPr>
          <w:rFonts w:ascii="Bookman Old Style" w:hAnsi="Bookman Old Style"/>
          <w:sz w:val="28"/>
          <w:szCs w:val="28"/>
        </w:rPr>
        <w:t xml:space="preserve">el aparte del numeral 8º de la decisión, </w:t>
      </w:r>
      <w:r>
        <w:rPr>
          <w:rFonts w:ascii="Bookman Old Style" w:hAnsi="Bookman Old Style"/>
          <w:sz w:val="28"/>
          <w:szCs w:val="28"/>
        </w:rPr>
        <w:t>por medio del cual</w:t>
      </w:r>
      <w:r w:rsidRPr="00F95D9D">
        <w:rPr>
          <w:rFonts w:ascii="Bookman Old Style" w:hAnsi="Bookman Old Style"/>
          <w:sz w:val="28"/>
          <w:szCs w:val="28"/>
        </w:rPr>
        <w:t xml:space="preserve"> SE LEGALIZÓ el delito de homicidio en persona protegida en el</w:t>
      </w:r>
      <w:r w:rsidRPr="00960896">
        <w:rPr>
          <w:rFonts w:ascii="Bookman Old Style" w:hAnsi="Bookman Old Style"/>
          <w:b/>
          <w:sz w:val="28"/>
          <w:szCs w:val="28"/>
        </w:rPr>
        <w:t xml:space="preserve"> hecho </w:t>
      </w:r>
      <w:r>
        <w:rPr>
          <w:rFonts w:ascii="Bookman Old Style" w:hAnsi="Bookman Old Style"/>
          <w:b/>
          <w:sz w:val="28"/>
          <w:szCs w:val="28"/>
        </w:rPr>
        <w:t xml:space="preserve">No. </w:t>
      </w:r>
      <w:r w:rsidRPr="00960896">
        <w:rPr>
          <w:rFonts w:ascii="Bookman Old Style" w:hAnsi="Bookman Old Style"/>
          <w:b/>
          <w:sz w:val="28"/>
          <w:szCs w:val="28"/>
        </w:rPr>
        <w:t>11</w:t>
      </w:r>
      <w:r w:rsidRPr="00F95D9D">
        <w:rPr>
          <w:rFonts w:ascii="Bookman Old Style" w:hAnsi="Bookman Old Style"/>
          <w:sz w:val="28"/>
          <w:szCs w:val="28"/>
        </w:rPr>
        <w:t>, conforme a lo expuesto en la parte motiva.</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Tercero. </w:t>
      </w:r>
      <w:r w:rsidRPr="00E07357">
        <w:rPr>
          <w:rFonts w:ascii="Bookman Old Style" w:hAnsi="Bookman Old Style"/>
          <w:b/>
          <w:sz w:val="28"/>
          <w:szCs w:val="28"/>
        </w:rPr>
        <w:t>CONFIRMAR</w:t>
      </w:r>
      <w:r>
        <w:rPr>
          <w:rFonts w:ascii="Bookman Old Style" w:hAnsi="Bookman Old Style"/>
          <w:sz w:val="28"/>
          <w:szCs w:val="28"/>
        </w:rPr>
        <w:t xml:space="preserve"> el numeral 13º en cuanto NO SE LEGALIZA el delito de incendio en el </w:t>
      </w:r>
      <w:r w:rsidRPr="00960896">
        <w:rPr>
          <w:rFonts w:ascii="Bookman Old Style" w:hAnsi="Bookman Old Style"/>
          <w:b/>
          <w:sz w:val="28"/>
          <w:szCs w:val="28"/>
        </w:rPr>
        <w:t xml:space="preserve">hecho </w:t>
      </w:r>
      <w:r>
        <w:rPr>
          <w:rFonts w:ascii="Bookman Old Style" w:hAnsi="Bookman Old Style"/>
          <w:b/>
          <w:sz w:val="28"/>
          <w:szCs w:val="28"/>
        </w:rPr>
        <w:t xml:space="preserve">No. </w:t>
      </w:r>
      <w:r w:rsidRPr="00960896">
        <w:rPr>
          <w:rFonts w:ascii="Bookman Old Style" w:hAnsi="Bookman Old Style"/>
          <w:b/>
          <w:sz w:val="28"/>
          <w:szCs w:val="28"/>
        </w:rPr>
        <w:t>37</w:t>
      </w:r>
      <w:r>
        <w:rPr>
          <w:rFonts w:ascii="Bookman Old Style" w:hAnsi="Bookman Old Style"/>
          <w:sz w:val="28"/>
          <w:szCs w:val="28"/>
        </w:rPr>
        <w:t>.</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Cuarto. </w:t>
      </w:r>
      <w:r w:rsidRPr="00FE1B13">
        <w:rPr>
          <w:rFonts w:ascii="Bookman Old Style" w:hAnsi="Bookman Old Style"/>
          <w:b/>
          <w:sz w:val="28"/>
          <w:szCs w:val="28"/>
        </w:rPr>
        <w:t>CONFIRMAR</w:t>
      </w:r>
      <w:r>
        <w:rPr>
          <w:rFonts w:ascii="Bookman Old Style" w:hAnsi="Bookman Old Style"/>
          <w:sz w:val="28"/>
          <w:szCs w:val="28"/>
        </w:rPr>
        <w:t xml:space="preserve"> el numeral 30º del fallo, por medio del cual se impuso a los postulados RAFAEL SALGADO MERCHÁN y DELFÍN VILLALOBOS, la pena alternativa de ocho (8) años de prisión.</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Quinto. </w:t>
      </w:r>
      <w:r w:rsidRPr="00FE1B13">
        <w:rPr>
          <w:rFonts w:ascii="Bookman Old Style" w:hAnsi="Bookman Old Style"/>
          <w:b/>
          <w:sz w:val="28"/>
          <w:szCs w:val="28"/>
        </w:rPr>
        <w:t>CONFIRMAR</w:t>
      </w:r>
      <w:r>
        <w:rPr>
          <w:rFonts w:ascii="Bookman Old Style" w:hAnsi="Bookman Old Style"/>
          <w:sz w:val="28"/>
          <w:szCs w:val="28"/>
        </w:rPr>
        <w:t xml:space="preserve"> el numeral 36º que negó la extinción del derecho de dominio sobre el bien inmueble </w:t>
      </w:r>
      <w:r w:rsidRPr="00492482">
        <w:rPr>
          <w:rFonts w:ascii="Bookman Old Style" w:hAnsi="Bookman Old Style"/>
          <w:sz w:val="28"/>
          <w:szCs w:val="28"/>
        </w:rPr>
        <w:t>‘La Porfía’</w:t>
      </w:r>
      <w:r>
        <w:rPr>
          <w:rFonts w:ascii="Bookman Old Style" w:hAnsi="Bookman Old Style"/>
          <w:sz w:val="28"/>
          <w:szCs w:val="28"/>
        </w:rPr>
        <w:t>.  Por la secretaría de la Sala de Justicia y Paz del Tribunal Superior de Bogotá, líbrese la comunicación dispuesta en el acápite 5.2. de esta decisión.</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Sexto. </w:t>
      </w:r>
      <w:r w:rsidRPr="007E3376">
        <w:rPr>
          <w:rFonts w:ascii="Bookman Old Style" w:hAnsi="Bookman Old Style"/>
          <w:b/>
          <w:sz w:val="28"/>
          <w:szCs w:val="28"/>
        </w:rPr>
        <w:t>REVOCAR</w:t>
      </w:r>
      <w:r>
        <w:rPr>
          <w:rFonts w:ascii="Bookman Old Style" w:hAnsi="Bookman Old Style"/>
          <w:sz w:val="28"/>
          <w:szCs w:val="28"/>
        </w:rPr>
        <w:t xml:space="preserve"> parcialmente el numeral 11º, únicamente en lo que respecta a los </w:t>
      </w:r>
      <w:r w:rsidRPr="00960896">
        <w:rPr>
          <w:rFonts w:ascii="Bookman Old Style" w:hAnsi="Bookman Old Style"/>
          <w:b/>
          <w:sz w:val="28"/>
          <w:szCs w:val="28"/>
        </w:rPr>
        <w:t xml:space="preserve">hechos 50, 52 y 54 </w:t>
      </w:r>
      <w:r>
        <w:rPr>
          <w:rFonts w:ascii="Bookman Old Style" w:hAnsi="Bookman Old Style"/>
          <w:sz w:val="28"/>
          <w:szCs w:val="28"/>
        </w:rPr>
        <w:t>para, en su lugar, LEGALIZAR el delito de hurto calificado.</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Séptimo. </w:t>
      </w:r>
      <w:r w:rsidRPr="003E48F0">
        <w:rPr>
          <w:rFonts w:ascii="Bookman Old Style" w:hAnsi="Bookman Old Style"/>
          <w:b/>
          <w:sz w:val="28"/>
          <w:szCs w:val="28"/>
        </w:rPr>
        <w:t>REVOCAR</w:t>
      </w:r>
      <w:r>
        <w:rPr>
          <w:rFonts w:ascii="Bookman Old Style" w:hAnsi="Bookman Old Style"/>
          <w:sz w:val="28"/>
          <w:szCs w:val="28"/>
        </w:rPr>
        <w:t xml:space="preserve"> parcialmente el numeral 15º del proveído, en el sentido de LEGALIZAR el delito de represalias del que fuera víctima la señora Stella Ramírez Rodríguez, en el </w:t>
      </w:r>
      <w:r w:rsidRPr="00960896">
        <w:rPr>
          <w:rFonts w:ascii="Bookman Old Style" w:hAnsi="Bookman Old Style"/>
          <w:b/>
          <w:sz w:val="28"/>
          <w:szCs w:val="28"/>
        </w:rPr>
        <w:t xml:space="preserve">hecho </w:t>
      </w:r>
      <w:r>
        <w:rPr>
          <w:rFonts w:ascii="Bookman Old Style" w:hAnsi="Bookman Old Style"/>
          <w:b/>
          <w:sz w:val="28"/>
          <w:szCs w:val="28"/>
        </w:rPr>
        <w:t xml:space="preserve">No. </w:t>
      </w:r>
      <w:r w:rsidRPr="00960896">
        <w:rPr>
          <w:rFonts w:ascii="Bookman Old Style" w:hAnsi="Bookman Old Style"/>
          <w:b/>
          <w:sz w:val="28"/>
          <w:szCs w:val="28"/>
        </w:rPr>
        <w:t>14</w:t>
      </w:r>
      <w:r>
        <w:rPr>
          <w:rFonts w:ascii="Bookman Old Style" w:hAnsi="Bookman Old Style"/>
          <w:sz w:val="28"/>
          <w:szCs w:val="28"/>
        </w:rPr>
        <w:t>.</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sidRPr="004B3074">
        <w:rPr>
          <w:rFonts w:ascii="Bookman Old Style" w:hAnsi="Bookman Old Style"/>
          <w:b/>
          <w:sz w:val="28"/>
          <w:szCs w:val="28"/>
        </w:rPr>
        <w:t>Octavo. REVOCAR</w:t>
      </w:r>
      <w:r>
        <w:rPr>
          <w:rFonts w:ascii="Bookman Old Style" w:hAnsi="Bookman Old Style"/>
          <w:sz w:val="28"/>
          <w:szCs w:val="28"/>
        </w:rPr>
        <w:t xml:space="preserve"> parcialmente el numeral 22º del proveído, en el sentido de EXCLUÍR como delito legalizado, el punible de homicidio agravado en el</w:t>
      </w:r>
      <w:r w:rsidRPr="004B3074">
        <w:rPr>
          <w:rFonts w:ascii="Bookman Old Style" w:hAnsi="Bookman Old Style"/>
          <w:b/>
          <w:sz w:val="28"/>
          <w:szCs w:val="28"/>
        </w:rPr>
        <w:t xml:space="preserve"> hecho No.</w:t>
      </w:r>
      <w:r>
        <w:rPr>
          <w:rFonts w:ascii="Bookman Old Style" w:hAnsi="Bookman Old Style"/>
          <w:b/>
          <w:sz w:val="28"/>
          <w:szCs w:val="28"/>
        </w:rPr>
        <w:t xml:space="preserve"> 71.</w:t>
      </w:r>
    </w:p>
    <w:p w:rsidR="00AD777C" w:rsidRDefault="00AD777C" w:rsidP="00AD777C">
      <w:pPr>
        <w:spacing w:line="360" w:lineRule="auto"/>
        <w:ind w:firstLine="708"/>
        <w:jc w:val="both"/>
        <w:rPr>
          <w:rFonts w:ascii="Bookman Old Style" w:hAnsi="Bookman Old Style" w:cs="Arial"/>
          <w:b/>
          <w:bCs/>
          <w:iCs/>
          <w:sz w:val="28"/>
          <w:szCs w:val="28"/>
        </w:rPr>
      </w:pPr>
    </w:p>
    <w:p w:rsidR="00AD777C" w:rsidRDefault="00AD777C" w:rsidP="00AD777C">
      <w:pPr>
        <w:spacing w:line="360" w:lineRule="auto"/>
        <w:ind w:firstLine="708"/>
        <w:jc w:val="both"/>
        <w:rPr>
          <w:rFonts w:ascii="Bookman Old Style" w:hAnsi="Bookman Old Style" w:cs="Arial"/>
          <w:bCs/>
          <w:iCs/>
          <w:sz w:val="28"/>
          <w:szCs w:val="28"/>
        </w:rPr>
      </w:pPr>
      <w:r>
        <w:rPr>
          <w:rFonts w:ascii="Bookman Old Style" w:hAnsi="Bookman Old Style" w:cs="Arial"/>
          <w:b/>
          <w:bCs/>
          <w:iCs/>
          <w:sz w:val="28"/>
          <w:szCs w:val="28"/>
        </w:rPr>
        <w:t xml:space="preserve">Noveno. </w:t>
      </w:r>
      <w:r w:rsidRPr="00922913">
        <w:rPr>
          <w:rFonts w:ascii="Bookman Old Style" w:hAnsi="Bookman Old Style" w:cs="Arial"/>
          <w:b/>
          <w:bCs/>
          <w:iCs/>
          <w:sz w:val="28"/>
          <w:szCs w:val="28"/>
        </w:rPr>
        <w:t>REVOCAR</w:t>
      </w:r>
      <w:r>
        <w:rPr>
          <w:rFonts w:ascii="Bookman Old Style" w:hAnsi="Bookman Old Style" w:cs="Arial"/>
          <w:bCs/>
          <w:iCs/>
          <w:sz w:val="28"/>
          <w:szCs w:val="28"/>
        </w:rPr>
        <w:t xml:space="preserve"> los numerales</w:t>
      </w:r>
      <w:r>
        <w:rPr>
          <w:rFonts w:ascii="Bookman Old Style" w:hAnsi="Bookman Old Style" w:cs="Arial"/>
          <w:sz w:val="28"/>
          <w:szCs w:val="28"/>
        </w:rPr>
        <w:t xml:space="preserve"> 39º a 63º; 68º y 69º</w:t>
      </w:r>
      <w:r>
        <w:rPr>
          <w:rFonts w:ascii="Bookman Old Style" w:hAnsi="Bookman Old Style" w:cs="Arial"/>
          <w:bCs/>
          <w:iCs/>
          <w:sz w:val="28"/>
          <w:szCs w:val="28"/>
        </w:rPr>
        <w:t xml:space="preserve">de la decisión impugnada, por cuyo medio resolvió el </w:t>
      </w:r>
      <w:r w:rsidRPr="009B6B19">
        <w:rPr>
          <w:rFonts w:ascii="Bookman Old Style" w:hAnsi="Bookman Old Style" w:cs="Arial"/>
          <w:bCs/>
          <w:i/>
          <w:iCs/>
          <w:sz w:val="28"/>
          <w:szCs w:val="28"/>
        </w:rPr>
        <w:t>A quo</w:t>
      </w:r>
      <w:r>
        <w:rPr>
          <w:rFonts w:ascii="Bookman Old Style" w:hAnsi="Bookman Old Style" w:cs="Arial"/>
          <w:bCs/>
          <w:iCs/>
          <w:sz w:val="28"/>
          <w:szCs w:val="28"/>
        </w:rPr>
        <w:t xml:space="preserve"> lo pertinente al incidente de las afectaciones causadas con los delitos, para que, bajo el entendido de que lo allí actuado tiene validez, proceda conforme a lo señalado en las motivaciones de este fallo.</w:t>
      </w:r>
    </w:p>
    <w:p w:rsidR="00AD777C" w:rsidRDefault="00AD777C" w:rsidP="00AD777C">
      <w:pPr>
        <w:spacing w:line="360" w:lineRule="auto"/>
        <w:ind w:firstLine="708"/>
        <w:jc w:val="both"/>
        <w:rPr>
          <w:rFonts w:ascii="Bookman Old Style" w:hAnsi="Bookman Old Style" w:cs="Arial"/>
          <w:bCs/>
          <w:iCs/>
          <w:sz w:val="28"/>
          <w:szCs w:val="28"/>
        </w:rPr>
      </w:pPr>
    </w:p>
    <w:p w:rsidR="00AD777C" w:rsidRDefault="00AD777C" w:rsidP="00AD777C">
      <w:pPr>
        <w:spacing w:line="360" w:lineRule="auto"/>
        <w:ind w:firstLine="708"/>
        <w:jc w:val="both"/>
        <w:rPr>
          <w:rFonts w:ascii="Bookman Old Style" w:hAnsi="Bookman Old Style" w:cs="Arial"/>
          <w:b/>
          <w:bCs/>
          <w:iCs/>
          <w:sz w:val="28"/>
          <w:szCs w:val="28"/>
        </w:rPr>
      </w:pPr>
      <w:r w:rsidRPr="007F16AB">
        <w:rPr>
          <w:rFonts w:ascii="Bookman Old Style" w:hAnsi="Bookman Old Style" w:cs="Arial"/>
          <w:b/>
          <w:bCs/>
          <w:iCs/>
          <w:sz w:val="28"/>
          <w:szCs w:val="28"/>
        </w:rPr>
        <w:t>Décimo.</w:t>
      </w:r>
      <w:r>
        <w:rPr>
          <w:rFonts w:ascii="Bookman Old Style" w:hAnsi="Bookman Old Style" w:cs="Arial"/>
          <w:b/>
          <w:bCs/>
          <w:iCs/>
          <w:sz w:val="28"/>
          <w:szCs w:val="28"/>
        </w:rPr>
        <w:t xml:space="preserve"> ADICIONAR </w:t>
      </w:r>
      <w:r>
        <w:rPr>
          <w:rFonts w:ascii="Bookman Old Style" w:hAnsi="Bookman Old Style" w:cs="Arial"/>
          <w:bCs/>
          <w:iCs/>
          <w:sz w:val="28"/>
          <w:szCs w:val="28"/>
        </w:rPr>
        <w:t xml:space="preserve">el numeral 8º del proveído, para LEGALIZAR el delito de homicidio en persona protegida en los </w:t>
      </w:r>
      <w:r w:rsidRPr="007F16AB">
        <w:rPr>
          <w:rFonts w:ascii="Bookman Old Style" w:hAnsi="Bookman Old Style" w:cs="Arial"/>
          <w:b/>
          <w:bCs/>
          <w:iCs/>
          <w:sz w:val="28"/>
          <w:szCs w:val="28"/>
        </w:rPr>
        <w:t>hecho</w:t>
      </w:r>
      <w:r>
        <w:rPr>
          <w:rFonts w:ascii="Bookman Old Style" w:hAnsi="Bookman Old Style" w:cs="Arial"/>
          <w:b/>
          <w:bCs/>
          <w:iCs/>
          <w:sz w:val="28"/>
          <w:szCs w:val="28"/>
        </w:rPr>
        <w:t>s</w:t>
      </w:r>
      <w:r w:rsidRPr="007F16AB">
        <w:rPr>
          <w:rFonts w:ascii="Bookman Old Style" w:hAnsi="Bookman Old Style" w:cs="Arial"/>
          <w:b/>
          <w:bCs/>
          <w:iCs/>
          <w:sz w:val="28"/>
          <w:szCs w:val="28"/>
        </w:rPr>
        <w:t xml:space="preserve"> No</w:t>
      </w:r>
      <w:r>
        <w:rPr>
          <w:rFonts w:ascii="Bookman Old Style" w:hAnsi="Bookman Old Style" w:cs="Arial"/>
          <w:b/>
          <w:bCs/>
          <w:iCs/>
          <w:sz w:val="28"/>
          <w:szCs w:val="28"/>
        </w:rPr>
        <w:t>s</w:t>
      </w:r>
      <w:r w:rsidRPr="007F16AB">
        <w:rPr>
          <w:rFonts w:ascii="Bookman Old Style" w:hAnsi="Bookman Old Style" w:cs="Arial"/>
          <w:b/>
          <w:bCs/>
          <w:iCs/>
          <w:sz w:val="28"/>
          <w:szCs w:val="28"/>
        </w:rPr>
        <w:t>. 22</w:t>
      </w:r>
      <w:r>
        <w:rPr>
          <w:rFonts w:ascii="Bookman Old Style" w:hAnsi="Bookman Old Style" w:cs="Arial"/>
          <w:b/>
          <w:bCs/>
          <w:iCs/>
          <w:sz w:val="28"/>
          <w:szCs w:val="28"/>
        </w:rPr>
        <w:t xml:space="preserve"> y 71</w:t>
      </w:r>
      <w:r w:rsidRPr="007F16AB">
        <w:rPr>
          <w:rFonts w:ascii="Bookman Old Style" w:hAnsi="Bookman Old Style" w:cs="Arial"/>
          <w:b/>
          <w:bCs/>
          <w:iCs/>
          <w:sz w:val="28"/>
          <w:szCs w:val="28"/>
        </w:rPr>
        <w:t>.</w:t>
      </w:r>
    </w:p>
    <w:p w:rsidR="00AD777C" w:rsidRDefault="00AD777C" w:rsidP="00AD777C">
      <w:pPr>
        <w:spacing w:line="360" w:lineRule="auto"/>
        <w:ind w:firstLine="708"/>
        <w:jc w:val="both"/>
        <w:rPr>
          <w:rFonts w:ascii="Bookman Old Style" w:hAnsi="Bookman Old Style" w:cs="Arial"/>
          <w:b/>
          <w:bCs/>
          <w:iCs/>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Décimo primero. </w:t>
      </w:r>
      <w:r w:rsidRPr="003E48F0">
        <w:rPr>
          <w:rFonts w:ascii="Bookman Old Style" w:hAnsi="Bookman Old Style"/>
          <w:b/>
          <w:sz w:val="28"/>
          <w:szCs w:val="28"/>
        </w:rPr>
        <w:t>ADICIONAR</w:t>
      </w:r>
      <w:r>
        <w:rPr>
          <w:rFonts w:ascii="Bookman Old Style" w:hAnsi="Bookman Old Style"/>
          <w:sz w:val="28"/>
          <w:szCs w:val="28"/>
        </w:rPr>
        <w:t xml:space="preserve"> el numeral 9º del proveído, para LEGALIZAR el delito de desaparición forzada en el </w:t>
      </w:r>
      <w:r w:rsidRPr="00960896">
        <w:rPr>
          <w:rFonts w:ascii="Bookman Old Style" w:hAnsi="Bookman Old Style"/>
          <w:b/>
          <w:sz w:val="28"/>
          <w:szCs w:val="28"/>
        </w:rPr>
        <w:t xml:space="preserve">hecho </w:t>
      </w:r>
      <w:r>
        <w:rPr>
          <w:rFonts w:ascii="Bookman Old Style" w:hAnsi="Bookman Old Style"/>
          <w:b/>
          <w:sz w:val="28"/>
          <w:szCs w:val="28"/>
        </w:rPr>
        <w:t>No. 108.</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Décimo segundo. </w:t>
      </w:r>
      <w:r w:rsidRPr="003E48F0">
        <w:rPr>
          <w:rFonts w:ascii="Bookman Old Style" w:hAnsi="Bookman Old Style"/>
          <w:b/>
          <w:sz w:val="28"/>
          <w:szCs w:val="28"/>
        </w:rPr>
        <w:t>ADICIONAR</w:t>
      </w:r>
      <w:r>
        <w:rPr>
          <w:rFonts w:ascii="Bookman Old Style" w:hAnsi="Bookman Old Style"/>
          <w:sz w:val="28"/>
          <w:szCs w:val="28"/>
        </w:rPr>
        <w:t xml:space="preserve"> el numeral 12º del proveído, para LEGALIZAR el delito de actos de terrorismo en el </w:t>
      </w:r>
      <w:r w:rsidRPr="00960896">
        <w:rPr>
          <w:rFonts w:ascii="Bookman Old Style" w:hAnsi="Bookman Old Style"/>
          <w:b/>
          <w:sz w:val="28"/>
          <w:szCs w:val="28"/>
        </w:rPr>
        <w:t xml:space="preserve">hecho </w:t>
      </w:r>
      <w:r>
        <w:rPr>
          <w:rFonts w:ascii="Bookman Old Style" w:hAnsi="Bookman Old Style"/>
          <w:b/>
          <w:sz w:val="28"/>
          <w:szCs w:val="28"/>
        </w:rPr>
        <w:t xml:space="preserve">No. </w:t>
      </w:r>
      <w:r w:rsidRPr="00960896">
        <w:rPr>
          <w:rFonts w:ascii="Bookman Old Style" w:hAnsi="Bookman Old Style"/>
          <w:b/>
          <w:sz w:val="28"/>
          <w:szCs w:val="28"/>
        </w:rPr>
        <w:t>52.</w:t>
      </w:r>
    </w:p>
    <w:p w:rsidR="00AD777C" w:rsidRDefault="00AD777C" w:rsidP="00AD777C">
      <w:pPr>
        <w:spacing w:line="360" w:lineRule="auto"/>
        <w:ind w:firstLine="708"/>
        <w:jc w:val="both"/>
        <w:rPr>
          <w:rFonts w:ascii="Bookman Old Style" w:hAnsi="Bookman Old Style"/>
          <w:sz w:val="28"/>
          <w:szCs w:val="28"/>
        </w:rPr>
      </w:pPr>
    </w:p>
    <w:p w:rsidR="00AD777C" w:rsidRDefault="00AD777C" w:rsidP="00AD777C">
      <w:pPr>
        <w:spacing w:line="360" w:lineRule="auto"/>
        <w:ind w:firstLine="708"/>
        <w:jc w:val="both"/>
        <w:rPr>
          <w:rFonts w:ascii="Bookman Old Style" w:hAnsi="Bookman Old Style"/>
          <w:sz w:val="28"/>
          <w:szCs w:val="28"/>
        </w:rPr>
      </w:pPr>
      <w:r>
        <w:rPr>
          <w:rFonts w:ascii="Bookman Old Style" w:hAnsi="Bookman Old Style"/>
          <w:b/>
          <w:sz w:val="28"/>
          <w:szCs w:val="28"/>
        </w:rPr>
        <w:t xml:space="preserve">Décimo tercero. </w:t>
      </w:r>
      <w:r w:rsidRPr="003E48F0">
        <w:rPr>
          <w:rFonts w:ascii="Bookman Old Style" w:hAnsi="Bookman Old Style"/>
          <w:b/>
          <w:sz w:val="28"/>
          <w:szCs w:val="28"/>
        </w:rPr>
        <w:t>NEGAR</w:t>
      </w:r>
      <w:r>
        <w:rPr>
          <w:rFonts w:ascii="Bookman Old Style" w:hAnsi="Bookman Old Style"/>
          <w:sz w:val="28"/>
          <w:szCs w:val="28"/>
        </w:rPr>
        <w:t xml:space="preserve"> la legalización del delito de desplazamiento forzado en los hechos </w:t>
      </w:r>
      <w:r>
        <w:rPr>
          <w:rFonts w:ascii="Bookman Old Style" w:hAnsi="Bookman Old Style"/>
          <w:b/>
          <w:sz w:val="28"/>
          <w:szCs w:val="28"/>
        </w:rPr>
        <w:t xml:space="preserve">Nos. </w:t>
      </w:r>
      <w:r w:rsidRPr="00960896">
        <w:rPr>
          <w:rFonts w:ascii="Bookman Old Style" w:hAnsi="Bookman Old Style"/>
          <w:b/>
          <w:sz w:val="28"/>
          <w:szCs w:val="28"/>
        </w:rPr>
        <w:t>37, 49, 52 y 54</w:t>
      </w:r>
      <w:r>
        <w:rPr>
          <w:rFonts w:ascii="Bookman Old Style" w:hAnsi="Bookman Old Style"/>
          <w:sz w:val="28"/>
          <w:szCs w:val="28"/>
        </w:rPr>
        <w:t>, por no haber sido aceptados ni imputados a los postulados.</w:t>
      </w:r>
    </w:p>
    <w:p w:rsidR="00AD777C" w:rsidRDefault="00AD777C" w:rsidP="00AD777C">
      <w:pPr>
        <w:spacing w:line="360" w:lineRule="auto"/>
        <w:ind w:firstLine="708"/>
        <w:jc w:val="both"/>
        <w:rPr>
          <w:rFonts w:ascii="Bookman Old Style" w:hAnsi="Bookman Old Style"/>
          <w:sz w:val="28"/>
          <w:szCs w:val="28"/>
        </w:rPr>
      </w:pPr>
    </w:p>
    <w:p w:rsidR="00AD777C" w:rsidRPr="00147B93" w:rsidRDefault="00AD777C" w:rsidP="00AD777C">
      <w:pPr>
        <w:spacing w:line="360" w:lineRule="auto"/>
        <w:ind w:firstLine="708"/>
        <w:jc w:val="both"/>
        <w:rPr>
          <w:rFonts w:ascii="Bookman Old Style" w:hAnsi="Bookman Old Style"/>
          <w:sz w:val="28"/>
          <w:szCs w:val="28"/>
        </w:rPr>
      </w:pPr>
      <w:r w:rsidRPr="00147B93">
        <w:rPr>
          <w:rFonts w:ascii="Bookman Old Style" w:hAnsi="Bookman Old Style"/>
          <w:b/>
          <w:sz w:val="28"/>
          <w:szCs w:val="28"/>
        </w:rPr>
        <w:t>Décimo cuarto.</w:t>
      </w:r>
      <w:r>
        <w:rPr>
          <w:rFonts w:ascii="Bookman Old Style" w:hAnsi="Bookman Old Style"/>
          <w:b/>
          <w:sz w:val="28"/>
          <w:szCs w:val="28"/>
        </w:rPr>
        <w:t xml:space="preserve"> </w:t>
      </w:r>
      <w:r w:rsidRPr="00147B93">
        <w:rPr>
          <w:rFonts w:ascii="Bookman Old Style" w:hAnsi="Bookman Old Style"/>
          <w:b/>
          <w:sz w:val="28"/>
          <w:szCs w:val="28"/>
        </w:rPr>
        <w:t>ABSTENERSE</w:t>
      </w:r>
      <w:r>
        <w:rPr>
          <w:rFonts w:ascii="Bookman Old Style" w:hAnsi="Bookman Old Style"/>
          <w:sz w:val="28"/>
          <w:szCs w:val="28"/>
        </w:rPr>
        <w:t xml:space="preserve"> de pronunciarse sobre las pretensiones del abogado Juan Carlos Córdoba Correa, acorde con lo expuesto en las consideraciones finales.  </w:t>
      </w:r>
    </w:p>
    <w:p w:rsidR="00AD777C" w:rsidRDefault="00AD777C" w:rsidP="00AD777C">
      <w:pPr>
        <w:spacing w:line="360" w:lineRule="auto"/>
        <w:jc w:val="both"/>
        <w:rPr>
          <w:rFonts w:ascii="Bookman Old Style" w:hAnsi="Bookman Old Style"/>
          <w:sz w:val="28"/>
          <w:szCs w:val="28"/>
        </w:rPr>
      </w:pPr>
    </w:p>
    <w:p w:rsidR="00AD777C" w:rsidRPr="00922913" w:rsidRDefault="00AD777C" w:rsidP="00AD777C">
      <w:pPr>
        <w:spacing w:line="360" w:lineRule="auto"/>
        <w:ind w:firstLine="708"/>
        <w:jc w:val="both"/>
        <w:rPr>
          <w:rFonts w:ascii="Bookman Old Style" w:hAnsi="Bookman Old Style" w:cs="Arial"/>
          <w:bCs/>
          <w:iCs/>
          <w:sz w:val="28"/>
          <w:szCs w:val="28"/>
        </w:rPr>
      </w:pPr>
      <w:r w:rsidRPr="00922913">
        <w:rPr>
          <w:rFonts w:ascii="Bookman Old Style" w:hAnsi="Bookman Old Style" w:cs="Arial"/>
          <w:b/>
          <w:bCs/>
          <w:iCs/>
          <w:sz w:val="28"/>
          <w:szCs w:val="28"/>
        </w:rPr>
        <w:t xml:space="preserve">DEVOLVER </w:t>
      </w:r>
      <w:r w:rsidRPr="00922913">
        <w:rPr>
          <w:rFonts w:ascii="Bookman Old Style" w:hAnsi="Bookman Old Style" w:cs="Arial"/>
          <w:bCs/>
          <w:iCs/>
          <w:sz w:val="28"/>
          <w:szCs w:val="28"/>
        </w:rPr>
        <w:t>la actuación al Tribunal de origen.</w:t>
      </w:r>
    </w:p>
    <w:p w:rsidR="00AD777C" w:rsidRPr="00EE44ED" w:rsidRDefault="00AD777C" w:rsidP="00AD777C">
      <w:pPr>
        <w:spacing w:line="360" w:lineRule="auto"/>
        <w:ind w:firstLine="708"/>
        <w:rPr>
          <w:rFonts w:ascii="Bookman Old Style" w:hAnsi="Bookman Old Style" w:cs="Arial"/>
          <w:bCs/>
          <w:iCs/>
          <w:sz w:val="28"/>
          <w:szCs w:val="28"/>
        </w:rPr>
      </w:pPr>
    </w:p>
    <w:p w:rsidR="00AD777C" w:rsidRPr="00EE44ED" w:rsidRDefault="00AD777C" w:rsidP="00AD777C">
      <w:pPr>
        <w:spacing w:line="360" w:lineRule="auto"/>
        <w:ind w:firstLine="708"/>
        <w:rPr>
          <w:rFonts w:ascii="Bookman Old Style" w:hAnsi="Bookman Old Style" w:cs="Arial"/>
          <w:bCs/>
          <w:iCs/>
          <w:sz w:val="28"/>
          <w:szCs w:val="28"/>
        </w:rPr>
      </w:pPr>
      <w:r w:rsidRPr="00EE44ED">
        <w:rPr>
          <w:rFonts w:ascii="Bookman Old Style" w:hAnsi="Bookman Old Style" w:cs="Arial"/>
          <w:bCs/>
          <w:iCs/>
          <w:sz w:val="28"/>
          <w:szCs w:val="28"/>
        </w:rPr>
        <w:t>Contra esta decisión no procede recurso alguno.</w:t>
      </w:r>
    </w:p>
    <w:p w:rsidR="00AD777C" w:rsidRDefault="00AD777C" w:rsidP="00AD777C">
      <w:pPr>
        <w:spacing w:line="360" w:lineRule="auto"/>
        <w:rPr>
          <w:rFonts w:ascii="Bookman Old Style" w:hAnsi="Bookman Old Style" w:cs="Arial"/>
          <w:bCs/>
          <w:iCs/>
          <w:sz w:val="28"/>
          <w:szCs w:val="28"/>
        </w:rPr>
      </w:pPr>
    </w:p>
    <w:p w:rsidR="00AD777C" w:rsidRPr="00EE44ED" w:rsidRDefault="00AD777C" w:rsidP="00AD777C">
      <w:pPr>
        <w:spacing w:line="360" w:lineRule="auto"/>
        <w:rPr>
          <w:rFonts w:ascii="Bookman Old Style" w:hAnsi="Bookman Old Style" w:cs="Arial"/>
          <w:bCs/>
          <w:iCs/>
          <w:sz w:val="28"/>
          <w:szCs w:val="28"/>
        </w:rPr>
      </w:pPr>
    </w:p>
    <w:p w:rsidR="00AD777C" w:rsidRPr="00EE44ED" w:rsidRDefault="00AD777C" w:rsidP="00AD777C">
      <w:pPr>
        <w:spacing w:line="360" w:lineRule="auto"/>
        <w:ind w:firstLine="708"/>
        <w:rPr>
          <w:rFonts w:ascii="Bookman Old Style" w:hAnsi="Bookman Old Style" w:cs="Arial"/>
          <w:b/>
          <w:bCs/>
          <w:iCs/>
          <w:sz w:val="28"/>
          <w:szCs w:val="28"/>
        </w:rPr>
      </w:pPr>
      <w:r w:rsidRPr="00EE44ED">
        <w:rPr>
          <w:rFonts w:ascii="Bookman Old Style" w:hAnsi="Bookman Old Style" w:cs="Arial"/>
          <w:b/>
          <w:bCs/>
          <w:iCs/>
          <w:sz w:val="28"/>
          <w:szCs w:val="28"/>
        </w:rPr>
        <w:t>Notifíquese y Cúmplase.</w:t>
      </w:r>
    </w:p>
    <w:p w:rsidR="00AD777C" w:rsidRPr="00EE44ED" w:rsidRDefault="00AD777C" w:rsidP="00AD777C">
      <w:pPr>
        <w:tabs>
          <w:tab w:val="left" w:pos="-720"/>
        </w:tabs>
        <w:suppressAutoHyphens/>
        <w:spacing w:line="360" w:lineRule="auto"/>
        <w:jc w:val="center"/>
        <w:rPr>
          <w:rFonts w:ascii="Bookman Old Style" w:hAnsi="Bookman Old Style"/>
          <w:b/>
          <w:bCs/>
          <w:sz w:val="28"/>
          <w:szCs w:val="28"/>
          <w:lang w:val="es-MX"/>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lang w:val="es-MX"/>
        </w:rPr>
      </w:pPr>
    </w:p>
    <w:p w:rsidR="00AD777C" w:rsidRDefault="00AD777C" w:rsidP="00AD777C">
      <w:pPr>
        <w:tabs>
          <w:tab w:val="left" w:pos="-720"/>
        </w:tabs>
        <w:suppressAutoHyphens/>
        <w:spacing w:line="360" w:lineRule="auto"/>
        <w:jc w:val="center"/>
        <w:rPr>
          <w:rFonts w:ascii="Bookman Old Style" w:hAnsi="Bookman Old Style"/>
          <w:b/>
          <w:bCs/>
          <w:sz w:val="28"/>
          <w:szCs w:val="28"/>
          <w:lang w:val="es-MX"/>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r w:rsidRPr="00EE44ED">
        <w:rPr>
          <w:rFonts w:ascii="Bookman Old Style" w:hAnsi="Bookman Old Style"/>
          <w:b/>
          <w:bCs/>
          <w:sz w:val="28"/>
          <w:szCs w:val="28"/>
        </w:rPr>
        <w:t>JOSÉ LUIS BARCELÓ CAMACHO</w:t>
      </w: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rPr>
          <w:rFonts w:ascii="Bookman Old Style" w:hAnsi="Bookman Old Style"/>
          <w:b/>
          <w:bCs/>
          <w:sz w:val="28"/>
          <w:szCs w:val="28"/>
        </w:rPr>
      </w:pPr>
    </w:p>
    <w:p w:rsidR="00AD777C" w:rsidRDefault="00AD777C" w:rsidP="00AD777C">
      <w:pPr>
        <w:tabs>
          <w:tab w:val="left" w:pos="-720"/>
        </w:tabs>
        <w:suppressAutoHyphens/>
        <w:spacing w:line="360" w:lineRule="auto"/>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Cs/>
          <w:sz w:val="28"/>
          <w:szCs w:val="28"/>
        </w:rPr>
      </w:pPr>
      <w:r w:rsidRPr="00EE44ED">
        <w:rPr>
          <w:rFonts w:ascii="Bookman Old Style" w:hAnsi="Bookman Old Style"/>
          <w:b/>
          <w:bCs/>
          <w:sz w:val="28"/>
          <w:szCs w:val="28"/>
        </w:rPr>
        <w:t>JOSÉ LEONIDAS BUSTOS MARTÍNEZ</w:t>
      </w:r>
    </w:p>
    <w:p w:rsidR="00AD777C" w:rsidRPr="00EE44ED" w:rsidRDefault="00AD777C" w:rsidP="00AD777C">
      <w:pPr>
        <w:tabs>
          <w:tab w:val="left" w:pos="-720"/>
        </w:tabs>
        <w:suppressAutoHyphens/>
        <w:spacing w:line="360" w:lineRule="auto"/>
        <w:jc w:val="center"/>
        <w:rPr>
          <w:rFonts w:ascii="Bookman Old Style" w:hAnsi="Bookman Old Style" w:cs="Arial"/>
          <w:b/>
          <w:sz w:val="28"/>
          <w:szCs w:val="28"/>
        </w:rPr>
      </w:pPr>
    </w:p>
    <w:p w:rsidR="00AD777C" w:rsidRDefault="00AD777C" w:rsidP="00AD777C">
      <w:pPr>
        <w:tabs>
          <w:tab w:val="left" w:pos="-720"/>
        </w:tabs>
        <w:suppressAutoHyphens/>
        <w:spacing w:line="360" w:lineRule="auto"/>
        <w:jc w:val="center"/>
        <w:rPr>
          <w:rFonts w:ascii="Bookman Old Style" w:hAnsi="Bookman Old Style" w:cs="Arial"/>
          <w:b/>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lang w:val="es-MX"/>
        </w:rPr>
      </w:pPr>
    </w:p>
    <w:p w:rsidR="00AD777C" w:rsidRPr="00EE44ED" w:rsidRDefault="00AD777C" w:rsidP="00AD777C">
      <w:pPr>
        <w:tabs>
          <w:tab w:val="left" w:pos="-720"/>
        </w:tabs>
        <w:suppressAutoHyphens/>
        <w:spacing w:line="360" w:lineRule="auto"/>
        <w:jc w:val="center"/>
        <w:rPr>
          <w:rFonts w:ascii="Bookman Old Style" w:hAnsi="Bookman Old Style"/>
          <w:b/>
          <w:sz w:val="28"/>
          <w:szCs w:val="28"/>
        </w:rPr>
      </w:pPr>
      <w:r w:rsidRPr="00EE44ED">
        <w:rPr>
          <w:rFonts w:ascii="Bookman Old Style" w:hAnsi="Bookman Old Style"/>
          <w:b/>
          <w:bCs/>
          <w:sz w:val="28"/>
          <w:szCs w:val="28"/>
        </w:rPr>
        <w:t>FERNANDO ALBERTO CASTRO CABALLERO</w:t>
      </w:r>
    </w:p>
    <w:p w:rsidR="00AD777C" w:rsidRDefault="00AD777C" w:rsidP="00AD777C">
      <w:pPr>
        <w:tabs>
          <w:tab w:val="left" w:pos="-720"/>
        </w:tabs>
        <w:suppressAutoHyphens/>
        <w:spacing w:line="360" w:lineRule="auto"/>
        <w:jc w:val="center"/>
        <w:rPr>
          <w:rFonts w:ascii="Bookman Old Style" w:hAnsi="Bookman Old Style" w:cs="Arial"/>
          <w:b/>
          <w:sz w:val="28"/>
          <w:szCs w:val="28"/>
        </w:rPr>
      </w:pPr>
    </w:p>
    <w:p w:rsidR="00AD777C" w:rsidRDefault="00AD777C" w:rsidP="00AD777C">
      <w:pPr>
        <w:tabs>
          <w:tab w:val="left" w:pos="-720"/>
        </w:tabs>
        <w:suppressAutoHyphens/>
        <w:spacing w:line="360" w:lineRule="auto"/>
        <w:jc w:val="center"/>
        <w:rPr>
          <w:rFonts w:ascii="Bookman Old Style" w:hAnsi="Bookman Old Style" w:cs="Arial"/>
          <w:b/>
          <w:sz w:val="28"/>
          <w:szCs w:val="28"/>
        </w:rPr>
      </w:pPr>
    </w:p>
    <w:p w:rsidR="00AD777C" w:rsidRDefault="00AD777C" w:rsidP="00AD777C">
      <w:pPr>
        <w:tabs>
          <w:tab w:val="left" w:pos="-720"/>
        </w:tabs>
        <w:suppressAutoHyphens/>
        <w:spacing w:line="360" w:lineRule="auto"/>
        <w:jc w:val="center"/>
        <w:rPr>
          <w:rFonts w:ascii="Bookman Old Style" w:hAnsi="Bookman Old Style" w:cs="Arial"/>
          <w:b/>
          <w:sz w:val="28"/>
          <w:szCs w:val="28"/>
        </w:rPr>
      </w:pPr>
    </w:p>
    <w:p w:rsidR="00AD777C" w:rsidRPr="00EE44ED" w:rsidRDefault="00AD777C" w:rsidP="00AD777C">
      <w:pPr>
        <w:tabs>
          <w:tab w:val="left" w:pos="-720"/>
        </w:tabs>
        <w:suppressAutoHyphens/>
        <w:spacing w:line="360" w:lineRule="auto"/>
        <w:jc w:val="center"/>
        <w:rPr>
          <w:rFonts w:ascii="Bookman Old Style" w:hAnsi="Bookman Old Style" w:cs="Arial"/>
          <w:b/>
          <w:sz w:val="28"/>
          <w:szCs w:val="28"/>
        </w:rPr>
      </w:pPr>
      <w:r w:rsidRPr="00EE44ED">
        <w:rPr>
          <w:rFonts w:ascii="Bookman Old Style" w:hAnsi="Bookman Old Style" w:cs="Arial"/>
          <w:b/>
          <w:sz w:val="28"/>
          <w:szCs w:val="28"/>
        </w:rPr>
        <w:t>EUGENIO FERNÁNDEZ CARLIER</w:t>
      </w: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r w:rsidRPr="00EE44ED">
        <w:rPr>
          <w:rFonts w:ascii="Bookman Old Style" w:hAnsi="Bookman Old Style"/>
          <w:b/>
          <w:bCs/>
          <w:sz w:val="28"/>
          <w:szCs w:val="28"/>
        </w:rPr>
        <w:t>GUSTAVO ENRIQUE MALO FERNÁNDEZ</w:t>
      </w: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sz w:val="28"/>
          <w:szCs w:val="28"/>
        </w:rPr>
      </w:pPr>
      <w:r w:rsidRPr="00EE44ED">
        <w:rPr>
          <w:rFonts w:ascii="Bookman Old Style" w:hAnsi="Bookman Old Style"/>
          <w:b/>
          <w:bCs/>
          <w:sz w:val="28"/>
          <w:szCs w:val="28"/>
        </w:rPr>
        <w:t>EYDER PATIÑO CABRERA</w:t>
      </w:r>
    </w:p>
    <w:p w:rsidR="00AD777C" w:rsidRPr="00EE44ED" w:rsidRDefault="00AD777C" w:rsidP="00AD777C">
      <w:pPr>
        <w:tabs>
          <w:tab w:val="left" w:pos="-720"/>
        </w:tabs>
        <w:suppressAutoHyphens/>
        <w:spacing w:line="360" w:lineRule="auto"/>
        <w:jc w:val="center"/>
        <w:rPr>
          <w:rFonts w:ascii="Bookman Old Style" w:hAnsi="Bookman Old Style"/>
          <w:b/>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p>
    <w:p w:rsidR="00AD777C" w:rsidRDefault="00AD777C" w:rsidP="00AD777C">
      <w:pPr>
        <w:tabs>
          <w:tab w:val="left" w:pos="-720"/>
        </w:tabs>
        <w:suppressAutoHyphens/>
        <w:spacing w:line="360" w:lineRule="auto"/>
        <w:jc w:val="center"/>
        <w:rPr>
          <w:rFonts w:ascii="Bookman Old Style" w:hAnsi="Bookman Old Style"/>
          <w:b/>
          <w:bCs/>
          <w:sz w:val="28"/>
          <w:szCs w:val="28"/>
        </w:rPr>
      </w:pPr>
    </w:p>
    <w:p w:rsidR="00AD777C" w:rsidRPr="00EE44ED" w:rsidRDefault="00AD777C" w:rsidP="00AD777C">
      <w:pPr>
        <w:tabs>
          <w:tab w:val="left" w:pos="-720"/>
        </w:tabs>
        <w:suppressAutoHyphens/>
        <w:spacing w:line="360" w:lineRule="auto"/>
        <w:jc w:val="center"/>
        <w:rPr>
          <w:rFonts w:ascii="Bookman Old Style" w:hAnsi="Bookman Old Style" w:cs="Arial"/>
          <w:b/>
          <w:sz w:val="28"/>
          <w:szCs w:val="28"/>
        </w:rPr>
      </w:pPr>
      <w:r w:rsidRPr="00EE44ED">
        <w:rPr>
          <w:rFonts w:ascii="Bookman Old Style" w:hAnsi="Bookman Old Style" w:cs="Arial"/>
          <w:b/>
          <w:sz w:val="28"/>
          <w:szCs w:val="28"/>
        </w:rPr>
        <w:t>PATRICIA SALAZAR CUÉLLAR</w:t>
      </w:r>
    </w:p>
    <w:p w:rsidR="00AD777C" w:rsidRDefault="00AD777C" w:rsidP="00AD777C">
      <w:pPr>
        <w:tabs>
          <w:tab w:val="left" w:pos="-720"/>
        </w:tabs>
        <w:suppressAutoHyphens/>
        <w:spacing w:line="360" w:lineRule="auto"/>
        <w:jc w:val="center"/>
        <w:rPr>
          <w:rFonts w:ascii="Bookman Old Style" w:hAnsi="Bookman Old Style" w:cs="Arial"/>
          <w:b/>
          <w:sz w:val="28"/>
          <w:szCs w:val="28"/>
        </w:rPr>
      </w:pPr>
    </w:p>
    <w:p w:rsidR="00AD777C" w:rsidRPr="00EE44ED" w:rsidRDefault="00AD777C" w:rsidP="00AD777C">
      <w:pPr>
        <w:tabs>
          <w:tab w:val="left" w:pos="-720"/>
        </w:tabs>
        <w:suppressAutoHyphens/>
        <w:spacing w:line="360" w:lineRule="auto"/>
        <w:jc w:val="center"/>
        <w:rPr>
          <w:rFonts w:ascii="Bookman Old Style" w:hAnsi="Bookman Old Style" w:cs="Arial"/>
          <w:b/>
          <w:sz w:val="28"/>
          <w:szCs w:val="28"/>
        </w:rPr>
      </w:pPr>
    </w:p>
    <w:p w:rsidR="00AD777C" w:rsidRPr="00EE44ED" w:rsidRDefault="00AD777C" w:rsidP="00AD777C">
      <w:pPr>
        <w:tabs>
          <w:tab w:val="left" w:pos="-720"/>
        </w:tabs>
        <w:suppressAutoHyphens/>
        <w:spacing w:line="360" w:lineRule="auto"/>
        <w:jc w:val="center"/>
        <w:rPr>
          <w:rFonts w:ascii="Bookman Old Style" w:hAnsi="Bookman Old Style" w:cs="Arial"/>
          <w:b/>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bCs/>
          <w:sz w:val="28"/>
          <w:szCs w:val="28"/>
        </w:rPr>
      </w:pPr>
      <w:r w:rsidRPr="00EE44ED">
        <w:rPr>
          <w:rFonts w:ascii="Bookman Old Style" w:hAnsi="Bookman Old Style"/>
          <w:b/>
          <w:bCs/>
          <w:sz w:val="28"/>
          <w:szCs w:val="28"/>
        </w:rPr>
        <w:t>LUIS GUILLERMO SALAZAR OTERO</w:t>
      </w:r>
      <w:r w:rsidRPr="00EE44ED">
        <w:rPr>
          <w:rFonts w:ascii="Bookman Old Style" w:hAnsi="Bookman Old Style"/>
          <w:b/>
          <w:bCs/>
          <w:sz w:val="28"/>
          <w:szCs w:val="28"/>
        </w:rPr>
        <w:br/>
      </w:r>
    </w:p>
    <w:p w:rsidR="00AD777C" w:rsidRDefault="00AD777C" w:rsidP="00AD777C">
      <w:pPr>
        <w:tabs>
          <w:tab w:val="left" w:pos="-720"/>
        </w:tabs>
        <w:suppressAutoHyphens/>
        <w:spacing w:line="360" w:lineRule="auto"/>
        <w:jc w:val="center"/>
        <w:rPr>
          <w:rFonts w:ascii="Bookman Old Style" w:hAnsi="Bookman Old Style"/>
          <w:sz w:val="28"/>
          <w:szCs w:val="28"/>
        </w:rPr>
      </w:pPr>
    </w:p>
    <w:p w:rsidR="00AD777C" w:rsidRDefault="00AD777C" w:rsidP="00AD777C">
      <w:pPr>
        <w:tabs>
          <w:tab w:val="left" w:pos="-720"/>
        </w:tabs>
        <w:suppressAutoHyphens/>
        <w:spacing w:line="360" w:lineRule="auto"/>
        <w:jc w:val="center"/>
        <w:rPr>
          <w:rFonts w:ascii="Bookman Old Style" w:hAnsi="Bookman Old Style"/>
          <w:sz w:val="28"/>
          <w:szCs w:val="28"/>
        </w:rPr>
      </w:pPr>
    </w:p>
    <w:p w:rsidR="00AD777C" w:rsidRPr="00EE44ED" w:rsidRDefault="00AD777C" w:rsidP="00AD777C">
      <w:pPr>
        <w:tabs>
          <w:tab w:val="left" w:pos="-720"/>
        </w:tabs>
        <w:suppressAutoHyphens/>
        <w:spacing w:line="360" w:lineRule="auto"/>
        <w:jc w:val="center"/>
        <w:rPr>
          <w:rFonts w:ascii="Bookman Old Style" w:hAnsi="Bookman Old Style"/>
          <w:b/>
          <w:sz w:val="28"/>
          <w:szCs w:val="28"/>
        </w:rPr>
      </w:pPr>
      <w:r w:rsidRPr="00EE44ED">
        <w:rPr>
          <w:rFonts w:ascii="Bookman Old Style" w:hAnsi="Bookman Old Style"/>
          <w:b/>
          <w:sz w:val="28"/>
          <w:szCs w:val="28"/>
        </w:rPr>
        <w:t>NUBIA YOLANDA NOVA GARCÍA</w:t>
      </w:r>
    </w:p>
    <w:p w:rsidR="00AD777C" w:rsidRPr="00EE44ED" w:rsidRDefault="00AD777C" w:rsidP="00AD777C">
      <w:pPr>
        <w:tabs>
          <w:tab w:val="left" w:pos="-720"/>
        </w:tabs>
        <w:suppressAutoHyphens/>
        <w:spacing w:line="360" w:lineRule="auto"/>
        <w:jc w:val="center"/>
        <w:rPr>
          <w:rFonts w:ascii="Bookman Old Style" w:hAnsi="Bookman Old Style"/>
          <w:sz w:val="28"/>
          <w:szCs w:val="28"/>
        </w:rPr>
      </w:pPr>
      <w:r w:rsidRPr="00EE44ED">
        <w:rPr>
          <w:rFonts w:ascii="Bookman Old Style" w:hAnsi="Bookman Old Style"/>
          <w:sz w:val="28"/>
          <w:szCs w:val="28"/>
        </w:rPr>
        <w:t>Secretaria</w:t>
      </w:r>
    </w:p>
    <w:p w:rsidR="00AD777C" w:rsidRPr="00EE44ED" w:rsidRDefault="00AD777C" w:rsidP="00AD777C">
      <w:pPr>
        <w:tabs>
          <w:tab w:val="left" w:pos="-720"/>
        </w:tabs>
        <w:suppressAutoHyphens/>
        <w:spacing w:line="360" w:lineRule="auto"/>
        <w:jc w:val="center"/>
        <w:rPr>
          <w:rFonts w:ascii="Bookman Old Style" w:hAnsi="Bookman Old Style"/>
          <w:sz w:val="28"/>
          <w:szCs w:val="28"/>
        </w:rPr>
      </w:pPr>
    </w:p>
    <w:p w:rsidR="00AD777C" w:rsidRPr="00EE44ED" w:rsidRDefault="00AD777C" w:rsidP="00AD777C">
      <w:pPr>
        <w:tabs>
          <w:tab w:val="left" w:pos="-720"/>
        </w:tabs>
        <w:suppressAutoHyphens/>
        <w:spacing w:line="360" w:lineRule="auto"/>
        <w:jc w:val="center"/>
        <w:rPr>
          <w:rFonts w:ascii="Bookman Old Style" w:hAnsi="Bookman Old Style"/>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Default="00AD777C" w:rsidP="00AD777C">
      <w:pPr>
        <w:jc w:val="center"/>
        <w:rPr>
          <w:rFonts w:ascii="Bookman Old Style" w:hAnsi="Bookman Old Style"/>
          <w:b/>
          <w:sz w:val="28"/>
          <w:szCs w:val="28"/>
        </w:rPr>
      </w:pPr>
    </w:p>
    <w:p w:rsidR="00AD777C" w:rsidRPr="00EE44ED" w:rsidRDefault="00AD777C" w:rsidP="00AD777C">
      <w:pPr>
        <w:ind w:left="360"/>
        <w:jc w:val="both"/>
        <w:rPr>
          <w:rFonts w:ascii="Bookman Old Style" w:hAnsi="Bookman Old Style"/>
          <w:b/>
          <w:sz w:val="28"/>
          <w:szCs w:val="28"/>
        </w:rPr>
      </w:pPr>
    </w:p>
    <w:p w:rsidR="00AD777C" w:rsidRDefault="00AD777C" w:rsidP="00AD777C">
      <w:pPr>
        <w:rPr>
          <w:sz w:val="28"/>
          <w:szCs w:val="28"/>
        </w:rPr>
      </w:pPr>
    </w:p>
    <w:p w:rsidR="00AD777C" w:rsidRDefault="00AD777C" w:rsidP="00AD777C">
      <w:pPr>
        <w:rPr>
          <w:sz w:val="28"/>
          <w:szCs w:val="28"/>
        </w:rPr>
      </w:pPr>
    </w:p>
    <w:p w:rsidR="00AD777C" w:rsidRPr="00DD39E5" w:rsidRDefault="00AD777C" w:rsidP="00AD777C">
      <w:pPr>
        <w:rPr>
          <w:color w:val="8EAADB"/>
          <w:sz w:val="28"/>
          <w:szCs w:val="28"/>
        </w:rPr>
      </w:pPr>
    </w:p>
    <w:p w:rsidR="00AD777C" w:rsidRPr="00DD39E5" w:rsidRDefault="00AD777C" w:rsidP="00AD777C">
      <w:pPr>
        <w:rPr>
          <w:color w:val="8EAADB"/>
          <w:sz w:val="28"/>
          <w:szCs w:val="28"/>
        </w:rPr>
      </w:pPr>
    </w:p>
    <w:p w:rsidR="002C3E38" w:rsidRDefault="002C3E38" w:rsidP="002C3E38"/>
    <w:p w:rsidR="00312032" w:rsidRDefault="00312032"/>
    <w:sectPr w:rsidR="00312032">
      <w:footerReference w:type="default" r:id="rId7"/>
      <w:pgSz w:w="12242" w:h="15842"/>
      <w:pgMar w:top="2127" w:right="1701" w:bottom="1560" w:left="2268" w:header="720" w:footer="1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E8C" w:rsidRDefault="00983E8C" w:rsidP="00AD777C">
      <w:r>
        <w:separator/>
      </w:r>
    </w:p>
  </w:endnote>
  <w:endnote w:type="continuationSeparator" w:id="0">
    <w:p w:rsidR="00983E8C" w:rsidRDefault="00983E8C" w:rsidP="00AD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akkal Majalla">
    <w:panose1 w:val="02000000000000000000"/>
    <w:charset w:val="00"/>
    <w:family w:val="auto"/>
    <w:pitch w:val="variable"/>
    <w:sig w:usb0="A000207F" w:usb1="C000204B"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98" w:rsidRDefault="00AD777C">
    <w:pPr>
      <w:pStyle w:val="Piedepgina"/>
      <w:pBdr>
        <w:top w:val="single" w:sz="6" w:space="1" w:color="auto"/>
        <w:left w:val="single" w:sz="6" w:space="1" w:color="auto"/>
        <w:bottom w:val="single" w:sz="6" w:space="1" w:color="auto"/>
        <w:right w:val="single" w:sz="6" w:space="1" w:color="auto"/>
      </w:pBdr>
      <w:shd w:val="pct5" w:color="auto" w:fill="auto"/>
      <w:rPr>
        <w:rFonts w:ascii="Bookman Old Style" w:hAnsi="Bookman Old Style"/>
        <w:i/>
        <w:sz w:val="14"/>
      </w:rPr>
    </w:pPr>
    <w:r>
      <w:rPr>
        <w:rFonts w:ascii="Bookman Old Style" w:hAnsi="Bookman Old Style"/>
        <w:i/>
        <w:sz w:val="14"/>
      </w:rPr>
      <w:t xml:space="preserve">LFRA.        </w:t>
    </w:r>
    <w:r>
      <w:rPr>
        <w:rFonts w:ascii="Bookman Old Style" w:hAnsi="Bookman Old Style"/>
        <w:i/>
        <w:sz w:val="14"/>
      </w:rPr>
      <w:fldChar w:fldCharType="begin"/>
    </w:r>
    <w:r>
      <w:rPr>
        <w:rFonts w:ascii="Bookman Old Style" w:hAnsi="Bookman Old Style"/>
        <w:i/>
        <w:sz w:val="14"/>
      </w:rPr>
      <w:instrText xml:space="preserve"> TIME \@ "d/M/aa H:mm" </w:instrText>
    </w:r>
    <w:r>
      <w:rPr>
        <w:rFonts w:ascii="Bookman Old Style" w:hAnsi="Bookman Old Style"/>
        <w:i/>
        <w:sz w:val="14"/>
      </w:rPr>
      <w:fldChar w:fldCharType="separate"/>
    </w:r>
    <w:r w:rsidR="002A19E8">
      <w:rPr>
        <w:rFonts w:ascii="Bookman Old Style" w:hAnsi="Bookman Old Style"/>
        <w:i/>
        <w:noProof/>
        <w:sz w:val="14"/>
      </w:rPr>
      <w:t>26/6/a 15:53</w:t>
    </w:r>
    <w:r>
      <w:rPr>
        <w:rFonts w:ascii="Bookman Old Style" w:hAnsi="Bookman Old Style"/>
        <w:i/>
        <w:sz w:val="14"/>
      </w:rPr>
      <w:fldChar w:fldCharType="end"/>
    </w:r>
    <w:r>
      <w:rPr>
        <w:rFonts w:ascii="Bookman Old Style" w:hAnsi="Bookman Old Style"/>
        <w:i/>
        <w:sz w:val="14"/>
      </w:rPr>
      <w:t xml:space="preserve">                                                                        C.R.                              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E8C" w:rsidRDefault="00983E8C" w:rsidP="00AD777C">
      <w:r>
        <w:separator/>
      </w:r>
    </w:p>
  </w:footnote>
  <w:footnote w:type="continuationSeparator" w:id="0">
    <w:p w:rsidR="00983E8C" w:rsidRDefault="00983E8C" w:rsidP="00AD777C">
      <w:r>
        <w:continuationSeparator/>
      </w:r>
    </w:p>
  </w:footnote>
  <w:footnote w:id="1">
    <w:p w:rsidR="00AD777C" w:rsidRPr="0090315E" w:rsidRDefault="00AD777C" w:rsidP="00AD777C">
      <w:pPr>
        <w:pStyle w:val="Textonotapie"/>
        <w:jc w:val="both"/>
        <w:rPr>
          <w:rFonts w:ascii="Bookman Old Style" w:hAnsi="Bookman Old Style"/>
          <w:lang w:val="es-CO"/>
        </w:rPr>
      </w:pPr>
      <w:r w:rsidRPr="0090315E">
        <w:rPr>
          <w:rStyle w:val="Refdenotaalpie"/>
          <w:rFonts w:ascii="Bookman Old Style" w:hAnsi="Bookman Old Style"/>
        </w:rPr>
        <w:footnoteRef/>
      </w:r>
      <w:r w:rsidRPr="0090315E">
        <w:rPr>
          <w:rFonts w:ascii="Bookman Old Style" w:hAnsi="Bookman Old Style"/>
        </w:rPr>
        <w:t xml:space="preserve">  José Alberto Leguízamo Velásquez, Ismael Vicente Urazán González, Yudi Marinella Castillo Africano, Edilberto Carrero López, Álvaro Maldonado Chaya, Jairo Alberto Moya Moya y Juan Carlos Córdoba Correa.  </w:t>
      </w:r>
      <w:r w:rsidRPr="0090315E">
        <w:rPr>
          <w:rFonts w:ascii="Bookman Old Style" w:hAnsi="Bookman Old Style"/>
          <w:lang w:val="es-CO"/>
        </w:rPr>
        <w:t xml:space="preserve">Conforme al auto del Tribunal </w:t>
      </w:r>
      <w:r w:rsidRPr="0090315E">
        <w:rPr>
          <w:rFonts w:ascii="Bookman Old Style" w:hAnsi="Bookman Old Style"/>
          <w:i/>
          <w:lang w:val="es-CO"/>
        </w:rPr>
        <w:t>A quo</w:t>
      </w:r>
      <w:r w:rsidRPr="0090315E">
        <w:rPr>
          <w:rFonts w:ascii="Bookman Old Style" w:hAnsi="Bookman Old Style"/>
          <w:lang w:val="es-CO"/>
        </w:rPr>
        <w:t>, de fecha 4 de febrero de 2014.</w:t>
      </w:r>
    </w:p>
  </w:footnote>
  <w:footnote w:id="2">
    <w:p w:rsidR="00AD777C" w:rsidRPr="0090315E" w:rsidRDefault="00AD777C" w:rsidP="00AD777C">
      <w:pPr>
        <w:pStyle w:val="Textonotapie"/>
        <w:rPr>
          <w:rFonts w:ascii="Bookman Old Style" w:hAnsi="Bookman Old Style"/>
          <w:lang w:val="es-CO"/>
        </w:rPr>
      </w:pPr>
      <w:r w:rsidRPr="0090315E">
        <w:rPr>
          <w:rStyle w:val="Refdenotaalpie"/>
          <w:rFonts w:ascii="Bookman Old Style" w:hAnsi="Bookman Old Style"/>
        </w:rPr>
        <w:footnoteRef/>
      </w:r>
      <w:r w:rsidRPr="0090315E">
        <w:rPr>
          <w:rFonts w:ascii="Bookman Old Style" w:hAnsi="Bookman Old Style"/>
        </w:rPr>
        <w:t xml:space="preserve"> </w:t>
      </w:r>
      <w:r w:rsidRPr="0090315E">
        <w:rPr>
          <w:rFonts w:ascii="Bookman Old Style" w:hAnsi="Bookman Old Style"/>
          <w:lang w:val="es-CO"/>
        </w:rPr>
        <w:t>También conocido con los alias</w:t>
      </w:r>
      <w:r w:rsidRPr="0090315E">
        <w:rPr>
          <w:rFonts w:ascii="Bookman Old Style" w:hAnsi="Bookman Old Style"/>
          <w:i/>
          <w:lang w:val="es-CO"/>
        </w:rPr>
        <w:t xml:space="preserve"> Guillermo Torres, el colorado, porrelón o el cabezón.</w:t>
      </w:r>
      <w:r w:rsidRPr="0090315E">
        <w:rPr>
          <w:rFonts w:ascii="Bookman Old Style" w:hAnsi="Bookman Old Style"/>
          <w:lang w:val="es-CO"/>
        </w:rPr>
        <w:t xml:space="preserve"> </w:t>
      </w:r>
    </w:p>
  </w:footnote>
  <w:footnote w:id="3">
    <w:p w:rsidR="00AD777C" w:rsidRPr="0090315E" w:rsidRDefault="00AD777C" w:rsidP="00AD777C">
      <w:pPr>
        <w:pStyle w:val="Textonotapie"/>
        <w:rPr>
          <w:rFonts w:ascii="Bookman Old Style" w:hAnsi="Bookman Old Style"/>
          <w:lang w:val="es-CO"/>
        </w:rPr>
      </w:pPr>
      <w:r w:rsidRPr="0090315E">
        <w:rPr>
          <w:rStyle w:val="Refdenotaalpie"/>
          <w:rFonts w:ascii="Bookman Old Style" w:hAnsi="Bookman Old Style"/>
        </w:rPr>
        <w:footnoteRef/>
      </w:r>
      <w:r w:rsidRPr="0090315E">
        <w:rPr>
          <w:rFonts w:ascii="Bookman Old Style" w:hAnsi="Bookman Old Style"/>
        </w:rPr>
        <w:t xml:space="preserve"> </w:t>
      </w:r>
      <w:r w:rsidRPr="0090315E">
        <w:rPr>
          <w:rFonts w:ascii="Bookman Old Style" w:hAnsi="Bookman Old Style"/>
          <w:lang w:val="es-CO"/>
        </w:rPr>
        <w:t xml:space="preserve">Alias </w:t>
      </w:r>
      <w:r w:rsidRPr="0090315E">
        <w:rPr>
          <w:rFonts w:ascii="Bookman Old Style" w:hAnsi="Bookman Old Style"/>
          <w:i/>
          <w:lang w:val="es-CO"/>
        </w:rPr>
        <w:t>águila.</w:t>
      </w:r>
    </w:p>
  </w:footnote>
  <w:footnote w:id="4">
    <w:p w:rsidR="00AD777C" w:rsidRPr="0090315E" w:rsidRDefault="00AD777C" w:rsidP="00AD777C">
      <w:pPr>
        <w:pStyle w:val="Textonotapie"/>
        <w:rPr>
          <w:rFonts w:ascii="Bookman Old Style" w:hAnsi="Bookman Old Style"/>
          <w:lang w:val="es-CO"/>
        </w:rPr>
      </w:pPr>
      <w:r w:rsidRPr="0090315E">
        <w:rPr>
          <w:rStyle w:val="Refdenotaalpie"/>
          <w:rFonts w:ascii="Bookman Old Style" w:hAnsi="Bookman Old Style"/>
        </w:rPr>
        <w:footnoteRef/>
      </w:r>
      <w:r w:rsidRPr="0090315E">
        <w:rPr>
          <w:rFonts w:ascii="Bookman Old Style" w:hAnsi="Bookman Old Style"/>
        </w:rPr>
        <w:t xml:space="preserve"> </w:t>
      </w:r>
      <w:r w:rsidRPr="0090315E">
        <w:rPr>
          <w:rFonts w:ascii="Bookman Old Style" w:hAnsi="Bookman Old Style"/>
          <w:lang w:val="es-CO"/>
        </w:rPr>
        <w:t xml:space="preserve">Alias </w:t>
      </w:r>
      <w:r w:rsidRPr="0090315E">
        <w:rPr>
          <w:rFonts w:ascii="Bookman Old Style" w:hAnsi="Bookman Old Style"/>
          <w:i/>
          <w:lang w:val="es-CO"/>
        </w:rPr>
        <w:t>alfa uno.</w:t>
      </w:r>
    </w:p>
  </w:footnote>
  <w:footnote w:id="5">
    <w:p w:rsidR="00AD777C" w:rsidRPr="0044156E" w:rsidRDefault="00AD777C" w:rsidP="00AD777C">
      <w:pPr>
        <w:pStyle w:val="Textonotapie"/>
        <w:rPr>
          <w:lang w:val="es-CO"/>
        </w:rPr>
      </w:pPr>
      <w:r>
        <w:rPr>
          <w:rStyle w:val="Refdenotaalpie"/>
        </w:rPr>
        <w:footnoteRef/>
      </w:r>
      <w:r>
        <w:t xml:space="preserve"> </w:t>
      </w:r>
      <w:r>
        <w:rPr>
          <w:lang w:val="es-CO"/>
        </w:rPr>
        <w:t xml:space="preserve">Conocido como  </w:t>
      </w:r>
      <w:r w:rsidRPr="00816FDB">
        <w:rPr>
          <w:rFonts w:ascii="Bookman Old Style" w:hAnsi="Bookman Old Style"/>
          <w:i/>
          <w:lang w:val="es-CO"/>
        </w:rPr>
        <w:t>Orlando,</w:t>
      </w:r>
      <w:r>
        <w:rPr>
          <w:lang w:val="es-CO"/>
        </w:rPr>
        <w:t xml:space="preserve"> </w:t>
      </w:r>
      <w:r w:rsidRPr="0044156E">
        <w:rPr>
          <w:i/>
          <w:lang w:val="es-CO"/>
        </w:rPr>
        <w:t>Miguelito.</w:t>
      </w:r>
    </w:p>
  </w:footnote>
  <w:footnote w:id="6">
    <w:p w:rsidR="00AD777C" w:rsidRPr="00985112" w:rsidRDefault="00AD777C" w:rsidP="00AD777C">
      <w:pPr>
        <w:pStyle w:val="Textonotapie"/>
        <w:jc w:val="both"/>
        <w:rPr>
          <w:rFonts w:ascii="Bookman Old Style" w:hAnsi="Bookman Old Style"/>
          <w:lang w:val="es-CO"/>
        </w:rPr>
      </w:pPr>
      <w:r w:rsidRPr="00985112">
        <w:rPr>
          <w:rStyle w:val="Refdenotaalpie"/>
          <w:rFonts w:ascii="Bookman Old Style" w:hAnsi="Bookman Old Style"/>
        </w:rPr>
        <w:footnoteRef/>
      </w:r>
      <w:r w:rsidRPr="00985112">
        <w:rPr>
          <w:rFonts w:ascii="Bookman Old Style" w:hAnsi="Bookman Old Style"/>
        </w:rPr>
        <w:t xml:space="preserve"> </w:t>
      </w:r>
      <w:r w:rsidRPr="00985112">
        <w:rPr>
          <w:rFonts w:ascii="Bookman Old Style" w:hAnsi="Bookman Old Style"/>
          <w:lang w:val="es-CO"/>
        </w:rPr>
        <w:t>Según información que se obtiene del documento «Estatutos de constitución del régimen disciplinarios de las ACMV»</w:t>
      </w:r>
    </w:p>
  </w:footnote>
  <w:footnote w:id="7">
    <w:p w:rsidR="00AD777C" w:rsidRPr="00985112" w:rsidRDefault="00AD777C" w:rsidP="00AD777C">
      <w:pPr>
        <w:pStyle w:val="Textonotapie"/>
        <w:rPr>
          <w:rFonts w:ascii="Bookman Old Style" w:hAnsi="Bookman Old Style"/>
          <w:lang w:val="es-CO"/>
        </w:rPr>
      </w:pPr>
      <w:r w:rsidRPr="00985112">
        <w:rPr>
          <w:rStyle w:val="Refdenotaalpie"/>
          <w:rFonts w:ascii="Bookman Old Style" w:hAnsi="Bookman Old Style"/>
        </w:rPr>
        <w:footnoteRef/>
      </w:r>
      <w:r w:rsidRPr="00985112">
        <w:rPr>
          <w:rFonts w:ascii="Bookman Old Style" w:hAnsi="Bookman Old Style"/>
        </w:rPr>
        <w:t xml:space="preserve"> </w:t>
      </w:r>
      <w:r w:rsidRPr="00985112">
        <w:rPr>
          <w:rFonts w:ascii="Bookman Old Style" w:hAnsi="Bookman Old Style" w:cs="Arial"/>
          <w:shd w:val="clear" w:color="auto" w:fill="FFFFFF"/>
        </w:rPr>
        <w:t>el grupo paramilitar de Héctor Buitrago, alias ‘Martín Llanos’</w:t>
      </w:r>
      <w:r>
        <w:rPr>
          <w:rFonts w:ascii="Bookman Old Style" w:hAnsi="Bookman Old Style" w:cs="Arial"/>
          <w:shd w:val="clear" w:color="auto" w:fill="FFFFFF"/>
        </w:rPr>
        <w:t>.</w:t>
      </w:r>
    </w:p>
  </w:footnote>
  <w:footnote w:id="8">
    <w:p w:rsidR="00AD777C" w:rsidRPr="00C50572" w:rsidRDefault="00AD777C" w:rsidP="00AD777C">
      <w:pPr>
        <w:pStyle w:val="Textonotapie"/>
        <w:jc w:val="both"/>
        <w:rPr>
          <w:lang w:val="es-CO"/>
        </w:rPr>
      </w:pPr>
      <w:r>
        <w:rPr>
          <w:rStyle w:val="Refdenotaalpie"/>
        </w:rPr>
        <w:footnoteRef/>
      </w:r>
      <w:r w:rsidRPr="00781ED0">
        <w:t xml:space="preserve"> </w:t>
      </w:r>
      <w:r>
        <w:rPr>
          <w:rFonts w:ascii="Bookman Old Style" w:hAnsi="Bookman Old Style"/>
        </w:rPr>
        <w:t>E</w:t>
      </w:r>
      <w:r w:rsidRPr="00781ED0">
        <w:rPr>
          <w:rFonts w:ascii="Bookman Old Style" w:hAnsi="Bookman Old Style"/>
        </w:rPr>
        <w:t>n la vereda San Miguel del municipio de Puerto Gaitán (Meta).</w:t>
      </w:r>
      <w:r>
        <w:rPr>
          <w:rFonts w:ascii="Bookman Old Style" w:hAnsi="Bookman Old Style"/>
        </w:rPr>
        <w:t xml:space="preserve"> </w:t>
      </w:r>
      <w:r w:rsidRPr="00C50572">
        <w:rPr>
          <w:rFonts w:ascii="Bookman Old Style" w:hAnsi="Bookman Old Style"/>
          <w:lang w:val="es-CO"/>
        </w:rPr>
        <w:t>En total fueron 209 integrantes de</w:t>
      </w:r>
      <w:r>
        <w:rPr>
          <w:rFonts w:ascii="Bookman Old Style" w:hAnsi="Bookman Old Style"/>
          <w:lang w:val="es-CO"/>
        </w:rPr>
        <w:t>l grupo armado ilegal</w:t>
      </w:r>
      <w:r w:rsidRPr="00C50572">
        <w:rPr>
          <w:rFonts w:ascii="Bookman Old Style" w:hAnsi="Bookman Old Style"/>
          <w:lang w:val="es-CO"/>
        </w:rPr>
        <w:t xml:space="preserve"> que permanecieron en la finca ‘La Marí</w:t>
      </w:r>
      <w:r>
        <w:rPr>
          <w:rFonts w:ascii="Bookman Old Style" w:hAnsi="Bookman Old Style"/>
          <w:lang w:val="es-CO"/>
        </w:rPr>
        <w:t>a’</w:t>
      </w:r>
      <w:r w:rsidRPr="00C50572">
        <w:rPr>
          <w:rFonts w:ascii="Bookman Old Style" w:hAnsi="Bookman Old Style"/>
          <w:lang w:val="es-CO"/>
        </w:rPr>
        <w:t>.</w:t>
      </w:r>
    </w:p>
    <w:p w:rsidR="00AD777C" w:rsidRPr="00781ED0" w:rsidRDefault="00AD777C" w:rsidP="00AD777C">
      <w:pPr>
        <w:pStyle w:val="Textonotapie"/>
        <w:jc w:val="both"/>
        <w:rPr>
          <w:lang w:val="es-CO"/>
        </w:rPr>
      </w:pPr>
    </w:p>
  </w:footnote>
  <w:footnote w:id="9">
    <w:p w:rsidR="00AD777C" w:rsidRPr="002E7223" w:rsidRDefault="00AD777C" w:rsidP="00AD777C">
      <w:pPr>
        <w:pStyle w:val="Textonotapie"/>
        <w:rPr>
          <w:rFonts w:ascii="Bookman Old Style" w:hAnsi="Bookman Old Style"/>
          <w:lang w:val="es-CO"/>
        </w:rPr>
      </w:pPr>
      <w:r w:rsidRPr="002E7223">
        <w:rPr>
          <w:rStyle w:val="Refdenotaalpie"/>
          <w:rFonts w:ascii="Bookman Old Style" w:hAnsi="Bookman Old Style"/>
        </w:rPr>
        <w:footnoteRef/>
      </w:r>
      <w:r w:rsidRPr="002E7223">
        <w:rPr>
          <w:rFonts w:ascii="Bookman Old Style" w:hAnsi="Bookman Old Style"/>
        </w:rPr>
        <w:t xml:space="preserve"> </w:t>
      </w:r>
      <w:r w:rsidRPr="002E7223">
        <w:rPr>
          <w:rFonts w:ascii="Bookman Old Style" w:hAnsi="Bookman Old Style"/>
          <w:lang w:val="es-CO"/>
        </w:rPr>
        <w:t>Carpetas de inicio de trámite.</w:t>
      </w:r>
    </w:p>
  </w:footnote>
  <w:footnote w:id="10">
    <w:p w:rsidR="00AD777C" w:rsidRPr="00ED3598" w:rsidRDefault="00AD777C" w:rsidP="00AD777C">
      <w:pPr>
        <w:pStyle w:val="Textonotapie"/>
        <w:rPr>
          <w:rFonts w:ascii="Bookman Old Style" w:hAnsi="Bookman Old Style"/>
          <w:lang w:val="es-CO"/>
        </w:rPr>
      </w:pPr>
      <w:r w:rsidRPr="00ED3598">
        <w:rPr>
          <w:rStyle w:val="Refdenotaalpie"/>
          <w:rFonts w:ascii="Bookman Old Style" w:hAnsi="Bookman Old Style"/>
        </w:rPr>
        <w:footnoteRef/>
      </w:r>
      <w:r w:rsidRPr="00ED3598">
        <w:rPr>
          <w:rFonts w:ascii="Bookman Old Style" w:hAnsi="Bookman Old Style"/>
        </w:rPr>
        <w:t xml:space="preserve"> </w:t>
      </w:r>
      <w:r w:rsidRPr="00ED3598">
        <w:rPr>
          <w:rFonts w:ascii="Bookman Old Style" w:hAnsi="Bookman Old Style"/>
          <w:lang w:val="es-CO"/>
        </w:rPr>
        <w:t>Radicado 110016000253200680007.</w:t>
      </w:r>
    </w:p>
  </w:footnote>
  <w:footnote w:id="11">
    <w:p w:rsidR="00AD777C" w:rsidRPr="00ED3598" w:rsidRDefault="00AD777C" w:rsidP="00AD777C">
      <w:pPr>
        <w:pStyle w:val="Textonotapie"/>
        <w:rPr>
          <w:rFonts w:ascii="Bookman Old Style" w:hAnsi="Bookman Old Style"/>
          <w:lang w:val="es-CO"/>
        </w:rPr>
      </w:pPr>
      <w:r w:rsidRPr="00ED3598">
        <w:rPr>
          <w:rStyle w:val="Refdenotaalpie"/>
          <w:rFonts w:ascii="Bookman Old Style" w:hAnsi="Bookman Old Style"/>
        </w:rPr>
        <w:footnoteRef/>
      </w:r>
      <w:r w:rsidRPr="00ED3598">
        <w:rPr>
          <w:rFonts w:ascii="Bookman Old Style" w:hAnsi="Bookman Old Style"/>
        </w:rPr>
        <w:t xml:space="preserve"> </w:t>
      </w:r>
      <w:r w:rsidRPr="00ED3598">
        <w:rPr>
          <w:rFonts w:ascii="Bookman Old Style" w:hAnsi="Bookman Old Style"/>
          <w:lang w:val="es-CO"/>
        </w:rPr>
        <w:t>Radicado 110016000253200680593.</w:t>
      </w:r>
    </w:p>
  </w:footnote>
  <w:footnote w:id="12">
    <w:p w:rsidR="00AD777C" w:rsidRPr="0090315E" w:rsidRDefault="00AD777C" w:rsidP="00AD777C">
      <w:pPr>
        <w:pStyle w:val="Textonotapie"/>
        <w:rPr>
          <w:rFonts w:ascii="Bookman Old Style" w:hAnsi="Bookman Old Style"/>
          <w:lang w:val="es-CO"/>
        </w:rPr>
      </w:pPr>
      <w:r w:rsidRPr="00ED3598">
        <w:rPr>
          <w:rStyle w:val="Refdenotaalpie"/>
          <w:rFonts w:ascii="Bookman Old Style" w:hAnsi="Bookman Old Style"/>
        </w:rPr>
        <w:footnoteRef/>
      </w:r>
      <w:r w:rsidRPr="00ED3598">
        <w:rPr>
          <w:rFonts w:ascii="Bookman Old Style" w:hAnsi="Bookman Old Style"/>
        </w:rPr>
        <w:t xml:space="preserve"> </w:t>
      </w:r>
      <w:r w:rsidRPr="00ED3598">
        <w:rPr>
          <w:rFonts w:ascii="Bookman Old Style" w:hAnsi="Bookman Old Style"/>
          <w:lang w:val="es-CO"/>
        </w:rPr>
        <w:t>Radicado 110016000253200680592.</w:t>
      </w:r>
    </w:p>
  </w:footnote>
  <w:footnote w:id="13">
    <w:p w:rsidR="00AD777C" w:rsidRPr="0090315E" w:rsidRDefault="00AD777C" w:rsidP="00AD777C">
      <w:pPr>
        <w:pStyle w:val="Textonotapie"/>
        <w:rPr>
          <w:rFonts w:ascii="Bookman Old Style" w:hAnsi="Bookman Old Style"/>
          <w:lang w:val="es-CO"/>
        </w:rPr>
      </w:pPr>
      <w:r w:rsidRPr="0090315E">
        <w:rPr>
          <w:rStyle w:val="Refdenotaalpie"/>
          <w:rFonts w:ascii="Bookman Old Style" w:hAnsi="Bookman Old Style"/>
        </w:rPr>
        <w:footnoteRef/>
      </w:r>
      <w:r w:rsidRPr="0090315E">
        <w:rPr>
          <w:rFonts w:ascii="Bookman Old Style" w:hAnsi="Bookman Old Style"/>
        </w:rPr>
        <w:t xml:space="preserve"> </w:t>
      </w:r>
      <w:r w:rsidRPr="0090315E">
        <w:rPr>
          <w:rFonts w:ascii="Bookman Old Style" w:hAnsi="Bookman Old Style"/>
          <w:lang w:val="es-CO"/>
        </w:rPr>
        <w:t>Radicado 110016000253200680610.</w:t>
      </w:r>
    </w:p>
  </w:footnote>
  <w:footnote w:id="14">
    <w:p w:rsidR="00AD777C" w:rsidRPr="00180A1B" w:rsidRDefault="00AD777C" w:rsidP="00AD777C">
      <w:pPr>
        <w:pStyle w:val="Textonotapie"/>
        <w:jc w:val="both"/>
        <w:rPr>
          <w:color w:val="C00000"/>
          <w:lang w:val="es-CO"/>
        </w:rPr>
      </w:pPr>
      <w:r w:rsidRPr="0090315E">
        <w:rPr>
          <w:rStyle w:val="Refdenotaalpie"/>
          <w:rFonts w:ascii="Bookman Old Style" w:hAnsi="Bookman Old Style"/>
        </w:rPr>
        <w:footnoteRef/>
      </w:r>
      <w:r w:rsidRPr="0090315E">
        <w:rPr>
          <w:rFonts w:ascii="Bookman Old Style" w:hAnsi="Bookman Old Style"/>
        </w:rPr>
        <w:t xml:space="preserve"> </w:t>
      </w:r>
      <w:r w:rsidRPr="0090315E">
        <w:rPr>
          <w:rFonts w:ascii="Bookman Old Style" w:hAnsi="Bookman Old Style"/>
          <w:lang w:val="es-CO"/>
        </w:rPr>
        <w:t>Durante los días 24, 25, 26, 27, 28, 31 de enero; 1, 2, 3, 4, 7, 8, 9, 10, 11, 14, 15, 16, 17, 18 de febrero; 28, 29, 30, 31 de marzo; 1, 4 de abril, y 12 de mayo de 201</w:t>
      </w:r>
      <w:r>
        <w:rPr>
          <w:rFonts w:ascii="Bookman Old Style" w:hAnsi="Bookman Old Style"/>
          <w:lang w:val="es-CO"/>
        </w:rPr>
        <w:t>1.</w:t>
      </w:r>
    </w:p>
  </w:footnote>
  <w:footnote w:id="15">
    <w:p w:rsidR="00AD777C" w:rsidRPr="00D40CC8" w:rsidRDefault="00AD777C" w:rsidP="00AD777C">
      <w:pPr>
        <w:pStyle w:val="Textonotapie"/>
        <w:rPr>
          <w:lang w:val="es-CO"/>
        </w:rPr>
      </w:pPr>
      <w:r w:rsidRPr="00DA5C92">
        <w:rPr>
          <w:rStyle w:val="Refdenotaalpie"/>
          <w:rFonts w:ascii="Bookman Old Style" w:hAnsi="Bookman Old Style"/>
        </w:rPr>
        <w:footnoteRef/>
      </w:r>
      <w:r w:rsidRPr="00DA5C92">
        <w:rPr>
          <w:rFonts w:ascii="Bookman Old Style" w:hAnsi="Bookman Old Style"/>
        </w:rPr>
        <w:t xml:space="preserve"> </w:t>
      </w:r>
      <w:r w:rsidRPr="00DA5C92">
        <w:rPr>
          <w:rFonts w:ascii="Bookman Old Style" w:hAnsi="Bookman Old Style"/>
          <w:lang w:val="es-CO"/>
        </w:rPr>
        <w:t>Auto fechado el 15 de agosto de 2013</w:t>
      </w:r>
      <w:r>
        <w:rPr>
          <w:lang w:val="es-CO"/>
        </w:rPr>
        <w:t>.</w:t>
      </w:r>
    </w:p>
  </w:footnote>
  <w:footnote w:id="16">
    <w:p w:rsidR="00AD777C" w:rsidRPr="00F96737" w:rsidRDefault="00AD777C" w:rsidP="00AD777C">
      <w:pPr>
        <w:pStyle w:val="Textonotapie"/>
        <w:jc w:val="both"/>
        <w:rPr>
          <w:rFonts w:ascii="Bookman Old Style" w:hAnsi="Bookman Old Style"/>
          <w:lang w:val="es-CO"/>
        </w:rPr>
      </w:pPr>
      <w:r w:rsidRPr="00F96737">
        <w:rPr>
          <w:rStyle w:val="Refdenotaalpie"/>
          <w:rFonts w:ascii="Bookman Old Style" w:hAnsi="Bookman Old Style"/>
        </w:rPr>
        <w:footnoteRef/>
      </w:r>
      <w:r w:rsidRPr="00F96737">
        <w:rPr>
          <w:rFonts w:ascii="Bookman Old Style" w:hAnsi="Bookman Old Style"/>
        </w:rPr>
        <w:t xml:space="preserve"> </w:t>
      </w:r>
      <w:r w:rsidRPr="00F96737">
        <w:rPr>
          <w:rFonts w:ascii="Bookman Old Style" w:hAnsi="Bookman Old Style"/>
          <w:lang w:val="es-CO"/>
        </w:rPr>
        <w:t>Elevada durante la audiencia del incidente de afectaciones –ahora- de reparación integral.</w:t>
      </w:r>
    </w:p>
  </w:footnote>
  <w:footnote w:id="17">
    <w:p w:rsidR="00AD777C" w:rsidRPr="001F10ED" w:rsidRDefault="00AD777C" w:rsidP="00AD777C">
      <w:pPr>
        <w:pStyle w:val="Textonotapie"/>
        <w:jc w:val="both"/>
        <w:rPr>
          <w:rFonts w:ascii="Bookman Old Style" w:hAnsi="Bookman Old Style"/>
          <w:lang w:val="es-CO"/>
        </w:rPr>
      </w:pPr>
      <w:r w:rsidRPr="001F10ED">
        <w:rPr>
          <w:rStyle w:val="Refdenotaalpie"/>
          <w:rFonts w:ascii="Bookman Old Style" w:hAnsi="Bookman Old Style"/>
        </w:rPr>
        <w:footnoteRef/>
      </w:r>
      <w:r w:rsidRPr="001F10ED">
        <w:rPr>
          <w:rFonts w:ascii="Bookman Old Style" w:hAnsi="Bookman Old Style"/>
        </w:rPr>
        <w:t xml:space="preserve"> </w:t>
      </w:r>
      <w:r w:rsidRPr="001F10ED">
        <w:rPr>
          <w:rFonts w:ascii="Bookman Old Style" w:hAnsi="Bookman Old Style"/>
          <w:lang w:val="es-CO"/>
        </w:rPr>
        <w:t>El o la cónyuge; el(a) compañero(a) permanente; familiares en primer grado de consanguinidad y primero civil d</w:t>
      </w:r>
      <w:r>
        <w:rPr>
          <w:rFonts w:ascii="Bookman Old Style" w:hAnsi="Bookman Old Style"/>
          <w:lang w:val="es-CO"/>
        </w:rPr>
        <w:t>e la víctima directa, cuando a é</w:t>
      </w:r>
      <w:r w:rsidRPr="001F10ED">
        <w:rPr>
          <w:rFonts w:ascii="Bookman Old Style" w:hAnsi="Bookman Old Style"/>
          <w:lang w:val="es-CO"/>
        </w:rPr>
        <w:t>sta se le hubiere dado muerte o estuviere desaparecida.</w:t>
      </w:r>
    </w:p>
  </w:footnote>
  <w:footnote w:id="18">
    <w:p w:rsidR="00AD777C" w:rsidRPr="00AB134C" w:rsidRDefault="00AD777C" w:rsidP="00AD777C">
      <w:pPr>
        <w:pStyle w:val="Textonotapie"/>
        <w:jc w:val="both"/>
        <w:rPr>
          <w:rFonts w:ascii="Bookman Old Style" w:hAnsi="Bookman Old Style"/>
          <w:lang w:val="es-CO"/>
        </w:rPr>
      </w:pPr>
      <w:r w:rsidRPr="00AB134C">
        <w:rPr>
          <w:rStyle w:val="Refdenotaalpie"/>
          <w:rFonts w:ascii="Bookman Old Style" w:hAnsi="Bookman Old Style"/>
        </w:rPr>
        <w:footnoteRef/>
      </w:r>
      <w:r w:rsidRPr="00AB134C">
        <w:rPr>
          <w:rFonts w:ascii="Bookman Old Style" w:hAnsi="Bookman Old Style"/>
        </w:rPr>
        <w:t xml:space="preserve"> </w:t>
      </w:r>
      <w:r w:rsidRPr="00AB134C">
        <w:rPr>
          <w:rFonts w:ascii="Bookman Old Style" w:hAnsi="Bookman Old Style"/>
          <w:lang w:val="es-CO"/>
        </w:rPr>
        <w:t>Finca La Lucitania ubicada en el municipio de Puerto Gaitán (Meta). Finca La Porfía, municipio de Santa Rosalía, vereda Caño Negro en el Departamento de Vichada. Casa barrio El Jordán de Villavicencio.  Casa ubicada en Puerto López (Meta). Dinero. Red eléctrica y la Finca La Porfía.</w:t>
      </w:r>
    </w:p>
  </w:footnote>
  <w:footnote w:id="19">
    <w:p w:rsidR="00AD777C" w:rsidRPr="000A5171" w:rsidRDefault="00AD777C" w:rsidP="00AD777C">
      <w:pPr>
        <w:pStyle w:val="Textonotapie"/>
        <w:rPr>
          <w:rFonts w:ascii="Bookman Old Style" w:hAnsi="Bookman Old Style"/>
          <w:lang w:val="es-CO"/>
        </w:rPr>
      </w:pPr>
      <w:r w:rsidRPr="000A5171">
        <w:rPr>
          <w:rStyle w:val="Refdenotaalpie"/>
          <w:rFonts w:ascii="Bookman Old Style" w:hAnsi="Bookman Old Style"/>
        </w:rPr>
        <w:footnoteRef/>
      </w:r>
      <w:r w:rsidRPr="000A5171">
        <w:rPr>
          <w:rFonts w:ascii="Bookman Old Style" w:hAnsi="Bookman Old Style"/>
        </w:rPr>
        <w:t xml:space="preserve"> </w:t>
      </w:r>
      <w:r w:rsidRPr="000A5171">
        <w:rPr>
          <w:rFonts w:ascii="Bookman Old Style" w:hAnsi="Bookman Old Style"/>
          <w:lang w:val="es-CO"/>
        </w:rPr>
        <w:t>Folio 621 de la decisión recurrida.</w:t>
      </w:r>
    </w:p>
  </w:footnote>
  <w:footnote w:id="20">
    <w:p w:rsidR="00AD777C" w:rsidRPr="003D38B6" w:rsidRDefault="00AD777C" w:rsidP="00AD777C">
      <w:pPr>
        <w:pStyle w:val="Textonotapie"/>
        <w:rPr>
          <w:rFonts w:ascii="Bookman Old Style" w:hAnsi="Bookman Old Style"/>
          <w:lang w:val="es-CO"/>
        </w:rPr>
      </w:pPr>
      <w:r w:rsidRPr="003D38B6">
        <w:rPr>
          <w:rStyle w:val="Refdenotaalpie"/>
          <w:rFonts w:ascii="Bookman Old Style" w:hAnsi="Bookman Old Style"/>
        </w:rPr>
        <w:footnoteRef/>
      </w:r>
      <w:r w:rsidRPr="003D38B6">
        <w:rPr>
          <w:rFonts w:ascii="Bookman Old Style" w:hAnsi="Bookman Old Style"/>
        </w:rPr>
        <w:t xml:space="preserve"> </w:t>
      </w:r>
      <w:r w:rsidRPr="003D38B6">
        <w:rPr>
          <w:rFonts w:ascii="Bookman Old Style" w:hAnsi="Bookman Old Style"/>
          <w:lang w:val="es-CO"/>
        </w:rPr>
        <w:t>Página 621 del fallo en mención.</w:t>
      </w:r>
    </w:p>
  </w:footnote>
  <w:footnote w:id="21">
    <w:p w:rsidR="00AD777C" w:rsidRPr="003D38B6" w:rsidRDefault="00AD777C" w:rsidP="00AD777C">
      <w:pPr>
        <w:pStyle w:val="Textonotapie"/>
        <w:rPr>
          <w:rFonts w:ascii="Bookman Old Style" w:hAnsi="Bookman Old Style"/>
          <w:lang w:val="es-CO"/>
        </w:rPr>
      </w:pPr>
      <w:r w:rsidRPr="003D38B6">
        <w:rPr>
          <w:rStyle w:val="Refdenotaalpie"/>
          <w:rFonts w:ascii="Bookman Old Style" w:hAnsi="Bookman Old Style"/>
        </w:rPr>
        <w:footnoteRef/>
      </w:r>
      <w:r w:rsidRPr="003D38B6">
        <w:rPr>
          <w:rFonts w:ascii="Bookman Old Style" w:hAnsi="Bookman Old Style"/>
        </w:rPr>
        <w:t xml:space="preserve"> </w:t>
      </w:r>
      <w:r w:rsidRPr="003D38B6">
        <w:rPr>
          <w:rFonts w:ascii="Bookman Old Style" w:hAnsi="Bookman Old Style"/>
          <w:lang w:val="es-CO"/>
        </w:rPr>
        <w:t>P</w:t>
      </w:r>
      <w:r>
        <w:rPr>
          <w:rFonts w:ascii="Bookman Old Style" w:hAnsi="Bookman Old Style"/>
          <w:lang w:val="es-CO"/>
        </w:rPr>
        <w:t>ág</w:t>
      </w:r>
      <w:r w:rsidRPr="003D38B6">
        <w:rPr>
          <w:rFonts w:ascii="Bookman Old Style" w:hAnsi="Bookman Old Style"/>
          <w:lang w:val="es-CO"/>
        </w:rPr>
        <w:t>ina 622 ibídem.</w:t>
      </w:r>
    </w:p>
  </w:footnote>
  <w:footnote w:id="22">
    <w:p w:rsidR="00AD777C" w:rsidRPr="00F51CDE" w:rsidRDefault="00AD777C" w:rsidP="00AD777C">
      <w:pPr>
        <w:pStyle w:val="Textonotapie"/>
        <w:jc w:val="both"/>
        <w:rPr>
          <w:rFonts w:ascii="Bookman Old Style" w:hAnsi="Bookman Old Style"/>
          <w:lang w:val="es-CO"/>
        </w:rPr>
      </w:pPr>
      <w:r w:rsidRPr="00F51CDE">
        <w:rPr>
          <w:rStyle w:val="Refdenotaalpie"/>
          <w:rFonts w:ascii="Bookman Old Style" w:hAnsi="Bookman Old Style"/>
        </w:rPr>
        <w:footnoteRef/>
      </w:r>
      <w:r w:rsidRPr="00F51CDE">
        <w:rPr>
          <w:rFonts w:ascii="Bookman Old Style" w:hAnsi="Bookman Old Style"/>
        </w:rPr>
        <w:t xml:space="preserve"> </w:t>
      </w:r>
      <w:r w:rsidRPr="00F51CDE">
        <w:rPr>
          <w:rFonts w:ascii="Bookman Old Style" w:hAnsi="Bookman Old Style"/>
          <w:lang w:val="es-CO"/>
        </w:rPr>
        <w:t>Doctores J</w:t>
      </w:r>
      <w:r>
        <w:rPr>
          <w:rFonts w:ascii="Bookman Old Style" w:hAnsi="Bookman Old Style"/>
          <w:lang w:val="es-CO"/>
        </w:rPr>
        <w:t>osé Alberto Leguízamo Velásquez; Edilberto Carrero López; Ismael Vicente Urazán González; Álvaro Maldonado Chaya; Juan Carlos Córdoba Correa;</w:t>
      </w:r>
      <w:r w:rsidRPr="00F51CDE">
        <w:rPr>
          <w:rFonts w:ascii="Bookman Old Style" w:hAnsi="Bookman Old Style"/>
          <w:lang w:val="es-CO"/>
        </w:rPr>
        <w:t xml:space="preserve"> Jairo Alberto Moya </w:t>
      </w:r>
      <w:r>
        <w:rPr>
          <w:rFonts w:ascii="Bookman Old Style" w:hAnsi="Bookman Old Style"/>
          <w:lang w:val="es-CO"/>
        </w:rPr>
        <w:t>Moya y</w:t>
      </w:r>
      <w:r w:rsidRPr="00F51CDE">
        <w:rPr>
          <w:rFonts w:ascii="Bookman Old Style" w:hAnsi="Bookman Old Style"/>
          <w:lang w:val="es-CO"/>
        </w:rPr>
        <w:t xml:space="preserve"> Yudy Marinella Castillo Africano</w:t>
      </w:r>
      <w:r>
        <w:rPr>
          <w:rFonts w:ascii="Bookman Old Style" w:hAnsi="Bookman Old Style"/>
          <w:lang w:val="es-CO"/>
        </w:rPr>
        <w:t>.</w:t>
      </w:r>
    </w:p>
  </w:footnote>
  <w:footnote w:id="23">
    <w:p w:rsidR="00AD777C" w:rsidRPr="00D960C2" w:rsidRDefault="00AD777C" w:rsidP="00AD777C">
      <w:pPr>
        <w:pStyle w:val="Textonotapie"/>
        <w:jc w:val="both"/>
        <w:rPr>
          <w:rFonts w:ascii="Bookman Old Style" w:hAnsi="Bookman Old Style"/>
          <w:lang w:val="es-CO"/>
        </w:rPr>
      </w:pPr>
      <w:r w:rsidRPr="00D960C2">
        <w:rPr>
          <w:rStyle w:val="Refdenotaalpie"/>
          <w:rFonts w:ascii="Bookman Old Style" w:hAnsi="Bookman Old Style"/>
        </w:rPr>
        <w:footnoteRef/>
      </w:r>
      <w:r w:rsidRPr="00D960C2">
        <w:rPr>
          <w:rFonts w:ascii="Bookman Old Style" w:hAnsi="Bookman Old Style"/>
        </w:rPr>
        <w:t xml:space="preserve"> Folios 2 a 18</w:t>
      </w:r>
      <w:r>
        <w:rPr>
          <w:rFonts w:ascii="Bookman Old Style" w:hAnsi="Bookman Old Style"/>
        </w:rPr>
        <w:t xml:space="preserve"> del cuaderno n.º 5. </w:t>
      </w:r>
    </w:p>
  </w:footnote>
  <w:footnote w:id="24">
    <w:p w:rsidR="00AD777C" w:rsidRPr="005E2A7D" w:rsidRDefault="00AD777C" w:rsidP="00AD777C">
      <w:pPr>
        <w:pStyle w:val="Textonotapie"/>
        <w:rPr>
          <w:rFonts w:ascii="Bookman Old Style" w:hAnsi="Bookman Old Style"/>
          <w:lang w:val="es-CO"/>
        </w:rPr>
      </w:pPr>
      <w:r w:rsidRPr="005E2A7D">
        <w:rPr>
          <w:rStyle w:val="Refdenotaalpie"/>
          <w:rFonts w:ascii="Bookman Old Style" w:hAnsi="Bookman Old Style"/>
        </w:rPr>
        <w:footnoteRef/>
      </w:r>
      <w:r w:rsidRPr="005E2A7D">
        <w:rPr>
          <w:rFonts w:ascii="Bookman Old Style" w:hAnsi="Bookman Old Style"/>
        </w:rPr>
        <w:t xml:space="preserve"> </w:t>
      </w:r>
      <w:r w:rsidRPr="005E2A7D">
        <w:rPr>
          <w:rFonts w:ascii="Bookman Old Style" w:hAnsi="Bookman Old Style"/>
          <w:lang w:val="es-CO"/>
        </w:rPr>
        <w:t xml:space="preserve">Folio 6 del cuaderno 5. </w:t>
      </w:r>
    </w:p>
  </w:footnote>
  <w:footnote w:id="25">
    <w:p w:rsidR="00AD777C" w:rsidRPr="0081419C" w:rsidRDefault="00AD777C" w:rsidP="00AD777C">
      <w:pPr>
        <w:pStyle w:val="Textonotapie"/>
        <w:rPr>
          <w:rFonts w:ascii="Bookman Old Style" w:hAnsi="Bookman Old Style"/>
          <w:lang w:val="es-CO"/>
        </w:rPr>
      </w:pPr>
      <w:r w:rsidRPr="0081419C">
        <w:rPr>
          <w:rStyle w:val="Refdenotaalpie"/>
          <w:rFonts w:ascii="Bookman Old Style" w:hAnsi="Bookman Old Style"/>
        </w:rPr>
        <w:footnoteRef/>
      </w:r>
      <w:r w:rsidRPr="0081419C">
        <w:rPr>
          <w:rFonts w:ascii="Bookman Old Style" w:hAnsi="Bookman Old Style"/>
        </w:rPr>
        <w:t xml:space="preserve"> </w:t>
      </w:r>
      <w:r w:rsidRPr="0081419C">
        <w:rPr>
          <w:rFonts w:ascii="Bookman Old Style" w:hAnsi="Bookman Old Style"/>
          <w:lang w:val="es-CO"/>
        </w:rPr>
        <w:t>Folio 9 del cuaderno 5. Escrito de sustentación del recurso de apelación.</w:t>
      </w:r>
    </w:p>
  </w:footnote>
  <w:footnote w:id="26">
    <w:p w:rsidR="00AD777C" w:rsidRPr="00AB134C" w:rsidRDefault="00AD777C" w:rsidP="00AD777C">
      <w:pPr>
        <w:pStyle w:val="Textonotapie"/>
        <w:rPr>
          <w:rFonts w:ascii="Bookman Old Style" w:hAnsi="Bookman Old Style"/>
          <w:lang w:val="es-CO"/>
        </w:rPr>
      </w:pPr>
      <w:r w:rsidRPr="00AB134C">
        <w:rPr>
          <w:rStyle w:val="Refdenotaalpie"/>
          <w:rFonts w:ascii="Bookman Old Style" w:hAnsi="Bookman Old Style"/>
        </w:rPr>
        <w:footnoteRef/>
      </w:r>
      <w:r w:rsidRPr="00AB134C">
        <w:rPr>
          <w:rFonts w:ascii="Bookman Old Style" w:hAnsi="Bookman Old Style"/>
        </w:rPr>
        <w:t xml:space="preserve"> Folios 19 a 35 del cuaderno n.º 5.</w:t>
      </w:r>
    </w:p>
  </w:footnote>
  <w:footnote w:id="27">
    <w:p w:rsidR="00AD777C" w:rsidRPr="002F64DE" w:rsidRDefault="00AD777C" w:rsidP="00AD777C">
      <w:pPr>
        <w:pStyle w:val="Textonotapie"/>
        <w:rPr>
          <w:rFonts w:ascii="Bookman Old Style" w:hAnsi="Bookman Old Style"/>
          <w:lang w:val="es-CO"/>
        </w:rPr>
      </w:pPr>
      <w:r w:rsidRPr="002F64DE">
        <w:rPr>
          <w:rStyle w:val="Refdenotaalpie"/>
          <w:rFonts w:ascii="Bookman Old Style" w:hAnsi="Bookman Old Style"/>
        </w:rPr>
        <w:footnoteRef/>
      </w:r>
      <w:r w:rsidRPr="002F64DE">
        <w:rPr>
          <w:rFonts w:ascii="Bookman Old Style" w:hAnsi="Bookman Old Style"/>
        </w:rPr>
        <w:t xml:space="preserve"> </w:t>
      </w:r>
      <w:r w:rsidRPr="002F64DE">
        <w:rPr>
          <w:rFonts w:ascii="Bookman Old Style" w:hAnsi="Bookman Old Style"/>
          <w:lang w:val="es-CO"/>
        </w:rPr>
        <w:t>Folio 84 del cuaderno n.5. Escrito de sustentaci</w:t>
      </w:r>
      <w:r>
        <w:rPr>
          <w:rFonts w:ascii="Bookman Old Style" w:hAnsi="Bookman Old Style"/>
          <w:lang w:val="es-CO"/>
        </w:rPr>
        <w:t>ón del recu</w:t>
      </w:r>
      <w:r w:rsidRPr="002F64DE">
        <w:rPr>
          <w:rFonts w:ascii="Bookman Old Style" w:hAnsi="Bookman Old Style"/>
          <w:lang w:val="es-CO"/>
        </w:rPr>
        <w:t>rso de alzada.</w:t>
      </w:r>
    </w:p>
  </w:footnote>
  <w:footnote w:id="28">
    <w:p w:rsidR="00AD777C" w:rsidRPr="00DA5C92" w:rsidRDefault="00AD777C" w:rsidP="00AD777C">
      <w:pPr>
        <w:pStyle w:val="Textonotapie"/>
        <w:rPr>
          <w:rFonts w:ascii="Bookman Old Style" w:hAnsi="Bookman Old Style"/>
          <w:lang w:val="es-CO"/>
        </w:rPr>
      </w:pPr>
      <w:r w:rsidRPr="00DA5C92">
        <w:rPr>
          <w:rStyle w:val="Refdenotaalpie"/>
          <w:rFonts w:ascii="Bookman Old Style" w:hAnsi="Bookman Old Style"/>
        </w:rPr>
        <w:footnoteRef/>
      </w:r>
      <w:r w:rsidRPr="00DA5C92">
        <w:rPr>
          <w:rFonts w:ascii="Bookman Old Style" w:hAnsi="Bookman Old Style"/>
        </w:rPr>
        <w:t xml:space="preserve"> Folios 119 a 158.</w:t>
      </w:r>
    </w:p>
  </w:footnote>
  <w:footnote w:id="29">
    <w:p w:rsidR="00AD777C" w:rsidRPr="00DA5C92" w:rsidRDefault="00AD777C" w:rsidP="00AD777C">
      <w:pPr>
        <w:pStyle w:val="Textonotapie"/>
        <w:rPr>
          <w:rFonts w:ascii="Bookman Old Style" w:hAnsi="Bookman Old Style"/>
          <w:lang w:val="es-CO"/>
        </w:rPr>
      </w:pPr>
      <w:r w:rsidRPr="00DA5C92">
        <w:rPr>
          <w:rStyle w:val="Refdenotaalpie"/>
          <w:rFonts w:ascii="Bookman Old Style" w:hAnsi="Bookman Old Style"/>
        </w:rPr>
        <w:footnoteRef/>
      </w:r>
      <w:r w:rsidRPr="00DA5C92">
        <w:rPr>
          <w:rFonts w:ascii="Bookman Old Style" w:hAnsi="Bookman Old Style"/>
        </w:rPr>
        <w:t xml:space="preserve"> </w:t>
      </w:r>
      <w:r w:rsidRPr="00DA5C92">
        <w:rPr>
          <w:rFonts w:ascii="Bookman Old Style" w:hAnsi="Bookman Old Style"/>
          <w:lang w:val="es-CO"/>
        </w:rPr>
        <w:t>Orlando Villa Zapata y Hébert Veloza García.</w:t>
      </w:r>
    </w:p>
  </w:footnote>
  <w:footnote w:id="30">
    <w:p w:rsidR="00AD777C" w:rsidRPr="0017063B" w:rsidRDefault="00AD777C" w:rsidP="00AD777C">
      <w:pPr>
        <w:pStyle w:val="Textonotapie"/>
        <w:rPr>
          <w:rFonts w:ascii="Bookman Old Style" w:hAnsi="Bookman Old Style"/>
          <w:lang w:val="es-CO"/>
        </w:rPr>
      </w:pPr>
      <w:r w:rsidRPr="0017063B">
        <w:rPr>
          <w:rStyle w:val="Refdenotaalpie"/>
          <w:rFonts w:ascii="Bookman Old Style" w:hAnsi="Bookman Old Style"/>
        </w:rPr>
        <w:footnoteRef/>
      </w:r>
      <w:r w:rsidRPr="0017063B">
        <w:rPr>
          <w:rFonts w:ascii="Bookman Old Style" w:hAnsi="Bookman Old Style"/>
        </w:rPr>
        <w:t xml:space="preserve"> </w:t>
      </w:r>
      <w:r w:rsidRPr="0017063B">
        <w:rPr>
          <w:rFonts w:ascii="Bookman Old Style" w:hAnsi="Bookman Old Style"/>
          <w:lang w:val="es-CO"/>
        </w:rPr>
        <w:t>12 de mayo de 2011.</w:t>
      </w:r>
    </w:p>
  </w:footnote>
  <w:footnote w:id="31">
    <w:p w:rsidR="00AD777C" w:rsidRPr="00D35986" w:rsidRDefault="00AD777C" w:rsidP="00AD777C">
      <w:pPr>
        <w:pStyle w:val="Textonotapie"/>
        <w:jc w:val="both"/>
        <w:rPr>
          <w:rFonts w:ascii="Bookman Old Style" w:hAnsi="Bookman Old Style"/>
          <w:lang w:val="es-CO"/>
        </w:rPr>
      </w:pPr>
      <w:r w:rsidRPr="00D35986">
        <w:rPr>
          <w:rStyle w:val="Refdenotaalpie"/>
          <w:rFonts w:ascii="Bookman Old Style" w:hAnsi="Bookman Old Style"/>
        </w:rPr>
        <w:footnoteRef/>
      </w:r>
      <w:r w:rsidRPr="00D35986">
        <w:rPr>
          <w:rFonts w:ascii="Bookman Old Style" w:hAnsi="Bookman Old Style"/>
        </w:rPr>
        <w:t xml:space="preserve"> La transcripción corresponde al texto del artículo 23 de la Ley 1592 de 2012, vigente para el momento en que el Tribunal tomó la decisión de diferir la lectura de legalización de cargos a la sentencia.  Posteriormente, mediante la Sentencia C-286 de 2014, se declaró la inexequibilidad de esta norma, reviviendo el original artículo 23 de la Ley 975 de 2005.</w:t>
      </w:r>
    </w:p>
  </w:footnote>
  <w:footnote w:id="32">
    <w:p w:rsidR="00AD777C" w:rsidRPr="00D35986" w:rsidRDefault="00AD777C" w:rsidP="00AD777C">
      <w:pPr>
        <w:pStyle w:val="Textonotapie"/>
        <w:rPr>
          <w:rFonts w:ascii="Bookman Old Style" w:hAnsi="Bookman Old Style"/>
          <w:lang w:val="es-CO"/>
        </w:rPr>
      </w:pPr>
      <w:r w:rsidRPr="00D35986">
        <w:rPr>
          <w:rStyle w:val="Refdenotaalpie"/>
          <w:rFonts w:ascii="Bookman Old Style" w:hAnsi="Bookman Old Style"/>
        </w:rPr>
        <w:footnoteRef/>
      </w:r>
      <w:r w:rsidRPr="00D35986">
        <w:rPr>
          <w:rFonts w:ascii="Bookman Old Style" w:hAnsi="Bookman Old Style"/>
        </w:rPr>
        <w:t xml:space="preserve"> </w:t>
      </w:r>
      <w:r w:rsidRPr="00D35986">
        <w:rPr>
          <w:rFonts w:ascii="Bookman Old Style" w:hAnsi="Bookman Old Style"/>
          <w:lang w:val="es-CO"/>
        </w:rPr>
        <w:t>Vigente al momento de la actuación del Tribunal.</w:t>
      </w:r>
    </w:p>
  </w:footnote>
  <w:footnote w:id="33">
    <w:p w:rsidR="00AD777C" w:rsidRPr="000E362E" w:rsidRDefault="00AD777C" w:rsidP="00AD777C">
      <w:pPr>
        <w:pStyle w:val="Textonotapie"/>
        <w:rPr>
          <w:rFonts w:ascii="Bookman Old Style" w:hAnsi="Bookman Old Style"/>
          <w:lang w:val="es-CO"/>
        </w:rPr>
      </w:pPr>
      <w:r w:rsidRPr="000E362E">
        <w:rPr>
          <w:rStyle w:val="Refdenotaalpie"/>
          <w:rFonts w:ascii="Bookman Old Style" w:hAnsi="Bookman Old Style"/>
        </w:rPr>
        <w:footnoteRef/>
      </w:r>
      <w:r w:rsidRPr="000E362E">
        <w:rPr>
          <w:rFonts w:ascii="Bookman Old Style" w:hAnsi="Bookman Old Style"/>
        </w:rPr>
        <w:t xml:space="preserve"> </w:t>
      </w:r>
      <w:r w:rsidRPr="000E362E">
        <w:rPr>
          <w:rFonts w:ascii="Bookman Old Style" w:hAnsi="Bookman Old Style"/>
          <w:lang w:val="es-CO"/>
        </w:rPr>
        <w:t>El resaltado no hace parte del texto original.</w:t>
      </w:r>
    </w:p>
  </w:footnote>
  <w:footnote w:id="34">
    <w:p w:rsidR="00AD777C" w:rsidRPr="008F6EB6" w:rsidRDefault="00AD777C" w:rsidP="00AD777C">
      <w:pPr>
        <w:pStyle w:val="Textonotapie"/>
        <w:rPr>
          <w:lang w:val="es-CO"/>
        </w:rPr>
      </w:pPr>
      <w:r>
        <w:rPr>
          <w:rStyle w:val="Refdenotaalpie"/>
        </w:rPr>
        <w:footnoteRef/>
      </w:r>
      <w:r>
        <w:t xml:space="preserve"> </w:t>
      </w:r>
      <w:r w:rsidRPr="008F6EB6">
        <w:rPr>
          <w:rFonts w:ascii="Bookman Old Style" w:hAnsi="Bookman Old Style"/>
        </w:rPr>
        <w:t>Diario Oficial n.º 48633 de fecha 3 de diciembre de 2012.</w:t>
      </w:r>
    </w:p>
  </w:footnote>
  <w:footnote w:id="35">
    <w:p w:rsidR="00AD777C" w:rsidRPr="000D03DB" w:rsidRDefault="00AD777C" w:rsidP="00AD777C">
      <w:pPr>
        <w:jc w:val="both"/>
        <w:rPr>
          <w:rFonts w:ascii="Bookman Old Style" w:hAnsi="Bookman Old Style"/>
          <w:lang w:val="es-CO"/>
        </w:rPr>
      </w:pPr>
      <w:r w:rsidRPr="000D03DB">
        <w:rPr>
          <w:rStyle w:val="Refdenotaalpie"/>
          <w:rFonts w:ascii="Bookman Old Style" w:hAnsi="Bookman Old Style"/>
        </w:rPr>
        <w:footnoteRef/>
      </w:r>
      <w:r w:rsidRPr="000D03DB">
        <w:rPr>
          <w:rFonts w:ascii="Bookman Old Style" w:hAnsi="Bookman Old Style"/>
        </w:rPr>
        <w:t xml:space="preserve"> </w:t>
      </w:r>
      <w:r w:rsidRPr="000D03DB">
        <w:rPr>
          <w:rFonts w:ascii="Bookman Old Style" w:hAnsi="Bookman Old Style"/>
          <w:lang w:val="es-CO"/>
        </w:rPr>
        <w:t>29 de junio de 2010 formulación de cargos adicional, realizada ante el magistrado de control de garantías en Bogotá. Récord 17:47 – 41:10 del tercer video del cd rotulado como “CONJUNTA FORMULACION (sic) PARCIAL DE CARGOS BALDOMERO LINARES”, visible en el cuaderno denominado “SEGUNDA FORMULACIÓN CARGOS”.</w:t>
      </w:r>
    </w:p>
  </w:footnote>
  <w:footnote w:id="36">
    <w:p w:rsidR="00AD777C" w:rsidRPr="000D03DB" w:rsidRDefault="00AD777C" w:rsidP="00AD777C">
      <w:pPr>
        <w:pStyle w:val="Textonotapie"/>
        <w:rPr>
          <w:rFonts w:ascii="Bookman Old Style" w:hAnsi="Bookman Old Style"/>
          <w:lang w:val="es-CO"/>
        </w:rPr>
      </w:pPr>
      <w:r w:rsidRPr="000D03DB">
        <w:rPr>
          <w:rStyle w:val="Refdenotaalpie"/>
          <w:rFonts w:ascii="Bookman Old Style" w:hAnsi="Bookman Old Style"/>
        </w:rPr>
        <w:footnoteRef/>
      </w:r>
      <w:r w:rsidRPr="000D03DB">
        <w:rPr>
          <w:rFonts w:ascii="Bookman Old Style" w:hAnsi="Bookman Old Style"/>
        </w:rPr>
        <w:t xml:space="preserve"> </w:t>
      </w:r>
      <w:r w:rsidRPr="000D03DB">
        <w:rPr>
          <w:rFonts w:ascii="Bookman Old Style" w:hAnsi="Bookman Old Style"/>
          <w:lang w:val="es-CO"/>
        </w:rPr>
        <w:t>4 X 4 Toyota HI LUX</w:t>
      </w:r>
      <w:r w:rsidRPr="000D03DB">
        <w:rPr>
          <w:rFonts w:ascii="Bookman Old Style" w:hAnsi="Bookman Old Style"/>
          <w:color w:val="C00000"/>
          <w:lang w:val="es-CO"/>
        </w:rPr>
        <w:t xml:space="preserve"> </w:t>
      </w:r>
      <w:r w:rsidRPr="000D03DB">
        <w:rPr>
          <w:rFonts w:ascii="Bookman Old Style" w:hAnsi="Bookman Old Style"/>
          <w:lang w:val="es-CO"/>
        </w:rPr>
        <w:t>de placas DXV 742.</w:t>
      </w:r>
    </w:p>
  </w:footnote>
  <w:footnote w:id="37">
    <w:p w:rsidR="00AD777C" w:rsidRPr="003046F2" w:rsidRDefault="00AD777C" w:rsidP="00AD777C">
      <w:pPr>
        <w:pStyle w:val="Textonotapie"/>
        <w:rPr>
          <w:rFonts w:ascii="Bookman Old Style" w:hAnsi="Bookman Old Style"/>
          <w:lang w:val="es-CO"/>
        </w:rPr>
      </w:pPr>
      <w:r w:rsidRPr="003046F2">
        <w:rPr>
          <w:rStyle w:val="Refdenotaalpie"/>
          <w:rFonts w:ascii="Bookman Old Style" w:hAnsi="Bookman Old Style"/>
        </w:rPr>
        <w:footnoteRef/>
      </w:r>
      <w:r w:rsidRPr="003046F2">
        <w:rPr>
          <w:rFonts w:ascii="Bookman Old Style" w:hAnsi="Bookman Old Style"/>
        </w:rPr>
        <w:t xml:space="preserve"> </w:t>
      </w:r>
      <w:r w:rsidRPr="003046F2">
        <w:rPr>
          <w:rFonts w:ascii="Bookman Old Style" w:hAnsi="Bookman Old Style"/>
          <w:lang w:val="es-CO"/>
        </w:rPr>
        <w:t>Sesión de audiencia de legalización de cargos celebrada el 16 de febrero de 2011</w:t>
      </w:r>
      <w:r>
        <w:rPr>
          <w:rFonts w:ascii="Bookman Old Style" w:hAnsi="Bookman Old Style"/>
          <w:lang w:val="es-CO"/>
        </w:rPr>
        <w:t>.</w:t>
      </w:r>
    </w:p>
  </w:footnote>
  <w:footnote w:id="38">
    <w:p w:rsidR="00AD777C" w:rsidRPr="003046F2" w:rsidRDefault="00AD777C" w:rsidP="00AD777C">
      <w:pPr>
        <w:pStyle w:val="Textonotapie"/>
        <w:jc w:val="both"/>
        <w:rPr>
          <w:rFonts w:ascii="Bookman Old Style" w:hAnsi="Bookman Old Style"/>
          <w:lang w:val="es-CO"/>
        </w:rPr>
      </w:pPr>
      <w:r w:rsidRPr="003046F2">
        <w:rPr>
          <w:rStyle w:val="Refdenotaalpie"/>
          <w:rFonts w:ascii="Bookman Old Style" w:hAnsi="Bookman Old Style"/>
        </w:rPr>
        <w:footnoteRef/>
      </w:r>
      <w:r w:rsidRPr="003046F2">
        <w:rPr>
          <w:rFonts w:ascii="Bookman Old Style" w:hAnsi="Bookman Old Style"/>
        </w:rPr>
        <w:t xml:space="preserve"> Memorial que contiene los argumentos sustentatorios del recurso de apelación. Se puede observar a folios 2 y ss del cuaderno 5 denominado “legalización de cargos”</w:t>
      </w:r>
    </w:p>
  </w:footnote>
  <w:footnote w:id="39">
    <w:p w:rsidR="00AD777C" w:rsidRPr="007E596F" w:rsidRDefault="00AD777C" w:rsidP="00AD777C">
      <w:pPr>
        <w:pStyle w:val="Textonotapie"/>
        <w:jc w:val="both"/>
        <w:rPr>
          <w:lang w:val="es-CO"/>
        </w:rPr>
      </w:pPr>
      <w:r w:rsidRPr="003046F2">
        <w:rPr>
          <w:rStyle w:val="Refdenotaalpie"/>
          <w:rFonts w:ascii="Bookman Old Style" w:hAnsi="Bookman Old Style"/>
        </w:rPr>
        <w:footnoteRef/>
      </w:r>
      <w:r w:rsidRPr="003046F2">
        <w:rPr>
          <w:rFonts w:ascii="Bookman Old Style" w:hAnsi="Bookman Old Style"/>
        </w:rPr>
        <w:t xml:space="preserve"> </w:t>
      </w:r>
      <w:r w:rsidRPr="003046F2">
        <w:rPr>
          <w:rFonts w:ascii="Bookman Old Style" w:hAnsi="Bookman Old Style"/>
          <w:lang w:val="es-CO"/>
        </w:rPr>
        <w:t>Aclaración del fiscal durante la audiencia de legalización de cargos. Sesión del 16 de febrero de 2011, en la que se expuso el caso n.º 11.</w:t>
      </w:r>
    </w:p>
  </w:footnote>
  <w:footnote w:id="40">
    <w:p w:rsidR="00AD777C" w:rsidRPr="003046F2" w:rsidRDefault="00AD777C" w:rsidP="00AD777C">
      <w:pPr>
        <w:pStyle w:val="Textonotapie"/>
        <w:rPr>
          <w:rFonts w:ascii="Bookman Old Style" w:hAnsi="Bookman Old Style"/>
          <w:lang w:val="es-CO"/>
        </w:rPr>
      </w:pPr>
      <w:r w:rsidRPr="003046F2">
        <w:rPr>
          <w:rStyle w:val="Refdenotaalpie"/>
          <w:rFonts w:ascii="Bookman Old Style" w:hAnsi="Bookman Old Style"/>
        </w:rPr>
        <w:footnoteRef/>
      </w:r>
      <w:r w:rsidRPr="003046F2">
        <w:rPr>
          <w:rFonts w:ascii="Bookman Old Style" w:hAnsi="Bookman Old Style"/>
        </w:rPr>
        <w:t xml:space="preserve"> </w:t>
      </w:r>
      <w:r w:rsidRPr="003046F2">
        <w:rPr>
          <w:rFonts w:ascii="Bookman Old Style" w:hAnsi="Bookman Old Style"/>
          <w:lang w:val="es-CO"/>
        </w:rPr>
        <w:t>Audiencia de formulación de cargos ante el magistrado con función de control de garantías de Bogotá, celebrada el 15 de julio de 2010.</w:t>
      </w:r>
    </w:p>
  </w:footnote>
  <w:footnote w:id="41">
    <w:p w:rsidR="00AD777C" w:rsidRPr="003635BA" w:rsidRDefault="00AD777C" w:rsidP="00AD777C">
      <w:pPr>
        <w:pStyle w:val="Textonotapie"/>
        <w:rPr>
          <w:lang w:val="es-CO"/>
        </w:rPr>
      </w:pPr>
      <w:r>
        <w:rPr>
          <w:rStyle w:val="Refdenotaalpie"/>
        </w:rPr>
        <w:footnoteRef/>
      </w:r>
      <w:r>
        <w:t xml:space="preserve"> </w:t>
      </w:r>
      <w:r>
        <w:rPr>
          <w:lang w:val="es-CO"/>
        </w:rPr>
        <w:t>Récord 51:00</w:t>
      </w:r>
    </w:p>
  </w:footnote>
  <w:footnote w:id="42">
    <w:p w:rsidR="00AD777C" w:rsidRPr="000E362E" w:rsidRDefault="00AD777C" w:rsidP="00AD777C">
      <w:pPr>
        <w:pStyle w:val="Textonotapie"/>
        <w:jc w:val="both"/>
        <w:rPr>
          <w:rFonts w:ascii="Bookman Old Style" w:hAnsi="Bookman Old Style"/>
          <w:lang w:val="es-CO"/>
        </w:rPr>
      </w:pPr>
      <w:r w:rsidRPr="000E362E">
        <w:rPr>
          <w:rStyle w:val="Refdenotaalpie"/>
          <w:rFonts w:ascii="Bookman Old Style" w:hAnsi="Bookman Old Style"/>
        </w:rPr>
        <w:footnoteRef/>
      </w:r>
      <w:r w:rsidRPr="000E362E">
        <w:rPr>
          <w:rFonts w:ascii="Bookman Old Style" w:hAnsi="Bookman Old Style"/>
        </w:rPr>
        <w:t xml:space="preserve"> 28 y 29 de marzo de 2011. Récord 01:43 del archivo 2 del cd. que contiene la audiencia del 28 de marzo.</w:t>
      </w:r>
    </w:p>
  </w:footnote>
  <w:footnote w:id="43">
    <w:p w:rsidR="00AD777C" w:rsidRPr="00A645C3" w:rsidRDefault="00AD777C" w:rsidP="00AD777C">
      <w:pPr>
        <w:pStyle w:val="Textonotapie"/>
        <w:rPr>
          <w:rFonts w:ascii="Bookman Old Style" w:hAnsi="Bookman Old Style"/>
          <w:lang w:val="es-CO"/>
        </w:rPr>
      </w:pPr>
      <w:r w:rsidRPr="00A645C3">
        <w:rPr>
          <w:rStyle w:val="Refdenotaalpie"/>
          <w:rFonts w:ascii="Bookman Old Style" w:hAnsi="Bookman Old Style"/>
        </w:rPr>
        <w:footnoteRef/>
      </w:r>
      <w:r w:rsidRPr="00A645C3">
        <w:rPr>
          <w:rFonts w:ascii="Bookman Old Style" w:hAnsi="Bookman Old Style"/>
        </w:rPr>
        <w:t xml:space="preserve"> Folios 323 a 325 de la sentencia.</w:t>
      </w:r>
    </w:p>
  </w:footnote>
  <w:footnote w:id="44">
    <w:p w:rsidR="00AD777C" w:rsidRPr="0061257E" w:rsidRDefault="00AD777C" w:rsidP="00AD777C">
      <w:pPr>
        <w:pStyle w:val="Textonotapie"/>
        <w:rPr>
          <w:rFonts w:ascii="Bookman Old Style" w:hAnsi="Bookman Old Style"/>
          <w:lang w:val="es-CO"/>
        </w:rPr>
      </w:pPr>
      <w:r w:rsidRPr="0061257E">
        <w:rPr>
          <w:rStyle w:val="Refdenotaalpie"/>
          <w:rFonts w:ascii="Bookman Old Style" w:hAnsi="Bookman Old Style"/>
        </w:rPr>
        <w:footnoteRef/>
      </w:r>
      <w:r w:rsidRPr="0061257E">
        <w:rPr>
          <w:rFonts w:ascii="Bookman Old Style" w:hAnsi="Bookman Old Style"/>
        </w:rPr>
        <w:t xml:space="preserve"> </w:t>
      </w:r>
      <w:r w:rsidRPr="0061257E">
        <w:rPr>
          <w:rFonts w:ascii="Bookman Old Style" w:hAnsi="Bookman Old Style"/>
          <w:lang w:val="es-CO"/>
        </w:rPr>
        <w:t>Sesión d</w:t>
      </w:r>
      <w:r>
        <w:rPr>
          <w:rFonts w:ascii="Bookman Old Style" w:hAnsi="Bookman Old Style"/>
          <w:lang w:val="es-CO"/>
        </w:rPr>
        <w:t>e</w:t>
      </w:r>
      <w:r w:rsidRPr="0061257E">
        <w:rPr>
          <w:rFonts w:ascii="Bookman Old Style" w:hAnsi="Bookman Old Style"/>
          <w:lang w:val="es-CO"/>
        </w:rPr>
        <w:t xml:space="preserve"> formulación de cargos realizada el 15 de julio de 2010</w:t>
      </w:r>
      <w:r>
        <w:rPr>
          <w:rFonts w:ascii="Bookman Old Style" w:hAnsi="Bookman Old Style"/>
          <w:lang w:val="es-CO"/>
        </w:rPr>
        <w:t>.</w:t>
      </w:r>
    </w:p>
  </w:footnote>
  <w:footnote w:id="45">
    <w:p w:rsidR="00AD777C" w:rsidRPr="0061257E" w:rsidRDefault="00AD777C" w:rsidP="00AD777C">
      <w:pPr>
        <w:pStyle w:val="Textonotapie"/>
        <w:jc w:val="both"/>
        <w:rPr>
          <w:rFonts w:ascii="Bookman Old Style" w:hAnsi="Bookman Old Style"/>
          <w:lang w:val="es-CO"/>
        </w:rPr>
      </w:pPr>
      <w:r w:rsidRPr="0061257E">
        <w:rPr>
          <w:rStyle w:val="Refdenotaalpie"/>
          <w:rFonts w:ascii="Bookman Old Style" w:hAnsi="Bookman Old Style"/>
        </w:rPr>
        <w:footnoteRef/>
      </w:r>
      <w:r w:rsidRPr="0061257E">
        <w:rPr>
          <w:rFonts w:ascii="Bookman Old Style" w:hAnsi="Bookman Old Style"/>
        </w:rPr>
        <w:t xml:space="preserve"> </w:t>
      </w:r>
      <w:r w:rsidRPr="0061257E">
        <w:rPr>
          <w:rFonts w:ascii="Bookman Old Style" w:hAnsi="Bookman Old Style"/>
          <w:lang w:val="es-CO"/>
        </w:rPr>
        <w:t>A partir del récord 01:43 del archivo 2 del cd que contiene la sesión de la audiencia de legalización de cargos del 28 y 29 de marzo de 2011.</w:t>
      </w:r>
    </w:p>
  </w:footnote>
  <w:footnote w:id="46">
    <w:p w:rsidR="00AD777C" w:rsidRPr="0061257E" w:rsidRDefault="00AD777C" w:rsidP="00AD777C">
      <w:pPr>
        <w:pStyle w:val="Textonotapie"/>
        <w:rPr>
          <w:rFonts w:ascii="Bookman Old Style" w:hAnsi="Bookman Old Style"/>
          <w:lang w:val="es-CO"/>
        </w:rPr>
      </w:pPr>
      <w:r w:rsidRPr="0061257E">
        <w:rPr>
          <w:rStyle w:val="Refdenotaalpie"/>
          <w:rFonts w:ascii="Bookman Old Style" w:hAnsi="Bookman Old Style"/>
        </w:rPr>
        <w:footnoteRef/>
      </w:r>
      <w:r w:rsidRPr="0061257E">
        <w:rPr>
          <w:rFonts w:ascii="Bookman Old Style" w:hAnsi="Bookman Old Style"/>
        </w:rPr>
        <w:t xml:space="preserve"> </w:t>
      </w:r>
      <w:r w:rsidRPr="0061257E">
        <w:rPr>
          <w:rFonts w:ascii="Bookman Old Style" w:hAnsi="Bookman Old Style"/>
          <w:lang w:val="es-CO"/>
        </w:rPr>
        <w:t>Suzuki TS125 color azul de placas ABU09A</w:t>
      </w:r>
      <w:r>
        <w:rPr>
          <w:rFonts w:ascii="Bookman Old Style" w:hAnsi="Bookman Old Style"/>
          <w:lang w:val="es-CO"/>
        </w:rPr>
        <w:t>.</w:t>
      </w:r>
      <w:r w:rsidRPr="0061257E">
        <w:rPr>
          <w:rFonts w:ascii="Bookman Old Style" w:hAnsi="Bookman Old Style"/>
          <w:lang w:val="es-CO"/>
        </w:rPr>
        <w:t xml:space="preserve"> </w:t>
      </w:r>
    </w:p>
  </w:footnote>
  <w:footnote w:id="47">
    <w:p w:rsidR="00AD777C" w:rsidRPr="00DE7AFB" w:rsidRDefault="00AD777C" w:rsidP="00AD777C">
      <w:pPr>
        <w:pStyle w:val="Textonotapie"/>
        <w:jc w:val="both"/>
        <w:rPr>
          <w:rFonts w:ascii="Bookman Old Style" w:hAnsi="Bookman Old Style"/>
          <w:lang w:val="es-CO"/>
        </w:rPr>
      </w:pPr>
      <w:r w:rsidRPr="00DE7AFB">
        <w:rPr>
          <w:rStyle w:val="Refdenotaalpie"/>
          <w:rFonts w:ascii="Bookman Old Style" w:hAnsi="Bookman Old Style"/>
        </w:rPr>
        <w:footnoteRef/>
      </w:r>
      <w:r w:rsidRPr="00DE7AFB">
        <w:rPr>
          <w:rFonts w:ascii="Bookman Old Style" w:hAnsi="Bookman Old Style"/>
        </w:rPr>
        <w:t xml:space="preserve"> </w:t>
      </w:r>
      <w:r w:rsidRPr="00DE7AFB">
        <w:rPr>
          <w:rFonts w:ascii="Bookman Old Style" w:hAnsi="Bookman Old Style"/>
          <w:lang w:val="es-CO"/>
        </w:rPr>
        <w:t>Sesión de audiencia de legalización de cargos adelan</w:t>
      </w:r>
      <w:r>
        <w:rPr>
          <w:rFonts w:ascii="Bookman Old Style" w:hAnsi="Bookman Old Style"/>
          <w:lang w:val="es-CO"/>
        </w:rPr>
        <w:t xml:space="preserve">tada el 18 de febrero de 2011. </w:t>
      </w:r>
    </w:p>
  </w:footnote>
  <w:footnote w:id="48">
    <w:p w:rsidR="00AD777C" w:rsidRPr="00771BC1" w:rsidRDefault="00AD777C" w:rsidP="00AD777C">
      <w:pPr>
        <w:pStyle w:val="Textonotapie"/>
        <w:rPr>
          <w:lang w:val="es-CO"/>
        </w:rPr>
      </w:pPr>
      <w:r w:rsidRPr="00DE7AFB">
        <w:rPr>
          <w:rStyle w:val="Refdenotaalpie"/>
          <w:rFonts w:ascii="Bookman Old Style" w:hAnsi="Bookman Old Style"/>
        </w:rPr>
        <w:footnoteRef/>
      </w:r>
      <w:r w:rsidRPr="00DE7AFB">
        <w:rPr>
          <w:rFonts w:ascii="Bookman Old Style" w:hAnsi="Bookman Old Style"/>
        </w:rPr>
        <w:t xml:space="preserve"> </w:t>
      </w:r>
      <w:r w:rsidRPr="00DE7AFB">
        <w:rPr>
          <w:rFonts w:ascii="Bookman Old Style" w:hAnsi="Bookman Old Style"/>
          <w:lang w:val="es-CO"/>
        </w:rPr>
        <w:t>Pareja de Yamilet Pabón fallecida en enero de 2008</w:t>
      </w:r>
      <w:r>
        <w:rPr>
          <w:lang w:val="es-CO"/>
        </w:rPr>
        <w:t>.</w:t>
      </w:r>
    </w:p>
  </w:footnote>
  <w:footnote w:id="49">
    <w:p w:rsidR="00AD777C" w:rsidRPr="004F000C" w:rsidRDefault="00AD777C" w:rsidP="00AD777C">
      <w:pPr>
        <w:pStyle w:val="Textonotapie"/>
        <w:rPr>
          <w:rFonts w:ascii="Bookman Old Style" w:hAnsi="Bookman Old Style"/>
          <w:lang w:val="es-CO"/>
        </w:rPr>
      </w:pPr>
      <w:r w:rsidRPr="004F000C">
        <w:rPr>
          <w:rStyle w:val="Refdenotaalpie"/>
          <w:rFonts w:ascii="Bookman Old Style" w:hAnsi="Bookman Old Style"/>
        </w:rPr>
        <w:footnoteRef/>
      </w:r>
      <w:r w:rsidRPr="004F000C">
        <w:rPr>
          <w:rFonts w:ascii="Bookman Old Style" w:hAnsi="Bookman Old Style"/>
        </w:rPr>
        <w:t xml:space="preserve"> </w:t>
      </w:r>
      <w:r w:rsidRPr="004F000C">
        <w:rPr>
          <w:rFonts w:ascii="Bookman Old Style" w:hAnsi="Bookman Old Style"/>
          <w:lang w:val="es-CO"/>
        </w:rPr>
        <w:t>Declaración rendida por Octavio Prado.</w:t>
      </w:r>
    </w:p>
  </w:footnote>
  <w:footnote w:id="50">
    <w:p w:rsidR="00AD777C" w:rsidRPr="0006558C" w:rsidRDefault="00AD777C" w:rsidP="00AD777C">
      <w:pPr>
        <w:pStyle w:val="Textonotapie"/>
        <w:jc w:val="both"/>
        <w:rPr>
          <w:rFonts w:ascii="Bookman Old Style" w:hAnsi="Bookman Old Style"/>
          <w:lang w:val="es-CO"/>
        </w:rPr>
      </w:pPr>
      <w:r w:rsidRPr="0006558C">
        <w:rPr>
          <w:rStyle w:val="Refdenotaalpie"/>
          <w:rFonts w:ascii="Bookman Old Style" w:hAnsi="Bookman Old Style"/>
        </w:rPr>
        <w:footnoteRef/>
      </w:r>
      <w:r w:rsidRPr="0006558C">
        <w:rPr>
          <w:rFonts w:ascii="Bookman Old Style" w:hAnsi="Bookman Old Style"/>
        </w:rPr>
        <w:t xml:space="preserve"> </w:t>
      </w:r>
      <w:r w:rsidRPr="0006558C">
        <w:rPr>
          <w:rFonts w:ascii="Bookman Old Style" w:hAnsi="Bookman Old Style"/>
          <w:lang w:val="es-CO"/>
        </w:rPr>
        <w:t xml:space="preserve">Folio 13 del escrito de sustentación del recurso de apelación. Obrante al folio 118 del cuaderno 5. </w:t>
      </w:r>
    </w:p>
  </w:footnote>
  <w:footnote w:id="51">
    <w:p w:rsidR="00AD777C" w:rsidRPr="0006558C" w:rsidRDefault="00AD777C" w:rsidP="00AD777C">
      <w:pPr>
        <w:pStyle w:val="Textonotapie"/>
        <w:rPr>
          <w:rFonts w:ascii="Bookman Old Style" w:hAnsi="Bookman Old Style"/>
          <w:lang w:val="es-CO"/>
        </w:rPr>
      </w:pPr>
      <w:r w:rsidRPr="0006558C">
        <w:rPr>
          <w:rStyle w:val="Refdenotaalpie"/>
          <w:rFonts w:ascii="Bookman Old Style" w:hAnsi="Bookman Old Style"/>
        </w:rPr>
        <w:footnoteRef/>
      </w:r>
      <w:r w:rsidRPr="0006558C">
        <w:rPr>
          <w:rFonts w:ascii="Bookman Old Style" w:hAnsi="Bookman Old Style"/>
        </w:rPr>
        <w:t xml:space="preserve"> </w:t>
      </w:r>
      <w:r w:rsidRPr="0006558C">
        <w:rPr>
          <w:rFonts w:ascii="Bookman Old Style" w:hAnsi="Bookman Old Style"/>
          <w:lang w:val="es-CO"/>
        </w:rPr>
        <w:t>Sesión del 4 de mayo de 2010. Registro 3 del cd. récord 01:52</w:t>
      </w:r>
    </w:p>
  </w:footnote>
  <w:footnote w:id="52">
    <w:p w:rsidR="00AD777C" w:rsidRPr="00F574B9" w:rsidRDefault="00AD777C" w:rsidP="00AD777C">
      <w:pPr>
        <w:jc w:val="both"/>
        <w:rPr>
          <w:rFonts w:ascii="Bookman Old Style" w:hAnsi="Bookman Old Style"/>
          <w:lang w:val="es-CO"/>
        </w:rPr>
      </w:pPr>
      <w:r>
        <w:rPr>
          <w:rStyle w:val="Refdenotaalpie"/>
        </w:rPr>
        <w:footnoteRef/>
      </w:r>
      <w:r>
        <w:t xml:space="preserve"> </w:t>
      </w:r>
      <w:r w:rsidRPr="00790F5F">
        <w:rPr>
          <w:rFonts w:ascii="Bookman Old Style" w:hAnsi="Bookman Old Style"/>
          <w:lang w:val="es-CO"/>
        </w:rPr>
        <w:t xml:space="preserve">Esta verdad cuya construcción se encuentra en manos de todos los intervinientes, parece ser esquiva para Stella Ramírez, dado que incluso el abogado que representa sus intereses, en el alegato de conclusión se refirió a las afectaciones generadas a esta mujer por el </w:t>
      </w:r>
      <w:r w:rsidRPr="00790F5F">
        <w:rPr>
          <w:rFonts w:ascii="Bookman Old Style" w:hAnsi="Bookman Old Style"/>
          <w:b/>
          <w:lang w:val="es-CO"/>
        </w:rPr>
        <w:t>desplazamiento forzado de que fue víctima</w:t>
      </w:r>
      <w:r>
        <w:rPr>
          <w:rFonts w:ascii="Bookman Old Style" w:hAnsi="Bookman Old Style"/>
          <w:lang w:val="es-CO"/>
        </w:rPr>
        <w:t>, cuando en verdad no hubo imputación por ese punible, dado que si bien es cierto ella afirmó que viajó, sólo lo hizo por las vacaciones colectivas a la ciudad de Cali y en cumplimiento a lo ya programado, a cuyo término regresó al Porvenir, sin volver a tener contacto con ‘paraco viejo’.</w:t>
      </w:r>
    </w:p>
  </w:footnote>
  <w:footnote w:id="53">
    <w:p w:rsidR="00AD777C" w:rsidRPr="0006558C" w:rsidRDefault="00AD777C" w:rsidP="00AD777C">
      <w:pPr>
        <w:pStyle w:val="Textonotapie"/>
        <w:rPr>
          <w:rFonts w:ascii="Bookman Old Style" w:hAnsi="Bookman Old Style"/>
          <w:lang w:val="es-CO"/>
        </w:rPr>
      </w:pPr>
      <w:r w:rsidRPr="0006558C">
        <w:rPr>
          <w:rStyle w:val="Refdenotaalpie"/>
          <w:rFonts w:ascii="Bookman Old Style" w:hAnsi="Bookman Old Style"/>
        </w:rPr>
        <w:footnoteRef/>
      </w:r>
      <w:r w:rsidRPr="0006558C">
        <w:rPr>
          <w:rFonts w:ascii="Bookman Old Style" w:hAnsi="Bookman Old Style"/>
        </w:rPr>
        <w:t xml:space="preserve"> </w:t>
      </w:r>
      <w:r w:rsidRPr="0006558C">
        <w:rPr>
          <w:rFonts w:ascii="Bookman Old Style" w:hAnsi="Bookman Old Style"/>
          <w:lang w:val="es-CO"/>
        </w:rPr>
        <w:t>Récord 34:50 sesión de audiencia del 16 de febrero de 2011.</w:t>
      </w:r>
    </w:p>
  </w:footnote>
  <w:footnote w:id="54">
    <w:p w:rsidR="00AD777C" w:rsidRPr="00F574B9" w:rsidRDefault="00AD777C" w:rsidP="00AD777C">
      <w:pPr>
        <w:pStyle w:val="Textonotapie"/>
        <w:jc w:val="both"/>
        <w:rPr>
          <w:rFonts w:ascii="Bookman Old Style" w:hAnsi="Bookman Old Style"/>
        </w:rPr>
      </w:pPr>
      <w:r w:rsidRPr="00B64452">
        <w:rPr>
          <w:rStyle w:val="Refdenotaalpie"/>
          <w:rFonts w:ascii="Bookman Old Style" w:hAnsi="Bookman Old Style"/>
        </w:rPr>
        <w:footnoteRef/>
      </w:r>
      <w:r w:rsidRPr="00B64452">
        <w:rPr>
          <w:rFonts w:ascii="Bookman Old Style" w:hAnsi="Bookman Old Style"/>
        </w:rPr>
        <w:t xml:space="preserve"> Este término ha venido siendo utilizado por la Corporación en diferentes pronunciamientos, a través de los cuales igualmente se ha reiterado que el conflicto interno es un hecho, una situación fáctica que debe ser analizada por el juez, sin que se exija para su estructuración el reconocimiento expreso de los gobiernos. Al respecto véase, entre otras decisiones: 21 de julio de 2004, radicado 14.538, 15 de febrero de 2006, radicado 21.330, 12 de septiembre de 2007, radicado 24.448, 27 de enero de 2010, radicado 29.753, 24 de noviembre de 2010, radicado 34.482 y 23 de marzo de 2011 Radicado 35099 del 23 de marzo de 2011. SP 15512-2014. Radicado 39392 del 11 de noviembre de 2014 y SP15901-2014 Radicado 41373 de 20 de noviembre de 2014</w:t>
      </w:r>
      <w:r>
        <w:rPr>
          <w:rFonts w:ascii="Bookman Old Style" w:hAnsi="Bookman Old Style"/>
        </w:rPr>
        <w:t>.</w:t>
      </w:r>
    </w:p>
  </w:footnote>
  <w:footnote w:id="55">
    <w:p w:rsidR="00AD777C" w:rsidRPr="00B64452" w:rsidRDefault="00AD777C" w:rsidP="00AD777C">
      <w:pPr>
        <w:pStyle w:val="Textonotapie"/>
        <w:rPr>
          <w:rFonts w:ascii="Bookman Old Style" w:hAnsi="Bookman Old Style"/>
          <w:lang w:val="es-CO"/>
        </w:rPr>
      </w:pPr>
      <w:r w:rsidRPr="00B64452">
        <w:rPr>
          <w:rStyle w:val="Refdenotaalpie"/>
          <w:rFonts w:ascii="Bookman Old Style" w:hAnsi="Bookman Old Style"/>
        </w:rPr>
        <w:footnoteRef/>
      </w:r>
      <w:r w:rsidRPr="00B64452">
        <w:rPr>
          <w:rFonts w:ascii="Bookman Old Style" w:hAnsi="Bookman Old Style"/>
        </w:rPr>
        <w:t xml:space="preserve"> </w:t>
      </w:r>
      <w:r w:rsidRPr="00B64452">
        <w:rPr>
          <w:rFonts w:ascii="Bookman Old Style" w:hAnsi="Bookman Old Style"/>
          <w:lang w:val="es-CO"/>
        </w:rPr>
        <w:t>Folios 230 y 231 de la sentencia de primera instancia.</w:t>
      </w:r>
    </w:p>
  </w:footnote>
  <w:footnote w:id="56">
    <w:p w:rsidR="00AD777C" w:rsidRPr="0006558C" w:rsidRDefault="00AD777C" w:rsidP="00AD777C">
      <w:pPr>
        <w:pStyle w:val="Textonotapie"/>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Ver, por ejemplo, el caso del </w:t>
      </w:r>
      <w:r w:rsidRPr="0006558C">
        <w:rPr>
          <w:rFonts w:ascii="Bookman Old Style" w:hAnsi="Bookman Old Style"/>
          <w:b/>
          <w:bCs/>
        </w:rPr>
        <w:t>Fiscal vs. Stanislav Galic</w:t>
      </w:r>
      <w:r w:rsidRPr="0006558C">
        <w:rPr>
          <w:rFonts w:ascii="Bookman Old Style" w:hAnsi="Bookman Old Style"/>
        </w:rPr>
        <w:t>, sentencia del 5 de diciembre de 2003.</w:t>
      </w:r>
    </w:p>
  </w:footnote>
  <w:footnote w:id="57">
    <w:p w:rsidR="00AD777C" w:rsidRPr="0006558C" w:rsidRDefault="00AD777C" w:rsidP="00AD777C">
      <w:pPr>
        <w:pStyle w:val="Textonotapie"/>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w:t>
      </w:r>
      <w:r w:rsidRPr="0006558C">
        <w:rPr>
          <w:rFonts w:ascii="Bookman Old Style" w:hAnsi="Bookman Old Style"/>
          <w:lang w:val="es-CO"/>
        </w:rPr>
        <w:t xml:space="preserve">Ver </w:t>
      </w:r>
      <w:smartTag w:uri="urn:schemas-microsoft-com:office:smarttags" w:element="PersonName">
        <w:smartTagPr>
          <w:attr w:name="ProductID" w:val="la Sistematizaci￳n"/>
        </w:smartTagPr>
        <w:r w:rsidRPr="0006558C">
          <w:rPr>
            <w:rFonts w:ascii="Bookman Old Style" w:hAnsi="Bookman Old Style"/>
            <w:lang w:val="es-CO"/>
          </w:rPr>
          <w:t>la Sistematización</w:t>
        </w:r>
      </w:smartTag>
      <w:r w:rsidRPr="0006558C">
        <w:rPr>
          <w:rFonts w:ascii="Bookman Old Style" w:hAnsi="Bookman Old Style"/>
          <w:lang w:val="es-CO"/>
        </w:rPr>
        <w:t xml:space="preserve"> del CICR, Norma 5: “Son personas civiles quienes no son miembros de las fuerzas armadas. La población civil comprende a todas las personas civiles.” Se precisa en tal estudio que esta norma es aplicable, para efectos del principio de distinción, en los conflictos armados no internacionales.</w:t>
      </w:r>
    </w:p>
  </w:footnote>
  <w:footnote w:id="58">
    <w:p w:rsidR="00AD777C" w:rsidRPr="0006558C" w:rsidRDefault="00AD777C" w:rsidP="00AD777C">
      <w:pPr>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lang w:val="en-US"/>
        </w:rPr>
        <w:t xml:space="preserve"> Traducción informal: </w:t>
      </w:r>
      <w:r w:rsidRPr="0006558C">
        <w:rPr>
          <w:rFonts w:ascii="Bookman Old Style" w:hAnsi="Bookman Old Style"/>
          <w:i/>
          <w:iCs/>
          <w:lang w:val="en-US"/>
        </w:rPr>
        <w:t>“Civilians within the meaning of Article 3 are persons who are not, or no longer, members of the armed forces”</w:t>
      </w:r>
      <w:r w:rsidRPr="0006558C">
        <w:rPr>
          <w:rFonts w:ascii="Bookman Old Style" w:hAnsi="Bookman Old Style"/>
          <w:lang w:val="en-US"/>
        </w:rPr>
        <w:t xml:space="preserve">. </w:t>
      </w:r>
      <w:r w:rsidRPr="0006558C">
        <w:rPr>
          <w:rFonts w:ascii="Bookman Old Style" w:hAnsi="Bookman Old Style"/>
        </w:rPr>
        <w:t xml:space="preserve">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Tihomir Blaskic</w:t>
      </w:r>
      <w:r w:rsidRPr="0006558C">
        <w:rPr>
          <w:rFonts w:ascii="Bookman Old Style" w:hAnsi="Bookman Old Style"/>
        </w:rPr>
        <w:t>, sentencia del 3 de marzo del 2000.</w:t>
      </w:r>
    </w:p>
  </w:footnote>
  <w:footnote w:id="59">
    <w:p w:rsidR="00AD777C" w:rsidRPr="0006558C" w:rsidRDefault="00AD777C" w:rsidP="00AD777C">
      <w:pPr>
        <w:pStyle w:val="Textonotapie"/>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w:t>
      </w:r>
      <w:r w:rsidRPr="0006558C">
        <w:rPr>
          <w:rFonts w:ascii="Bookman Old Style" w:hAnsi="Bookman Old Style"/>
          <w:spacing w:val="-2"/>
          <w:lang w:eastAsia="en-US"/>
        </w:rPr>
        <w:t xml:space="preserve">En términos de </w:t>
      </w:r>
      <w:smartTag w:uri="urn:schemas-microsoft-com:office:smarttags" w:element="PersonName">
        <w:smartTagPr>
          <w:attr w:name="ProductID" w:val="la Comisi￳n"/>
        </w:smartTagPr>
        <w:r w:rsidRPr="0006558C">
          <w:rPr>
            <w:rFonts w:ascii="Bookman Old Style" w:hAnsi="Bookman Old Style"/>
            <w:spacing w:val="-2"/>
            <w:lang w:eastAsia="en-US"/>
          </w:rPr>
          <w:t>la Comisión</w:t>
        </w:r>
      </w:smartTag>
      <w:r w:rsidRPr="0006558C">
        <w:rPr>
          <w:rFonts w:ascii="Bookman Old Style" w:hAnsi="Bookman Old Style"/>
          <w:spacing w:val="-2"/>
          <w:lang w:eastAsia="en-US"/>
        </w:rPr>
        <w:t xml:space="preserve">: “El objetivo básico del artículo 3 común es disponer de ciertas normas legales mínimas que se puedan aplicar en el curso de hostilidades para proteger a las personas que </w:t>
      </w:r>
      <w:r w:rsidRPr="0006558C">
        <w:rPr>
          <w:rFonts w:ascii="Bookman Old Style" w:hAnsi="Bookman Old Style"/>
          <w:spacing w:val="-2"/>
          <w:u w:val="single"/>
          <w:lang w:eastAsia="en-US"/>
        </w:rPr>
        <w:t>no</w:t>
      </w:r>
      <w:r w:rsidRPr="0006558C">
        <w:rPr>
          <w:rFonts w:ascii="Bookman Old Style" w:hAnsi="Bookman Old Style"/>
          <w:spacing w:val="-2"/>
          <w:lang w:eastAsia="en-US"/>
        </w:rPr>
        <w:t xml:space="preserve"> tomaron, o que </w:t>
      </w:r>
      <w:r w:rsidRPr="0006558C">
        <w:rPr>
          <w:rFonts w:ascii="Bookman Old Style" w:hAnsi="Bookman Old Style"/>
          <w:spacing w:val="-2"/>
          <w:u w:val="single"/>
          <w:lang w:eastAsia="en-US"/>
        </w:rPr>
        <w:t>ya no</w:t>
      </w:r>
      <w:r w:rsidRPr="0006558C">
        <w:rPr>
          <w:rFonts w:ascii="Bookman Old Style" w:hAnsi="Bookman Old Style"/>
          <w:spacing w:val="-2"/>
          <w:lang w:eastAsia="en-US"/>
        </w:rPr>
        <w:t xml:space="preserve"> toman parte </w:t>
      </w:r>
      <w:r w:rsidRPr="0006558C">
        <w:rPr>
          <w:rFonts w:ascii="Bookman Old Style" w:hAnsi="Bookman Old Style"/>
          <w:spacing w:val="-2"/>
          <w:u w:val="single"/>
          <w:lang w:eastAsia="en-US"/>
        </w:rPr>
        <w:t>directa o activa</w:t>
      </w:r>
      <w:r w:rsidRPr="0006558C">
        <w:rPr>
          <w:rFonts w:ascii="Bookman Old Style" w:hAnsi="Bookman Old Style"/>
          <w:spacing w:val="-2"/>
          <w:lang w:eastAsia="en-US"/>
        </w:rPr>
        <w:t xml:space="preserve"> en las hostilidades. Las personas que tienen derecho a la protección que legalmente les confiere el artículo 3 común, incluyen a los miembros del gobierno y de las fuerzas disidentes que se rinden, son capturados o están fuera de combate (</w:t>
      </w:r>
      <w:r w:rsidRPr="0006558C">
        <w:rPr>
          <w:rFonts w:ascii="Bookman Old Style" w:hAnsi="Bookman Old Style"/>
          <w:i/>
          <w:iCs/>
          <w:spacing w:val="-2"/>
          <w:lang w:eastAsia="en-US"/>
        </w:rPr>
        <w:t>hors de combat</w:t>
      </w:r>
      <w:r w:rsidRPr="0006558C">
        <w:rPr>
          <w:rFonts w:ascii="Bookman Old Style" w:hAnsi="Bookman Old Style"/>
          <w:spacing w:val="-2"/>
          <w:lang w:eastAsia="en-US"/>
        </w:rPr>
        <w:t>).  De igual modo, los civiles están protegidos por las garantías del artículo 3 común, cuando son capturados o de alguna otra manera quedan sujetos a la autoridad de un adversario, incluso aunque hayan militado en las filas de la parte opositora.”</w:t>
      </w:r>
    </w:p>
  </w:footnote>
  <w:footnote w:id="60">
    <w:p w:rsidR="00AD777C" w:rsidRPr="0006558C" w:rsidRDefault="00AD777C" w:rsidP="00AD777C">
      <w:pPr>
        <w:pStyle w:val="Textonotapie"/>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lang w:val="en-US"/>
        </w:rPr>
        <w:t xml:space="preserve"> Traducción informal: </w:t>
      </w:r>
      <w:r w:rsidRPr="0006558C">
        <w:rPr>
          <w:rFonts w:ascii="Bookman Old Style" w:hAnsi="Bookman Old Style"/>
          <w:i/>
          <w:iCs/>
          <w:lang w:val="en-US"/>
        </w:rPr>
        <w:t>“Where the charges are specifically based on Common Article 3, it is necessary to show that the violations were committed against persons not directly involved in the hostilities.”</w:t>
      </w:r>
      <w:r w:rsidRPr="0006558C">
        <w:rPr>
          <w:rFonts w:ascii="Bookman Old Style" w:hAnsi="Bookman Old Style"/>
          <w:lang w:val="en-US"/>
        </w:rPr>
        <w:t xml:space="preserve"> </w:t>
      </w:r>
      <w:r w:rsidRPr="0006558C">
        <w:rPr>
          <w:rFonts w:ascii="Bookman Old Style" w:hAnsi="Bookman Old Style"/>
        </w:rPr>
        <w:t xml:space="preserve">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Tihomir Blaskic</w:t>
      </w:r>
      <w:r w:rsidRPr="0006558C">
        <w:rPr>
          <w:rFonts w:ascii="Bookman Old Style" w:hAnsi="Bookman Old Style"/>
        </w:rPr>
        <w:t>, sentencia del 3 de marzo del 2000.</w:t>
      </w:r>
    </w:p>
  </w:footnote>
  <w:footnote w:id="61">
    <w:p w:rsidR="00AD777C" w:rsidRPr="0006558C" w:rsidRDefault="00AD777C" w:rsidP="00AD777C">
      <w:pPr>
        <w:pStyle w:val="Textonotapie"/>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lang w:val="en-US"/>
        </w:rPr>
        <w:t xml:space="preserve"> Traducción informal: </w:t>
      </w:r>
      <w:r w:rsidRPr="0006558C">
        <w:rPr>
          <w:rFonts w:ascii="Bookman Old Style" w:hAnsi="Bookman Old Style"/>
          <w:i/>
          <w:iCs/>
          <w:lang w:val="en-US"/>
        </w:rPr>
        <w:t>“whether, at the time of the alleged offence, the alleged victim of the proscribed acts was directly taking part in hostilities, being those hostilities in the context of which the alleged offences are said to have been committed. If the answer to that question is negative, the victim will enjoy the protection of the proscriptions contained in Common Article 3”</w:t>
      </w:r>
      <w:r w:rsidRPr="0006558C">
        <w:rPr>
          <w:rFonts w:ascii="Bookman Old Style" w:hAnsi="Bookman Old Style"/>
          <w:lang w:val="en-US"/>
        </w:rPr>
        <w:t xml:space="preserve">. </w:t>
      </w:r>
      <w:r w:rsidRPr="0006558C">
        <w:rPr>
          <w:rFonts w:ascii="Bookman Old Style" w:hAnsi="Bookman Old Style"/>
        </w:rPr>
        <w:t xml:space="preserve">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w:t>
      </w:r>
      <w:r w:rsidRPr="0006558C">
        <w:rPr>
          <w:rFonts w:ascii="Bookman Old Style" w:hAnsi="Bookman Old Style"/>
          <w:b/>
          <w:bCs/>
        </w:rPr>
        <w:t>Caso del Fiscal v. Dusko Tadic</w:t>
      </w:r>
      <w:r w:rsidRPr="0006558C">
        <w:rPr>
          <w:rFonts w:ascii="Bookman Old Style" w:hAnsi="Bookman Old Style"/>
        </w:rPr>
        <w:t xml:space="preserve">, No. IT-94-1-AR72, decisión de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Apelaciones sobre su propia jurisdicción, 2 de octubre de 1995, par. 70. Reiterado en el caso del </w:t>
      </w:r>
      <w:r w:rsidRPr="0006558C">
        <w:rPr>
          <w:rFonts w:ascii="Bookman Old Style" w:hAnsi="Bookman Old Style"/>
          <w:b/>
          <w:bCs/>
        </w:rPr>
        <w:t>Fiscal vs. Sefer Halilovic</w:t>
      </w:r>
      <w:r w:rsidRPr="0006558C">
        <w:rPr>
          <w:rFonts w:ascii="Bookman Old Style" w:hAnsi="Bookman Old Style"/>
        </w:rPr>
        <w:t>, sentencia del 16 de noviembre de 2005.</w:t>
      </w:r>
    </w:p>
  </w:footnote>
  <w:footnote w:id="62">
    <w:p w:rsidR="00AD777C" w:rsidRPr="0006558C" w:rsidRDefault="00AD777C" w:rsidP="00AD777C">
      <w:pPr>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Afirmó el Tribunal que “las conclusiones  basadas en este criterio dependerán de un análisis de los hechos más que del derecho” [Traducción informal: “The conclusions grounded on this criterion will depend on an analysis of the facts rather than the law.” 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Tihomir Blaskic</w:t>
      </w:r>
      <w:r w:rsidRPr="0006558C">
        <w:rPr>
          <w:rFonts w:ascii="Bookman Old Style" w:hAnsi="Bookman Old Style"/>
        </w:rPr>
        <w:t xml:space="preserve">, sentencia del 3 de marzo del 2000. Esta regla de apreciación fáctica para determinar el status de civil, no se aplica en relación con los miembros de las Fuerzas Armadas, quienes no pierden su condición de partícipes activos en las hostilidades por el hecho de no encontrarse en situación de combate en un momento determinado. Así lo ha explicado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Apelaciones del 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al precisar que la regla según la cual la situación específica de la víctima al momento de los hechos debe tomarse en cuenta al determinar su status como civil, no debe prestarse a malentendidos en el sentido de adscribir esta categoría a los miembros de las Fuerzas Armadas por el hecho de no encontrarse combatiendo en un momento determinado. En términos del Tribunal: “Sin embargo, la postura de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Decisión según la cual la situación específica de la víctima al momento de la comisión de los crímenes debe ser tenida en cuenta al determinar su posición de civil, puede prestarse a malentendidos. El Comentario del CICR es ilustrativo en este punto y establece: Todos los miembros de las fuerzas armadas son combatientes,  y solamente los miembros de las fuerzas armadas son combatientes. Ello debería descartar, por lo tanto, la noción de cuasi-combatientes, que a veces se ha utilizado basada en actividades que se relacionan más o menos directamente con los esfuerzos bélicos. En forma similar, cualquier noción de un status de tiempo parcial, de un status semi-civil y semi-militar, de soldado de noche y ciudadano pacífico de día, también desaparece. Un civil que se incorpora a una organización armada (…) se convierte en un miembro del aparato militar  y en combatiente durante la duración de las hostilidades (o, en cualquier caso, hasta que haya sido permanentemente desmovilizado por el comando responsable…), sea que se encuentre o no en combate, o por ese momento armado. (…) En consecuencia, la situación específica de la víctima al momento de la comisión de los crímenes puede no ser determinante de su estatus de civil o no civil. Si es, en efecto, un miembro de una organización armada, el hecho de que se encuentre o no armado o en combate al momento de la comisión de los crímenes no le atribuye el status de civil” [Traducción informal: “However, the Trial Chamber’s view that the specific situation of the victim at the time the crimes were committed must be taken into account in determining his standing as a civilian may be misleading. </w:t>
      </w:r>
      <w:r w:rsidRPr="0006558C">
        <w:rPr>
          <w:rFonts w:ascii="Bookman Old Style" w:hAnsi="Bookman Old Style"/>
          <w:lang w:val="en-US"/>
        </w:rPr>
        <w:t xml:space="preserve">The ICRC Commentary is instructive on this point and states: All members of the armed forces are combatants, and only members of the armed forces are combatants. This should therefore dispense with the concept of quasi-combatants, which has sometimes been used on the basis of activities related more or less directly with the war effort. Similarly, any concept of a part-time status, a semi-civilian, semi-military status, soldier by night and peaceful citizen by day, also disappears. A civilian who is incorporated in an armed organization such as that mentioned in paragraph 1, becomes a member of the military and a combatant throughout the duration of the hostilities (or in any case, until he is permanently demobilized by the responsible command referred to in paragraph 1), whether or not he is in combat, or for the time being armed. (…) As a result, the specific situation of the victim at the time the crimes are committed may not be determinative of his civilian or non-civilian status. If he is indeed a member of an armed organization, the fact that he is not armed or in combat at the time of the commission of crimes, does not accord him civilian status”. </w:t>
      </w:r>
      <w:r w:rsidRPr="0006558C">
        <w:rPr>
          <w:rFonts w:ascii="Bookman Old Style" w:hAnsi="Bookman Old Style"/>
        </w:rPr>
        <w:t xml:space="preserve">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Tihomir Blaskic</w:t>
      </w:r>
      <w:r w:rsidRPr="0006558C">
        <w:rPr>
          <w:rFonts w:ascii="Bookman Old Style" w:hAnsi="Bookman Old Style"/>
        </w:rPr>
        <w:t xml:space="preserve">, sentencia de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Apelaciones del 29 de junio de 2004.”]</w:t>
      </w:r>
    </w:p>
  </w:footnote>
  <w:footnote w:id="63">
    <w:p w:rsidR="00AD777C" w:rsidRPr="0006558C" w:rsidRDefault="00AD777C" w:rsidP="00AD777C">
      <w:pPr>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Ver, a este respecto, el caso del </w:t>
      </w:r>
      <w:r w:rsidRPr="0006558C">
        <w:rPr>
          <w:rFonts w:ascii="Bookman Old Style" w:hAnsi="Bookman Old Style"/>
          <w:b/>
          <w:bCs/>
        </w:rPr>
        <w:t>Fiscal vs. Sefer Halilovic</w:t>
      </w:r>
      <w:r w:rsidRPr="0006558C">
        <w:rPr>
          <w:rFonts w:ascii="Bookman Old Style" w:hAnsi="Bookman Old Style"/>
        </w:rPr>
        <w:t>, sentencia del 16 de noviembre de 2005</w:t>
      </w:r>
    </w:p>
  </w:footnote>
  <w:footnote w:id="64">
    <w:p w:rsidR="00AD777C" w:rsidRPr="0006558C" w:rsidRDefault="00AD777C" w:rsidP="00AD777C">
      <w:pPr>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Ver a este respecto los casos del </w:t>
      </w:r>
      <w:r w:rsidRPr="0006558C">
        <w:rPr>
          <w:rFonts w:ascii="Bookman Old Style" w:hAnsi="Bookman Old Style"/>
          <w:b/>
          <w:bCs/>
        </w:rPr>
        <w:t>Fiscal vs. Blagojevic y Jokic</w:t>
      </w:r>
      <w:r w:rsidRPr="0006558C">
        <w:rPr>
          <w:rFonts w:ascii="Bookman Old Style" w:hAnsi="Bookman Old Style"/>
        </w:rPr>
        <w:t xml:space="preserve">, sentencia del 17 de enero de 2005, y del </w:t>
      </w:r>
      <w:r w:rsidRPr="0006558C">
        <w:rPr>
          <w:rFonts w:ascii="Bookman Old Style" w:hAnsi="Bookman Old Style"/>
          <w:b/>
          <w:bCs/>
        </w:rPr>
        <w:t>Fiscal vs. Dario Kordic y Mario Cerkez</w:t>
      </w:r>
      <w:r w:rsidRPr="0006558C">
        <w:rPr>
          <w:rFonts w:ascii="Bookman Old Style" w:hAnsi="Bookman Old Style"/>
        </w:rPr>
        <w:t>, sentencia del 26 de febrero de 2001.</w:t>
      </w:r>
    </w:p>
  </w:footnote>
  <w:footnote w:id="65">
    <w:p w:rsidR="00AD777C" w:rsidRPr="0006558C" w:rsidRDefault="00AD777C" w:rsidP="00AD777C">
      <w:pPr>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w:t>
      </w:r>
      <w:r w:rsidRPr="0006558C">
        <w:rPr>
          <w:rFonts w:ascii="Bookman Old Style" w:hAnsi="Bookman Old Style"/>
          <w:lang w:val="es-CO"/>
        </w:rPr>
        <w:t xml:space="preserve">Ver </w:t>
      </w:r>
      <w:smartTag w:uri="urn:schemas-microsoft-com:office:smarttags" w:element="PersonName">
        <w:smartTagPr>
          <w:attr w:name="ProductID" w:val="la Sistematizaci￳n"/>
        </w:smartTagPr>
        <w:r w:rsidRPr="0006558C">
          <w:rPr>
            <w:rFonts w:ascii="Bookman Old Style" w:hAnsi="Bookman Old Style"/>
            <w:lang w:val="es-CO"/>
          </w:rPr>
          <w:t>la Sistematización</w:t>
        </w:r>
      </w:smartTag>
      <w:r w:rsidRPr="0006558C">
        <w:rPr>
          <w:rFonts w:ascii="Bookman Old Style" w:hAnsi="Bookman Old Style"/>
          <w:lang w:val="es-CO"/>
        </w:rPr>
        <w:t xml:space="preserve"> del CICR, Norma 5: “Son personas civiles quienes no son miembros de las fuerzas armadas. La población civil comprende a todas las personas civiles.”</w:t>
      </w:r>
    </w:p>
  </w:footnote>
  <w:footnote w:id="66">
    <w:p w:rsidR="00AD777C" w:rsidRPr="0006558C" w:rsidRDefault="00AD777C" w:rsidP="00AD777C">
      <w:pPr>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rPr>
        <w:t xml:space="preserve"> “La presencia de combatientes individuales entre la población no cambia su carácter civil”. </w:t>
      </w:r>
      <w:r w:rsidRPr="0006558C">
        <w:rPr>
          <w:rFonts w:ascii="Bookman Old Style" w:hAnsi="Bookman Old Style"/>
          <w:lang w:val="en-US"/>
        </w:rPr>
        <w:t xml:space="preserve">[Traducción informal: “The presence of individual combatants within the population does not change its civilian character.”] </w:t>
      </w:r>
      <w:r w:rsidRPr="0006558C">
        <w:rPr>
          <w:rFonts w:ascii="Bookman Old Style" w:hAnsi="Bookman Old Style"/>
        </w:rPr>
        <w:t xml:space="preserve">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Stanislav Galic</w:t>
      </w:r>
      <w:r w:rsidRPr="0006558C">
        <w:rPr>
          <w:rFonts w:ascii="Bookman Old Style" w:hAnsi="Bookman Old Style"/>
        </w:rPr>
        <w:t xml:space="preserve">, sentencia del 5 de diciembre de 2003, reiterado en el caso de </w:t>
      </w:r>
    </w:p>
    <w:p w:rsidR="00AD777C" w:rsidRPr="0006558C" w:rsidRDefault="00AD777C" w:rsidP="00AD777C">
      <w:pPr>
        <w:jc w:val="both"/>
        <w:rPr>
          <w:rFonts w:ascii="Bookman Old Style" w:hAnsi="Bookman Old Style"/>
        </w:rPr>
      </w:pPr>
      <w:r w:rsidRPr="0006558C">
        <w:rPr>
          <w:rFonts w:ascii="Bookman Old Style" w:hAnsi="Bookman Old Style"/>
          <w:b/>
          <w:bCs/>
        </w:rPr>
        <w:t>Fiscal vs. Blagojevic y Jokic</w:t>
      </w:r>
      <w:r w:rsidRPr="0006558C">
        <w:rPr>
          <w:rFonts w:ascii="Bookman Old Style" w:hAnsi="Bookman Old Style"/>
        </w:rPr>
        <w:t xml:space="preserve">, sentencia del 17 de enero de 2005. </w:t>
      </w:r>
      <w:r w:rsidRPr="0006558C">
        <w:rPr>
          <w:rFonts w:ascii="Bookman Old Style" w:hAnsi="Bookman Old Style"/>
          <w:b/>
          <w:bCs/>
        </w:rPr>
        <w:t xml:space="preserve">Ver igualmente el caso Blaskic: </w:t>
      </w:r>
      <w:r w:rsidRPr="0006558C">
        <w:rPr>
          <w:rFonts w:ascii="Bookman Old Style" w:hAnsi="Bookman Old Style"/>
        </w:rPr>
        <w:t>“‘la presencia dentro de la población civil de individuos que no encuentran bajo la definición de civiles no priva a tal población de su carácter civil’ (…) Finalmente, puede concluirse que la presencia de soldados dentro de una población civil atacada intencionalmente no altera la naturaleza civil de esa población’”</w:t>
      </w:r>
      <w:r w:rsidRPr="0006558C">
        <w:rPr>
          <w:rFonts w:ascii="Bookman Old Style" w:hAnsi="Bookman Old Style"/>
          <w:b/>
          <w:bCs/>
        </w:rPr>
        <w:t xml:space="preserve"> </w:t>
      </w:r>
      <w:r w:rsidRPr="0006558C">
        <w:rPr>
          <w:rFonts w:ascii="Bookman Old Style" w:hAnsi="Bookman Old Style"/>
        </w:rPr>
        <w:t xml:space="preserve">[Traducción informal: “‘[t]he presence within the civilian population of individuals who do not come within the definition of civilians does not deprive the population of its civilian character”. </w:t>
      </w:r>
      <w:r w:rsidRPr="0006558C">
        <w:rPr>
          <w:rFonts w:ascii="Bookman Old Style" w:hAnsi="Bookman Old Style"/>
          <w:lang w:val="en-US"/>
        </w:rPr>
        <w:t xml:space="preserve">(…)Finally, it can be concluded that the presence of soldiers within an intentionally targeted civilian population does not alter the civilian nature of that population”. </w:t>
      </w:r>
      <w:r w:rsidRPr="0006558C">
        <w:rPr>
          <w:rFonts w:ascii="Bookman Old Style" w:hAnsi="Bookman Old Style"/>
        </w:rPr>
        <w:t xml:space="preserve">Caso del </w:t>
      </w:r>
      <w:r w:rsidRPr="0006558C">
        <w:rPr>
          <w:rFonts w:ascii="Bookman Old Style" w:hAnsi="Bookman Old Style"/>
          <w:b/>
          <w:bCs/>
        </w:rPr>
        <w:t>Fiscal vs. Tihomir Blaskic</w:t>
      </w:r>
      <w:r w:rsidRPr="0006558C">
        <w:rPr>
          <w:rFonts w:ascii="Bookman Old Style" w:hAnsi="Bookman Old Style"/>
        </w:rPr>
        <w:t>, sentencia del 3 de marzo del 2000], y el caso</w:t>
      </w:r>
      <w:r w:rsidRPr="0006558C">
        <w:rPr>
          <w:rFonts w:ascii="Bookman Old Style" w:hAnsi="Bookman Old Style"/>
          <w:b/>
          <w:bCs/>
        </w:rPr>
        <w:t xml:space="preserve"> Kupreskic: </w:t>
      </w:r>
      <w:r w:rsidRPr="0006558C">
        <w:rPr>
          <w:rFonts w:ascii="Bookman Old Style" w:hAnsi="Bookman Old Style"/>
        </w:rPr>
        <w:t>“la presencia de quienes están activamente involucrados en el conflicto no debe impedir la caracterización de una población como civil” [Traducción informal:</w:t>
      </w:r>
      <w:r w:rsidRPr="0006558C">
        <w:rPr>
          <w:rFonts w:ascii="Bookman Old Style" w:hAnsi="Bookman Old Style"/>
          <w:b/>
          <w:bCs/>
        </w:rPr>
        <w:t xml:space="preserve"> </w:t>
      </w:r>
      <w:r w:rsidRPr="0006558C">
        <w:rPr>
          <w:rFonts w:ascii="Bookman Old Style" w:hAnsi="Bookman Old Style"/>
          <w:b/>
          <w:bCs/>
          <w:i/>
          <w:iCs/>
        </w:rPr>
        <w:t>“</w:t>
      </w:r>
      <w:r w:rsidRPr="0006558C">
        <w:rPr>
          <w:rFonts w:ascii="Bookman Old Style" w:hAnsi="Bookman Old Style"/>
          <w:i/>
          <w:iCs/>
        </w:rPr>
        <w:t>the presence of those actively involved in the conflict should not prevent the characterization of a population as civilian”</w:t>
      </w:r>
      <w:r w:rsidRPr="0006558C">
        <w:rPr>
          <w:rFonts w:ascii="Bookman Old Style" w:hAnsi="Bookman Old Style"/>
        </w:rPr>
        <w:t xml:space="preserve">. Caso del </w:t>
      </w:r>
      <w:r w:rsidRPr="0006558C">
        <w:rPr>
          <w:rFonts w:ascii="Bookman Old Style" w:hAnsi="Bookman Old Style"/>
          <w:b/>
          <w:bCs/>
        </w:rPr>
        <w:t>Fiscal vs. Zoran Kupreskic y otros</w:t>
      </w:r>
      <w:r w:rsidRPr="0006558C">
        <w:rPr>
          <w:rFonts w:ascii="Bookman Old Style" w:hAnsi="Bookman Old Style"/>
        </w:rPr>
        <w:t xml:space="preserve">, sentencia del 14 de enero de 2000].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Apelaciones del 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ha precisado que la regla según la cual la presencia de soldados dentro de una población civil no altera su naturaleza como tal, debe ser apreciada teniendo en cuenta el número de soldados, así como si están en licencia o si se encuentran permanentemente asentados en medio de la población; así, en el caso Blaskic se explicó: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Decisión también afirmó que la ‘presencia de soldados dentro de una población civil intencionalmente atacada no altera la naturaleza civil de esa población’. El Comentario del CICR en este punto dispone: …en tiempos de guerra es inevitable que individuos que pertenecen a la categoría de combatientes se entremezclen con la población civil, por ejemplo, soldados de licencia visitando a sus familias. Sin embargo, siempre y cuando éstas no sean unidades regulares con números significativamente altos, ello no cambia de ninguna manera el carácter civil de una población. Por lo tanto, para efectos de determinar si la presencia de soldados dentro de una población civil priva a la población de su carácter civil, el número de soldados, así como si se encuentran en licencia, debe ser examinado.” </w:t>
      </w:r>
      <w:r w:rsidRPr="0006558C">
        <w:rPr>
          <w:rFonts w:ascii="Bookman Old Style" w:hAnsi="Bookman Old Style"/>
          <w:lang w:val="en-US"/>
        </w:rPr>
        <w:t xml:space="preserve">[Traducción informal: </w:t>
      </w:r>
      <w:r w:rsidRPr="0006558C">
        <w:rPr>
          <w:rFonts w:ascii="Bookman Old Style" w:hAnsi="Bookman Old Style"/>
          <w:i/>
          <w:iCs/>
          <w:lang w:val="en-US"/>
        </w:rPr>
        <w:t>“The Trial Chamber also stated that the “presence of soldiers within an intentionally targeted civilian population does not alter the civilian nature of that population.” The ICRC Commentary on this point states: …in wartime conditions it is inevitable that individuals belonging to the category of combatants become intermingled with the civilian population, for example, soldiers on leave visiting their families. However, provided that these are not regular units with fairly large numbers, this does not in any way change the civilian character of a population. Thus, in order to determine whether the presence of soldiers within a civilian population deprives the population of its civilian character, the number of soldiers, as well as whether they are on leave, must be examined”</w:t>
      </w:r>
      <w:r w:rsidRPr="0006558C">
        <w:rPr>
          <w:rFonts w:ascii="Bookman Old Style" w:hAnsi="Bookman Old Style"/>
          <w:lang w:val="en-US"/>
        </w:rPr>
        <w:t xml:space="preserve">. </w:t>
      </w:r>
      <w:r w:rsidRPr="0006558C">
        <w:rPr>
          <w:rFonts w:ascii="Bookman Old Style" w:hAnsi="Bookman Old Style"/>
        </w:rPr>
        <w:t xml:space="preserve">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Tihomir Blaskic</w:t>
      </w:r>
      <w:r w:rsidRPr="0006558C">
        <w:rPr>
          <w:rFonts w:ascii="Bookman Old Style" w:hAnsi="Bookman Old Style"/>
        </w:rPr>
        <w:t xml:space="preserve">, sentencia de </w:t>
      </w:r>
      <w:smartTag w:uri="urn:schemas-microsoft-com:office:smarttags" w:element="PersonName">
        <w:smartTagPr>
          <w:attr w:name="ProductID" w:val="la Sala"/>
        </w:smartTagPr>
        <w:r w:rsidRPr="0006558C">
          <w:rPr>
            <w:rFonts w:ascii="Bookman Old Style" w:hAnsi="Bookman Old Style"/>
          </w:rPr>
          <w:t>la Sala</w:t>
        </w:r>
      </w:smartTag>
      <w:r w:rsidRPr="0006558C">
        <w:rPr>
          <w:rFonts w:ascii="Bookman Old Style" w:hAnsi="Bookman Old Style"/>
        </w:rPr>
        <w:t xml:space="preserve"> de Apelaciones del 29 de junio de 2004.] Idéntica regla fue reiterada en los casos del </w:t>
      </w:r>
      <w:r w:rsidRPr="0006558C">
        <w:rPr>
          <w:rFonts w:ascii="Bookman Old Style" w:hAnsi="Bookman Old Style"/>
          <w:b/>
          <w:bCs/>
        </w:rPr>
        <w:t>Fiscal vs. Radoslav Brdjanin</w:t>
      </w:r>
      <w:r w:rsidRPr="0006558C">
        <w:rPr>
          <w:rFonts w:ascii="Bookman Old Style" w:hAnsi="Bookman Old Style"/>
        </w:rPr>
        <w:t xml:space="preserve">, sentencia del 1º de septiembre de 2004, y del </w:t>
      </w:r>
      <w:r w:rsidRPr="0006558C">
        <w:rPr>
          <w:rFonts w:ascii="Bookman Old Style" w:hAnsi="Bookman Old Style"/>
          <w:b/>
          <w:bCs/>
        </w:rPr>
        <w:t>Fiscal vs. Dario Kordic y Mario Cerkez</w:t>
      </w:r>
      <w:r w:rsidRPr="0006558C">
        <w:rPr>
          <w:rFonts w:ascii="Bookman Old Style" w:hAnsi="Bookman Old Style"/>
        </w:rPr>
        <w:t>, sentencia del 26 de febrero de 2001.</w:t>
      </w:r>
    </w:p>
  </w:footnote>
  <w:footnote w:id="67">
    <w:p w:rsidR="00AD777C" w:rsidRPr="0006558C" w:rsidRDefault="00AD777C" w:rsidP="00AD777C">
      <w:pPr>
        <w:autoSpaceDE w:val="0"/>
        <w:autoSpaceDN w:val="0"/>
        <w:adjustRightInd w:val="0"/>
        <w:jc w:val="both"/>
        <w:rPr>
          <w:rFonts w:ascii="Bookman Old Style" w:hAnsi="Bookman Old Style"/>
        </w:rPr>
      </w:pPr>
      <w:r w:rsidRPr="0006558C">
        <w:rPr>
          <w:rStyle w:val="Refdenotaalpie"/>
          <w:rFonts w:ascii="Bookman Old Style" w:hAnsi="Bookman Old Style"/>
        </w:rPr>
        <w:footnoteRef/>
      </w:r>
      <w:r w:rsidRPr="0006558C">
        <w:rPr>
          <w:rFonts w:ascii="Bookman Old Style" w:hAnsi="Bookman Old Style"/>
          <w:lang w:val="en-US"/>
        </w:rPr>
        <w:t xml:space="preserve"> Traducción informal: “It is not required that every single member of that population be a civilian – it is enough if it is predominantly civilian in nature, and may include, </w:t>
      </w:r>
      <w:r w:rsidRPr="0006558C">
        <w:rPr>
          <w:rFonts w:ascii="Bookman Old Style" w:hAnsi="Bookman Old Style"/>
          <w:i/>
          <w:iCs/>
          <w:lang w:val="en-US"/>
        </w:rPr>
        <w:t>e.g.</w:t>
      </w:r>
      <w:r w:rsidRPr="0006558C">
        <w:rPr>
          <w:rFonts w:ascii="Bookman Old Style" w:hAnsi="Bookman Old Style"/>
          <w:lang w:val="en-US"/>
        </w:rPr>
        <w:t xml:space="preserve">, individuals </w:t>
      </w:r>
      <w:r w:rsidRPr="0006558C">
        <w:rPr>
          <w:rFonts w:ascii="Bookman Old Style" w:hAnsi="Bookman Old Style"/>
          <w:i/>
          <w:iCs/>
          <w:lang w:val="en-US"/>
        </w:rPr>
        <w:t>hors de combat</w:t>
      </w:r>
      <w:r w:rsidRPr="0006558C">
        <w:rPr>
          <w:rFonts w:ascii="Bookman Old Style" w:hAnsi="Bookman Old Style"/>
          <w:lang w:val="en-US"/>
        </w:rPr>
        <w:t xml:space="preserve">.351 [351 </w:t>
      </w:r>
      <w:r w:rsidRPr="0006558C">
        <w:rPr>
          <w:rFonts w:ascii="Bookman Old Style" w:hAnsi="Bookman Old Style"/>
          <w:i/>
          <w:iCs/>
          <w:lang w:val="en-US"/>
        </w:rPr>
        <w:t xml:space="preserve">Jelisić </w:t>
      </w:r>
      <w:r w:rsidRPr="0006558C">
        <w:rPr>
          <w:rFonts w:ascii="Bookman Old Style" w:hAnsi="Bookman Old Style"/>
          <w:lang w:val="en-US"/>
        </w:rPr>
        <w:t xml:space="preserve">Trial Judgement, para. 54; </w:t>
      </w:r>
      <w:r w:rsidRPr="0006558C">
        <w:rPr>
          <w:rFonts w:ascii="Bookman Old Style" w:hAnsi="Bookman Old Style"/>
          <w:i/>
          <w:iCs/>
          <w:lang w:val="en-US"/>
        </w:rPr>
        <w:t xml:space="preserve">Bla{kić </w:t>
      </w:r>
      <w:r w:rsidRPr="0006558C">
        <w:rPr>
          <w:rFonts w:ascii="Bookman Old Style" w:hAnsi="Bookman Old Style"/>
          <w:lang w:val="en-US"/>
        </w:rPr>
        <w:t xml:space="preserve">Appeal Judgement, paras 111-113. For ICTR jurisprudence, </w:t>
      </w:r>
      <w:r w:rsidRPr="0006558C">
        <w:rPr>
          <w:rFonts w:ascii="Bookman Old Style" w:hAnsi="Bookman Old Style"/>
          <w:i/>
          <w:iCs/>
          <w:lang w:val="en-US"/>
        </w:rPr>
        <w:t xml:space="preserve">see Akayesu </w:t>
      </w:r>
      <w:r w:rsidRPr="0006558C">
        <w:rPr>
          <w:rFonts w:ascii="Bookman Old Style" w:hAnsi="Bookman Old Style"/>
          <w:lang w:val="en-US"/>
        </w:rPr>
        <w:t xml:space="preserve">Trial Judgement, para. </w:t>
      </w:r>
      <w:r w:rsidRPr="0006558C">
        <w:rPr>
          <w:rFonts w:ascii="Bookman Old Style" w:hAnsi="Bookman Old Style"/>
        </w:rPr>
        <w:t xml:space="preserve">582; </w:t>
      </w:r>
      <w:r w:rsidRPr="0006558C">
        <w:rPr>
          <w:rFonts w:ascii="Bookman Old Style" w:hAnsi="Bookman Old Style"/>
          <w:i/>
          <w:iCs/>
        </w:rPr>
        <w:t xml:space="preserve">Kayishema </w:t>
      </w:r>
      <w:r w:rsidRPr="0006558C">
        <w:rPr>
          <w:rFonts w:ascii="Bookman Old Style" w:hAnsi="Bookman Old Style"/>
        </w:rPr>
        <w:t xml:space="preserve">Trial Judgement, para. 128.]” Tribunal Penal para </w:t>
      </w:r>
      <w:smartTag w:uri="urn:schemas-microsoft-com:office:smarttags" w:element="PersonName">
        <w:smartTagPr>
          <w:attr w:name="ProductID" w:val="la Antigua Yugoslavia"/>
        </w:smartTagPr>
        <w:r w:rsidRPr="0006558C">
          <w:rPr>
            <w:rFonts w:ascii="Bookman Old Style" w:hAnsi="Bookman Old Style"/>
          </w:rPr>
          <w:t>la Antigua Yugoslavia</w:t>
        </w:r>
      </w:smartTag>
      <w:r w:rsidRPr="0006558C">
        <w:rPr>
          <w:rFonts w:ascii="Bookman Old Style" w:hAnsi="Bookman Old Style"/>
        </w:rPr>
        <w:t xml:space="preserve">, caso del </w:t>
      </w:r>
      <w:r w:rsidRPr="0006558C">
        <w:rPr>
          <w:rFonts w:ascii="Bookman Old Style" w:hAnsi="Bookman Old Style"/>
          <w:b/>
          <w:bCs/>
        </w:rPr>
        <w:t>Fiscal vs. Radoslav Brdjanin</w:t>
      </w:r>
      <w:r w:rsidRPr="0006558C">
        <w:rPr>
          <w:rFonts w:ascii="Bookman Old Style" w:hAnsi="Bookman Old Style"/>
        </w:rPr>
        <w:t>, sentencia del 1º de septiembre de 2004.</w:t>
      </w:r>
    </w:p>
  </w:footnote>
  <w:footnote w:id="68">
    <w:p w:rsidR="00AD777C" w:rsidRPr="00771073" w:rsidRDefault="00AD777C" w:rsidP="00AD777C">
      <w:pPr>
        <w:pStyle w:val="Textonotapie"/>
        <w:jc w:val="both"/>
        <w:rPr>
          <w:rFonts w:ascii="Bookman Old Style" w:hAnsi="Bookman Old Style"/>
          <w:lang w:val="es-CO"/>
        </w:rPr>
      </w:pPr>
      <w:r w:rsidRPr="00771073">
        <w:rPr>
          <w:rStyle w:val="Refdenotaalpie"/>
          <w:rFonts w:ascii="Bookman Old Style" w:hAnsi="Bookman Old Style"/>
        </w:rPr>
        <w:footnoteRef/>
      </w:r>
      <w:r w:rsidRPr="00771073">
        <w:rPr>
          <w:rFonts w:ascii="Bookman Old Style" w:hAnsi="Bookman Old Style"/>
        </w:rPr>
        <w:t xml:space="preserve"> </w:t>
      </w:r>
      <w:r w:rsidRPr="00771073">
        <w:rPr>
          <w:rFonts w:ascii="Bookman Old Style" w:hAnsi="Bookman Old Style"/>
          <w:lang w:val="es-CO"/>
        </w:rPr>
        <w:t xml:space="preserve">Sesión de audiencia de formulación de imputación llevada a cabo en horas de la tarde del 5 de mayo de 2010. Se escucha a partir del récord 44:05. </w:t>
      </w:r>
    </w:p>
  </w:footnote>
  <w:footnote w:id="69">
    <w:p w:rsidR="00AD777C" w:rsidRPr="006C7D3A" w:rsidRDefault="00AD777C" w:rsidP="00AD777C">
      <w:pPr>
        <w:pStyle w:val="Textonotapie"/>
        <w:jc w:val="both"/>
        <w:rPr>
          <w:rFonts w:ascii="Bookman Old Style" w:hAnsi="Bookman Old Style"/>
          <w:lang w:val="es-CO"/>
        </w:rPr>
      </w:pPr>
      <w:r w:rsidRPr="006C7D3A">
        <w:rPr>
          <w:rStyle w:val="Refdenotaalpie"/>
          <w:rFonts w:ascii="Bookman Old Style" w:hAnsi="Bookman Old Style"/>
        </w:rPr>
        <w:footnoteRef/>
      </w:r>
      <w:r w:rsidRPr="006C7D3A">
        <w:rPr>
          <w:rFonts w:ascii="Bookman Old Style" w:hAnsi="Bookman Old Style"/>
        </w:rPr>
        <w:t xml:space="preserve"> Último archivo del cd. A partir del récord 25:00.</w:t>
      </w:r>
    </w:p>
  </w:footnote>
  <w:footnote w:id="70">
    <w:p w:rsidR="00AD777C" w:rsidRPr="006C7D3A" w:rsidRDefault="00AD777C" w:rsidP="00AD777C">
      <w:pPr>
        <w:pStyle w:val="Textonotapie"/>
        <w:jc w:val="both"/>
        <w:rPr>
          <w:rFonts w:ascii="Bookman Old Style" w:hAnsi="Bookman Old Style"/>
          <w:lang w:val="es-CO"/>
        </w:rPr>
      </w:pPr>
      <w:r w:rsidRPr="006C7D3A">
        <w:rPr>
          <w:rStyle w:val="Refdenotaalpie"/>
          <w:rFonts w:ascii="Bookman Old Style" w:hAnsi="Bookman Old Style"/>
        </w:rPr>
        <w:footnoteRef/>
      </w:r>
      <w:r w:rsidRPr="006C7D3A">
        <w:rPr>
          <w:rFonts w:ascii="Bookman Old Style" w:hAnsi="Bookman Old Style"/>
        </w:rPr>
        <w:t xml:space="preserve"> </w:t>
      </w:r>
      <w:r w:rsidRPr="006C7D3A">
        <w:rPr>
          <w:rFonts w:ascii="Bookman Old Style" w:hAnsi="Bookman Old Style"/>
          <w:lang w:val="es-CO"/>
        </w:rPr>
        <w:t>1 de abril de 2011</w:t>
      </w:r>
    </w:p>
  </w:footnote>
  <w:footnote w:id="71">
    <w:p w:rsidR="00AD777C" w:rsidRPr="006D4D2F" w:rsidRDefault="00AD777C" w:rsidP="00AD777C">
      <w:pPr>
        <w:pStyle w:val="Textonotapie"/>
        <w:rPr>
          <w:rFonts w:ascii="Bookman Old Style" w:hAnsi="Bookman Old Style"/>
          <w:lang w:val="es-CO"/>
        </w:rPr>
      </w:pPr>
      <w:r w:rsidRPr="006D4D2F">
        <w:rPr>
          <w:rStyle w:val="Refdenotaalpie"/>
          <w:rFonts w:ascii="Bookman Old Style" w:hAnsi="Bookman Old Style"/>
        </w:rPr>
        <w:footnoteRef/>
      </w:r>
      <w:r w:rsidRPr="006D4D2F">
        <w:rPr>
          <w:rFonts w:ascii="Bookman Old Style" w:hAnsi="Bookman Old Style"/>
        </w:rPr>
        <w:t xml:space="preserve"> </w:t>
      </w:r>
      <w:r w:rsidRPr="006D4D2F">
        <w:rPr>
          <w:rFonts w:ascii="Bookman Old Style" w:hAnsi="Bookman Old Style"/>
          <w:lang w:val="es-CO"/>
        </w:rPr>
        <w:t>A partir de la página 333 de la decisión apelada.</w:t>
      </w:r>
    </w:p>
  </w:footnote>
  <w:footnote w:id="72">
    <w:p w:rsidR="00AD777C" w:rsidRPr="006D4D2F" w:rsidRDefault="00AD777C" w:rsidP="00AD777C">
      <w:pPr>
        <w:pStyle w:val="Textonotapie"/>
        <w:jc w:val="both"/>
        <w:rPr>
          <w:rFonts w:ascii="Bookman Old Style" w:hAnsi="Bookman Old Style"/>
          <w:lang w:val="es-CO"/>
        </w:rPr>
      </w:pPr>
      <w:r w:rsidRPr="006D4D2F">
        <w:rPr>
          <w:rStyle w:val="Refdenotaalpie"/>
          <w:rFonts w:ascii="Bookman Old Style" w:hAnsi="Bookman Old Style"/>
        </w:rPr>
        <w:footnoteRef/>
      </w:r>
      <w:r w:rsidRPr="006D4D2F">
        <w:rPr>
          <w:rFonts w:ascii="Bookman Old Style" w:hAnsi="Bookman Old Style"/>
        </w:rPr>
        <w:t xml:space="preserve"> </w:t>
      </w:r>
      <w:r w:rsidRPr="006D4D2F">
        <w:rPr>
          <w:rFonts w:ascii="Bookman Old Style" w:hAnsi="Bookman Old Style"/>
          <w:lang w:val="es-CO"/>
        </w:rPr>
        <w:t xml:space="preserve">Folio 333 de la sentencia que finaliza con el subtítulo “Del delito de tentativa de homicidio en persona protegida”, numeral 1021.  La decisión no cuenta con el folio 334 y la página siguiente (335) continúa con el numeral 1027 en el que se argumenta sobre el delito de desaparición forzada. La única foliatura que se observa en la parte superior derecha de la hoja, respeta el consecutivo (167-168) </w:t>
      </w:r>
    </w:p>
    <w:p w:rsidR="00AD777C" w:rsidRPr="006D4D2F" w:rsidRDefault="00AD777C" w:rsidP="00AD777C">
      <w:pPr>
        <w:pStyle w:val="Textonotapie"/>
        <w:rPr>
          <w:rFonts w:ascii="Bookman Old Style" w:hAnsi="Bookman Old Style"/>
          <w:lang w:val="es-CO"/>
        </w:rPr>
      </w:pPr>
    </w:p>
  </w:footnote>
  <w:footnote w:id="73">
    <w:p w:rsidR="00AD777C" w:rsidRPr="00A166FF" w:rsidRDefault="00AD777C" w:rsidP="00AD777C">
      <w:pPr>
        <w:pStyle w:val="Textonotapie"/>
        <w:rPr>
          <w:rFonts w:ascii="Bookman Old Style" w:hAnsi="Bookman Old Style"/>
          <w:lang w:val="es-CO"/>
        </w:rPr>
      </w:pPr>
      <w:r w:rsidRPr="00A166FF">
        <w:rPr>
          <w:rStyle w:val="Refdenotaalpie"/>
          <w:rFonts w:ascii="Bookman Old Style" w:hAnsi="Bookman Old Style"/>
        </w:rPr>
        <w:footnoteRef/>
      </w:r>
      <w:r w:rsidRPr="00A166FF">
        <w:rPr>
          <w:rFonts w:ascii="Bookman Old Style" w:hAnsi="Bookman Old Style"/>
        </w:rPr>
        <w:t xml:space="preserve"> </w:t>
      </w:r>
      <w:r w:rsidRPr="00A166FF">
        <w:rPr>
          <w:rFonts w:ascii="Bookman Old Style" w:hAnsi="Bookman Old Style"/>
          <w:lang w:val="es-CO"/>
        </w:rPr>
        <w:t>Folio 339.</w:t>
      </w:r>
    </w:p>
  </w:footnote>
  <w:footnote w:id="74">
    <w:p w:rsidR="00AD777C" w:rsidRPr="002447E3" w:rsidRDefault="00AD777C" w:rsidP="00AD777C">
      <w:pPr>
        <w:pStyle w:val="Textonotapie"/>
        <w:rPr>
          <w:lang w:val="es-CO"/>
        </w:rPr>
      </w:pPr>
      <w:r>
        <w:rPr>
          <w:rStyle w:val="Refdenotaalpie"/>
        </w:rPr>
        <w:footnoteRef/>
      </w:r>
      <w:r>
        <w:t xml:space="preserve"> </w:t>
      </w:r>
      <w:r>
        <w:rPr>
          <w:lang w:val="es-CO"/>
        </w:rPr>
        <w:t>15 de julio de 2010.</w:t>
      </w:r>
    </w:p>
  </w:footnote>
  <w:footnote w:id="75">
    <w:p w:rsidR="00AD777C" w:rsidRPr="00A335F0" w:rsidRDefault="00AD777C" w:rsidP="00AD777C">
      <w:pPr>
        <w:pStyle w:val="Textonotapie"/>
        <w:rPr>
          <w:rFonts w:ascii="Bookman Old Style" w:hAnsi="Bookman Old Style"/>
          <w:lang w:val="es-CO"/>
        </w:rPr>
      </w:pPr>
      <w:r w:rsidRPr="00A335F0">
        <w:rPr>
          <w:rStyle w:val="Refdenotaalpie"/>
          <w:rFonts w:ascii="Bookman Old Style" w:hAnsi="Bookman Old Style"/>
        </w:rPr>
        <w:footnoteRef/>
      </w:r>
      <w:r w:rsidRPr="00A335F0">
        <w:rPr>
          <w:rFonts w:ascii="Bookman Old Style" w:hAnsi="Bookman Old Style"/>
        </w:rPr>
        <w:t xml:space="preserve"> </w:t>
      </w:r>
      <w:r w:rsidRPr="00A335F0">
        <w:rPr>
          <w:rFonts w:ascii="Bookman Old Style" w:hAnsi="Bookman Old Style"/>
          <w:lang w:val="es-CO"/>
        </w:rPr>
        <w:t>Registro 2 del cd. A partir del récord 01:43</w:t>
      </w:r>
    </w:p>
  </w:footnote>
  <w:footnote w:id="76">
    <w:p w:rsidR="00AD777C" w:rsidRPr="00E008AB" w:rsidRDefault="00AD777C" w:rsidP="00AD777C">
      <w:pPr>
        <w:pStyle w:val="Textonotapie"/>
        <w:jc w:val="both"/>
        <w:rPr>
          <w:rFonts w:ascii="Bookman Old Style" w:hAnsi="Bookman Old Style"/>
          <w:lang w:val="es-CO"/>
        </w:rPr>
      </w:pPr>
      <w:r w:rsidRPr="00E008AB">
        <w:rPr>
          <w:rStyle w:val="Refdenotaalpie"/>
          <w:rFonts w:ascii="Bookman Old Style" w:hAnsi="Bookman Old Style"/>
        </w:rPr>
        <w:footnoteRef/>
      </w:r>
      <w:r w:rsidRPr="00E008AB">
        <w:rPr>
          <w:rFonts w:ascii="Bookman Old Style" w:hAnsi="Bookman Old Style"/>
        </w:rPr>
        <w:t>Desde el récord 07:10 hasta 02:43</w:t>
      </w:r>
      <w:r w:rsidRPr="00E008AB">
        <w:rPr>
          <w:rFonts w:ascii="Bookman Old Style" w:hAnsi="Bookman Old Style"/>
          <w:lang w:val="es-CO"/>
        </w:rPr>
        <w:t xml:space="preserve"> del registro 2 </w:t>
      </w:r>
    </w:p>
  </w:footnote>
  <w:footnote w:id="77">
    <w:p w:rsidR="00AD777C" w:rsidRPr="00E008AB" w:rsidRDefault="00AD777C" w:rsidP="00AD777C">
      <w:pPr>
        <w:pStyle w:val="Textonotapie"/>
        <w:jc w:val="both"/>
        <w:rPr>
          <w:rFonts w:ascii="Bookman Old Style" w:hAnsi="Bookman Old Style"/>
          <w:lang w:val="es-CO"/>
        </w:rPr>
      </w:pPr>
      <w:r w:rsidRPr="00E008AB">
        <w:rPr>
          <w:rStyle w:val="Refdenotaalpie"/>
          <w:rFonts w:ascii="Bookman Old Style" w:hAnsi="Bookman Old Style"/>
        </w:rPr>
        <w:footnoteRef/>
      </w:r>
      <w:r w:rsidRPr="00E008AB">
        <w:rPr>
          <w:rFonts w:ascii="Bookman Old Style" w:hAnsi="Bookman Old Style"/>
        </w:rPr>
        <w:t xml:space="preserve"> </w:t>
      </w:r>
      <w:r w:rsidRPr="00E008AB">
        <w:rPr>
          <w:rFonts w:ascii="Bookman Old Style" w:hAnsi="Bookman Old Style"/>
          <w:lang w:val="es-CO"/>
        </w:rPr>
        <w:t>Doctor Alberto Moya Moya. Récord 1:48:45, del archivo 2 de la sesión de audiencia del 17 de septiembre de 2013.</w:t>
      </w:r>
    </w:p>
  </w:footnote>
  <w:footnote w:id="78">
    <w:p w:rsidR="00AD777C" w:rsidRPr="00FF5B4F" w:rsidRDefault="00AD777C" w:rsidP="00AD777C">
      <w:pPr>
        <w:pStyle w:val="Textonotapie"/>
        <w:jc w:val="both"/>
        <w:rPr>
          <w:rFonts w:ascii="Bookman Old Style" w:hAnsi="Bookman Old Style"/>
          <w:lang w:val="es-CO"/>
        </w:rPr>
      </w:pPr>
      <w:r w:rsidRPr="00FF5B4F">
        <w:rPr>
          <w:rStyle w:val="Refdenotaalpie"/>
          <w:rFonts w:ascii="Bookman Old Style" w:hAnsi="Bookman Old Style"/>
        </w:rPr>
        <w:footnoteRef/>
      </w:r>
      <w:r w:rsidRPr="00FF5B4F">
        <w:rPr>
          <w:rFonts w:ascii="Bookman Old Style" w:hAnsi="Bookman Old Style"/>
        </w:rPr>
        <w:t xml:space="preserve"> </w:t>
      </w:r>
      <w:r w:rsidRPr="00FF5B4F">
        <w:rPr>
          <w:rFonts w:ascii="Bookman Old Style" w:hAnsi="Bookman Old Style"/>
          <w:lang w:val="es-CO"/>
        </w:rPr>
        <w:t>Sesión del 18 de febrero de 2011. Primera archivo de esa fecha, a partir del minuto 02:52.</w:t>
      </w:r>
    </w:p>
  </w:footnote>
  <w:footnote w:id="79">
    <w:p w:rsidR="00AD777C" w:rsidRPr="00FF5B4F" w:rsidRDefault="00AD777C" w:rsidP="00AD777C">
      <w:pPr>
        <w:pStyle w:val="Textonotapie"/>
        <w:rPr>
          <w:rFonts w:ascii="Bookman Old Style" w:hAnsi="Bookman Old Style"/>
          <w:lang w:val="es-CO"/>
        </w:rPr>
      </w:pPr>
      <w:r w:rsidRPr="00FF5B4F">
        <w:rPr>
          <w:rStyle w:val="Refdenotaalpie"/>
          <w:rFonts w:ascii="Bookman Old Style" w:hAnsi="Bookman Old Style"/>
        </w:rPr>
        <w:footnoteRef/>
      </w:r>
      <w:r w:rsidRPr="00FF5B4F">
        <w:rPr>
          <w:rFonts w:ascii="Bookman Old Style" w:hAnsi="Bookman Old Style"/>
        </w:rPr>
        <w:t xml:space="preserve"> </w:t>
      </w:r>
      <w:r w:rsidRPr="00FF5B4F">
        <w:rPr>
          <w:rFonts w:ascii="Bookman Old Style" w:hAnsi="Bookman Old Style"/>
          <w:lang w:val="es-CO"/>
        </w:rPr>
        <w:t>Folio 99.</w:t>
      </w:r>
    </w:p>
  </w:footnote>
  <w:footnote w:id="80">
    <w:p w:rsidR="00AD777C" w:rsidRPr="005525E2" w:rsidRDefault="00AD777C" w:rsidP="00AD777C">
      <w:pPr>
        <w:pStyle w:val="Textonotapie"/>
        <w:rPr>
          <w:rFonts w:ascii="Bookman Old Style" w:hAnsi="Bookman Old Style"/>
          <w:lang w:val="es-CO"/>
        </w:rPr>
      </w:pPr>
      <w:r w:rsidRPr="005525E2">
        <w:rPr>
          <w:rStyle w:val="Refdenotaalpie"/>
          <w:rFonts w:ascii="Bookman Old Style" w:hAnsi="Bookman Old Style"/>
        </w:rPr>
        <w:footnoteRef/>
      </w:r>
      <w:r w:rsidRPr="005525E2">
        <w:rPr>
          <w:rFonts w:ascii="Bookman Old Style" w:hAnsi="Bookman Old Style"/>
        </w:rPr>
        <w:t xml:space="preserve"> </w:t>
      </w:r>
      <w:r w:rsidRPr="005525E2">
        <w:rPr>
          <w:rFonts w:ascii="Bookman Old Style" w:hAnsi="Bookman Old Style"/>
          <w:lang w:val="es-CO"/>
        </w:rPr>
        <w:t>Folio 607 de la decisión apelada.</w:t>
      </w:r>
    </w:p>
  </w:footnote>
  <w:footnote w:id="81">
    <w:p w:rsidR="00AD777C" w:rsidRPr="003D45E0" w:rsidRDefault="00AD777C" w:rsidP="00AD777C">
      <w:pPr>
        <w:pStyle w:val="Textonotapie"/>
        <w:rPr>
          <w:rFonts w:ascii="Bookman Old Style" w:hAnsi="Bookman Old Style"/>
          <w:lang w:val="es-CO"/>
        </w:rPr>
      </w:pPr>
      <w:r w:rsidRPr="003D45E0">
        <w:rPr>
          <w:rStyle w:val="Refdenotaalpie"/>
          <w:rFonts w:ascii="Bookman Old Style" w:hAnsi="Bookman Old Style"/>
        </w:rPr>
        <w:footnoteRef/>
      </w:r>
      <w:r w:rsidRPr="003D45E0">
        <w:rPr>
          <w:rFonts w:ascii="Bookman Old Style" w:hAnsi="Bookman Old Style"/>
        </w:rPr>
        <w:t xml:space="preserve"> </w:t>
      </w:r>
      <w:r w:rsidRPr="003D45E0">
        <w:rPr>
          <w:rFonts w:ascii="Bookman Old Style" w:hAnsi="Bookman Old Style"/>
          <w:lang w:val="es-CO"/>
        </w:rPr>
        <w:t>Folios 350 a 356 de la sentencia de primera instancia.</w:t>
      </w:r>
    </w:p>
  </w:footnote>
  <w:footnote w:id="82">
    <w:p w:rsidR="00AD777C" w:rsidRPr="00332309" w:rsidRDefault="00AD777C" w:rsidP="00AD777C">
      <w:pPr>
        <w:pStyle w:val="Textonotapie"/>
        <w:jc w:val="both"/>
        <w:rPr>
          <w:rFonts w:ascii="Bookman Old Style" w:hAnsi="Bookman Old Style"/>
          <w:lang w:val="es-CO"/>
        </w:rPr>
      </w:pPr>
      <w:r w:rsidRPr="00332309">
        <w:rPr>
          <w:rStyle w:val="Refdenotaalpie"/>
          <w:rFonts w:ascii="Bookman Old Style" w:hAnsi="Bookman Old Style"/>
        </w:rPr>
        <w:footnoteRef/>
      </w:r>
      <w:r w:rsidRPr="00332309">
        <w:rPr>
          <w:rFonts w:ascii="Bookman Old Style" w:hAnsi="Bookman Old Style"/>
        </w:rPr>
        <w:t xml:space="preserve"> </w:t>
      </w:r>
      <w:r w:rsidRPr="00332309">
        <w:rPr>
          <w:rFonts w:ascii="Bookman Old Style" w:hAnsi="Bookman Old Style"/>
          <w:lang w:val="es-CO"/>
        </w:rPr>
        <w:t>Sesión de audiencia realizada el 1 de abril del año 2011. Registro 1, a partir del récord 27:01.</w:t>
      </w:r>
    </w:p>
  </w:footnote>
  <w:footnote w:id="83">
    <w:p w:rsidR="00AD777C" w:rsidRPr="00E936F9" w:rsidRDefault="00AD777C" w:rsidP="00AD777C">
      <w:pPr>
        <w:pStyle w:val="Textonotapie"/>
        <w:rPr>
          <w:rFonts w:ascii="Bookman Old Style" w:hAnsi="Bookman Old Style"/>
          <w:lang w:val="es-CO"/>
        </w:rPr>
      </w:pPr>
      <w:r w:rsidRPr="00E936F9">
        <w:rPr>
          <w:rStyle w:val="Refdenotaalpie"/>
          <w:rFonts w:ascii="Bookman Old Style" w:hAnsi="Bookman Old Style"/>
        </w:rPr>
        <w:footnoteRef/>
      </w:r>
      <w:r w:rsidRPr="00E936F9">
        <w:rPr>
          <w:rFonts w:ascii="Bookman Old Style" w:hAnsi="Bookman Old Style"/>
        </w:rPr>
        <w:t xml:space="preserve"> </w:t>
      </w:r>
      <w:r w:rsidRPr="00E936F9">
        <w:rPr>
          <w:rFonts w:ascii="Bookman Old Style" w:hAnsi="Bookman Old Style"/>
          <w:lang w:val="es-CO"/>
        </w:rPr>
        <w:t>Sesión del 1 de abril de 2011. Archivo de audio 1 del cd. Récord 27:01.</w:t>
      </w:r>
    </w:p>
  </w:footnote>
  <w:footnote w:id="84">
    <w:p w:rsidR="00AD777C" w:rsidRPr="008F7FCB" w:rsidRDefault="00AD777C" w:rsidP="00AD777C">
      <w:pPr>
        <w:pStyle w:val="Textonotapie"/>
        <w:rPr>
          <w:rFonts w:ascii="Bookman Old Style" w:hAnsi="Bookman Old Style"/>
          <w:lang w:val="es-CO"/>
        </w:rPr>
      </w:pPr>
      <w:r w:rsidRPr="008F7FCB">
        <w:rPr>
          <w:rStyle w:val="Refdenotaalpie"/>
          <w:rFonts w:ascii="Bookman Old Style" w:hAnsi="Bookman Old Style"/>
        </w:rPr>
        <w:footnoteRef/>
      </w:r>
      <w:r w:rsidRPr="008F7FCB">
        <w:rPr>
          <w:rFonts w:ascii="Bookman Old Style" w:hAnsi="Bookman Old Style"/>
        </w:rPr>
        <w:t xml:space="preserve"> </w:t>
      </w:r>
      <w:r w:rsidRPr="008F7FCB">
        <w:rPr>
          <w:rFonts w:ascii="Bookman Old Style" w:hAnsi="Bookman Old Style"/>
          <w:lang w:val="es-CO"/>
        </w:rPr>
        <w:t>18 de septiembre de 2009.</w:t>
      </w:r>
    </w:p>
  </w:footnote>
  <w:footnote w:id="85">
    <w:p w:rsidR="00AD777C" w:rsidRPr="008F7FCB" w:rsidRDefault="00AD777C" w:rsidP="00AD777C">
      <w:pPr>
        <w:pStyle w:val="Textonotapie"/>
        <w:rPr>
          <w:rFonts w:ascii="Bookman Old Style" w:hAnsi="Bookman Old Style"/>
          <w:lang w:val="es-CO"/>
        </w:rPr>
      </w:pPr>
      <w:r w:rsidRPr="008F7FCB">
        <w:rPr>
          <w:rStyle w:val="Refdenotaalpie"/>
          <w:rFonts w:ascii="Bookman Old Style" w:hAnsi="Bookman Old Style"/>
        </w:rPr>
        <w:footnoteRef/>
      </w:r>
      <w:r w:rsidRPr="008F7FCB">
        <w:rPr>
          <w:rFonts w:ascii="Bookman Old Style" w:hAnsi="Bookman Old Style"/>
        </w:rPr>
        <w:t xml:space="preserve"> </w:t>
      </w:r>
      <w:r w:rsidRPr="008F7FCB">
        <w:rPr>
          <w:rFonts w:ascii="Bookman Old Style" w:hAnsi="Bookman Old Style"/>
          <w:lang w:val="es-CO"/>
        </w:rPr>
        <w:t>29 de enero de 2010.</w:t>
      </w:r>
    </w:p>
  </w:footnote>
  <w:footnote w:id="86">
    <w:p w:rsidR="00AD777C" w:rsidRPr="00A94C67" w:rsidRDefault="00AD777C" w:rsidP="00AD777C">
      <w:pPr>
        <w:pStyle w:val="Textonotapie"/>
        <w:rPr>
          <w:rFonts w:ascii="Bookman Old Style" w:hAnsi="Bookman Old Style"/>
          <w:lang w:val="es-CO"/>
        </w:rPr>
      </w:pPr>
      <w:r w:rsidRPr="00A94C67">
        <w:rPr>
          <w:rStyle w:val="Refdenotaalpie"/>
          <w:rFonts w:ascii="Bookman Old Style" w:hAnsi="Bookman Old Style"/>
        </w:rPr>
        <w:footnoteRef/>
      </w:r>
      <w:r w:rsidRPr="00A94C67">
        <w:rPr>
          <w:rFonts w:ascii="Bookman Old Style" w:hAnsi="Bookman Old Style"/>
        </w:rPr>
        <w:t xml:space="preserve"> </w:t>
      </w:r>
      <w:r w:rsidRPr="00A94C67">
        <w:rPr>
          <w:rFonts w:ascii="Bookman Old Style" w:hAnsi="Bookman Old Style"/>
          <w:lang w:val="es-CO"/>
        </w:rPr>
        <w:t>Inició el 11 y terminó el 20 de septiembre de 2013.</w:t>
      </w:r>
    </w:p>
  </w:footnote>
  <w:footnote w:id="87">
    <w:p w:rsidR="00AD777C" w:rsidRPr="00252E1E" w:rsidRDefault="00AD777C" w:rsidP="00AD777C">
      <w:pPr>
        <w:pStyle w:val="Textonotapie"/>
        <w:jc w:val="both"/>
        <w:rPr>
          <w:rFonts w:ascii="Bookman Old Style" w:hAnsi="Bookman Old Style"/>
          <w:lang w:val="es-CO"/>
        </w:rPr>
      </w:pPr>
      <w:r w:rsidRPr="00252E1E">
        <w:rPr>
          <w:rStyle w:val="Refdenotaalpie"/>
          <w:rFonts w:ascii="Bookman Old Style" w:hAnsi="Bookman Old Style"/>
        </w:rPr>
        <w:footnoteRef/>
      </w:r>
      <w:r w:rsidRPr="00252E1E">
        <w:rPr>
          <w:rFonts w:ascii="Bookman Old Style" w:hAnsi="Bookman Old Style"/>
        </w:rPr>
        <w:t xml:space="preserve"> </w:t>
      </w:r>
      <w:r w:rsidRPr="00252E1E">
        <w:rPr>
          <w:rFonts w:ascii="Bookman Old Style" w:hAnsi="Bookman Old Style"/>
          <w:lang w:val="es-CO"/>
        </w:rPr>
        <w:t>Sesión de audiencia de incidente de afectaciones a las víctimas y traslado del artículo 447, llevada a cabo el 6 de abril de 2013.</w:t>
      </w:r>
    </w:p>
    <w:p w:rsidR="00AD777C" w:rsidRPr="00733487" w:rsidRDefault="00AD777C" w:rsidP="00AD777C">
      <w:pPr>
        <w:pStyle w:val="Textonotapie"/>
        <w:rPr>
          <w:lang w:val="es-CO"/>
        </w:rPr>
      </w:pPr>
    </w:p>
  </w:footnote>
  <w:footnote w:id="88">
    <w:p w:rsidR="00AD777C" w:rsidRPr="007C0137" w:rsidRDefault="00AD777C" w:rsidP="00AD777C">
      <w:pPr>
        <w:pStyle w:val="Textonotapie"/>
        <w:rPr>
          <w:rFonts w:ascii="Bookman Old Style" w:hAnsi="Bookman Old Style"/>
          <w:lang w:val="es-CO"/>
        </w:rPr>
      </w:pPr>
      <w:r w:rsidRPr="007C0137">
        <w:rPr>
          <w:rStyle w:val="Refdenotaalpie"/>
          <w:rFonts w:ascii="Bookman Old Style" w:hAnsi="Bookman Old Style"/>
        </w:rPr>
        <w:footnoteRef/>
      </w:r>
      <w:r w:rsidRPr="007C0137">
        <w:rPr>
          <w:rFonts w:ascii="Bookman Old Style" w:hAnsi="Bookman Old Style"/>
        </w:rPr>
        <w:t xml:space="preserve"> </w:t>
      </w:r>
      <w:r w:rsidRPr="007C0137">
        <w:rPr>
          <w:rFonts w:ascii="Bookman Old Style" w:hAnsi="Bookman Old Style"/>
          <w:lang w:val="es-CO"/>
        </w:rPr>
        <w:t>Ministerio Público. Fiscalía. Abogados representantes de víctimas.</w:t>
      </w:r>
    </w:p>
  </w:footnote>
  <w:footnote w:id="89">
    <w:p w:rsidR="00AD777C" w:rsidRDefault="00AD777C" w:rsidP="00AD777C">
      <w:pPr>
        <w:spacing w:line="360" w:lineRule="auto"/>
        <w:ind w:right="-187"/>
        <w:jc w:val="both"/>
        <w:rPr>
          <w:rFonts w:ascii="Bookman Old Style" w:hAnsi="Bookman Old Style" w:cs="Sakkal Majalla"/>
        </w:rPr>
      </w:pPr>
      <w:r w:rsidRPr="003978C4">
        <w:rPr>
          <w:rStyle w:val="Refdenotaalpie"/>
          <w:rFonts w:ascii="Bookman Old Style" w:hAnsi="Bookman Old Style"/>
        </w:rPr>
        <w:footnoteRef/>
      </w:r>
      <w:r w:rsidRPr="003978C4">
        <w:rPr>
          <w:rFonts w:ascii="Bookman Old Style" w:hAnsi="Bookman Old Style"/>
        </w:rPr>
        <w:t xml:space="preserve"> </w:t>
      </w:r>
      <w:r w:rsidRPr="003978C4">
        <w:rPr>
          <w:rFonts w:ascii="Bookman Old Style" w:hAnsi="Bookman Old Style"/>
          <w:lang w:val="es-CO"/>
        </w:rPr>
        <w:t>Folio 156 del cuaderno número 5.</w:t>
      </w:r>
      <w:r>
        <w:rPr>
          <w:rFonts w:ascii="Bookman Old Style" w:hAnsi="Bookman Old Style"/>
          <w:lang w:val="es-CO"/>
        </w:rPr>
        <w:t xml:space="preserve"> </w:t>
      </w:r>
      <w:r>
        <w:rPr>
          <w:rFonts w:ascii="Bookman Old Style" w:hAnsi="Bookman Old Style" w:cs="Sakkal Majalla"/>
        </w:rPr>
        <w:t>R</w:t>
      </w:r>
      <w:r w:rsidRPr="009B29C5">
        <w:rPr>
          <w:rFonts w:ascii="Bookman Old Style" w:hAnsi="Bookman Old Style" w:cs="Sakkal Majalla"/>
        </w:rPr>
        <w:t>eferidos al seguimiento del cumplimiento del derecho a la reparación integral y una petición que ella realizara dentro de un proceso que se adelantó contra Fredy Rendón Herrera y que ahora reitera en este, con miras a que las víctimas a quienes les falta el recaudo de documentación para ser aportada al proceso, obtengan un plazo de 24 meses contados a partir de la ejecutoria de la sentencia para cumplir con esa exigencia.</w:t>
      </w:r>
    </w:p>
    <w:p w:rsidR="00AD777C" w:rsidRPr="009B29C5" w:rsidRDefault="00AD777C" w:rsidP="00AD777C">
      <w:pPr>
        <w:spacing w:line="360" w:lineRule="auto"/>
        <w:ind w:right="-187"/>
        <w:jc w:val="both"/>
        <w:rPr>
          <w:rFonts w:ascii="Bookman Old Style" w:hAnsi="Bookman Old Style" w:cs="Sakkal Majalla"/>
        </w:rPr>
      </w:pPr>
      <w:r w:rsidRPr="003978C4">
        <w:rPr>
          <w:rStyle w:val="Refdenotaalpie"/>
          <w:rFonts w:ascii="Bookman Old Style" w:hAnsi="Bookman Old Style"/>
        </w:rPr>
        <w:footnoteRef/>
      </w:r>
      <w:r w:rsidRPr="003978C4">
        <w:rPr>
          <w:rFonts w:ascii="Bookman Old Style" w:hAnsi="Bookman Old Style"/>
        </w:rPr>
        <w:t xml:space="preserve"> El abogado Juan Carlos Córdoba Correa para los hechos 98; 99; 100; 101; 102; 103 105; 108; 109; 110; 111; 112; 117; 118 y 119.</w:t>
      </w:r>
    </w:p>
    <w:p w:rsidR="00AD777C" w:rsidRPr="003978C4" w:rsidRDefault="00AD777C" w:rsidP="00AD777C">
      <w:pPr>
        <w:pStyle w:val="Textonotapie"/>
        <w:rPr>
          <w:rFonts w:ascii="Bookman Old Style" w:hAnsi="Bookman Old Style"/>
          <w:lang w:val="es-CO"/>
        </w:rPr>
      </w:pPr>
    </w:p>
  </w:footnote>
  <w:footnote w:id="90">
    <w:p w:rsidR="00AD777C" w:rsidRPr="003978C4" w:rsidRDefault="00AD777C" w:rsidP="00AD777C">
      <w:pPr>
        <w:pStyle w:val="Textonotapie"/>
        <w:jc w:val="both"/>
        <w:rPr>
          <w:rFonts w:ascii="Bookman Old Style" w:hAnsi="Bookman Old Style"/>
          <w:lang w:val="es-CO"/>
        </w:rPr>
      </w:pPr>
    </w:p>
  </w:footnote>
  <w:footnote w:id="91">
    <w:p w:rsidR="00AD777C" w:rsidRPr="00FD2524" w:rsidRDefault="00AD777C" w:rsidP="00AD777C">
      <w:pPr>
        <w:pStyle w:val="Textonotapie"/>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w:t>
      </w:r>
      <w:r w:rsidRPr="00FD2524">
        <w:rPr>
          <w:rFonts w:ascii="Bookman Old Style" w:hAnsi="Bookman Old Style"/>
          <w:lang w:val="es-CO"/>
        </w:rPr>
        <w:t>Folios 455 y 456 de la sentencia.</w:t>
      </w:r>
    </w:p>
  </w:footnote>
  <w:footnote w:id="92">
    <w:p w:rsidR="00AD777C" w:rsidRPr="001446CE" w:rsidRDefault="00AD777C" w:rsidP="00AD777C">
      <w:pPr>
        <w:spacing w:line="360" w:lineRule="auto"/>
        <w:jc w:val="both"/>
        <w:rPr>
          <w:rFonts w:ascii="Bookman Old Style" w:hAnsi="Bookman Old Style" w:cs="Arial"/>
        </w:rPr>
      </w:pPr>
      <w:r>
        <w:rPr>
          <w:rStyle w:val="Refdenotaalpie"/>
        </w:rPr>
        <w:footnoteRef/>
      </w:r>
      <w:r>
        <w:t xml:space="preserve"> </w:t>
      </w:r>
      <w:r w:rsidRPr="00984F8D">
        <w:rPr>
          <w:rFonts w:ascii="Bookman Old Style" w:hAnsi="Bookman Old Style"/>
          <w:lang w:val="es-CO"/>
        </w:rPr>
        <w:t>Ver</w:t>
      </w:r>
      <w:r>
        <w:rPr>
          <w:rFonts w:ascii="Bookman Old Style" w:hAnsi="Bookman Old Style"/>
          <w:lang w:val="es-CO"/>
        </w:rPr>
        <w:t>:</w:t>
      </w:r>
      <w:r w:rsidRPr="00984F8D">
        <w:rPr>
          <w:rFonts w:ascii="Bookman Old Style" w:hAnsi="Bookman Old Style"/>
          <w:lang w:val="es-CO"/>
        </w:rPr>
        <w:t xml:space="preserve"> </w:t>
      </w:r>
      <w:r>
        <w:rPr>
          <w:rFonts w:ascii="Bookman Old Style" w:hAnsi="Bookman Old Style"/>
          <w:lang w:val="es-CO"/>
        </w:rPr>
        <w:t xml:space="preserve">CSJ. </w:t>
      </w:r>
      <w:r w:rsidRPr="001446CE">
        <w:rPr>
          <w:rFonts w:ascii="Bookman Old Style" w:hAnsi="Bookman Old Style" w:cs="Arial"/>
        </w:rPr>
        <w:t>SP3950-2014</w:t>
      </w:r>
      <w:r>
        <w:rPr>
          <w:rFonts w:ascii="Bookman Old Style" w:hAnsi="Bookman Old Style" w:cs="Arial"/>
        </w:rPr>
        <w:t xml:space="preserve">. </w:t>
      </w:r>
      <w:r w:rsidRPr="001446CE">
        <w:rPr>
          <w:rFonts w:ascii="Bookman Old Style" w:hAnsi="Bookman Old Style" w:cs="Arial"/>
        </w:rPr>
        <w:t>Radicación n° 39045</w:t>
      </w:r>
      <w:r>
        <w:rPr>
          <w:rFonts w:ascii="Bookman Old Style" w:hAnsi="Bookman Old Style" w:cs="Arial"/>
        </w:rPr>
        <w:t xml:space="preserve"> del</w:t>
      </w:r>
      <w:r w:rsidRPr="001446CE">
        <w:rPr>
          <w:rFonts w:ascii="Bookman Old Style" w:hAnsi="Bookman Old Style" w:cs="Arial"/>
        </w:rPr>
        <w:t xml:space="preserve"> 19</w:t>
      </w:r>
      <w:r>
        <w:rPr>
          <w:rFonts w:ascii="Bookman Old Style" w:hAnsi="Bookman Old Style" w:cs="Arial"/>
        </w:rPr>
        <w:t xml:space="preserve"> mar. 2014 y </w:t>
      </w:r>
      <w:r>
        <w:rPr>
          <w:rFonts w:ascii="Bookman Old Style" w:hAnsi="Bookman Old Style"/>
          <w:lang w:val="es-CO"/>
        </w:rPr>
        <w:t>CSJ.</w:t>
      </w:r>
      <w:r w:rsidRPr="00984F8D">
        <w:rPr>
          <w:rFonts w:ascii="Bookman Old Style" w:hAnsi="Bookman Old Style"/>
          <w:lang w:val="es-CO"/>
        </w:rPr>
        <w:t xml:space="preserve"> </w:t>
      </w:r>
      <w:r w:rsidRPr="00984F8D">
        <w:rPr>
          <w:rFonts w:ascii="Bookman Old Style" w:hAnsi="Bookman Old Style" w:cs="Arial"/>
        </w:rPr>
        <w:t>SP15924-2014. Radicación n° 42799 del 20 jul. 2014.</w:t>
      </w:r>
    </w:p>
    <w:p w:rsidR="00AD777C" w:rsidRPr="00984F8D" w:rsidRDefault="00AD777C" w:rsidP="00AD777C">
      <w:pPr>
        <w:pStyle w:val="Textonotapie"/>
        <w:rPr>
          <w:lang w:val="es-CO"/>
        </w:rPr>
      </w:pPr>
    </w:p>
  </w:footnote>
  <w:footnote w:id="93">
    <w:p w:rsidR="00AD777C" w:rsidRPr="00FD2524" w:rsidRDefault="00AD777C" w:rsidP="00AD777C">
      <w:pPr>
        <w:pStyle w:val="Textonotapie"/>
        <w:jc w:val="both"/>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Inmueble rural </w:t>
      </w:r>
      <w:r w:rsidRPr="00FD2524">
        <w:rPr>
          <w:rFonts w:ascii="Bookman Old Style" w:hAnsi="Bookman Old Style"/>
          <w:lang w:val="es-CO"/>
        </w:rPr>
        <w:t>ubicado en el municipio La Primavera del Departamento de Vichada, con extensión de 493 hectáreas. Matrícula inmobiliaria 540-003225 y cédula catastral 00-00-0000-0284-000-001-001</w:t>
      </w:r>
    </w:p>
  </w:footnote>
  <w:footnote w:id="94">
    <w:p w:rsidR="00AD777C" w:rsidRPr="00FD2524" w:rsidRDefault="00AD777C" w:rsidP="00AD777C">
      <w:pPr>
        <w:jc w:val="both"/>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w:t>
      </w:r>
      <w:r w:rsidRPr="00FD2524">
        <w:rPr>
          <w:rFonts w:ascii="Bookman Old Style" w:hAnsi="Bookman Old Style"/>
          <w:lang w:val="es-CO"/>
        </w:rPr>
        <w:t>Como medida material la incautación y ocupación de dicho bien y como medida jurídica el embargo y secuestro.  La administración quedó a cargo de Acción Social, a través del Fondo para la Reparación de Víctimas.</w:t>
      </w:r>
    </w:p>
    <w:p w:rsidR="00AD777C" w:rsidRPr="00FD2524" w:rsidRDefault="00AD777C" w:rsidP="00AD777C">
      <w:pPr>
        <w:pStyle w:val="Textonotapie"/>
        <w:rPr>
          <w:rFonts w:ascii="Bookman Old Style" w:hAnsi="Bookman Old Style"/>
          <w:lang w:val="es-CO"/>
        </w:rPr>
      </w:pPr>
    </w:p>
  </w:footnote>
  <w:footnote w:id="95">
    <w:p w:rsidR="00AD777C" w:rsidRPr="00FD2524" w:rsidRDefault="00AD777C" w:rsidP="00AD777C">
      <w:pPr>
        <w:pStyle w:val="Textonotapie"/>
        <w:jc w:val="both"/>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w:t>
      </w:r>
      <w:r w:rsidRPr="00FD2524">
        <w:rPr>
          <w:rFonts w:ascii="Bookman Old Style" w:hAnsi="Bookman Old Style"/>
          <w:lang w:val="es-CO"/>
        </w:rPr>
        <w:t>Certificado de libertad y tradición, fotocopia de escritura de hipoteca al Banco Agrario, copia de la escritura de levantamiento de esa hipoteca y compra venta que realizara DIOBERTO RAMÍREZ CARDOZO a JOSÉ BALDOMERO LINARES MORENO.</w:t>
      </w:r>
    </w:p>
  </w:footnote>
  <w:footnote w:id="96">
    <w:p w:rsidR="00AD777C" w:rsidRPr="00FD2524" w:rsidRDefault="00AD777C" w:rsidP="00AD777C">
      <w:pPr>
        <w:pStyle w:val="Textonotapie"/>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w:t>
      </w:r>
      <w:r w:rsidRPr="00FD2524">
        <w:rPr>
          <w:rFonts w:ascii="Bookman Old Style" w:hAnsi="Bookman Old Style"/>
          <w:lang w:val="es-CO"/>
        </w:rPr>
        <w:t>De Víctimas y Restitución de Tierras”</w:t>
      </w:r>
      <w:r>
        <w:rPr>
          <w:rFonts w:ascii="Bookman Old Style" w:hAnsi="Bookman Old Style"/>
          <w:lang w:val="es-CO"/>
        </w:rPr>
        <w:t>.</w:t>
      </w:r>
    </w:p>
  </w:footnote>
  <w:footnote w:id="97">
    <w:p w:rsidR="00AD777C" w:rsidRPr="00FD2524" w:rsidRDefault="00AD777C" w:rsidP="00AD777C">
      <w:pPr>
        <w:pStyle w:val="Textonotapie"/>
        <w:jc w:val="both"/>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w:t>
      </w:r>
      <w:r w:rsidRPr="00FD2524">
        <w:rPr>
          <w:rFonts w:ascii="Bookman Old Style" w:hAnsi="Bookman Old Style"/>
          <w:lang w:val="es-CO"/>
        </w:rPr>
        <w:t>13 de septiembre de 2013 en audiencia de incidente de reconocimiento de afectaciones a las víctimas.</w:t>
      </w:r>
    </w:p>
  </w:footnote>
  <w:footnote w:id="98">
    <w:p w:rsidR="00AD777C" w:rsidRPr="00FD2524" w:rsidRDefault="00AD777C" w:rsidP="00AD777C">
      <w:pPr>
        <w:pStyle w:val="Textonotapie"/>
        <w:rPr>
          <w:rFonts w:ascii="Bookman Old Style" w:hAnsi="Bookman Old Style"/>
          <w:lang w:val="es-CO"/>
        </w:rPr>
      </w:pPr>
      <w:r w:rsidRPr="00FD2524">
        <w:rPr>
          <w:rStyle w:val="Refdenotaalpie"/>
          <w:rFonts w:ascii="Bookman Old Style" w:hAnsi="Bookman Old Style"/>
        </w:rPr>
        <w:footnoteRef/>
      </w:r>
      <w:r w:rsidRPr="00FD2524">
        <w:rPr>
          <w:rFonts w:ascii="Bookman Old Style" w:hAnsi="Bookman Old Style"/>
        </w:rPr>
        <w:t xml:space="preserve"> </w:t>
      </w:r>
      <w:r w:rsidRPr="00FD2524">
        <w:rPr>
          <w:rFonts w:ascii="Bookman Old Style" w:hAnsi="Bookman Old Style"/>
          <w:lang w:val="es-CO"/>
        </w:rPr>
        <w:t>Artículo 79 de la Ley 1448 de 2011</w:t>
      </w:r>
      <w:r>
        <w:rPr>
          <w:rFonts w:ascii="Bookman Old Style" w:hAnsi="Bookman Old Style"/>
          <w:lang w:val="es-CO"/>
        </w:rPr>
        <w:t>.</w:t>
      </w:r>
    </w:p>
  </w:footnote>
  <w:footnote w:id="99">
    <w:p w:rsidR="00AD777C" w:rsidRPr="002F48FD" w:rsidRDefault="00AD777C" w:rsidP="00AD777C">
      <w:pPr>
        <w:pStyle w:val="Textonotapie"/>
        <w:jc w:val="both"/>
        <w:rPr>
          <w:rFonts w:ascii="Bookman Old Style" w:hAnsi="Bookman Old Style"/>
          <w:lang w:val="es-CO"/>
        </w:rPr>
      </w:pPr>
      <w:r w:rsidRPr="002F48FD">
        <w:rPr>
          <w:rStyle w:val="Refdenotaalpie"/>
          <w:rFonts w:ascii="Bookman Old Style" w:hAnsi="Bookman Old Style"/>
        </w:rPr>
        <w:footnoteRef/>
      </w:r>
      <w:r w:rsidRPr="002F48FD">
        <w:rPr>
          <w:rFonts w:ascii="Bookman Old Style" w:hAnsi="Bookman Old Style"/>
        </w:rPr>
        <w:t xml:space="preserve"> </w:t>
      </w:r>
      <w:r w:rsidRPr="002F48FD">
        <w:rPr>
          <w:rFonts w:ascii="Bookman Old Style" w:hAnsi="Bookman Old Style"/>
          <w:lang w:val="es-CO"/>
        </w:rPr>
        <w:t>Pese a que se trata de información que el profesional tuvo oportunidad de conocer meses antes de la fecha de emisión de la</w:t>
      </w:r>
      <w:r>
        <w:rPr>
          <w:rFonts w:ascii="Bookman Old Style" w:hAnsi="Bookman Old Style"/>
          <w:lang w:val="es-CO"/>
        </w:rPr>
        <w:t xml:space="preserve"> sentencia de primera instancia, atendiendo las fechas en que se rindió la declaración extra juicio y las que obran en los poderes.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14CB"/>
    <w:multiLevelType w:val="multilevel"/>
    <w:tmpl w:val="C8D66A2E"/>
    <w:lvl w:ilvl="0">
      <w:start w:val="5"/>
      <w:numFmt w:val="decimal"/>
      <w:lvlText w:val="%1."/>
      <w:lvlJc w:val="left"/>
      <w:pPr>
        <w:ind w:left="570" w:hanging="57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
    <w:nsid w:val="02AC3C3A"/>
    <w:multiLevelType w:val="multilevel"/>
    <w:tmpl w:val="58D8E08A"/>
    <w:lvl w:ilvl="0">
      <w:start w:val="5"/>
      <w:numFmt w:val="decimal"/>
      <w:lvlText w:val="%1."/>
      <w:lvlJc w:val="left"/>
      <w:pPr>
        <w:ind w:left="570" w:hanging="57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nsid w:val="05AF482B"/>
    <w:multiLevelType w:val="multilevel"/>
    <w:tmpl w:val="BE2E8390"/>
    <w:lvl w:ilvl="0">
      <w:start w:val="4"/>
      <w:numFmt w:val="decimal"/>
      <w:lvlText w:val="%1."/>
      <w:lvlJc w:val="left"/>
      <w:pPr>
        <w:ind w:left="1068" w:hanging="360"/>
      </w:pPr>
      <w:rPr>
        <w:rFonts w:hint="default"/>
      </w:rPr>
    </w:lvl>
    <w:lvl w:ilvl="1">
      <w:start w:val="1"/>
      <w:numFmt w:val="decimal"/>
      <w:isLgl/>
      <w:lvlText w:val="%1.%2."/>
      <w:lvlJc w:val="left"/>
      <w:pPr>
        <w:ind w:left="1563" w:hanging="855"/>
      </w:pPr>
      <w:rPr>
        <w:rFonts w:hint="default"/>
      </w:rPr>
    </w:lvl>
    <w:lvl w:ilvl="2">
      <w:start w:val="3"/>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3">
    <w:nsid w:val="060E7120"/>
    <w:multiLevelType w:val="hybridMultilevel"/>
    <w:tmpl w:val="19FAEB32"/>
    <w:lvl w:ilvl="0" w:tplc="28D2846E">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13522B"/>
    <w:multiLevelType w:val="multilevel"/>
    <w:tmpl w:val="2382B6C0"/>
    <w:lvl w:ilvl="0">
      <w:start w:val="1"/>
      <w:numFmt w:val="decimal"/>
      <w:lvlText w:val="%1."/>
      <w:lvlJc w:val="left"/>
      <w:pPr>
        <w:ind w:left="1278" w:hanging="570"/>
      </w:pPr>
      <w:rPr>
        <w:rFonts w:hint="default"/>
      </w:rPr>
    </w:lvl>
    <w:lvl w:ilvl="1">
      <w:start w:val="3"/>
      <w:numFmt w:val="decimal"/>
      <w:lvlText w:val="%1.%2."/>
      <w:lvlJc w:val="left"/>
      <w:pPr>
        <w:ind w:left="2136" w:hanging="720"/>
      </w:pPr>
      <w:rPr>
        <w:rFonts w:hint="default"/>
      </w:rPr>
    </w:lvl>
    <w:lvl w:ilvl="2">
      <w:start w:val="1"/>
      <w:numFmt w:val="decimal"/>
      <w:lvlText w:val="%1.%2.%3."/>
      <w:lvlJc w:val="left"/>
      <w:pPr>
        <w:ind w:left="3204" w:hanging="108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980" w:hanging="1440"/>
      </w:pPr>
      <w:rPr>
        <w:rFonts w:hint="default"/>
      </w:rPr>
    </w:lvl>
    <w:lvl w:ilvl="5">
      <w:start w:val="1"/>
      <w:numFmt w:val="decimal"/>
      <w:lvlText w:val="%1.%2.%3.%4.%5.%6."/>
      <w:lvlJc w:val="left"/>
      <w:pPr>
        <w:ind w:left="6048" w:hanging="1800"/>
      </w:pPr>
      <w:rPr>
        <w:rFonts w:hint="default"/>
      </w:rPr>
    </w:lvl>
    <w:lvl w:ilvl="6">
      <w:start w:val="1"/>
      <w:numFmt w:val="decimal"/>
      <w:lvlText w:val="%1.%2.%3.%4.%5.%6.%7."/>
      <w:lvlJc w:val="left"/>
      <w:pPr>
        <w:ind w:left="7116" w:hanging="2160"/>
      </w:pPr>
      <w:rPr>
        <w:rFonts w:hint="default"/>
      </w:rPr>
    </w:lvl>
    <w:lvl w:ilvl="7">
      <w:start w:val="1"/>
      <w:numFmt w:val="decimal"/>
      <w:lvlText w:val="%1.%2.%3.%4.%5.%6.%7.%8."/>
      <w:lvlJc w:val="left"/>
      <w:pPr>
        <w:ind w:left="7824" w:hanging="2160"/>
      </w:pPr>
      <w:rPr>
        <w:rFonts w:hint="default"/>
      </w:rPr>
    </w:lvl>
    <w:lvl w:ilvl="8">
      <w:start w:val="1"/>
      <w:numFmt w:val="decimal"/>
      <w:lvlText w:val="%1.%2.%3.%4.%5.%6.%7.%8.%9."/>
      <w:lvlJc w:val="left"/>
      <w:pPr>
        <w:ind w:left="8892" w:hanging="2520"/>
      </w:pPr>
      <w:rPr>
        <w:rFonts w:hint="default"/>
      </w:rPr>
    </w:lvl>
  </w:abstractNum>
  <w:abstractNum w:abstractNumId="5">
    <w:nsid w:val="13590329"/>
    <w:multiLevelType w:val="hybridMultilevel"/>
    <w:tmpl w:val="3270669C"/>
    <w:lvl w:ilvl="0" w:tplc="9ED84D0A">
      <w:start w:val="1"/>
      <w:numFmt w:val="decimal"/>
      <w:lvlText w:val="%1."/>
      <w:lvlJc w:val="left"/>
      <w:pPr>
        <w:tabs>
          <w:tab w:val="num" w:pos="720"/>
        </w:tabs>
        <w:ind w:left="720" w:hanging="360"/>
      </w:pPr>
      <w:rPr>
        <w:rFonts w:hint="default"/>
      </w:rPr>
    </w:lvl>
    <w:lvl w:ilvl="1" w:tplc="D68C6A84">
      <w:numFmt w:val="none"/>
      <w:lvlText w:val=""/>
      <w:lvlJc w:val="left"/>
      <w:pPr>
        <w:tabs>
          <w:tab w:val="num" w:pos="360"/>
        </w:tabs>
      </w:pPr>
    </w:lvl>
    <w:lvl w:ilvl="2" w:tplc="E2BA7E7E">
      <w:numFmt w:val="none"/>
      <w:lvlText w:val=""/>
      <w:lvlJc w:val="left"/>
      <w:pPr>
        <w:tabs>
          <w:tab w:val="num" w:pos="360"/>
        </w:tabs>
      </w:pPr>
    </w:lvl>
    <w:lvl w:ilvl="3" w:tplc="3F368F30">
      <w:numFmt w:val="none"/>
      <w:lvlText w:val=""/>
      <w:lvlJc w:val="left"/>
      <w:pPr>
        <w:tabs>
          <w:tab w:val="num" w:pos="360"/>
        </w:tabs>
      </w:pPr>
    </w:lvl>
    <w:lvl w:ilvl="4" w:tplc="98D6ADF4">
      <w:numFmt w:val="none"/>
      <w:lvlText w:val=""/>
      <w:lvlJc w:val="left"/>
      <w:pPr>
        <w:tabs>
          <w:tab w:val="num" w:pos="360"/>
        </w:tabs>
      </w:pPr>
    </w:lvl>
    <w:lvl w:ilvl="5" w:tplc="D86C47D8">
      <w:numFmt w:val="none"/>
      <w:lvlText w:val=""/>
      <w:lvlJc w:val="left"/>
      <w:pPr>
        <w:tabs>
          <w:tab w:val="num" w:pos="360"/>
        </w:tabs>
      </w:pPr>
    </w:lvl>
    <w:lvl w:ilvl="6" w:tplc="B58E7CD2">
      <w:numFmt w:val="none"/>
      <w:lvlText w:val=""/>
      <w:lvlJc w:val="left"/>
      <w:pPr>
        <w:tabs>
          <w:tab w:val="num" w:pos="360"/>
        </w:tabs>
      </w:pPr>
    </w:lvl>
    <w:lvl w:ilvl="7" w:tplc="269C8844">
      <w:numFmt w:val="none"/>
      <w:lvlText w:val=""/>
      <w:lvlJc w:val="left"/>
      <w:pPr>
        <w:tabs>
          <w:tab w:val="num" w:pos="360"/>
        </w:tabs>
      </w:pPr>
    </w:lvl>
    <w:lvl w:ilvl="8" w:tplc="E7EA82C6">
      <w:numFmt w:val="none"/>
      <w:pStyle w:val="Estilo1"/>
      <w:lvlText w:val=""/>
      <w:lvlJc w:val="left"/>
      <w:pPr>
        <w:tabs>
          <w:tab w:val="num" w:pos="360"/>
        </w:tabs>
      </w:pPr>
    </w:lvl>
  </w:abstractNum>
  <w:abstractNum w:abstractNumId="6">
    <w:nsid w:val="19940A3C"/>
    <w:multiLevelType w:val="hybridMultilevel"/>
    <w:tmpl w:val="69FA2E8C"/>
    <w:lvl w:ilvl="0" w:tplc="6C36DC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nsid w:val="202A2686"/>
    <w:multiLevelType w:val="multilevel"/>
    <w:tmpl w:val="41C6B8C0"/>
    <w:lvl w:ilvl="0">
      <w:start w:val="1"/>
      <w:numFmt w:val="decimal"/>
      <w:lvlText w:val="%1."/>
      <w:lvlJc w:val="left"/>
      <w:pPr>
        <w:ind w:left="1068" w:hanging="360"/>
      </w:pPr>
      <w:rPr>
        <w:rFonts w:hint="default"/>
      </w:rPr>
    </w:lvl>
    <w:lvl w:ilvl="1">
      <w:start w:val="1"/>
      <w:numFmt w:val="decimal"/>
      <w:isLgl/>
      <w:lvlText w:val="%1.%2."/>
      <w:lvlJc w:val="left"/>
      <w:pPr>
        <w:ind w:left="1518" w:hanging="810"/>
      </w:pPr>
      <w:rPr>
        <w:rFonts w:hint="default"/>
        <w:b/>
        <w:i w:val="0"/>
      </w:rPr>
    </w:lvl>
    <w:lvl w:ilvl="2">
      <w:start w:val="1"/>
      <w:numFmt w:val="decimal"/>
      <w:isLgl/>
      <w:lvlText w:val="%1.%2.%3."/>
      <w:lvlJc w:val="left"/>
      <w:pPr>
        <w:ind w:left="1788" w:hanging="1080"/>
      </w:pPr>
      <w:rPr>
        <w:rFonts w:hint="default"/>
        <w:b/>
        <w:i w:val="0"/>
      </w:rPr>
    </w:lvl>
    <w:lvl w:ilvl="3">
      <w:start w:val="1"/>
      <w:numFmt w:val="decimal"/>
      <w:isLgl/>
      <w:lvlText w:val="%1.%2.%3.%4."/>
      <w:lvlJc w:val="left"/>
      <w:pPr>
        <w:ind w:left="1788" w:hanging="1080"/>
      </w:pPr>
      <w:rPr>
        <w:rFonts w:hint="default"/>
        <w:b/>
        <w:i w:val="0"/>
      </w:rPr>
    </w:lvl>
    <w:lvl w:ilvl="4">
      <w:start w:val="1"/>
      <w:numFmt w:val="decimal"/>
      <w:isLgl/>
      <w:lvlText w:val="%1.%2.%3.%4.%5."/>
      <w:lvlJc w:val="left"/>
      <w:pPr>
        <w:ind w:left="2148" w:hanging="1440"/>
      </w:pPr>
      <w:rPr>
        <w:rFonts w:hint="default"/>
        <w:b/>
        <w:i w:val="0"/>
      </w:rPr>
    </w:lvl>
    <w:lvl w:ilvl="5">
      <w:start w:val="1"/>
      <w:numFmt w:val="decimal"/>
      <w:isLgl/>
      <w:lvlText w:val="%1.%2.%3.%4.%5.%6."/>
      <w:lvlJc w:val="left"/>
      <w:pPr>
        <w:ind w:left="2508" w:hanging="1800"/>
      </w:pPr>
      <w:rPr>
        <w:rFonts w:hint="default"/>
        <w:b/>
        <w:i w:val="0"/>
      </w:rPr>
    </w:lvl>
    <w:lvl w:ilvl="6">
      <w:start w:val="1"/>
      <w:numFmt w:val="decimal"/>
      <w:isLgl/>
      <w:lvlText w:val="%1.%2.%3.%4.%5.%6.%7."/>
      <w:lvlJc w:val="left"/>
      <w:pPr>
        <w:ind w:left="2868" w:hanging="2160"/>
      </w:pPr>
      <w:rPr>
        <w:rFonts w:hint="default"/>
        <w:b/>
        <w:i w:val="0"/>
      </w:rPr>
    </w:lvl>
    <w:lvl w:ilvl="7">
      <w:start w:val="1"/>
      <w:numFmt w:val="decimal"/>
      <w:isLgl/>
      <w:lvlText w:val="%1.%2.%3.%4.%5.%6.%7.%8."/>
      <w:lvlJc w:val="left"/>
      <w:pPr>
        <w:ind w:left="2868" w:hanging="2160"/>
      </w:pPr>
      <w:rPr>
        <w:rFonts w:hint="default"/>
        <w:b/>
        <w:i w:val="0"/>
      </w:rPr>
    </w:lvl>
    <w:lvl w:ilvl="8">
      <w:start w:val="1"/>
      <w:numFmt w:val="decimal"/>
      <w:isLgl/>
      <w:lvlText w:val="%1.%2.%3.%4.%5.%6.%7.%8.%9."/>
      <w:lvlJc w:val="left"/>
      <w:pPr>
        <w:ind w:left="3228" w:hanging="2520"/>
      </w:pPr>
      <w:rPr>
        <w:rFonts w:hint="default"/>
        <w:b/>
        <w:i w:val="0"/>
      </w:rPr>
    </w:lvl>
  </w:abstractNum>
  <w:abstractNum w:abstractNumId="8">
    <w:nsid w:val="232578C2"/>
    <w:multiLevelType w:val="hybridMultilevel"/>
    <w:tmpl w:val="35B23ACC"/>
    <w:lvl w:ilvl="0" w:tplc="F8F805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2B5C1A97"/>
    <w:multiLevelType w:val="hybridMultilevel"/>
    <w:tmpl w:val="EE885510"/>
    <w:lvl w:ilvl="0" w:tplc="80ACEB8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DA6662B"/>
    <w:multiLevelType w:val="hybridMultilevel"/>
    <w:tmpl w:val="C75E0ED0"/>
    <w:lvl w:ilvl="0" w:tplc="32D0B8B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nsid w:val="309919DB"/>
    <w:multiLevelType w:val="hybridMultilevel"/>
    <w:tmpl w:val="7B10B19C"/>
    <w:lvl w:ilvl="0" w:tplc="B48034F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37917D99"/>
    <w:multiLevelType w:val="hybridMultilevel"/>
    <w:tmpl w:val="311A40B4"/>
    <w:lvl w:ilvl="0" w:tplc="68C85B7C">
      <w:start w:val="5"/>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nsid w:val="3A547A55"/>
    <w:multiLevelType w:val="hybridMultilevel"/>
    <w:tmpl w:val="965A6E1E"/>
    <w:lvl w:ilvl="0" w:tplc="4246E8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4A527A44"/>
    <w:multiLevelType w:val="hybridMultilevel"/>
    <w:tmpl w:val="C1D0C3DA"/>
    <w:lvl w:ilvl="0" w:tplc="B1743196">
      <w:start w:val="1"/>
      <w:numFmt w:val="decimal"/>
      <w:lvlText w:val="%1."/>
      <w:lvlJc w:val="left"/>
      <w:pPr>
        <w:ind w:left="1083" w:hanging="37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51B54703"/>
    <w:multiLevelType w:val="hybridMultilevel"/>
    <w:tmpl w:val="CFCE9D34"/>
    <w:lvl w:ilvl="0" w:tplc="786A0FCE">
      <w:start w:val="5"/>
      <w:numFmt w:val="decimal"/>
      <w:lvlText w:val="%1."/>
      <w:lvlJc w:val="left"/>
      <w:pPr>
        <w:ind w:left="1068" w:hanging="360"/>
      </w:pPr>
      <w:rPr>
        <w:rFonts w:cs="Arial"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52041951"/>
    <w:multiLevelType w:val="hybridMultilevel"/>
    <w:tmpl w:val="16C6FC68"/>
    <w:lvl w:ilvl="0" w:tplc="CBC8577E">
      <w:start w:val="1"/>
      <w:numFmt w:val="bullet"/>
      <w:lvlText w:val=""/>
      <w:lvlJc w:val="left"/>
      <w:pPr>
        <w:ind w:left="1068" w:hanging="360"/>
      </w:pPr>
      <w:rPr>
        <w:rFonts w:ascii="Wingdings" w:eastAsia="Times New Roman" w:hAnsi="Wingding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5A455D44"/>
    <w:multiLevelType w:val="multilevel"/>
    <w:tmpl w:val="7B529EF6"/>
    <w:lvl w:ilvl="0">
      <w:start w:val="4"/>
      <w:numFmt w:val="decimal"/>
      <w:lvlText w:val="%1."/>
      <w:lvlJc w:val="left"/>
      <w:pPr>
        <w:ind w:left="570" w:hanging="57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8">
    <w:nsid w:val="5B2148DA"/>
    <w:multiLevelType w:val="multilevel"/>
    <w:tmpl w:val="2ADA4842"/>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9">
    <w:nsid w:val="65A95994"/>
    <w:multiLevelType w:val="multilevel"/>
    <w:tmpl w:val="6AA48B9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20">
    <w:nsid w:val="68F72220"/>
    <w:multiLevelType w:val="hybridMultilevel"/>
    <w:tmpl w:val="B2FAB11A"/>
    <w:lvl w:ilvl="0" w:tplc="3886B3EC">
      <w:start w:val="1"/>
      <w:numFmt w:val="lowerRoman"/>
      <w:lvlText w:val="%1."/>
      <w:lvlJc w:val="right"/>
      <w:pPr>
        <w:ind w:left="1440" w:hanging="360"/>
      </w:pPr>
    </w:lvl>
    <w:lvl w:ilvl="1" w:tplc="14345254">
      <w:start w:val="1"/>
      <w:numFmt w:val="lowerLetter"/>
      <w:lvlText w:val="%2."/>
      <w:lvlJc w:val="left"/>
      <w:pPr>
        <w:ind w:left="2160" w:hanging="360"/>
      </w:pPr>
    </w:lvl>
    <w:lvl w:ilvl="2" w:tplc="F4A27540">
      <w:start w:val="1"/>
      <w:numFmt w:val="lowerRoman"/>
      <w:lvlText w:val="%3."/>
      <w:lvlJc w:val="right"/>
      <w:pPr>
        <w:ind w:left="2880" w:hanging="180"/>
      </w:pPr>
    </w:lvl>
    <w:lvl w:ilvl="3" w:tplc="A1E2D3EE" w:tentative="1">
      <w:start w:val="1"/>
      <w:numFmt w:val="decimal"/>
      <w:lvlText w:val="%4."/>
      <w:lvlJc w:val="left"/>
      <w:pPr>
        <w:ind w:left="3600" w:hanging="360"/>
      </w:pPr>
    </w:lvl>
    <w:lvl w:ilvl="4" w:tplc="E8F833DC" w:tentative="1">
      <w:start w:val="1"/>
      <w:numFmt w:val="lowerLetter"/>
      <w:lvlText w:val="%5."/>
      <w:lvlJc w:val="left"/>
      <w:pPr>
        <w:ind w:left="4320" w:hanging="360"/>
      </w:pPr>
    </w:lvl>
    <w:lvl w:ilvl="5" w:tplc="029EA704" w:tentative="1">
      <w:start w:val="1"/>
      <w:numFmt w:val="lowerRoman"/>
      <w:lvlText w:val="%6."/>
      <w:lvlJc w:val="right"/>
      <w:pPr>
        <w:ind w:left="5040" w:hanging="180"/>
      </w:pPr>
    </w:lvl>
    <w:lvl w:ilvl="6" w:tplc="B8F07DE6" w:tentative="1">
      <w:start w:val="1"/>
      <w:numFmt w:val="decimal"/>
      <w:lvlText w:val="%7."/>
      <w:lvlJc w:val="left"/>
      <w:pPr>
        <w:ind w:left="5760" w:hanging="360"/>
      </w:pPr>
    </w:lvl>
    <w:lvl w:ilvl="7" w:tplc="465CB092" w:tentative="1">
      <w:start w:val="1"/>
      <w:numFmt w:val="lowerLetter"/>
      <w:lvlText w:val="%8."/>
      <w:lvlJc w:val="left"/>
      <w:pPr>
        <w:ind w:left="6480" w:hanging="360"/>
      </w:pPr>
    </w:lvl>
    <w:lvl w:ilvl="8" w:tplc="57DAE06E" w:tentative="1">
      <w:start w:val="1"/>
      <w:numFmt w:val="lowerRoman"/>
      <w:lvlText w:val="%9."/>
      <w:lvlJc w:val="right"/>
      <w:pPr>
        <w:ind w:left="7200" w:hanging="180"/>
      </w:pPr>
    </w:lvl>
  </w:abstractNum>
  <w:abstractNum w:abstractNumId="21">
    <w:nsid w:val="6A2F6897"/>
    <w:multiLevelType w:val="hybridMultilevel"/>
    <w:tmpl w:val="C5A4D716"/>
    <w:lvl w:ilvl="0" w:tplc="F7F2B07A">
      <w:start w:val="1"/>
      <w:numFmt w:val="decimal"/>
      <w:lvlText w:val="%1."/>
      <w:lvlJc w:val="left"/>
      <w:pPr>
        <w:ind w:left="1218" w:hanging="5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6CCD3AB5"/>
    <w:multiLevelType w:val="multilevel"/>
    <w:tmpl w:val="C7966AE0"/>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23">
    <w:nsid w:val="71E35181"/>
    <w:multiLevelType w:val="hybridMultilevel"/>
    <w:tmpl w:val="D7D6A66C"/>
    <w:lvl w:ilvl="0" w:tplc="98F8CA98">
      <w:start w:val="1"/>
      <w:numFmt w:val="decimal"/>
      <w:lvlText w:val="%1."/>
      <w:lvlJc w:val="left"/>
      <w:pPr>
        <w:ind w:left="1110" w:hanging="405"/>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nsid w:val="7BEE19E3"/>
    <w:multiLevelType w:val="multilevel"/>
    <w:tmpl w:val="87D22A50"/>
    <w:lvl w:ilvl="0">
      <w:start w:val="1"/>
      <w:numFmt w:val="decimal"/>
      <w:lvlText w:val="%1."/>
      <w:lvlJc w:val="left"/>
      <w:pPr>
        <w:ind w:left="570" w:hanging="57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5">
    <w:nsid w:val="7C133A61"/>
    <w:multiLevelType w:val="multilevel"/>
    <w:tmpl w:val="B8367F10"/>
    <w:lvl w:ilvl="0">
      <w:start w:val="1"/>
      <w:numFmt w:val="decimal"/>
      <w:lvlText w:val="%1."/>
      <w:lvlJc w:val="left"/>
      <w:pPr>
        <w:ind w:left="570" w:hanging="57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num w:numId="1">
    <w:abstractNumId w:val="18"/>
  </w:num>
  <w:num w:numId="2">
    <w:abstractNumId w:val="22"/>
  </w:num>
  <w:num w:numId="3">
    <w:abstractNumId w:val="5"/>
  </w:num>
  <w:num w:numId="4">
    <w:abstractNumId w:val="11"/>
  </w:num>
  <w:num w:numId="5">
    <w:abstractNumId w:val="6"/>
  </w:num>
  <w:num w:numId="6">
    <w:abstractNumId w:val="19"/>
  </w:num>
  <w:num w:numId="7">
    <w:abstractNumId w:val="8"/>
  </w:num>
  <w:num w:numId="8">
    <w:abstractNumId w:val="16"/>
  </w:num>
  <w:num w:numId="9">
    <w:abstractNumId w:val="23"/>
  </w:num>
  <w:num w:numId="10">
    <w:abstractNumId w:val="3"/>
  </w:num>
  <w:num w:numId="11">
    <w:abstractNumId w:val="2"/>
  </w:num>
  <w:num w:numId="12">
    <w:abstractNumId w:val="4"/>
  </w:num>
  <w:num w:numId="13">
    <w:abstractNumId w:val="9"/>
  </w:num>
  <w:num w:numId="14">
    <w:abstractNumId w:val="10"/>
  </w:num>
  <w:num w:numId="15">
    <w:abstractNumId w:val="17"/>
  </w:num>
  <w:num w:numId="16">
    <w:abstractNumId w:val="0"/>
  </w:num>
  <w:num w:numId="17">
    <w:abstractNumId w:val="21"/>
  </w:num>
  <w:num w:numId="18">
    <w:abstractNumId w:val="1"/>
  </w:num>
  <w:num w:numId="19">
    <w:abstractNumId w:val="14"/>
  </w:num>
  <w:num w:numId="20">
    <w:abstractNumId w:val="7"/>
  </w:num>
  <w:num w:numId="21">
    <w:abstractNumId w:val="20"/>
  </w:num>
  <w:num w:numId="22">
    <w:abstractNumId w:val="25"/>
  </w:num>
  <w:num w:numId="23">
    <w:abstractNumId w:val="24"/>
  </w:num>
  <w:num w:numId="24">
    <w:abstractNumId w:val="13"/>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QCza6C/VLtzkoKUwXSVljUyrZSykQRvIrqLjdsstb8r+vMmyfqP1d3kqeZvXpi0mTCNUqNDJqfTxIcUsTUL+fQ==" w:salt="XJmcmejOP988hRKYf770aQ=="/>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38"/>
    <w:rsid w:val="002A19E8"/>
    <w:rsid w:val="002C3E38"/>
    <w:rsid w:val="00312032"/>
    <w:rsid w:val="00983E8C"/>
    <w:rsid w:val="00AB1498"/>
    <w:rsid w:val="00AD77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1CB272-7FE1-4301-AA92-E55BB473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77C"/>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D777C"/>
    <w:pPr>
      <w:keepNext/>
      <w:spacing w:line="360" w:lineRule="auto"/>
      <w:jc w:val="center"/>
      <w:outlineLvl w:val="0"/>
    </w:pPr>
    <w:rPr>
      <w:rFonts w:ascii="Arial" w:hAnsi="Arial"/>
      <w:b/>
      <w:sz w:val="28"/>
      <w:lang w:val="es-ES_tradnl"/>
    </w:rPr>
  </w:style>
  <w:style w:type="paragraph" w:styleId="Ttulo5">
    <w:name w:val="heading 5"/>
    <w:basedOn w:val="Normal"/>
    <w:next w:val="Normal"/>
    <w:link w:val="Ttulo5Car"/>
    <w:semiHidden/>
    <w:unhideWhenUsed/>
    <w:qFormat/>
    <w:rsid w:val="00AD777C"/>
    <w:pPr>
      <w:spacing w:before="240" w:after="60"/>
      <w:outlineLvl w:val="4"/>
    </w:pPr>
    <w:rPr>
      <w:rFonts w:ascii="Calibri" w:hAnsi="Calibri"/>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C3E38"/>
    <w:pPr>
      <w:tabs>
        <w:tab w:val="center" w:pos="4252"/>
        <w:tab w:val="right" w:pos="8504"/>
      </w:tabs>
    </w:pPr>
    <w:rPr>
      <w:rFonts w:ascii="Courier New" w:hAnsi="Courier New"/>
      <w:sz w:val="24"/>
      <w:lang w:val="es-ES_tradnl"/>
    </w:rPr>
  </w:style>
  <w:style w:type="character" w:customStyle="1" w:styleId="PiedepginaCar">
    <w:name w:val="Pie de página Car"/>
    <w:basedOn w:val="Fuentedeprrafopredeter"/>
    <w:link w:val="Piedepgina"/>
    <w:rsid w:val="002C3E38"/>
    <w:rPr>
      <w:rFonts w:ascii="Courier New" w:eastAsia="Times New Roman" w:hAnsi="Courier New" w:cs="Times New Roman"/>
      <w:sz w:val="24"/>
      <w:szCs w:val="20"/>
      <w:lang w:val="es-ES_tradnl" w:eastAsia="es-ES"/>
    </w:rPr>
  </w:style>
  <w:style w:type="character" w:customStyle="1" w:styleId="Ttulo1Car">
    <w:name w:val="Título 1 Car"/>
    <w:basedOn w:val="Fuentedeprrafopredeter"/>
    <w:link w:val="Ttulo1"/>
    <w:rsid w:val="00AD777C"/>
    <w:rPr>
      <w:rFonts w:ascii="Arial" w:eastAsia="Times New Roman" w:hAnsi="Arial" w:cs="Times New Roman"/>
      <w:b/>
      <w:sz w:val="28"/>
      <w:szCs w:val="20"/>
      <w:lang w:val="es-ES_tradnl" w:eastAsia="es-ES"/>
    </w:rPr>
  </w:style>
  <w:style w:type="character" w:customStyle="1" w:styleId="Ttulo5Car">
    <w:name w:val="Título 5 Car"/>
    <w:basedOn w:val="Fuentedeprrafopredeter"/>
    <w:link w:val="Ttulo5"/>
    <w:semiHidden/>
    <w:rsid w:val="00AD777C"/>
    <w:rPr>
      <w:rFonts w:ascii="Calibri" w:eastAsia="Times New Roman" w:hAnsi="Calibri" w:cs="Times New Roman"/>
      <w:b/>
      <w:bCs/>
      <w:i/>
      <w:iCs/>
      <w:sz w:val="26"/>
      <w:szCs w:val="26"/>
      <w:lang w:val="x-none" w:eastAsia="x-none"/>
    </w:rPr>
  </w:style>
  <w:style w:type="paragraph" w:styleId="Encabezado">
    <w:name w:val="header"/>
    <w:basedOn w:val="Normal"/>
    <w:link w:val="EncabezadoCar"/>
    <w:rsid w:val="00AD777C"/>
    <w:pPr>
      <w:tabs>
        <w:tab w:val="center" w:pos="4252"/>
        <w:tab w:val="right" w:pos="8504"/>
      </w:tabs>
    </w:pPr>
    <w:rPr>
      <w:lang w:val="es-ES_tradnl"/>
    </w:rPr>
  </w:style>
  <w:style w:type="character" w:customStyle="1" w:styleId="EncabezadoCar">
    <w:name w:val="Encabezado Car"/>
    <w:basedOn w:val="Fuentedeprrafopredeter"/>
    <w:link w:val="Encabezado"/>
    <w:rsid w:val="00AD777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AD777C"/>
  </w:style>
  <w:style w:type="paragraph" w:styleId="Puesto">
    <w:name w:val="Title"/>
    <w:basedOn w:val="Normal"/>
    <w:link w:val="PuestoCar"/>
    <w:qFormat/>
    <w:rsid w:val="00AD777C"/>
    <w:pPr>
      <w:spacing w:line="360" w:lineRule="auto"/>
      <w:jc w:val="center"/>
    </w:pPr>
    <w:rPr>
      <w:rFonts w:ascii="Arial" w:hAnsi="Arial"/>
      <w:b/>
      <w:sz w:val="28"/>
      <w:lang w:val="es-ES_tradnl"/>
    </w:rPr>
  </w:style>
  <w:style w:type="character" w:customStyle="1" w:styleId="PuestoCar">
    <w:name w:val="Puesto Car"/>
    <w:basedOn w:val="Fuentedeprrafopredeter"/>
    <w:link w:val="Puesto"/>
    <w:rsid w:val="00AD777C"/>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AD777C"/>
    <w:pPr>
      <w:spacing w:line="360" w:lineRule="auto"/>
      <w:jc w:val="both"/>
    </w:pPr>
    <w:rPr>
      <w:rFonts w:ascii="Verdana" w:hAnsi="Verdana"/>
      <w:sz w:val="24"/>
      <w:lang w:val="es-ES_tradnl" w:eastAsia="x-none"/>
    </w:rPr>
  </w:style>
  <w:style w:type="character" w:customStyle="1" w:styleId="TextoindependienteCar">
    <w:name w:val="Texto independiente Car"/>
    <w:basedOn w:val="Fuentedeprrafopredeter"/>
    <w:link w:val="Textoindependiente"/>
    <w:rsid w:val="00AD777C"/>
    <w:rPr>
      <w:rFonts w:ascii="Verdana" w:eastAsia="Times New Roman" w:hAnsi="Verdana" w:cs="Times New Roman"/>
      <w:sz w:val="24"/>
      <w:szCs w:val="20"/>
      <w:lang w:val="es-ES_tradnl" w:eastAsia="x-none"/>
    </w:rPr>
  </w:style>
  <w:style w:type="character" w:styleId="Refdenotaalpie">
    <w:name w:val="footnote reference"/>
    <w:aliases w:val="Texto de nota al pie,Appel note de bas de page,referencia nota al pie,BVI fnr,Footnote symbol,Footnote,Ref. de nota al pie2,Nota de pie,Ref,de nota al pie,Pie de pagina,Ref. ...,Ref1,FC,4_G,Footnotes refss,Footnote number,f"/>
    <w:rsid w:val="00AD777C"/>
    <w:rPr>
      <w:vertAlign w:val="superscript"/>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FA Fu Car Car Car"/>
    <w:basedOn w:val="Normal"/>
    <w:link w:val="TextonotapieCar1"/>
    <w:rsid w:val="00AD777C"/>
    <w:rPr>
      <w:rFonts w:ascii="Arial" w:hAnsi="Arial"/>
      <w:lang w:val="es-ES_tradnl" w:eastAsia="x-none"/>
    </w:rPr>
  </w:style>
  <w:style w:type="character" w:customStyle="1" w:styleId="TextonotapieCar">
    <w:name w:val="Texto nota pie Car"/>
    <w:basedOn w:val="Fuentedeprrafopredeter"/>
    <w:uiPriority w:val="99"/>
    <w:semiHidden/>
    <w:rsid w:val="00AD777C"/>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 Car Car,Footnote Text Char Char Char Car Car"/>
    <w:link w:val="Textonotapie"/>
    <w:rsid w:val="00AD777C"/>
    <w:rPr>
      <w:rFonts w:ascii="Arial" w:eastAsia="Times New Roman" w:hAnsi="Arial" w:cs="Times New Roman"/>
      <w:sz w:val="20"/>
      <w:szCs w:val="20"/>
      <w:lang w:val="es-ES_tradnl" w:eastAsia="x-none"/>
    </w:rPr>
  </w:style>
  <w:style w:type="paragraph" w:styleId="Textosinformato">
    <w:name w:val="Plain Text"/>
    <w:basedOn w:val="Normal"/>
    <w:link w:val="TextosinformatoCar"/>
    <w:rsid w:val="00AD777C"/>
    <w:rPr>
      <w:rFonts w:ascii="Courier New" w:hAnsi="Courier New" w:cs="Courier New"/>
      <w:lang w:val="es-CO"/>
    </w:rPr>
  </w:style>
  <w:style w:type="character" w:customStyle="1" w:styleId="TextosinformatoCar">
    <w:name w:val="Texto sin formato Car"/>
    <w:basedOn w:val="Fuentedeprrafopredeter"/>
    <w:link w:val="Textosinformato"/>
    <w:rsid w:val="00AD777C"/>
    <w:rPr>
      <w:rFonts w:ascii="Courier New" w:eastAsia="Times New Roman" w:hAnsi="Courier New" w:cs="Courier New"/>
      <w:sz w:val="20"/>
      <w:szCs w:val="20"/>
      <w:lang w:eastAsia="es-ES"/>
    </w:rPr>
  </w:style>
  <w:style w:type="paragraph" w:customStyle="1" w:styleId="Profesin">
    <w:name w:val="ProfesiÛn"/>
    <w:basedOn w:val="Normal"/>
    <w:rsid w:val="00AD777C"/>
    <w:pPr>
      <w:tabs>
        <w:tab w:val="left" w:pos="1134"/>
      </w:tabs>
      <w:spacing w:line="360" w:lineRule="atLeast"/>
      <w:jc w:val="center"/>
    </w:pPr>
    <w:rPr>
      <w:rFonts w:ascii="Arial" w:hAnsi="Arial"/>
      <w:b/>
      <w:sz w:val="32"/>
      <w:lang w:val="es-CO"/>
    </w:rPr>
  </w:style>
  <w:style w:type="paragraph" w:customStyle="1" w:styleId="Estilo1">
    <w:name w:val="Estilo1"/>
    <w:basedOn w:val="Normal"/>
    <w:rsid w:val="00AD777C"/>
    <w:pPr>
      <w:numPr>
        <w:ilvl w:val="8"/>
        <w:numId w:val="3"/>
      </w:numPr>
      <w:jc w:val="both"/>
    </w:pPr>
    <w:rPr>
      <w:rFonts w:ascii="Bookman Old Style" w:hAnsi="Bookman Old Style"/>
      <w:sz w:val="24"/>
      <w:szCs w:val="24"/>
    </w:rPr>
  </w:style>
  <w:style w:type="paragraph" w:styleId="NormalWeb">
    <w:name w:val="Normal (Web)"/>
    <w:basedOn w:val="Normal"/>
    <w:uiPriority w:val="99"/>
    <w:rsid w:val="00AD777C"/>
    <w:pPr>
      <w:spacing w:before="100" w:beforeAutospacing="1" w:after="100" w:afterAutospacing="1"/>
    </w:pPr>
    <w:rPr>
      <w:sz w:val="24"/>
      <w:szCs w:val="24"/>
    </w:rPr>
  </w:style>
  <w:style w:type="paragraph" w:customStyle="1" w:styleId="Textoindependiente31">
    <w:name w:val="Texto independiente 31"/>
    <w:basedOn w:val="Normal"/>
    <w:rsid w:val="00AD777C"/>
    <w:pPr>
      <w:spacing w:line="360" w:lineRule="auto"/>
      <w:ind w:right="51"/>
      <w:jc w:val="both"/>
    </w:pPr>
    <w:rPr>
      <w:rFonts w:ascii="Arial" w:hAnsi="Arial"/>
      <w:sz w:val="28"/>
      <w:lang w:val="es-ES_tradnl" w:eastAsia="es-CO"/>
    </w:rPr>
  </w:style>
  <w:style w:type="character" w:customStyle="1" w:styleId="apple-converted-space">
    <w:name w:val="apple-converted-space"/>
    <w:rsid w:val="00AD777C"/>
  </w:style>
  <w:style w:type="paragraph" w:customStyle="1" w:styleId="PlainText11">
    <w:name w:val="Plain Text11"/>
    <w:basedOn w:val="Normal"/>
    <w:uiPriority w:val="99"/>
    <w:rsid w:val="00AD777C"/>
    <w:rPr>
      <w:rFonts w:ascii="Courier New" w:hAnsi="Courier New"/>
    </w:rPr>
  </w:style>
  <w:style w:type="character" w:styleId="Refdecomentario">
    <w:name w:val="annotation reference"/>
    <w:rsid w:val="00AD777C"/>
    <w:rPr>
      <w:sz w:val="16"/>
      <w:szCs w:val="16"/>
    </w:rPr>
  </w:style>
  <w:style w:type="paragraph" w:styleId="Textocomentario">
    <w:name w:val="annotation text"/>
    <w:basedOn w:val="Normal"/>
    <w:link w:val="TextocomentarioCar"/>
    <w:rsid w:val="00AD777C"/>
  </w:style>
  <w:style w:type="character" w:customStyle="1" w:styleId="TextocomentarioCar">
    <w:name w:val="Texto comentario Car"/>
    <w:basedOn w:val="Fuentedeprrafopredeter"/>
    <w:link w:val="Textocomentario"/>
    <w:rsid w:val="00AD77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AD777C"/>
    <w:rPr>
      <w:b/>
      <w:bCs/>
      <w:lang w:val="x-none" w:eastAsia="x-none"/>
    </w:rPr>
  </w:style>
  <w:style w:type="character" w:customStyle="1" w:styleId="AsuntodelcomentarioCar">
    <w:name w:val="Asunto del comentario Car"/>
    <w:basedOn w:val="TextocomentarioCar"/>
    <w:link w:val="Asuntodelcomentario"/>
    <w:rsid w:val="00AD777C"/>
    <w:rPr>
      <w:rFonts w:ascii="Times New Roman" w:eastAsia="Times New Roman" w:hAnsi="Times New Roman" w:cs="Times New Roman"/>
      <w:b/>
      <w:bCs/>
      <w:sz w:val="20"/>
      <w:szCs w:val="20"/>
      <w:lang w:val="x-none" w:eastAsia="x-none"/>
    </w:rPr>
  </w:style>
  <w:style w:type="paragraph" w:styleId="Textodeglobo">
    <w:name w:val="Balloon Text"/>
    <w:basedOn w:val="Normal"/>
    <w:link w:val="TextodegloboCar"/>
    <w:rsid w:val="00AD777C"/>
    <w:rPr>
      <w:rFonts w:ascii="Segoe UI" w:hAnsi="Segoe UI"/>
      <w:sz w:val="18"/>
      <w:szCs w:val="18"/>
      <w:lang w:val="x-none" w:eastAsia="x-none"/>
    </w:rPr>
  </w:style>
  <w:style w:type="character" w:customStyle="1" w:styleId="TextodegloboCar">
    <w:name w:val="Texto de globo Car"/>
    <w:basedOn w:val="Fuentedeprrafopredeter"/>
    <w:link w:val="Textodeglobo"/>
    <w:rsid w:val="00AD777C"/>
    <w:rPr>
      <w:rFonts w:ascii="Segoe UI" w:eastAsia="Times New Roman" w:hAnsi="Segoe UI" w:cs="Times New Roman"/>
      <w:sz w:val="18"/>
      <w:szCs w:val="18"/>
      <w:lang w:val="x-none" w:eastAsia="x-none"/>
    </w:rPr>
  </w:style>
  <w:style w:type="paragraph" w:styleId="Sinespaciado">
    <w:name w:val="No Spacing"/>
    <w:qFormat/>
    <w:rsid w:val="00AD777C"/>
    <w:rPr>
      <w:rFonts w:ascii="Times New Roman" w:eastAsia="Times New Roman" w:hAnsi="Times New Roman" w:cs="Times New Roman"/>
      <w:sz w:val="24"/>
      <w:szCs w:val="24"/>
      <w:lang w:val="es-ES" w:eastAsia="es-ES"/>
    </w:rPr>
  </w:style>
  <w:style w:type="character" w:styleId="Hipervnculo">
    <w:name w:val="Hyperlink"/>
    <w:uiPriority w:val="99"/>
    <w:unhideWhenUsed/>
    <w:rsid w:val="00AD777C"/>
    <w:rPr>
      <w:color w:val="0000FF"/>
      <w:u w:val="single"/>
    </w:rPr>
  </w:style>
  <w:style w:type="paragraph" w:styleId="Sangradetextonormal">
    <w:name w:val="Body Text Indent"/>
    <w:basedOn w:val="Normal"/>
    <w:link w:val="SangradetextonormalCar"/>
    <w:rsid w:val="00AD777C"/>
    <w:pPr>
      <w:spacing w:after="120"/>
      <w:ind w:left="283"/>
    </w:pPr>
  </w:style>
  <w:style w:type="character" w:customStyle="1" w:styleId="SangradetextonormalCar">
    <w:name w:val="Sangría de texto normal Car"/>
    <w:basedOn w:val="Fuentedeprrafopredeter"/>
    <w:link w:val="Sangradetextonormal"/>
    <w:rsid w:val="00AD777C"/>
    <w:rPr>
      <w:rFonts w:ascii="Times New Roman" w:eastAsia="Times New Roman" w:hAnsi="Times New Roman" w:cs="Times New Roman"/>
      <w:sz w:val="20"/>
      <w:szCs w:val="20"/>
      <w:lang w:val="es-ES" w:eastAsia="es-ES"/>
    </w:rPr>
  </w:style>
  <w:style w:type="table" w:styleId="Tablaconcuadrcula">
    <w:name w:val="Table Grid"/>
    <w:basedOn w:val="Tablanormal"/>
    <w:rsid w:val="00AD777C"/>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Delitos"/>
    <w:basedOn w:val="Normal"/>
    <w:link w:val="PrrafodelistaCar"/>
    <w:uiPriority w:val="34"/>
    <w:qFormat/>
    <w:rsid w:val="00AD777C"/>
    <w:pPr>
      <w:ind w:left="708"/>
    </w:pPr>
  </w:style>
  <w:style w:type="character" w:customStyle="1" w:styleId="spelle">
    <w:name w:val="spelle"/>
    <w:rsid w:val="00AD777C"/>
  </w:style>
  <w:style w:type="paragraph" w:customStyle="1" w:styleId="msonospacing0">
    <w:name w:val="msonospacing0"/>
    <w:basedOn w:val="Normal"/>
    <w:rsid w:val="00AD777C"/>
    <w:pPr>
      <w:spacing w:before="100" w:beforeAutospacing="1" w:after="100" w:afterAutospacing="1"/>
    </w:pPr>
    <w:rPr>
      <w:sz w:val="24"/>
      <w:szCs w:val="24"/>
    </w:rPr>
  </w:style>
  <w:style w:type="paragraph" w:customStyle="1" w:styleId="Prrafodelista1">
    <w:name w:val="Párrafo de lista1"/>
    <w:basedOn w:val="Normal"/>
    <w:rsid w:val="00AD777C"/>
    <w:pPr>
      <w:spacing w:after="200" w:line="276" w:lineRule="auto"/>
      <w:ind w:left="720"/>
    </w:pPr>
    <w:rPr>
      <w:rFonts w:ascii="Calibri" w:hAnsi="Calibri"/>
      <w:sz w:val="22"/>
      <w:szCs w:val="22"/>
      <w:lang w:val="es-CO" w:eastAsia="en-US"/>
    </w:rPr>
  </w:style>
  <w:style w:type="character" w:styleId="Textoennegrita">
    <w:name w:val="Strong"/>
    <w:uiPriority w:val="22"/>
    <w:qFormat/>
    <w:rsid w:val="00AD777C"/>
    <w:rPr>
      <w:b/>
      <w:bCs/>
    </w:rPr>
  </w:style>
  <w:style w:type="character" w:customStyle="1" w:styleId="PrrafodelistaCar">
    <w:name w:val="Párrafo de lista Car"/>
    <w:aliases w:val="Delitos Car"/>
    <w:link w:val="Prrafodelista"/>
    <w:uiPriority w:val="34"/>
    <w:rsid w:val="00AD777C"/>
    <w:rPr>
      <w:rFonts w:ascii="Times New Roman" w:eastAsia="Times New Roman" w:hAnsi="Times New Roman" w:cs="Times New Roman"/>
      <w:sz w:val="20"/>
      <w:szCs w:val="20"/>
      <w:lang w:val="es-ES" w:eastAsia="es-ES"/>
    </w:rPr>
  </w:style>
  <w:style w:type="paragraph" w:customStyle="1" w:styleId="Prrafodelista10">
    <w:name w:val="Párrafo de lista1"/>
    <w:basedOn w:val="Normal"/>
    <w:rsid w:val="00AD777C"/>
    <w:pPr>
      <w:spacing w:after="200" w:line="276" w:lineRule="auto"/>
      <w:ind w:left="720"/>
    </w:pPr>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169</Pages>
  <Words>29215</Words>
  <Characters>160687</Characters>
  <Application>Microsoft Office Word</Application>
  <DocSecurity>8</DocSecurity>
  <Lines>1339</Lines>
  <Paragraphs>379</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189523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Orlando Bohorquez Rincon</dc:creator>
  <cp:keywords/>
  <dc:description/>
  <cp:lastModifiedBy>Martha Jacqueline Moyano Vera</cp:lastModifiedBy>
  <cp:revision>2</cp:revision>
  <dcterms:created xsi:type="dcterms:W3CDTF">2015-06-26T20:54:00Z</dcterms:created>
  <dcterms:modified xsi:type="dcterms:W3CDTF">2015-06-26T20:54:00Z</dcterms:modified>
</cp:coreProperties>
</file>