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D8D" w:rsidRPr="003C56DB" w:rsidRDefault="00597D8D" w:rsidP="00597D8D">
      <w:pPr>
        <w:spacing w:after="0" w:line="360" w:lineRule="auto"/>
        <w:jc w:val="center"/>
        <w:rPr>
          <w:rFonts w:ascii="Arial" w:eastAsia="Times New Roman" w:hAnsi="Arial" w:cs="Arial"/>
          <w:b/>
          <w:color w:val="000000"/>
          <w:sz w:val="24"/>
          <w:szCs w:val="24"/>
          <w:lang w:eastAsia="es-ES"/>
        </w:rPr>
      </w:pPr>
      <w:bookmarkStart w:id="0" w:name="_GoBack"/>
      <w:bookmarkEnd w:id="0"/>
      <w:r w:rsidRPr="003C56DB">
        <w:rPr>
          <w:rFonts w:ascii="Arial" w:eastAsia="Times New Roman" w:hAnsi="Arial" w:cs="Arial"/>
          <w:b/>
          <w:color w:val="000000"/>
          <w:sz w:val="24"/>
          <w:szCs w:val="24"/>
          <w:lang w:eastAsia="es-ES"/>
        </w:rPr>
        <w:t>REPÚBLICA DE COLOMBIA</w:t>
      </w:r>
    </w:p>
    <w:p w:rsidR="00597D8D" w:rsidRPr="003C56DB" w:rsidRDefault="00597D8D" w:rsidP="00597D8D">
      <w:pPr>
        <w:tabs>
          <w:tab w:val="center" w:pos="4765"/>
        </w:tabs>
        <w:suppressAutoHyphens/>
        <w:spacing w:after="0" w:line="360" w:lineRule="auto"/>
        <w:jc w:val="center"/>
        <w:rPr>
          <w:rFonts w:ascii="Arial" w:eastAsia="Times New Roman" w:hAnsi="Arial" w:cs="Arial"/>
          <w:b/>
          <w:color w:val="000000"/>
          <w:sz w:val="24"/>
          <w:szCs w:val="24"/>
          <w:lang w:eastAsia="es-ES"/>
        </w:rPr>
      </w:pPr>
      <w:r w:rsidRPr="003C56DB">
        <w:rPr>
          <w:rFonts w:ascii="Arial" w:eastAsia="Times New Roman" w:hAnsi="Arial" w:cs="Arial"/>
          <w:b/>
          <w:color w:val="000000"/>
          <w:sz w:val="24"/>
          <w:szCs w:val="24"/>
          <w:lang w:eastAsia="es-ES"/>
        </w:rPr>
        <w:t>RAMA JUDICIAL</w:t>
      </w:r>
    </w:p>
    <w:p w:rsidR="00597D8D" w:rsidRPr="003C56DB" w:rsidRDefault="00597D8D" w:rsidP="00597D8D">
      <w:pPr>
        <w:spacing w:after="0" w:line="360" w:lineRule="auto"/>
        <w:jc w:val="center"/>
        <w:rPr>
          <w:rFonts w:ascii="Arial" w:eastAsia="Times New Roman" w:hAnsi="Arial" w:cs="Arial"/>
          <w:noProof/>
          <w:color w:val="000000"/>
          <w:sz w:val="24"/>
          <w:szCs w:val="24"/>
          <w:lang w:val="es-ES" w:eastAsia="es-ES"/>
        </w:rPr>
      </w:pPr>
      <w:r w:rsidRPr="003C56DB">
        <w:rPr>
          <w:rFonts w:ascii="Arial" w:eastAsia="Times New Roman" w:hAnsi="Arial" w:cs="Arial"/>
          <w:noProof/>
          <w:color w:val="000000"/>
          <w:sz w:val="24"/>
          <w:szCs w:val="24"/>
          <w:lang w:val="es-ES" w:eastAsia="es-ES"/>
        </w:rPr>
        <w:drawing>
          <wp:inline distT="0" distB="0" distL="0" distR="0" wp14:anchorId="25EF2209" wp14:editId="61F97248">
            <wp:extent cx="629285" cy="745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745490"/>
                    </a:xfrm>
                    <a:prstGeom prst="rect">
                      <a:avLst/>
                    </a:prstGeom>
                    <a:noFill/>
                    <a:ln>
                      <a:noFill/>
                    </a:ln>
                  </pic:spPr>
                </pic:pic>
              </a:graphicData>
            </a:graphic>
          </wp:inline>
        </w:drawing>
      </w:r>
    </w:p>
    <w:p w:rsidR="00597D8D" w:rsidRPr="003C56DB" w:rsidRDefault="00597D8D" w:rsidP="00597D8D">
      <w:pPr>
        <w:tabs>
          <w:tab w:val="left" w:pos="-720"/>
        </w:tabs>
        <w:suppressAutoHyphens/>
        <w:spacing w:after="0" w:line="360" w:lineRule="auto"/>
        <w:jc w:val="center"/>
        <w:rPr>
          <w:rFonts w:ascii="Arial" w:eastAsia="Times New Roman" w:hAnsi="Arial" w:cs="Arial"/>
          <w:b/>
          <w:color w:val="000000"/>
          <w:sz w:val="24"/>
          <w:szCs w:val="24"/>
          <w:lang w:eastAsia="es-ES"/>
        </w:rPr>
      </w:pPr>
      <w:r w:rsidRPr="003C56DB">
        <w:rPr>
          <w:rFonts w:ascii="Arial" w:eastAsia="Times New Roman" w:hAnsi="Arial" w:cs="Arial"/>
          <w:b/>
          <w:color w:val="000000"/>
          <w:sz w:val="24"/>
          <w:szCs w:val="24"/>
          <w:lang w:eastAsia="es-ES"/>
        </w:rPr>
        <w:t>CONSEJO SUPERIOR DE LA JUDICATURA</w:t>
      </w:r>
    </w:p>
    <w:p w:rsidR="00597D8D" w:rsidRPr="003C56DB" w:rsidRDefault="00597D8D" w:rsidP="00597D8D">
      <w:pPr>
        <w:spacing w:after="0" w:line="360" w:lineRule="auto"/>
        <w:jc w:val="center"/>
        <w:rPr>
          <w:rFonts w:ascii="Arial" w:eastAsia="Times New Roman" w:hAnsi="Arial" w:cs="Arial"/>
          <w:b/>
          <w:color w:val="000000"/>
          <w:sz w:val="24"/>
          <w:szCs w:val="24"/>
          <w:lang w:eastAsia="es-ES"/>
        </w:rPr>
      </w:pPr>
      <w:r w:rsidRPr="003C56DB">
        <w:rPr>
          <w:rFonts w:ascii="Arial" w:eastAsia="Times New Roman" w:hAnsi="Arial" w:cs="Arial"/>
          <w:b/>
          <w:color w:val="000000"/>
          <w:sz w:val="24"/>
          <w:szCs w:val="24"/>
          <w:lang w:eastAsia="es-ES"/>
        </w:rPr>
        <w:t>SALA JURISDICCIONAL DISCIPLINARIA</w:t>
      </w:r>
    </w:p>
    <w:p w:rsidR="00597D8D" w:rsidRPr="003C56DB" w:rsidRDefault="00597D8D" w:rsidP="00597D8D">
      <w:pPr>
        <w:spacing w:after="0" w:line="360" w:lineRule="auto"/>
        <w:jc w:val="center"/>
        <w:rPr>
          <w:rFonts w:ascii="Arial" w:eastAsia="Times New Roman" w:hAnsi="Arial" w:cs="Arial"/>
          <w:b/>
          <w:color w:val="000000"/>
          <w:sz w:val="24"/>
          <w:szCs w:val="24"/>
          <w:lang w:eastAsia="es-ES"/>
        </w:rPr>
      </w:pPr>
    </w:p>
    <w:p w:rsidR="00597D8D" w:rsidRPr="003C56DB" w:rsidRDefault="00597D8D" w:rsidP="00597D8D">
      <w:pPr>
        <w:tabs>
          <w:tab w:val="center" w:pos="4166"/>
          <w:tab w:val="left" w:pos="6930"/>
        </w:tabs>
        <w:suppressAutoHyphens/>
        <w:spacing w:after="0" w:line="360" w:lineRule="auto"/>
        <w:jc w:val="both"/>
        <w:outlineLvl w:val="0"/>
        <w:rPr>
          <w:rFonts w:ascii="Arial" w:eastAsia="Times New Roman" w:hAnsi="Arial" w:cs="Arial"/>
          <w:b/>
          <w:iCs/>
          <w:color w:val="000000"/>
          <w:spacing w:val="-3"/>
          <w:sz w:val="24"/>
          <w:szCs w:val="24"/>
          <w:lang w:eastAsia="es-ES"/>
        </w:rPr>
      </w:pPr>
    </w:p>
    <w:p w:rsidR="00597D8D" w:rsidRPr="00E879DF" w:rsidRDefault="00597D8D" w:rsidP="00597D8D">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E879DF">
        <w:rPr>
          <w:rFonts w:ascii="Arial" w:eastAsia="Times New Roman" w:hAnsi="Arial" w:cs="Arial"/>
          <w:b/>
          <w:bCs/>
          <w:iCs/>
          <w:color w:val="000000"/>
          <w:spacing w:val="-3"/>
          <w:lang w:eastAsia="es-ES"/>
        </w:rPr>
        <w:t xml:space="preserve">Bogotá D. C., </w:t>
      </w:r>
      <w:r w:rsidRPr="00E879DF">
        <w:rPr>
          <w:rFonts w:ascii="Arial" w:hAnsi="Arial" w:cs="Arial"/>
          <w:b/>
          <w:bCs/>
        </w:rPr>
        <w:t>diez 10 de septiembre de 2014</w:t>
      </w:r>
    </w:p>
    <w:p w:rsidR="00597D8D" w:rsidRPr="00E879DF" w:rsidRDefault="00597D8D" w:rsidP="00597D8D">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E879DF">
        <w:rPr>
          <w:rFonts w:ascii="Arial" w:eastAsia="Times New Roman" w:hAnsi="Arial" w:cs="Arial"/>
          <w:b/>
          <w:bCs/>
          <w:iCs/>
          <w:color w:val="000000"/>
          <w:spacing w:val="-3"/>
          <w:lang w:eastAsia="es-ES"/>
        </w:rPr>
        <w:t>Magistrado Ponente: Dr. NÉSTOR IVÁN JAVIER OSUNA PATIÑO</w:t>
      </w:r>
    </w:p>
    <w:p w:rsidR="00597D8D" w:rsidRPr="00E879DF" w:rsidRDefault="00597D8D" w:rsidP="00597D8D">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E879DF">
        <w:rPr>
          <w:rFonts w:ascii="Arial" w:eastAsia="Times New Roman" w:hAnsi="Arial" w:cs="Arial"/>
          <w:b/>
          <w:bCs/>
          <w:iCs/>
          <w:color w:val="000000"/>
          <w:spacing w:val="-3"/>
          <w:lang w:eastAsia="es-ES"/>
        </w:rPr>
        <w:t>Radicado: 110010102000201402168 00</w:t>
      </w:r>
    </w:p>
    <w:p w:rsidR="00597D8D" w:rsidRPr="00E879DF" w:rsidRDefault="00597D8D" w:rsidP="00597D8D">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E879DF">
        <w:rPr>
          <w:rFonts w:ascii="Arial" w:eastAsia="Times New Roman" w:hAnsi="Arial" w:cs="Arial"/>
          <w:b/>
          <w:bCs/>
          <w:iCs/>
          <w:color w:val="000000"/>
          <w:spacing w:val="-3"/>
          <w:lang w:eastAsia="es-ES"/>
        </w:rPr>
        <w:t xml:space="preserve">Registro proyecto: </w:t>
      </w:r>
      <w:r w:rsidRPr="00E879DF">
        <w:rPr>
          <w:rFonts w:ascii="Arial" w:hAnsi="Arial" w:cs="Arial"/>
          <w:b/>
          <w:bCs/>
        </w:rPr>
        <w:t>8 de septiembre de 2014</w:t>
      </w:r>
    </w:p>
    <w:p w:rsidR="00597D8D" w:rsidRPr="00E879DF" w:rsidRDefault="00597D8D" w:rsidP="00597D8D">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val="es-ES_tradnl" w:eastAsia="es-ES"/>
        </w:rPr>
      </w:pPr>
      <w:r w:rsidRPr="00E879DF">
        <w:rPr>
          <w:rFonts w:ascii="Arial" w:eastAsia="Times New Roman" w:hAnsi="Arial" w:cs="Arial"/>
          <w:b/>
          <w:bCs/>
          <w:iCs/>
          <w:color w:val="000000"/>
          <w:spacing w:val="-3"/>
          <w:lang w:eastAsia="es-ES"/>
        </w:rPr>
        <w:t>Aprobado según Acta No. 73 de 10 de septiembre de 2014</w:t>
      </w:r>
    </w:p>
    <w:p w:rsidR="00597D8D" w:rsidRPr="003C56DB" w:rsidRDefault="00597D8D" w:rsidP="00597D8D">
      <w:pPr>
        <w:spacing w:after="0" w:line="360" w:lineRule="auto"/>
        <w:jc w:val="both"/>
        <w:rPr>
          <w:rFonts w:ascii="Arial" w:eastAsia="Times New Roman" w:hAnsi="Arial" w:cs="Arial"/>
          <w:color w:val="000000"/>
          <w:sz w:val="24"/>
          <w:szCs w:val="24"/>
          <w:lang w:eastAsia="es-CO"/>
        </w:rPr>
      </w:pPr>
    </w:p>
    <w:tbl>
      <w:tblPr>
        <w:tblpPr w:leftFromText="141" w:rightFromText="141" w:vertAnchor="text" w:horzAnchor="margin" w:tblpXSpec="right" w:tblpY="36"/>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404"/>
      </w:tblGrid>
      <w:tr w:rsidR="00597D8D" w:rsidRPr="00E879DF" w:rsidTr="001B57A1">
        <w:trPr>
          <w:trHeight w:val="379"/>
        </w:trPr>
        <w:tc>
          <w:tcPr>
            <w:tcW w:w="1982" w:type="dxa"/>
            <w:vAlign w:val="center"/>
          </w:tcPr>
          <w:p w:rsidR="00597D8D" w:rsidRPr="00E879DF" w:rsidRDefault="00597D8D" w:rsidP="001B57A1">
            <w:pPr>
              <w:tabs>
                <w:tab w:val="left" w:pos="0"/>
              </w:tabs>
              <w:spacing w:after="0" w:line="240" w:lineRule="auto"/>
              <w:ind w:right="-91"/>
              <w:jc w:val="both"/>
              <w:rPr>
                <w:rFonts w:ascii="Arial" w:eastAsia="Times New Roman" w:hAnsi="Arial" w:cs="Arial"/>
                <w:b/>
                <w:color w:val="000000"/>
                <w:sz w:val="20"/>
                <w:szCs w:val="20"/>
                <w:lang w:val="es-ES" w:eastAsia="es-ES"/>
              </w:rPr>
            </w:pPr>
            <w:r w:rsidRPr="00E879DF">
              <w:rPr>
                <w:rFonts w:ascii="Arial" w:eastAsia="Times New Roman" w:hAnsi="Arial" w:cs="Arial"/>
                <w:b/>
                <w:color w:val="000000"/>
                <w:sz w:val="20"/>
                <w:szCs w:val="20"/>
                <w:lang w:val="es-ES" w:eastAsia="es-ES"/>
              </w:rPr>
              <w:t>REFERENCIA:</w:t>
            </w:r>
          </w:p>
        </w:tc>
        <w:tc>
          <w:tcPr>
            <w:tcW w:w="3404" w:type="dxa"/>
            <w:vAlign w:val="center"/>
          </w:tcPr>
          <w:p w:rsidR="00597D8D" w:rsidRPr="00E879DF" w:rsidRDefault="00597D8D" w:rsidP="001B57A1">
            <w:pPr>
              <w:tabs>
                <w:tab w:val="left" w:pos="0"/>
              </w:tabs>
              <w:spacing w:after="0" w:line="240" w:lineRule="auto"/>
              <w:ind w:right="67"/>
              <w:jc w:val="both"/>
              <w:rPr>
                <w:rFonts w:ascii="Arial" w:eastAsia="Times New Roman" w:hAnsi="Arial" w:cs="Arial"/>
                <w:color w:val="000000"/>
                <w:sz w:val="20"/>
                <w:szCs w:val="20"/>
                <w:lang w:val="es-ES" w:eastAsia="es-ES"/>
              </w:rPr>
            </w:pPr>
            <w:r w:rsidRPr="00E879DF">
              <w:rPr>
                <w:rFonts w:ascii="Arial" w:eastAsia="Times New Roman" w:hAnsi="Arial" w:cs="Arial"/>
                <w:color w:val="000000"/>
                <w:sz w:val="20"/>
                <w:szCs w:val="20"/>
                <w:lang w:val="es-ES" w:eastAsia="es-ES"/>
              </w:rPr>
              <w:t>Conflicto entre jurisdicción penal ordinaria e indígena</w:t>
            </w:r>
          </w:p>
        </w:tc>
      </w:tr>
      <w:tr w:rsidR="00597D8D" w:rsidRPr="00E879DF" w:rsidTr="001B57A1">
        <w:trPr>
          <w:trHeight w:val="418"/>
        </w:trPr>
        <w:tc>
          <w:tcPr>
            <w:tcW w:w="1982" w:type="dxa"/>
            <w:vAlign w:val="center"/>
          </w:tcPr>
          <w:p w:rsidR="00597D8D" w:rsidRPr="00E879DF" w:rsidRDefault="00597D8D" w:rsidP="001B57A1">
            <w:pPr>
              <w:tabs>
                <w:tab w:val="left" w:pos="0"/>
              </w:tabs>
              <w:spacing w:after="0" w:line="240" w:lineRule="auto"/>
              <w:ind w:right="-91"/>
              <w:jc w:val="both"/>
              <w:rPr>
                <w:rFonts w:ascii="Arial" w:eastAsia="Times New Roman" w:hAnsi="Arial" w:cs="Arial"/>
                <w:b/>
                <w:color w:val="000000"/>
                <w:sz w:val="20"/>
                <w:szCs w:val="20"/>
                <w:lang w:val="es-ES" w:eastAsia="es-ES"/>
              </w:rPr>
            </w:pPr>
            <w:r w:rsidRPr="00E879DF">
              <w:rPr>
                <w:rFonts w:ascii="Arial" w:eastAsia="Times New Roman" w:hAnsi="Arial" w:cs="Arial"/>
                <w:b/>
                <w:color w:val="000000"/>
                <w:sz w:val="20"/>
                <w:szCs w:val="20"/>
                <w:lang w:val="es-ES" w:eastAsia="es-ES"/>
              </w:rPr>
              <w:t>INCULPADO:</w:t>
            </w:r>
          </w:p>
        </w:tc>
        <w:tc>
          <w:tcPr>
            <w:tcW w:w="3404" w:type="dxa"/>
            <w:vAlign w:val="center"/>
          </w:tcPr>
          <w:p w:rsidR="00597D8D" w:rsidRPr="00E879DF" w:rsidRDefault="00597D8D" w:rsidP="001B57A1">
            <w:pPr>
              <w:tabs>
                <w:tab w:val="left" w:pos="0"/>
              </w:tabs>
              <w:spacing w:after="0" w:line="240" w:lineRule="auto"/>
              <w:ind w:right="67"/>
              <w:jc w:val="both"/>
              <w:rPr>
                <w:rFonts w:ascii="Arial" w:eastAsia="Times New Roman" w:hAnsi="Arial" w:cs="Arial"/>
                <w:color w:val="000000"/>
                <w:sz w:val="20"/>
                <w:szCs w:val="20"/>
                <w:lang w:val="es-ES" w:eastAsia="es-ES"/>
              </w:rPr>
            </w:pPr>
            <w:r w:rsidRPr="00E879DF">
              <w:rPr>
                <w:rFonts w:ascii="Arial" w:eastAsia="Times New Roman" w:hAnsi="Arial" w:cs="Arial"/>
                <w:sz w:val="20"/>
                <w:szCs w:val="20"/>
                <w:lang w:val="es-ES_tradnl" w:eastAsia="es-ES"/>
              </w:rPr>
              <w:t>Juan de Jesús Vargas García</w:t>
            </w:r>
          </w:p>
        </w:tc>
      </w:tr>
      <w:tr w:rsidR="00597D8D" w:rsidRPr="00E879DF" w:rsidTr="001B57A1">
        <w:trPr>
          <w:trHeight w:val="282"/>
        </w:trPr>
        <w:tc>
          <w:tcPr>
            <w:tcW w:w="1982" w:type="dxa"/>
            <w:vAlign w:val="center"/>
          </w:tcPr>
          <w:p w:rsidR="00597D8D" w:rsidRPr="00E879DF" w:rsidRDefault="00597D8D" w:rsidP="001B57A1">
            <w:pPr>
              <w:tabs>
                <w:tab w:val="left" w:pos="0"/>
              </w:tabs>
              <w:spacing w:after="0" w:line="240" w:lineRule="auto"/>
              <w:ind w:right="-91"/>
              <w:jc w:val="both"/>
              <w:rPr>
                <w:rFonts w:ascii="Arial" w:eastAsia="Times New Roman" w:hAnsi="Arial" w:cs="Arial"/>
                <w:b/>
                <w:color w:val="000000"/>
                <w:sz w:val="20"/>
                <w:szCs w:val="20"/>
                <w:lang w:val="es-ES" w:eastAsia="es-ES"/>
              </w:rPr>
            </w:pPr>
            <w:r w:rsidRPr="00E879DF">
              <w:rPr>
                <w:rFonts w:ascii="Arial" w:eastAsia="Times New Roman" w:hAnsi="Arial" w:cs="Arial"/>
                <w:b/>
                <w:color w:val="000000"/>
                <w:sz w:val="20"/>
                <w:szCs w:val="20"/>
                <w:lang w:val="es-ES" w:eastAsia="es-ES"/>
              </w:rPr>
              <w:t>DELITO:</w:t>
            </w:r>
          </w:p>
        </w:tc>
        <w:tc>
          <w:tcPr>
            <w:tcW w:w="3404" w:type="dxa"/>
            <w:vAlign w:val="center"/>
          </w:tcPr>
          <w:p w:rsidR="00597D8D" w:rsidRPr="00E879DF" w:rsidRDefault="00597D8D" w:rsidP="001B57A1">
            <w:pPr>
              <w:tabs>
                <w:tab w:val="left" w:pos="0"/>
              </w:tabs>
              <w:spacing w:after="0" w:line="240" w:lineRule="auto"/>
              <w:ind w:right="67"/>
              <w:jc w:val="both"/>
              <w:rPr>
                <w:rFonts w:ascii="Arial" w:eastAsia="Times New Roman" w:hAnsi="Arial" w:cs="Arial"/>
                <w:color w:val="000000"/>
                <w:sz w:val="20"/>
                <w:szCs w:val="20"/>
                <w:lang w:val="es-ES" w:eastAsia="es-ES"/>
              </w:rPr>
            </w:pPr>
            <w:r w:rsidRPr="00E879DF">
              <w:rPr>
                <w:rFonts w:ascii="Arial" w:eastAsia="Times New Roman" w:hAnsi="Arial" w:cs="Arial"/>
                <w:color w:val="000000"/>
                <w:sz w:val="20"/>
                <w:szCs w:val="20"/>
                <w:lang w:val="es-ES" w:eastAsia="es-ES"/>
              </w:rPr>
              <w:t>Acceso carnal abusivo con menor de 14 años</w:t>
            </w:r>
          </w:p>
        </w:tc>
      </w:tr>
      <w:tr w:rsidR="00597D8D" w:rsidRPr="00E879DF" w:rsidTr="001B57A1">
        <w:trPr>
          <w:trHeight w:val="380"/>
        </w:trPr>
        <w:tc>
          <w:tcPr>
            <w:tcW w:w="1982" w:type="dxa"/>
            <w:vAlign w:val="center"/>
          </w:tcPr>
          <w:p w:rsidR="00597D8D" w:rsidRPr="00E879DF" w:rsidRDefault="00597D8D" w:rsidP="001B57A1">
            <w:pPr>
              <w:tabs>
                <w:tab w:val="left" w:pos="0"/>
              </w:tabs>
              <w:spacing w:after="0" w:line="240" w:lineRule="auto"/>
              <w:ind w:right="-91"/>
              <w:jc w:val="both"/>
              <w:rPr>
                <w:rFonts w:ascii="Arial" w:eastAsia="Times New Roman" w:hAnsi="Arial" w:cs="Arial"/>
                <w:b/>
                <w:color w:val="000000"/>
                <w:sz w:val="20"/>
                <w:szCs w:val="20"/>
                <w:lang w:val="es-ES" w:eastAsia="es-ES"/>
              </w:rPr>
            </w:pPr>
            <w:r w:rsidRPr="00E879DF">
              <w:rPr>
                <w:rFonts w:ascii="Arial" w:eastAsia="Times New Roman" w:hAnsi="Arial" w:cs="Arial"/>
                <w:b/>
                <w:color w:val="000000"/>
                <w:sz w:val="20"/>
                <w:szCs w:val="20"/>
                <w:lang w:val="es-ES" w:eastAsia="es-ES"/>
              </w:rPr>
              <w:t>DECISIÓN:</w:t>
            </w:r>
          </w:p>
        </w:tc>
        <w:tc>
          <w:tcPr>
            <w:tcW w:w="3404" w:type="dxa"/>
            <w:vAlign w:val="center"/>
          </w:tcPr>
          <w:p w:rsidR="00597D8D" w:rsidRPr="00E879DF" w:rsidRDefault="00597D8D" w:rsidP="001B57A1">
            <w:pPr>
              <w:tabs>
                <w:tab w:val="left" w:pos="0"/>
              </w:tabs>
              <w:spacing w:after="0" w:line="240" w:lineRule="auto"/>
              <w:ind w:right="67"/>
              <w:jc w:val="both"/>
              <w:rPr>
                <w:rFonts w:ascii="Arial" w:eastAsia="Times New Roman" w:hAnsi="Arial" w:cs="Arial"/>
                <w:color w:val="000000"/>
                <w:sz w:val="20"/>
                <w:szCs w:val="20"/>
                <w:lang w:val="es-ES" w:eastAsia="es-ES"/>
              </w:rPr>
            </w:pPr>
            <w:r w:rsidRPr="00E879DF">
              <w:rPr>
                <w:rFonts w:ascii="Arial" w:eastAsia="Times New Roman" w:hAnsi="Arial" w:cs="Arial"/>
                <w:color w:val="000000"/>
                <w:sz w:val="20"/>
                <w:szCs w:val="20"/>
                <w:lang w:val="es-ES" w:eastAsia="es-ES"/>
              </w:rPr>
              <w:t>Asigna a la jurisdicción penal ordinaria</w:t>
            </w:r>
          </w:p>
        </w:tc>
      </w:tr>
    </w:tbl>
    <w:p w:rsidR="00597D8D" w:rsidRPr="003C56DB" w:rsidRDefault="00597D8D" w:rsidP="00597D8D">
      <w:pPr>
        <w:spacing w:after="0" w:line="360" w:lineRule="auto"/>
        <w:jc w:val="both"/>
        <w:rPr>
          <w:rFonts w:ascii="Arial" w:eastAsia="Times New Roman" w:hAnsi="Arial" w:cs="Arial"/>
          <w:color w:val="000000"/>
          <w:sz w:val="24"/>
          <w:szCs w:val="24"/>
          <w:lang w:eastAsia="es-CO"/>
        </w:rPr>
      </w:pPr>
    </w:p>
    <w:p w:rsidR="00597D8D" w:rsidRPr="003C56DB" w:rsidRDefault="00597D8D" w:rsidP="00597D8D">
      <w:pPr>
        <w:spacing w:after="0" w:line="360" w:lineRule="auto"/>
        <w:jc w:val="both"/>
        <w:rPr>
          <w:rFonts w:ascii="Arial" w:eastAsia="Times New Roman" w:hAnsi="Arial" w:cs="Arial"/>
          <w:color w:val="000000"/>
          <w:sz w:val="24"/>
          <w:szCs w:val="24"/>
          <w:lang w:eastAsia="es-CO"/>
        </w:rPr>
      </w:pPr>
    </w:p>
    <w:p w:rsidR="00597D8D" w:rsidRPr="003C56DB" w:rsidRDefault="00597D8D" w:rsidP="00597D8D">
      <w:pPr>
        <w:spacing w:after="0" w:line="360" w:lineRule="auto"/>
        <w:jc w:val="both"/>
        <w:rPr>
          <w:rFonts w:ascii="Arial" w:eastAsia="Times New Roman" w:hAnsi="Arial" w:cs="Arial"/>
          <w:color w:val="000000"/>
          <w:sz w:val="24"/>
          <w:szCs w:val="24"/>
          <w:lang w:eastAsia="es-CO"/>
        </w:rPr>
      </w:pPr>
    </w:p>
    <w:p w:rsidR="00597D8D" w:rsidRDefault="00597D8D" w:rsidP="00597D8D">
      <w:pPr>
        <w:keepNext/>
        <w:keepLines/>
        <w:autoSpaceDE w:val="0"/>
        <w:autoSpaceDN w:val="0"/>
        <w:adjustRightInd w:val="0"/>
        <w:spacing w:before="360" w:after="360" w:line="360" w:lineRule="auto"/>
        <w:outlineLvl w:val="0"/>
        <w:rPr>
          <w:rFonts w:ascii="Arial" w:eastAsia="Times New Roman" w:hAnsi="Arial" w:cs="Arial"/>
          <w:b/>
          <w:bCs/>
          <w:sz w:val="24"/>
          <w:szCs w:val="24"/>
          <w:lang w:val="es-ES_tradnl" w:eastAsia="es-CO"/>
        </w:rPr>
      </w:pPr>
    </w:p>
    <w:p w:rsidR="00597D8D" w:rsidRPr="003C56DB" w:rsidRDefault="00597D8D" w:rsidP="00597D8D">
      <w:pPr>
        <w:keepNext/>
        <w:keepLines/>
        <w:numPr>
          <w:ilvl w:val="0"/>
          <w:numId w:val="1"/>
        </w:numPr>
        <w:autoSpaceDE w:val="0"/>
        <w:autoSpaceDN w:val="0"/>
        <w:adjustRightInd w:val="0"/>
        <w:spacing w:before="360" w:after="360" w:line="360" w:lineRule="auto"/>
        <w:jc w:val="center"/>
        <w:outlineLvl w:val="0"/>
        <w:rPr>
          <w:rFonts w:ascii="Arial" w:eastAsia="Times New Roman" w:hAnsi="Arial" w:cs="Arial"/>
          <w:b/>
          <w:bCs/>
          <w:sz w:val="24"/>
          <w:szCs w:val="24"/>
          <w:lang w:val="es-ES_tradnl" w:eastAsia="es-CO"/>
        </w:rPr>
      </w:pPr>
      <w:r w:rsidRPr="003C56DB">
        <w:rPr>
          <w:rFonts w:ascii="Arial" w:eastAsia="Times New Roman" w:hAnsi="Arial" w:cs="Arial"/>
          <w:b/>
          <w:bCs/>
          <w:sz w:val="24"/>
          <w:szCs w:val="24"/>
          <w:lang w:val="es-ES_tradnl" w:eastAsia="es-CO"/>
        </w:rPr>
        <w:t>ASUNTO</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 xml:space="preserve">Procede la Sala a dirimir el conflicto positivo de jurisdicciones suscitado entre la justicia penal ordinaria, representada por el Juzgado Segundo Penal del Circuito de Florencia (Caquetá); y las autoridades del cabildo indígena </w:t>
      </w:r>
      <w:r>
        <w:rPr>
          <w:rFonts w:ascii="Arial" w:eastAsia="Times New Roman" w:hAnsi="Arial" w:cs="Arial"/>
          <w:sz w:val="24"/>
          <w:szCs w:val="24"/>
          <w:lang w:val="es-ES_tradnl" w:eastAsia="es-ES"/>
        </w:rPr>
        <w:t>“</w:t>
      </w:r>
      <w:r w:rsidRPr="00CF5266">
        <w:rPr>
          <w:rFonts w:ascii="Arial" w:eastAsia="Times New Roman" w:hAnsi="Arial" w:cs="Arial"/>
          <w:i/>
          <w:sz w:val="24"/>
          <w:szCs w:val="24"/>
          <w:lang w:val="es-ES_tradnl" w:eastAsia="es-ES"/>
        </w:rPr>
        <w:t>Nasa Urbano</w:t>
      </w:r>
      <w:r>
        <w:rPr>
          <w:rFonts w:ascii="Arial" w:eastAsia="Times New Roman" w:hAnsi="Arial" w:cs="Arial"/>
          <w:sz w:val="24"/>
          <w:szCs w:val="24"/>
          <w:lang w:val="es-ES_tradnl" w:eastAsia="es-ES"/>
        </w:rPr>
        <w:t>”</w:t>
      </w:r>
      <w:r w:rsidRPr="003C56DB">
        <w:rPr>
          <w:rFonts w:ascii="Arial" w:eastAsia="Times New Roman" w:hAnsi="Arial" w:cs="Arial"/>
          <w:sz w:val="24"/>
          <w:szCs w:val="24"/>
          <w:lang w:val="es-ES_tradnl" w:eastAsia="es-ES"/>
        </w:rPr>
        <w:t xml:space="preserve"> “</w:t>
      </w:r>
      <w:r w:rsidRPr="003C56DB">
        <w:rPr>
          <w:rFonts w:ascii="Arial" w:eastAsia="Times New Roman" w:hAnsi="Arial" w:cs="Arial"/>
          <w:i/>
          <w:sz w:val="24"/>
          <w:szCs w:val="24"/>
          <w:lang w:val="es-ES_tradnl" w:eastAsia="es-ES"/>
        </w:rPr>
        <w:t>Emanuel Cune</w:t>
      </w:r>
      <w:r w:rsidRPr="003C56DB">
        <w:rPr>
          <w:rFonts w:ascii="Arial" w:eastAsia="Times New Roman" w:hAnsi="Arial" w:cs="Arial"/>
          <w:sz w:val="24"/>
          <w:szCs w:val="24"/>
          <w:lang w:val="es-ES_tradnl" w:eastAsia="es-ES"/>
        </w:rPr>
        <w:t xml:space="preserve">”, del municipio de Belén de Los </w:t>
      </w:r>
      <w:proofErr w:type="spellStart"/>
      <w:r w:rsidRPr="003C56DB">
        <w:rPr>
          <w:rFonts w:ascii="Arial" w:eastAsia="Times New Roman" w:hAnsi="Arial" w:cs="Arial"/>
          <w:sz w:val="24"/>
          <w:szCs w:val="24"/>
          <w:lang w:val="es-ES_tradnl" w:eastAsia="es-ES"/>
        </w:rPr>
        <w:t>Andaquíes</w:t>
      </w:r>
      <w:proofErr w:type="spellEnd"/>
      <w:r w:rsidRPr="003C56DB">
        <w:rPr>
          <w:rFonts w:ascii="Arial" w:eastAsia="Times New Roman" w:hAnsi="Arial" w:cs="Arial"/>
          <w:sz w:val="24"/>
          <w:szCs w:val="24"/>
          <w:lang w:val="es-ES_tradnl" w:eastAsia="es-ES"/>
        </w:rPr>
        <w:t xml:space="preserve"> (Caquetá)</w:t>
      </w:r>
      <w:r w:rsidRPr="003C56DB">
        <w:rPr>
          <w:rFonts w:ascii="Arial" w:eastAsia="Times New Roman" w:hAnsi="Arial" w:cs="Arial"/>
          <w:i/>
          <w:sz w:val="24"/>
          <w:szCs w:val="24"/>
          <w:lang w:val="es-ES_tradnl" w:eastAsia="es-ES"/>
        </w:rPr>
        <w:t xml:space="preserve">, </w:t>
      </w:r>
      <w:r w:rsidRPr="003C56DB">
        <w:rPr>
          <w:rFonts w:ascii="Arial" w:eastAsia="Times New Roman" w:hAnsi="Arial" w:cs="Arial"/>
          <w:sz w:val="24"/>
          <w:szCs w:val="24"/>
          <w:lang w:val="es-ES_tradnl" w:eastAsia="es-ES"/>
        </w:rPr>
        <w:t xml:space="preserve">con ocasión del proceso que se adelanta </w:t>
      </w:r>
      <w:r>
        <w:rPr>
          <w:rFonts w:ascii="Arial" w:eastAsia="Times New Roman" w:hAnsi="Arial" w:cs="Arial"/>
          <w:sz w:val="24"/>
          <w:szCs w:val="24"/>
          <w:lang w:val="es-ES_tradnl" w:eastAsia="es-ES"/>
        </w:rPr>
        <w:t>por el</w:t>
      </w:r>
      <w:r w:rsidRPr="003C56DB">
        <w:rPr>
          <w:rFonts w:ascii="Arial" w:eastAsia="Times New Roman" w:hAnsi="Arial" w:cs="Arial"/>
          <w:sz w:val="24"/>
          <w:szCs w:val="24"/>
          <w:lang w:val="es-ES_tradnl" w:eastAsia="es-ES"/>
        </w:rPr>
        <w:t xml:space="preserve"> delito </w:t>
      </w:r>
      <w:r>
        <w:rPr>
          <w:rFonts w:ascii="Arial" w:eastAsia="Times New Roman" w:hAnsi="Arial" w:cs="Arial"/>
          <w:sz w:val="24"/>
          <w:szCs w:val="24"/>
          <w:lang w:val="es-ES_tradnl" w:eastAsia="es-ES"/>
        </w:rPr>
        <w:t xml:space="preserve">de </w:t>
      </w:r>
      <w:r w:rsidRPr="003C56DB">
        <w:rPr>
          <w:rFonts w:ascii="Arial" w:eastAsia="Times New Roman" w:hAnsi="Arial" w:cs="Arial"/>
          <w:sz w:val="24"/>
          <w:szCs w:val="24"/>
          <w:lang w:val="es-ES_tradnl" w:eastAsia="es-ES"/>
        </w:rPr>
        <w:t xml:space="preserve">acceso carnal con menor de 14 años, presuntamente cometido por el señor Juan de Jesús Vargas García. </w:t>
      </w:r>
    </w:p>
    <w:p w:rsidR="00597D8D" w:rsidRPr="003C56DB" w:rsidRDefault="00597D8D" w:rsidP="00597D8D">
      <w:pPr>
        <w:tabs>
          <w:tab w:val="left" w:pos="6800"/>
        </w:tabs>
        <w:spacing w:after="0" w:line="360" w:lineRule="auto"/>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ab/>
      </w:r>
    </w:p>
    <w:p w:rsidR="00597D8D" w:rsidRPr="003C56DB" w:rsidRDefault="00597D8D" w:rsidP="00597D8D">
      <w:pPr>
        <w:keepNext/>
        <w:keepLines/>
        <w:numPr>
          <w:ilvl w:val="0"/>
          <w:numId w:val="1"/>
        </w:numPr>
        <w:autoSpaceDE w:val="0"/>
        <w:autoSpaceDN w:val="0"/>
        <w:adjustRightInd w:val="0"/>
        <w:spacing w:before="360" w:after="360" w:line="360" w:lineRule="auto"/>
        <w:jc w:val="center"/>
        <w:outlineLvl w:val="0"/>
        <w:rPr>
          <w:rFonts w:ascii="Arial" w:eastAsia="Times New Roman" w:hAnsi="Arial" w:cs="Arial"/>
          <w:b/>
          <w:bCs/>
          <w:sz w:val="24"/>
          <w:szCs w:val="24"/>
          <w:lang w:val="es-ES_tradnl" w:eastAsia="es-CO"/>
        </w:rPr>
      </w:pPr>
      <w:r w:rsidRPr="003C56DB">
        <w:rPr>
          <w:rFonts w:ascii="Arial" w:eastAsia="Times New Roman" w:hAnsi="Arial" w:cs="Arial"/>
          <w:b/>
          <w:bCs/>
          <w:sz w:val="24"/>
          <w:szCs w:val="24"/>
          <w:lang w:val="es-ES_tradnl" w:eastAsia="es-CO"/>
        </w:rPr>
        <w:t>HECHOS Y ACTUACIONES</w:t>
      </w: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Según el escrito de acusación penal formulado el 1º de abril de 2013 por la Fiscalía 13</w:t>
      </w:r>
      <w:r>
        <w:rPr>
          <w:rFonts w:ascii="Arial" w:eastAsia="Times New Roman" w:hAnsi="Arial" w:cs="Arial"/>
          <w:sz w:val="24"/>
          <w:szCs w:val="24"/>
          <w:lang w:val="es-ES_tradnl" w:eastAsia="es-CO"/>
        </w:rPr>
        <w:t>ª</w:t>
      </w:r>
      <w:r w:rsidRPr="003C56DB">
        <w:rPr>
          <w:rFonts w:ascii="Arial" w:eastAsia="Times New Roman" w:hAnsi="Arial" w:cs="Arial"/>
          <w:sz w:val="24"/>
          <w:szCs w:val="24"/>
          <w:lang w:val="es-ES_tradnl" w:eastAsia="es-CO"/>
        </w:rPr>
        <w:t xml:space="preserve"> Seccional </w:t>
      </w:r>
      <w:r>
        <w:rPr>
          <w:rFonts w:ascii="Arial" w:eastAsia="Times New Roman" w:hAnsi="Arial" w:cs="Arial"/>
          <w:sz w:val="24"/>
          <w:szCs w:val="24"/>
          <w:lang w:val="es-ES_tradnl" w:eastAsia="es-ES"/>
        </w:rPr>
        <w:t xml:space="preserve">de </w:t>
      </w:r>
      <w:r w:rsidRPr="003C56DB">
        <w:rPr>
          <w:rFonts w:ascii="Arial" w:eastAsia="Times New Roman" w:hAnsi="Arial" w:cs="Arial"/>
          <w:sz w:val="24"/>
          <w:szCs w:val="24"/>
          <w:lang w:val="es-ES_tradnl" w:eastAsia="es-ES"/>
        </w:rPr>
        <w:t xml:space="preserve">Belén de Los </w:t>
      </w:r>
      <w:proofErr w:type="spellStart"/>
      <w:r w:rsidRPr="003C56DB">
        <w:rPr>
          <w:rFonts w:ascii="Arial" w:eastAsia="Times New Roman" w:hAnsi="Arial" w:cs="Arial"/>
          <w:sz w:val="24"/>
          <w:szCs w:val="24"/>
          <w:lang w:val="es-ES_tradnl" w:eastAsia="es-ES"/>
        </w:rPr>
        <w:t>Andaquíes</w:t>
      </w:r>
      <w:proofErr w:type="spellEnd"/>
      <w:r w:rsidRPr="003C56DB">
        <w:rPr>
          <w:rFonts w:ascii="Arial" w:eastAsia="Times New Roman" w:hAnsi="Arial" w:cs="Arial"/>
          <w:sz w:val="24"/>
          <w:szCs w:val="24"/>
          <w:lang w:val="es-ES_tradnl" w:eastAsia="es-CO"/>
        </w:rPr>
        <w:t xml:space="preserve"> en contra del señor </w:t>
      </w:r>
      <w:r w:rsidRPr="003C56DB">
        <w:rPr>
          <w:rFonts w:ascii="Arial" w:eastAsia="Times New Roman" w:hAnsi="Arial" w:cs="Arial"/>
          <w:sz w:val="24"/>
          <w:szCs w:val="24"/>
          <w:lang w:val="es-ES_tradnl" w:eastAsia="es-ES"/>
        </w:rPr>
        <w:t xml:space="preserve">Juan de </w:t>
      </w:r>
      <w:r w:rsidRPr="003C56DB">
        <w:rPr>
          <w:rFonts w:ascii="Arial" w:eastAsia="Times New Roman" w:hAnsi="Arial" w:cs="Arial"/>
          <w:sz w:val="24"/>
          <w:szCs w:val="24"/>
          <w:lang w:val="es-ES_tradnl" w:eastAsia="es-ES"/>
        </w:rPr>
        <w:lastRenderedPageBreak/>
        <w:t>Jesús Vargas García</w:t>
      </w:r>
      <w:r w:rsidRPr="003C56DB">
        <w:rPr>
          <w:rStyle w:val="Refdenotaalpie"/>
          <w:rFonts w:ascii="Arial" w:eastAsia="Times New Roman" w:hAnsi="Arial" w:cs="Arial"/>
          <w:sz w:val="24"/>
          <w:szCs w:val="24"/>
          <w:lang w:val="es-ES_tradnl" w:eastAsia="es-CO"/>
        </w:rPr>
        <w:footnoteReference w:id="1"/>
      </w:r>
      <w:r>
        <w:rPr>
          <w:rFonts w:ascii="Arial" w:eastAsia="Times New Roman" w:hAnsi="Arial" w:cs="Arial"/>
          <w:sz w:val="24"/>
          <w:szCs w:val="24"/>
          <w:lang w:val="es-ES_tradnl" w:eastAsia="es-CO"/>
        </w:rPr>
        <w:t xml:space="preserve">, </w:t>
      </w:r>
      <w:r w:rsidRPr="003C56DB">
        <w:rPr>
          <w:rFonts w:ascii="Arial" w:eastAsia="Times New Roman" w:hAnsi="Arial" w:cs="Arial"/>
          <w:sz w:val="24"/>
          <w:szCs w:val="24"/>
          <w:lang w:val="es-ES_tradnl" w:eastAsia="es-CO"/>
        </w:rPr>
        <w:t xml:space="preserve">desde el mes de mayo de 2012 </w:t>
      </w:r>
      <w:r>
        <w:rPr>
          <w:rFonts w:ascii="Arial" w:eastAsia="Times New Roman" w:hAnsi="Arial" w:cs="Arial"/>
          <w:sz w:val="24"/>
          <w:szCs w:val="24"/>
          <w:lang w:val="es-ES_tradnl" w:eastAsia="es-CO"/>
        </w:rPr>
        <w:t xml:space="preserve">dicho individuo </w:t>
      </w:r>
      <w:r w:rsidRPr="003C56DB">
        <w:rPr>
          <w:rFonts w:ascii="Arial" w:eastAsia="Times New Roman" w:hAnsi="Arial" w:cs="Arial"/>
          <w:sz w:val="24"/>
          <w:szCs w:val="24"/>
          <w:lang w:val="es-ES_tradnl" w:eastAsia="es-CO"/>
        </w:rPr>
        <w:t>“</w:t>
      </w:r>
      <w:r w:rsidRPr="003C56DB">
        <w:rPr>
          <w:rFonts w:ascii="Arial" w:eastAsia="Times New Roman" w:hAnsi="Arial" w:cs="Arial"/>
          <w:i/>
          <w:sz w:val="24"/>
          <w:szCs w:val="24"/>
          <w:lang w:val="es-ES_tradnl" w:eastAsia="es-CO"/>
        </w:rPr>
        <w:t>comenzó a acceder carnalmente vía vaginal a la menor de 13 años LDCC, con quien sostiene una relación sentimental por unión marital de hecho”</w:t>
      </w:r>
      <w:r w:rsidRPr="003C56DB">
        <w:rPr>
          <w:rFonts w:ascii="Arial" w:eastAsia="Times New Roman" w:hAnsi="Arial" w:cs="Arial"/>
          <w:sz w:val="24"/>
          <w:szCs w:val="24"/>
          <w:lang w:val="es-ES_tradnl" w:eastAsia="es-CO"/>
        </w:rPr>
        <w:t>.</w:t>
      </w: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Por estos hechos la Fiscalía General de la Nación dio apertura oficiosa a una investigación y posteriormente le formuló cargos co</w:t>
      </w:r>
      <w:r>
        <w:rPr>
          <w:rFonts w:ascii="Arial" w:eastAsia="Times New Roman" w:hAnsi="Arial" w:cs="Arial"/>
          <w:sz w:val="24"/>
          <w:szCs w:val="24"/>
          <w:lang w:val="es-ES_tradnl" w:eastAsia="es-ES"/>
        </w:rPr>
        <w:t>mo posible autor del delito de acceso carnal abusivo con m</w:t>
      </w:r>
      <w:r w:rsidRPr="003C56DB">
        <w:rPr>
          <w:rFonts w:ascii="Arial" w:eastAsia="Times New Roman" w:hAnsi="Arial" w:cs="Arial"/>
          <w:sz w:val="24"/>
          <w:szCs w:val="24"/>
          <w:lang w:val="es-ES_tradnl" w:eastAsia="es-ES"/>
        </w:rPr>
        <w:t xml:space="preserve">enor de 14 años (art. 208 del Código Penal), en concurso homogéneo, los cuales no aceptó. </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 xml:space="preserve">En escrito radicado ante la Defensoría del Pueblo local el 3 de mayo de 2013, el Secretario del cabildo Nasa Urbano José Miguel </w:t>
      </w:r>
      <w:proofErr w:type="spellStart"/>
      <w:r w:rsidRPr="003C56DB">
        <w:rPr>
          <w:rFonts w:ascii="Arial" w:eastAsia="Times New Roman" w:hAnsi="Arial" w:cs="Arial"/>
          <w:sz w:val="24"/>
          <w:szCs w:val="24"/>
          <w:lang w:val="es-ES_tradnl" w:eastAsia="es-ES"/>
        </w:rPr>
        <w:t>Pajajoy</w:t>
      </w:r>
      <w:proofErr w:type="spellEnd"/>
      <w:r w:rsidRPr="003C56DB">
        <w:rPr>
          <w:rFonts w:ascii="Arial" w:eastAsia="Times New Roman" w:hAnsi="Arial" w:cs="Arial"/>
          <w:sz w:val="24"/>
          <w:szCs w:val="24"/>
          <w:lang w:val="es-ES_tradnl" w:eastAsia="es-ES"/>
        </w:rPr>
        <w:t xml:space="preserve"> Alegría le solicitó a dicha entidad “</w:t>
      </w:r>
      <w:r w:rsidRPr="003C56DB">
        <w:rPr>
          <w:rFonts w:ascii="Arial" w:eastAsia="Times New Roman" w:hAnsi="Arial" w:cs="Arial"/>
          <w:i/>
          <w:sz w:val="24"/>
          <w:szCs w:val="24"/>
          <w:lang w:val="es-ES_tradnl" w:eastAsia="es-ES"/>
        </w:rPr>
        <w:t>un informe de gestión</w:t>
      </w:r>
      <w:r w:rsidRPr="003C56DB">
        <w:rPr>
          <w:rFonts w:ascii="Arial" w:eastAsia="Times New Roman" w:hAnsi="Arial" w:cs="Arial"/>
          <w:sz w:val="24"/>
          <w:szCs w:val="24"/>
          <w:lang w:val="es-ES_tradnl" w:eastAsia="es-ES"/>
        </w:rPr>
        <w:t>” sobre el expediente penal seguido contra el señor Vargas García por el delito de acceso carnal abusivo, por cuanto “</w:t>
      </w:r>
      <w:r w:rsidRPr="003C56DB">
        <w:rPr>
          <w:rFonts w:ascii="Arial" w:eastAsia="Times New Roman" w:hAnsi="Arial" w:cs="Arial"/>
          <w:i/>
          <w:sz w:val="24"/>
          <w:szCs w:val="24"/>
          <w:lang w:val="es-ES_tradnl" w:eastAsia="es-ES"/>
        </w:rPr>
        <w:t xml:space="preserve">para las autoridades indígenas de acuerdo a los usos y costumbres originarias no es delito vivir en unión libre con una menor de 14 años; </w:t>
      </w:r>
      <w:r>
        <w:rPr>
          <w:rFonts w:ascii="Arial" w:eastAsia="Times New Roman" w:hAnsi="Arial" w:cs="Arial"/>
          <w:i/>
          <w:sz w:val="24"/>
          <w:szCs w:val="24"/>
          <w:lang w:val="es-ES_tradnl" w:eastAsia="es-ES"/>
        </w:rPr>
        <w:t>[por]</w:t>
      </w:r>
      <w:r w:rsidRPr="003C56DB">
        <w:rPr>
          <w:rFonts w:ascii="Arial" w:eastAsia="Times New Roman" w:hAnsi="Arial" w:cs="Arial"/>
          <w:i/>
          <w:sz w:val="24"/>
          <w:szCs w:val="24"/>
          <w:lang w:val="es-ES_tradnl" w:eastAsia="es-ES"/>
        </w:rPr>
        <w:t xml:space="preserve"> lo cual esta ley [penal] no aplica en nuestra cosmovisión</w:t>
      </w:r>
      <w:r w:rsidRPr="003C56DB">
        <w:rPr>
          <w:rFonts w:ascii="Arial" w:eastAsia="Times New Roman" w:hAnsi="Arial" w:cs="Arial"/>
          <w:sz w:val="24"/>
          <w:szCs w:val="24"/>
          <w:lang w:val="es-ES_tradnl" w:eastAsia="es-ES"/>
        </w:rPr>
        <w:t>”</w:t>
      </w:r>
      <w:r w:rsidRPr="003C56DB">
        <w:rPr>
          <w:rStyle w:val="Refdenotaalpie"/>
          <w:rFonts w:ascii="Arial" w:eastAsia="Times New Roman" w:hAnsi="Arial" w:cs="Arial"/>
          <w:sz w:val="24"/>
          <w:szCs w:val="24"/>
          <w:lang w:val="es-ES_tradnl" w:eastAsia="es-ES"/>
        </w:rPr>
        <w:footnoteReference w:id="2"/>
      </w:r>
      <w:r w:rsidRPr="003C56DB">
        <w:rPr>
          <w:rFonts w:ascii="Arial" w:eastAsia="Times New Roman" w:hAnsi="Arial" w:cs="Arial"/>
          <w:sz w:val="24"/>
          <w:szCs w:val="24"/>
          <w:lang w:val="es-ES_tradnl" w:eastAsia="es-ES"/>
        </w:rPr>
        <w:t>.</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A su turno, el 15 de mayo de 2013 la Gobernadora CUNE Sofía González Campos, del cabildo indígena Nasa Urbano, le solicitó a la Jueza Promiscua del Circuito de Belén la remisión del expediente penal abierto contra el señor Vargas García “</w:t>
      </w:r>
      <w:r w:rsidRPr="003C56DB">
        <w:rPr>
          <w:rFonts w:ascii="Arial" w:eastAsia="Times New Roman" w:hAnsi="Arial" w:cs="Arial"/>
          <w:i/>
          <w:sz w:val="24"/>
          <w:szCs w:val="24"/>
          <w:lang w:val="es-ES_tradnl" w:eastAsia="es-ES"/>
        </w:rPr>
        <w:t>para ser juzgado y sancionado dentro de la jurisdicción especial indígena de acuer</w:t>
      </w:r>
      <w:r>
        <w:rPr>
          <w:rFonts w:ascii="Arial" w:eastAsia="Times New Roman" w:hAnsi="Arial" w:cs="Arial"/>
          <w:i/>
          <w:sz w:val="24"/>
          <w:szCs w:val="24"/>
          <w:lang w:val="es-ES_tradnl" w:eastAsia="es-ES"/>
        </w:rPr>
        <w:t>do a nuestros usos y costumbres</w:t>
      </w:r>
      <w:r w:rsidRPr="003C56DB">
        <w:rPr>
          <w:rFonts w:ascii="Arial" w:eastAsia="Times New Roman" w:hAnsi="Arial" w:cs="Arial"/>
          <w:i/>
          <w:sz w:val="24"/>
          <w:szCs w:val="24"/>
          <w:lang w:val="es-ES_tradnl" w:eastAsia="es-ES"/>
        </w:rPr>
        <w:t xml:space="preserve"> y procedimientos</w:t>
      </w:r>
      <w:r w:rsidRPr="003C56DB">
        <w:rPr>
          <w:rFonts w:ascii="Arial" w:eastAsia="Times New Roman" w:hAnsi="Arial" w:cs="Arial"/>
          <w:sz w:val="24"/>
          <w:szCs w:val="24"/>
          <w:lang w:val="es-ES_tradnl" w:eastAsia="es-ES"/>
        </w:rPr>
        <w:t>”</w:t>
      </w:r>
      <w:r w:rsidRPr="003C56DB">
        <w:rPr>
          <w:rStyle w:val="Refdenotaalpie"/>
          <w:rFonts w:ascii="Arial" w:eastAsia="Times New Roman" w:hAnsi="Arial" w:cs="Arial"/>
          <w:sz w:val="24"/>
          <w:szCs w:val="24"/>
          <w:lang w:val="es-ES_tradnl" w:eastAsia="es-ES"/>
        </w:rPr>
        <w:footnoteReference w:id="3"/>
      </w:r>
      <w:r w:rsidRPr="003C56DB">
        <w:rPr>
          <w:rFonts w:ascii="Arial" w:eastAsia="Times New Roman" w:hAnsi="Arial" w:cs="Arial"/>
          <w:sz w:val="24"/>
          <w:szCs w:val="24"/>
          <w:lang w:val="es-ES_tradnl" w:eastAsia="es-ES"/>
        </w:rPr>
        <w:t>.</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El 17 de mayo de 2013 se dio inicio a la audiencia preparatoria (art. 355 de la ley 906 de 2004), y en la misma la defensa destacó la existencia de un “</w:t>
      </w:r>
      <w:r w:rsidRPr="002130B1">
        <w:rPr>
          <w:rFonts w:ascii="Arial" w:eastAsia="Times New Roman" w:hAnsi="Arial" w:cs="Arial"/>
          <w:i/>
          <w:sz w:val="24"/>
          <w:szCs w:val="24"/>
          <w:lang w:val="es-ES_tradnl" w:eastAsia="es-ES"/>
        </w:rPr>
        <w:t>conflicto de competencias</w:t>
      </w:r>
      <w:r w:rsidRPr="003C56DB">
        <w:rPr>
          <w:rFonts w:ascii="Arial" w:eastAsia="Times New Roman" w:hAnsi="Arial" w:cs="Arial"/>
          <w:sz w:val="24"/>
          <w:szCs w:val="24"/>
          <w:lang w:val="es-ES_tradnl" w:eastAsia="es-ES"/>
        </w:rPr>
        <w:t xml:space="preserve">” que debía resolver antes de continuar. Por este motivo, el Juez suspendió la diligencia </w:t>
      </w:r>
      <w:r w:rsidRPr="003C56DB">
        <w:rPr>
          <w:rFonts w:ascii="Arial" w:eastAsia="Times New Roman" w:hAnsi="Arial" w:cs="Arial"/>
          <w:i/>
          <w:sz w:val="24"/>
          <w:szCs w:val="24"/>
          <w:lang w:val="es-ES_tradnl" w:eastAsia="es-ES"/>
        </w:rPr>
        <w:t>“para poder presentar bien soportada el conflicto de competencias”</w:t>
      </w:r>
      <w:r w:rsidRPr="003C56DB">
        <w:rPr>
          <w:rStyle w:val="Refdenotaalpie"/>
          <w:rFonts w:ascii="Arial" w:eastAsia="Times New Roman" w:hAnsi="Arial" w:cs="Arial"/>
          <w:i/>
          <w:sz w:val="24"/>
          <w:szCs w:val="24"/>
          <w:lang w:val="es-ES_tradnl" w:eastAsia="es-ES"/>
        </w:rPr>
        <w:footnoteReference w:id="4"/>
      </w:r>
      <w:r w:rsidRPr="003C56DB">
        <w:rPr>
          <w:rFonts w:ascii="Arial" w:eastAsia="Times New Roman" w:hAnsi="Arial" w:cs="Arial"/>
          <w:sz w:val="24"/>
          <w:szCs w:val="24"/>
          <w:lang w:val="es-ES_tradnl" w:eastAsia="es-ES"/>
        </w:rPr>
        <w:t xml:space="preserve">. </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CO"/>
        </w:rPr>
        <w:t xml:space="preserve">El 21 de mayo de 2013 </w:t>
      </w:r>
      <w:r w:rsidRPr="003C56DB">
        <w:rPr>
          <w:rFonts w:ascii="Arial" w:eastAsia="Times New Roman" w:hAnsi="Arial" w:cs="Arial"/>
          <w:sz w:val="24"/>
          <w:szCs w:val="24"/>
          <w:lang w:val="es-ES_tradnl" w:eastAsia="es-ES"/>
        </w:rPr>
        <w:t>el Secretario del cabildo Nasa Urbano José Migu</w:t>
      </w:r>
      <w:r>
        <w:rPr>
          <w:rFonts w:ascii="Arial" w:eastAsia="Times New Roman" w:hAnsi="Arial" w:cs="Arial"/>
          <w:sz w:val="24"/>
          <w:szCs w:val="24"/>
          <w:lang w:val="es-ES_tradnl" w:eastAsia="es-ES"/>
        </w:rPr>
        <w:t xml:space="preserve">el </w:t>
      </w:r>
      <w:proofErr w:type="spellStart"/>
      <w:r>
        <w:rPr>
          <w:rFonts w:ascii="Arial" w:eastAsia="Times New Roman" w:hAnsi="Arial" w:cs="Arial"/>
          <w:sz w:val="24"/>
          <w:szCs w:val="24"/>
          <w:lang w:val="es-ES_tradnl" w:eastAsia="es-ES"/>
        </w:rPr>
        <w:t>Pajajoy</w:t>
      </w:r>
      <w:proofErr w:type="spellEnd"/>
      <w:r>
        <w:rPr>
          <w:rFonts w:ascii="Arial" w:eastAsia="Times New Roman" w:hAnsi="Arial" w:cs="Arial"/>
          <w:sz w:val="24"/>
          <w:szCs w:val="24"/>
          <w:lang w:val="es-ES_tradnl" w:eastAsia="es-ES"/>
        </w:rPr>
        <w:t xml:space="preserve"> Alegría remitió </w:t>
      </w:r>
      <w:r w:rsidRPr="003C56DB">
        <w:rPr>
          <w:rFonts w:ascii="Arial" w:eastAsia="Times New Roman" w:hAnsi="Arial" w:cs="Arial"/>
          <w:sz w:val="24"/>
          <w:szCs w:val="24"/>
          <w:lang w:val="es-ES_tradnl" w:eastAsia="es-ES"/>
        </w:rPr>
        <w:t xml:space="preserve">a la Jueza Promiscua del Circuito de Belén certificaciones </w:t>
      </w:r>
      <w:r w:rsidRPr="003C56DB">
        <w:rPr>
          <w:rFonts w:ascii="Arial" w:eastAsia="Times New Roman" w:hAnsi="Arial" w:cs="Arial"/>
          <w:sz w:val="24"/>
          <w:szCs w:val="24"/>
          <w:lang w:val="es-ES_tradnl" w:eastAsia="es-ES"/>
        </w:rPr>
        <w:lastRenderedPageBreak/>
        <w:t>sobre la pertenencia a la comunidad indígena de la menor “</w:t>
      </w:r>
      <w:r w:rsidRPr="003C56DB">
        <w:rPr>
          <w:rFonts w:ascii="Arial" w:eastAsia="Times New Roman" w:hAnsi="Arial" w:cs="Arial"/>
          <w:i/>
          <w:sz w:val="24"/>
          <w:szCs w:val="24"/>
          <w:lang w:val="es-ES_tradnl" w:eastAsia="es-CO"/>
        </w:rPr>
        <w:t>LDCC”</w:t>
      </w:r>
      <w:r w:rsidRPr="003C56DB">
        <w:rPr>
          <w:rFonts w:ascii="Arial" w:eastAsia="Times New Roman" w:hAnsi="Arial" w:cs="Arial"/>
          <w:sz w:val="24"/>
          <w:szCs w:val="24"/>
          <w:lang w:val="es-ES_tradnl" w:eastAsia="es-CO"/>
        </w:rPr>
        <w:t xml:space="preserve">, el señor </w:t>
      </w:r>
      <w:r w:rsidRPr="003C56DB">
        <w:rPr>
          <w:rFonts w:ascii="Arial" w:eastAsia="Times New Roman" w:hAnsi="Arial" w:cs="Arial"/>
          <w:sz w:val="24"/>
          <w:szCs w:val="24"/>
          <w:lang w:val="es-ES_tradnl" w:eastAsia="es-ES"/>
        </w:rPr>
        <w:t>Juan de Jesús Vargas García y la señora Sofía González Campos</w:t>
      </w:r>
      <w:r w:rsidRPr="003C56DB">
        <w:rPr>
          <w:rStyle w:val="Refdenotaalpie"/>
          <w:rFonts w:ascii="Arial" w:eastAsia="Times New Roman" w:hAnsi="Arial" w:cs="Arial"/>
          <w:sz w:val="24"/>
          <w:szCs w:val="24"/>
          <w:lang w:val="es-ES_tradnl" w:eastAsia="es-ES"/>
        </w:rPr>
        <w:footnoteReference w:id="5"/>
      </w:r>
      <w:r w:rsidRPr="003C56DB">
        <w:rPr>
          <w:rFonts w:ascii="Arial" w:eastAsia="Times New Roman" w:hAnsi="Arial" w:cs="Arial"/>
          <w:sz w:val="24"/>
          <w:szCs w:val="24"/>
          <w:lang w:val="es-ES_tradnl" w:eastAsia="es-ES"/>
        </w:rPr>
        <w:t>.</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Una vez</w:t>
      </w:r>
      <w:r w:rsidRPr="003C56DB">
        <w:rPr>
          <w:rFonts w:ascii="Arial" w:eastAsia="Times New Roman" w:hAnsi="Arial" w:cs="Arial"/>
          <w:sz w:val="24"/>
          <w:szCs w:val="24"/>
          <w:lang w:val="es-ES_tradnl" w:eastAsia="es-ES"/>
        </w:rPr>
        <w:t xml:space="preserve"> intentó reanudar a la audien</w:t>
      </w:r>
      <w:r>
        <w:rPr>
          <w:rFonts w:ascii="Arial" w:eastAsia="Times New Roman" w:hAnsi="Arial" w:cs="Arial"/>
          <w:sz w:val="24"/>
          <w:szCs w:val="24"/>
          <w:lang w:val="es-ES_tradnl" w:eastAsia="es-ES"/>
        </w:rPr>
        <w:t>cia preparatoria de juicio, el j</w:t>
      </w:r>
      <w:r w:rsidRPr="003C56DB">
        <w:rPr>
          <w:rFonts w:ascii="Arial" w:eastAsia="Times New Roman" w:hAnsi="Arial" w:cs="Arial"/>
          <w:sz w:val="24"/>
          <w:szCs w:val="24"/>
          <w:lang w:val="es-ES_tradnl" w:eastAsia="es-ES"/>
        </w:rPr>
        <w:t xml:space="preserve">uzgado de conocimiento debió </w:t>
      </w:r>
      <w:r>
        <w:rPr>
          <w:rFonts w:ascii="Arial" w:eastAsia="Times New Roman" w:hAnsi="Arial" w:cs="Arial"/>
          <w:sz w:val="24"/>
          <w:szCs w:val="24"/>
          <w:lang w:val="es-ES_tradnl" w:eastAsia="es-ES"/>
        </w:rPr>
        <w:t>re</w:t>
      </w:r>
      <w:r w:rsidRPr="003C56DB">
        <w:rPr>
          <w:rFonts w:ascii="Arial" w:eastAsia="Times New Roman" w:hAnsi="Arial" w:cs="Arial"/>
          <w:sz w:val="24"/>
          <w:szCs w:val="24"/>
          <w:lang w:val="es-ES_tradnl" w:eastAsia="es-ES"/>
        </w:rPr>
        <w:t xml:space="preserve">programarla en varias ocasiones, debido a la inasistencia del señor Juan de Jesús Vargas García, quien se encuentra detenido preventivamente en el Centro Carcelario El </w:t>
      </w:r>
      <w:proofErr w:type="spellStart"/>
      <w:r w:rsidRPr="003C56DB">
        <w:rPr>
          <w:rFonts w:ascii="Arial" w:eastAsia="Times New Roman" w:hAnsi="Arial" w:cs="Arial"/>
          <w:sz w:val="24"/>
          <w:szCs w:val="24"/>
          <w:lang w:val="es-ES_tradnl" w:eastAsia="es-ES"/>
        </w:rPr>
        <w:t>Cunduy</w:t>
      </w:r>
      <w:proofErr w:type="spellEnd"/>
      <w:r w:rsidRPr="003C56DB">
        <w:rPr>
          <w:rFonts w:ascii="Arial" w:eastAsia="Times New Roman" w:hAnsi="Arial" w:cs="Arial"/>
          <w:sz w:val="24"/>
          <w:szCs w:val="24"/>
          <w:lang w:val="es-ES_tradnl" w:eastAsia="es-ES"/>
        </w:rPr>
        <w:t xml:space="preserve"> de Florencia (Caquetá), pero no ha sido remitido </w:t>
      </w:r>
      <w:r>
        <w:rPr>
          <w:rFonts w:ascii="Arial" w:eastAsia="Times New Roman" w:hAnsi="Arial" w:cs="Arial"/>
          <w:sz w:val="24"/>
          <w:szCs w:val="24"/>
          <w:lang w:val="es-ES_tradnl" w:eastAsia="es-ES"/>
        </w:rPr>
        <w:t>ante el</w:t>
      </w:r>
      <w:r w:rsidRPr="003C56DB">
        <w:rPr>
          <w:rFonts w:ascii="Arial" w:eastAsia="Times New Roman" w:hAnsi="Arial" w:cs="Arial"/>
          <w:sz w:val="24"/>
          <w:szCs w:val="24"/>
          <w:lang w:val="es-ES_tradnl" w:eastAsia="es-ES"/>
        </w:rPr>
        <w:t xml:space="preserve"> juzgado por las directivas de dicho establecimiento, a raíz de la situación de orden público local</w:t>
      </w:r>
      <w:r w:rsidRPr="003C56DB">
        <w:rPr>
          <w:rStyle w:val="Refdenotaalpie"/>
          <w:rFonts w:ascii="Arial" w:eastAsia="Times New Roman" w:hAnsi="Arial" w:cs="Arial"/>
          <w:sz w:val="24"/>
          <w:szCs w:val="24"/>
          <w:lang w:val="es-ES_tradnl" w:eastAsia="es-ES"/>
        </w:rPr>
        <w:footnoteReference w:id="6"/>
      </w:r>
      <w:r w:rsidRPr="003C56DB">
        <w:rPr>
          <w:rFonts w:ascii="Arial" w:eastAsia="Times New Roman" w:hAnsi="Arial" w:cs="Arial"/>
          <w:sz w:val="24"/>
          <w:szCs w:val="24"/>
          <w:lang w:val="es-ES_tradnl" w:eastAsia="es-ES"/>
        </w:rPr>
        <w:t xml:space="preserve">. </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 xml:space="preserve">El 11 de septiembre de 2013, el Secretario del cabildo Nasa Urbano José Miguel </w:t>
      </w:r>
      <w:proofErr w:type="spellStart"/>
      <w:r w:rsidRPr="003C56DB">
        <w:rPr>
          <w:rFonts w:ascii="Arial" w:eastAsia="Times New Roman" w:hAnsi="Arial" w:cs="Arial"/>
          <w:sz w:val="24"/>
          <w:szCs w:val="24"/>
          <w:lang w:val="es-ES_tradnl" w:eastAsia="es-ES"/>
        </w:rPr>
        <w:t>Pajajoy</w:t>
      </w:r>
      <w:proofErr w:type="spellEnd"/>
      <w:r w:rsidRPr="003C56DB">
        <w:rPr>
          <w:rFonts w:ascii="Arial" w:eastAsia="Times New Roman" w:hAnsi="Arial" w:cs="Arial"/>
          <w:sz w:val="24"/>
          <w:szCs w:val="24"/>
          <w:lang w:val="es-ES_tradnl" w:eastAsia="es-ES"/>
        </w:rPr>
        <w:t xml:space="preserve"> Alegría l</w:t>
      </w:r>
      <w:r>
        <w:rPr>
          <w:rFonts w:ascii="Arial" w:eastAsia="Times New Roman" w:hAnsi="Arial" w:cs="Arial"/>
          <w:sz w:val="24"/>
          <w:szCs w:val="24"/>
          <w:lang w:val="es-ES_tradnl" w:eastAsia="es-ES"/>
        </w:rPr>
        <w:t xml:space="preserve">e dirigió un memorial </w:t>
      </w:r>
      <w:r w:rsidRPr="003C56DB">
        <w:rPr>
          <w:rFonts w:ascii="Arial" w:eastAsia="Times New Roman" w:hAnsi="Arial" w:cs="Arial"/>
          <w:sz w:val="24"/>
          <w:szCs w:val="24"/>
          <w:lang w:val="es-ES_tradnl" w:eastAsia="es-ES"/>
        </w:rPr>
        <w:t xml:space="preserve">a la Jueza Promiscua del Circuito de Belén con el fin de justificar la aplicabilidad del fuero indígena a favor del señor Juan de Jesús Vargas García. </w:t>
      </w:r>
    </w:p>
    <w:p w:rsidR="00597D8D" w:rsidRPr="002130B1" w:rsidRDefault="00597D8D" w:rsidP="00597D8D">
      <w:pPr>
        <w:pStyle w:val="Prrafodelista"/>
        <w:ind w:left="0"/>
        <w:rPr>
          <w:rFonts w:ascii="Arial" w:eastAsia="Times New Roman" w:hAnsi="Arial" w:cs="Arial"/>
          <w:sz w:val="24"/>
          <w:szCs w:val="24"/>
          <w:lang w:val="es-ES_tradnl" w:eastAsia="es-ES"/>
        </w:rPr>
      </w:pPr>
    </w:p>
    <w:p w:rsidR="00597D8D" w:rsidRPr="003C56DB" w:rsidRDefault="00597D8D" w:rsidP="00597D8D">
      <w:pPr>
        <w:pStyle w:val="Prrafodelista"/>
        <w:spacing w:after="0" w:line="360" w:lineRule="auto"/>
        <w:ind w:left="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En primer lugar, sostuvo que “</w:t>
      </w:r>
      <w:r w:rsidRPr="003C56DB">
        <w:rPr>
          <w:rFonts w:ascii="Arial" w:eastAsia="Times New Roman" w:hAnsi="Arial" w:cs="Arial"/>
          <w:i/>
          <w:sz w:val="24"/>
          <w:szCs w:val="24"/>
          <w:lang w:val="es-ES_tradnl" w:eastAsia="es-ES"/>
        </w:rPr>
        <w:t xml:space="preserve">los usos y costumbres milenarias de las cultura indígena del gran </w:t>
      </w:r>
      <w:proofErr w:type="spellStart"/>
      <w:r w:rsidRPr="003C56DB">
        <w:rPr>
          <w:rFonts w:ascii="Arial" w:eastAsia="Times New Roman" w:hAnsi="Arial" w:cs="Arial"/>
          <w:i/>
          <w:sz w:val="24"/>
          <w:szCs w:val="24"/>
          <w:lang w:val="es-ES_tradnl" w:eastAsia="es-ES"/>
        </w:rPr>
        <w:t>Abya</w:t>
      </w:r>
      <w:proofErr w:type="spellEnd"/>
      <w:r w:rsidRPr="003C56DB">
        <w:rPr>
          <w:rFonts w:ascii="Arial" w:eastAsia="Times New Roman" w:hAnsi="Arial" w:cs="Arial"/>
          <w:i/>
          <w:sz w:val="24"/>
          <w:szCs w:val="24"/>
          <w:lang w:val="es-ES_tradnl" w:eastAsia="es-ES"/>
        </w:rPr>
        <w:t xml:space="preserve"> </w:t>
      </w:r>
      <w:proofErr w:type="spellStart"/>
      <w:r w:rsidRPr="003C56DB">
        <w:rPr>
          <w:rFonts w:ascii="Arial" w:eastAsia="Times New Roman" w:hAnsi="Arial" w:cs="Arial"/>
          <w:i/>
          <w:sz w:val="24"/>
          <w:szCs w:val="24"/>
          <w:lang w:val="es-ES_tradnl" w:eastAsia="es-ES"/>
        </w:rPr>
        <w:t>Yala</w:t>
      </w:r>
      <w:proofErr w:type="spellEnd"/>
      <w:r w:rsidRPr="003C56DB">
        <w:rPr>
          <w:rFonts w:ascii="Arial" w:eastAsia="Times New Roman" w:hAnsi="Arial" w:cs="Arial"/>
          <w:i/>
          <w:sz w:val="24"/>
          <w:szCs w:val="24"/>
          <w:lang w:val="es-ES_tradnl" w:eastAsia="es-ES"/>
        </w:rPr>
        <w:t xml:space="preserve"> </w:t>
      </w:r>
      <w:proofErr w:type="spellStart"/>
      <w:r w:rsidRPr="003C56DB">
        <w:rPr>
          <w:rFonts w:ascii="Arial" w:eastAsia="Times New Roman" w:hAnsi="Arial" w:cs="Arial"/>
          <w:i/>
          <w:sz w:val="24"/>
          <w:szCs w:val="24"/>
          <w:lang w:val="es-ES_tradnl" w:eastAsia="es-ES"/>
        </w:rPr>
        <w:t>esta</w:t>
      </w:r>
      <w:r>
        <w:rPr>
          <w:rFonts w:ascii="Arial" w:eastAsia="Times New Roman" w:hAnsi="Arial" w:cs="Arial"/>
          <w:i/>
          <w:sz w:val="24"/>
          <w:szCs w:val="24"/>
          <w:lang w:val="es-ES_tradnl" w:eastAsia="es-ES"/>
        </w:rPr>
        <w:t>n</w:t>
      </w:r>
      <w:proofErr w:type="spellEnd"/>
      <w:r w:rsidRPr="003C56DB">
        <w:rPr>
          <w:rFonts w:ascii="Arial" w:eastAsia="Times New Roman" w:hAnsi="Arial" w:cs="Arial"/>
          <w:i/>
          <w:sz w:val="24"/>
          <w:szCs w:val="24"/>
          <w:lang w:val="es-ES_tradnl" w:eastAsia="es-ES"/>
        </w:rPr>
        <w:t xml:space="preserve"> muy distante del pensamiento Greco-Romano, con una cosmovisión muy autóctona que fue satanizada por los blanqueros doctrineros Europeos y que </w:t>
      </w:r>
      <w:proofErr w:type="spellStart"/>
      <w:r w:rsidRPr="003C56DB">
        <w:rPr>
          <w:rFonts w:ascii="Arial" w:eastAsia="Times New Roman" w:hAnsi="Arial" w:cs="Arial"/>
          <w:i/>
          <w:sz w:val="24"/>
          <w:szCs w:val="24"/>
          <w:lang w:val="es-ES_tradnl" w:eastAsia="es-ES"/>
        </w:rPr>
        <w:t>aun</w:t>
      </w:r>
      <w:proofErr w:type="spellEnd"/>
      <w:r w:rsidRPr="003C56DB">
        <w:rPr>
          <w:rFonts w:ascii="Arial" w:eastAsia="Times New Roman" w:hAnsi="Arial" w:cs="Arial"/>
          <w:i/>
          <w:sz w:val="24"/>
          <w:szCs w:val="24"/>
          <w:lang w:val="es-ES_tradnl" w:eastAsia="es-ES"/>
        </w:rPr>
        <w:t xml:space="preserve"> hoy se pretende colocar en la misma balanza jurídica a cualquier comunero, juzgándosele como a cualquier blanco</w:t>
      </w:r>
      <w:r w:rsidRPr="003C56DB">
        <w:rPr>
          <w:rFonts w:ascii="Arial" w:eastAsia="Times New Roman" w:hAnsi="Arial" w:cs="Arial"/>
          <w:sz w:val="24"/>
          <w:szCs w:val="24"/>
          <w:lang w:val="es-ES_tradnl" w:eastAsia="es-ES"/>
        </w:rPr>
        <w:t>” (sic). Seguidamente, mencionó algunos ejemplos que, a su juicio, demuestran la divergencia entre culturas, y la distancia existente entre “</w:t>
      </w:r>
      <w:r w:rsidRPr="003C56DB">
        <w:rPr>
          <w:rFonts w:ascii="Arial" w:eastAsia="Times New Roman" w:hAnsi="Arial" w:cs="Arial"/>
          <w:i/>
          <w:sz w:val="24"/>
          <w:szCs w:val="24"/>
          <w:lang w:val="es-ES_tradnl" w:eastAsia="es-ES"/>
        </w:rPr>
        <w:t xml:space="preserve">la idiosincrasia del señor Colón o los postulados de Platón, seguidor de Sócrates y maestro de Aristóteles y la forma de vida del cono sur, del gran </w:t>
      </w:r>
      <w:proofErr w:type="spellStart"/>
      <w:r w:rsidRPr="003C56DB">
        <w:rPr>
          <w:rFonts w:ascii="Arial" w:eastAsia="Times New Roman" w:hAnsi="Arial" w:cs="Arial"/>
          <w:i/>
          <w:sz w:val="24"/>
          <w:szCs w:val="24"/>
          <w:lang w:val="es-ES_tradnl" w:eastAsia="es-ES"/>
        </w:rPr>
        <w:t>Athaualpa</w:t>
      </w:r>
      <w:proofErr w:type="spellEnd"/>
      <w:r w:rsidRPr="003C56DB">
        <w:rPr>
          <w:rFonts w:ascii="Arial" w:eastAsia="Times New Roman" w:hAnsi="Arial" w:cs="Arial"/>
          <w:i/>
          <w:sz w:val="24"/>
          <w:szCs w:val="24"/>
          <w:lang w:val="es-ES_tradnl" w:eastAsia="es-ES"/>
        </w:rPr>
        <w:t xml:space="preserve">, </w:t>
      </w:r>
      <w:proofErr w:type="spellStart"/>
      <w:r w:rsidRPr="003C56DB">
        <w:rPr>
          <w:rFonts w:ascii="Arial" w:eastAsia="Times New Roman" w:hAnsi="Arial" w:cs="Arial"/>
          <w:i/>
          <w:sz w:val="24"/>
          <w:szCs w:val="24"/>
          <w:lang w:val="es-ES_tradnl" w:eastAsia="es-ES"/>
        </w:rPr>
        <w:t>Pachakuteq</w:t>
      </w:r>
      <w:proofErr w:type="spellEnd"/>
      <w:r w:rsidRPr="003C56DB">
        <w:rPr>
          <w:rFonts w:ascii="Arial" w:eastAsia="Times New Roman" w:hAnsi="Arial" w:cs="Arial"/>
          <w:i/>
          <w:sz w:val="24"/>
          <w:szCs w:val="24"/>
          <w:lang w:val="es-ES_tradnl" w:eastAsia="es-ES"/>
        </w:rPr>
        <w:t xml:space="preserve"> o de </w:t>
      </w:r>
      <w:proofErr w:type="spellStart"/>
      <w:r w:rsidRPr="003C56DB">
        <w:rPr>
          <w:rFonts w:ascii="Arial" w:eastAsia="Times New Roman" w:hAnsi="Arial" w:cs="Arial"/>
          <w:i/>
          <w:sz w:val="24"/>
          <w:szCs w:val="24"/>
          <w:lang w:val="es-ES_tradnl" w:eastAsia="es-ES"/>
        </w:rPr>
        <w:t>Yurupari</w:t>
      </w:r>
      <w:proofErr w:type="spellEnd"/>
      <w:r w:rsidRPr="003C56DB">
        <w:rPr>
          <w:rFonts w:ascii="Arial" w:eastAsia="Times New Roman" w:hAnsi="Arial" w:cs="Arial"/>
          <w:i/>
          <w:sz w:val="24"/>
          <w:szCs w:val="24"/>
          <w:lang w:val="es-ES_tradnl" w:eastAsia="es-ES"/>
        </w:rPr>
        <w:t xml:space="preserve"> en la Amazonía colombiana</w:t>
      </w:r>
      <w:r w:rsidRPr="003C56DB">
        <w:rPr>
          <w:rFonts w:ascii="Arial" w:eastAsia="Times New Roman" w:hAnsi="Arial" w:cs="Arial"/>
          <w:sz w:val="24"/>
          <w:szCs w:val="24"/>
          <w:lang w:val="es-ES_tradnl" w:eastAsia="es-ES"/>
        </w:rPr>
        <w:t xml:space="preserve">”, entre ellos, el diferente concepto del tiempo y el </w:t>
      </w:r>
      <w:r>
        <w:rPr>
          <w:rFonts w:ascii="Arial" w:eastAsia="Times New Roman" w:hAnsi="Arial" w:cs="Arial"/>
          <w:sz w:val="24"/>
          <w:szCs w:val="24"/>
          <w:lang w:val="es-ES_tradnl" w:eastAsia="es-ES"/>
        </w:rPr>
        <w:t xml:space="preserve">calendario y la ausencia de tradiciones </w:t>
      </w:r>
      <w:r w:rsidRPr="003C56DB">
        <w:rPr>
          <w:rFonts w:ascii="Arial" w:eastAsia="Times New Roman" w:hAnsi="Arial" w:cs="Arial"/>
          <w:sz w:val="24"/>
          <w:szCs w:val="24"/>
          <w:lang w:val="es-ES_tradnl" w:eastAsia="es-ES"/>
        </w:rPr>
        <w:t>escrita</w:t>
      </w:r>
      <w:r>
        <w:rPr>
          <w:rFonts w:ascii="Arial" w:eastAsia="Times New Roman" w:hAnsi="Arial" w:cs="Arial"/>
          <w:sz w:val="24"/>
          <w:szCs w:val="24"/>
          <w:lang w:val="es-ES_tradnl" w:eastAsia="es-ES"/>
        </w:rPr>
        <w:t>s</w:t>
      </w:r>
      <w:r w:rsidRPr="003C56DB">
        <w:rPr>
          <w:rFonts w:ascii="Arial" w:eastAsia="Times New Roman" w:hAnsi="Arial" w:cs="Arial"/>
          <w:sz w:val="24"/>
          <w:szCs w:val="24"/>
          <w:lang w:val="es-ES_tradnl" w:eastAsia="es-ES"/>
        </w:rPr>
        <w:t>. En tercer lugar, trasc</w:t>
      </w:r>
      <w:r>
        <w:rPr>
          <w:rFonts w:ascii="Arial" w:eastAsia="Times New Roman" w:hAnsi="Arial" w:cs="Arial"/>
          <w:sz w:val="24"/>
          <w:szCs w:val="24"/>
          <w:lang w:val="es-ES_tradnl" w:eastAsia="es-ES"/>
        </w:rPr>
        <w:t xml:space="preserve">ribió apartes de las sentencias  </w:t>
      </w:r>
      <w:r w:rsidRPr="003C56DB">
        <w:rPr>
          <w:rFonts w:ascii="Arial" w:eastAsia="Times New Roman" w:hAnsi="Arial" w:cs="Arial"/>
          <w:sz w:val="24"/>
          <w:szCs w:val="24"/>
          <w:lang w:val="es-ES_tradnl" w:eastAsia="es-ES"/>
        </w:rPr>
        <w:t>T-428 de 1992 y T-496 de 1996 de la Corte Constitucional, con el fin de justificar la necesidad de trasladar el conocimiento de la causa penal seguida contra el señor Vargas García a las autoridades indígenas del cabildo Nasa Urbano de Belén</w:t>
      </w:r>
      <w:r w:rsidRPr="003C56DB">
        <w:rPr>
          <w:rStyle w:val="Refdenotaalpie"/>
          <w:rFonts w:ascii="Arial" w:eastAsia="Times New Roman" w:hAnsi="Arial" w:cs="Arial"/>
          <w:sz w:val="24"/>
          <w:szCs w:val="24"/>
          <w:lang w:val="es-ES_tradnl" w:eastAsia="es-ES"/>
        </w:rPr>
        <w:footnoteReference w:id="7"/>
      </w:r>
      <w:r w:rsidRPr="003C56DB">
        <w:rPr>
          <w:rFonts w:ascii="Arial" w:eastAsia="Times New Roman" w:hAnsi="Arial" w:cs="Arial"/>
          <w:sz w:val="24"/>
          <w:szCs w:val="24"/>
          <w:lang w:val="es-ES_tradnl" w:eastAsia="es-ES"/>
        </w:rPr>
        <w:t xml:space="preserve">. </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 xml:space="preserve">El 29 de octubre de 2013 el citado Secretario del cabildo Nasa Urbano insistió ante el juez de conocimiento, ahora el Juez Segundo Penal del Circuito de Florencia </w:t>
      </w:r>
      <w:r w:rsidRPr="003C56DB">
        <w:rPr>
          <w:rFonts w:ascii="Arial" w:eastAsia="Times New Roman" w:hAnsi="Arial" w:cs="Arial"/>
          <w:sz w:val="24"/>
          <w:szCs w:val="24"/>
          <w:lang w:val="es-ES_tradnl" w:eastAsia="es-ES"/>
        </w:rPr>
        <w:lastRenderedPageBreak/>
        <w:t>Caquetá, sobre la petición de remitir el caso para ser abordado al interior de la comunidad indígena. En este s</w:t>
      </w:r>
      <w:r>
        <w:rPr>
          <w:rFonts w:ascii="Arial" w:eastAsia="Times New Roman" w:hAnsi="Arial" w:cs="Arial"/>
          <w:sz w:val="24"/>
          <w:szCs w:val="24"/>
          <w:lang w:val="es-ES_tradnl" w:eastAsia="es-ES"/>
        </w:rPr>
        <w:t xml:space="preserve">entido, manifestó que considera </w:t>
      </w:r>
      <w:r w:rsidRPr="003C56DB">
        <w:rPr>
          <w:rFonts w:ascii="Arial" w:eastAsia="Times New Roman" w:hAnsi="Arial" w:cs="Arial"/>
          <w:sz w:val="24"/>
          <w:szCs w:val="24"/>
          <w:lang w:val="es-ES_tradnl" w:eastAsia="es-ES"/>
        </w:rPr>
        <w:t>“</w:t>
      </w:r>
      <w:r w:rsidRPr="002130B1">
        <w:rPr>
          <w:rFonts w:ascii="Arial" w:eastAsia="Times New Roman" w:hAnsi="Arial" w:cs="Arial"/>
          <w:i/>
          <w:sz w:val="24"/>
          <w:szCs w:val="24"/>
          <w:lang w:val="es-ES_tradnl" w:eastAsia="es-ES"/>
        </w:rPr>
        <w:t>ilegal</w:t>
      </w:r>
      <w:r w:rsidRPr="003C56DB">
        <w:rPr>
          <w:rFonts w:ascii="Arial" w:eastAsia="Times New Roman" w:hAnsi="Arial" w:cs="Arial"/>
          <w:sz w:val="24"/>
          <w:szCs w:val="24"/>
          <w:lang w:val="es-ES_tradnl" w:eastAsia="es-ES"/>
        </w:rPr>
        <w:t>” la detención del señor Vargas García, “</w:t>
      </w:r>
      <w:r w:rsidRPr="003C56DB">
        <w:rPr>
          <w:rFonts w:ascii="Arial" w:eastAsia="Times New Roman" w:hAnsi="Arial" w:cs="Arial"/>
          <w:i/>
          <w:sz w:val="24"/>
          <w:szCs w:val="24"/>
          <w:lang w:val="es-ES_tradnl" w:eastAsia="es-ES"/>
        </w:rPr>
        <w:t>por cuanto para los pueblos originarios estos hechos pertenecen a nuestro usos y costumbres</w:t>
      </w:r>
      <w:r w:rsidRPr="003C56DB">
        <w:rPr>
          <w:rFonts w:ascii="Arial" w:eastAsia="Times New Roman" w:hAnsi="Arial" w:cs="Arial"/>
          <w:sz w:val="24"/>
          <w:szCs w:val="24"/>
          <w:lang w:val="es-ES_tradnl" w:eastAsia="es-ES"/>
        </w:rPr>
        <w:t>”</w:t>
      </w:r>
      <w:r w:rsidRPr="003C56DB">
        <w:rPr>
          <w:rStyle w:val="Refdenotaalpie"/>
          <w:rFonts w:ascii="Arial" w:eastAsia="Times New Roman" w:hAnsi="Arial" w:cs="Arial"/>
          <w:sz w:val="24"/>
          <w:szCs w:val="24"/>
          <w:lang w:val="es-ES_tradnl" w:eastAsia="es-ES"/>
        </w:rPr>
        <w:footnoteReference w:id="8"/>
      </w:r>
      <w:r w:rsidRPr="003C56DB">
        <w:rPr>
          <w:rFonts w:ascii="Arial" w:eastAsia="Times New Roman" w:hAnsi="Arial" w:cs="Arial"/>
          <w:sz w:val="24"/>
          <w:szCs w:val="24"/>
          <w:lang w:val="es-ES_tradnl" w:eastAsia="es-ES"/>
        </w:rPr>
        <w:t>.</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ES"/>
        </w:rPr>
        <w:t>El 11 de diciembre de 2013 el señor Juan de Jesús Vargas García elevó solicitud de vigilancia judicial administrativa (art. 101.6 de la ley 270 de 1996) ante la Sala Administrativa del Consejo Seccional de la Judicatura de Caquetá, sobre el expediente penal que se le sigue por el delito de acceso carnal abusivo con menor de 14 años</w:t>
      </w:r>
      <w:r w:rsidRPr="003C56DB">
        <w:rPr>
          <w:rStyle w:val="Refdenotaalpie"/>
          <w:rFonts w:ascii="Arial" w:eastAsia="Times New Roman" w:hAnsi="Arial" w:cs="Arial"/>
          <w:sz w:val="24"/>
          <w:szCs w:val="24"/>
          <w:lang w:val="es-ES_tradnl" w:eastAsia="es-ES"/>
        </w:rPr>
        <w:footnoteReference w:id="9"/>
      </w:r>
      <w:r w:rsidRPr="003C56DB">
        <w:rPr>
          <w:rFonts w:ascii="Arial" w:eastAsia="Times New Roman" w:hAnsi="Arial" w:cs="Arial"/>
          <w:sz w:val="24"/>
          <w:szCs w:val="24"/>
          <w:lang w:val="es-ES_tradnl" w:eastAsia="es-ES"/>
        </w:rPr>
        <w:t xml:space="preserve">. </w:t>
      </w:r>
    </w:p>
    <w:p w:rsidR="00597D8D" w:rsidRPr="002130B1" w:rsidRDefault="00597D8D" w:rsidP="00597D8D">
      <w:pPr>
        <w:pStyle w:val="Prrafodelista"/>
        <w:ind w:left="0"/>
        <w:rPr>
          <w:rFonts w:ascii="Arial" w:eastAsia="Times New Roman" w:hAnsi="Arial" w:cs="Arial"/>
          <w:sz w:val="24"/>
          <w:szCs w:val="24"/>
          <w:lang w:val="es-ES_tradnl" w:eastAsia="es-ES"/>
        </w:rPr>
      </w:pPr>
    </w:p>
    <w:p w:rsidR="00597D8D" w:rsidRPr="003C56DB" w:rsidRDefault="00597D8D" w:rsidP="00597D8D">
      <w:pPr>
        <w:pStyle w:val="Prrafodelista"/>
        <w:spacing w:after="0" w:line="360" w:lineRule="auto"/>
        <w:ind w:left="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ES"/>
        </w:rPr>
        <w:t>En su concepto, “</w:t>
      </w:r>
      <w:r w:rsidRPr="003C56DB">
        <w:rPr>
          <w:rFonts w:ascii="Arial" w:eastAsia="Times New Roman" w:hAnsi="Arial" w:cs="Arial"/>
          <w:i/>
          <w:sz w:val="24"/>
          <w:szCs w:val="24"/>
          <w:lang w:val="es-ES_tradnl" w:eastAsia="es-ES"/>
        </w:rPr>
        <w:t>convive desde hace 17 meses</w:t>
      </w:r>
      <w:r w:rsidRPr="003C56DB">
        <w:rPr>
          <w:rFonts w:ascii="Arial" w:eastAsia="Times New Roman" w:hAnsi="Arial" w:cs="Arial"/>
          <w:sz w:val="24"/>
          <w:szCs w:val="24"/>
          <w:lang w:val="es-ES_tradnl" w:eastAsia="es-ES"/>
        </w:rPr>
        <w:t xml:space="preserve">” con la menor </w:t>
      </w:r>
      <w:r w:rsidRPr="003C56DB">
        <w:rPr>
          <w:rFonts w:ascii="Arial" w:eastAsia="Times New Roman" w:hAnsi="Arial" w:cs="Arial"/>
          <w:i/>
          <w:sz w:val="24"/>
          <w:szCs w:val="24"/>
          <w:lang w:val="es-ES_tradnl" w:eastAsia="es-ES"/>
        </w:rPr>
        <w:t>“</w:t>
      </w:r>
      <w:r w:rsidRPr="003C56DB">
        <w:rPr>
          <w:rFonts w:ascii="Arial" w:eastAsia="Times New Roman" w:hAnsi="Arial" w:cs="Arial"/>
          <w:i/>
          <w:sz w:val="24"/>
          <w:szCs w:val="24"/>
          <w:lang w:val="es-ES_tradnl" w:eastAsia="es-CO"/>
        </w:rPr>
        <w:t>LDCC”</w:t>
      </w:r>
      <w:r w:rsidRPr="003C56DB">
        <w:rPr>
          <w:rFonts w:ascii="Arial" w:eastAsia="Times New Roman" w:hAnsi="Arial" w:cs="Arial"/>
          <w:sz w:val="24"/>
          <w:szCs w:val="24"/>
          <w:lang w:val="es-ES_tradnl" w:eastAsia="es-CO"/>
        </w:rPr>
        <w:t>, con quien tiene “</w:t>
      </w:r>
      <w:r w:rsidRPr="003C56DB">
        <w:rPr>
          <w:rFonts w:ascii="Arial" w:eastAsia="Times New Roman" w:hAnsi="Arial" w:cs="Arial"/>
          <w:i/>
          <w:sz w:val="24"/>
          <w:szCs w:val="24"/>
          <w:lang w:val="es-ES_tradnl" w:eastAsia="es-CO"/>
        </w:rPr>
        <w:t>en la actualidad una bebé</w:t>
      </w:r>
      <w:r w:rsidRPr="003C56DB">
        <w:rPr>
          <w:rFonts w:ascii="Arial" w:eastAsia="Times New Roman" w:hAnsi="Arial" w:cs="Arial"/>
          <w:sz w:val="24"/>
          <w:szCs w:val="24"/>
          <w:lang w:val="es-ES_tradnl" w:eastAsia="es-CO"/>
        </w:rPr>
        <w:t>”</w:t>
      </w:r>
      <w:r>
        <w:rPr>
          <w:rFonts w:ascii="Arial" w:eastAsia="Times New Roman" w:hAnsi="Arial" w:cs="Arial"/>
          <w:sz w:val="24"/>
          <w:szCs w:val="24"/>
          <w:lang w:val="es-ES_tradnl" w:eastAsia="es-CO"/>
        </w:rPr>
        <w:t xml:space="preserve">. De igual forma, </w:t>
      </w:r>
      <w:proofErr w:type="spellStart"/>
      <w:r>
        <w:rPr>
          <w:rFonts w:ascii="Arial" w:eastAsia="Times New Roman" w:hAnsi="Arial" w:cs="Arial"/>
          <w:sz w:val="24"/>
          <w:szCs w:val="24"/>
          <w:lang w:val="es-ES_tradnl" w:eastAsia="es-CO"/>
        </w:rPr>
        <w:t>manifiestó</w:t>
      </w:r>
      <w:proofErr w:type="spellEnd"/>
      <w:r w:rsidRPr="003C56DB">
        <w:rPr>
          <w:rFonts w:ascii="Arial" w:eastAsia="Times New Roman" w:hAnsi="Arial" w:cs="Arial"/>
          <w:sz w:val="24"/>
          <w:szCs w:val="24"/>
          <w:lang w:val="es-ES_tradnl" w:eastAsia="es-CO"/>
        </w:rPr>
        <w:t xml:space="preserve"> que dicha unión cuenta con el consentimiento de los </w:t>
      </w:r>
      <w:r>
        <w:rPr>
          <w:rFonts w:ascii="Arial" w:eastAsia="Times New Roman" w:hAnsi="Arial" w:cs="Arial"/>
          <w:sz w:val="24"/>
          <w:szCs w:val="24"/>
          <w:lang w:val="es-ES_tradnl" w:eastAsia="es-CO"/>
        </w:rPr>
        <w:t>progenitores</w:t>
      </w:r>
      <w:r w:rsidRPr="003C56DB">
        <w:rPr>
          <w:rFonts w:ascii="Arial" w:eastAsia="Times New Roman" w:hAnsi="Arial" w:cs="Arial"/>
          <w:sz w:val="24"/>
          <w:szCs w:val="24"/>
          <w:lang w:val="es-ES_tradnl" w:eastAsia="es-CO"/>
        </w:rPr>
        <w:t xml:space="preserve"> de la menor y es conocida por “</w:t>
      </w:r>
      <w:r w:rsidRPr="003C56DB">
        <w:rPr>
          <w:rFonts w:ascii="Arial" w:eastAsia="Times New Roman" w:hAnsi="Arial" w:cs="Arial"/>
          <w:i/>
          <w:sz w:val="24"/>
          <w:szCs w:val="24"/>
          <w:lang w:val="es-ES_tradnl" w:eastAsia="es-CO"/>
        </w:rPr>
        <w:t>los directivos</w:t>
      </w:r>
      <w:r w:rsidRPr="003C56DB">
        <w:rPr>
          <w:rFonts w:ascii="Arial" w:eastAsia="Times New Roman" w:hAnsi="Arial" w:cs="Arial"/>
          <w:sz w:val="24"/>
          <w:szCs w:val="24"/>
          <w:lang w:val="es-ES_tradnl" w:eastAsia="es-CO"/>
        </w:rPr>
        <w:t>” d</w:t>
      </w:r>
      <w:r>
        <w:rPr>
          <w:rFonts w:ascii="Arial" w:eastAsia="Times New Roman" w:hAnsi="Arial" w:cs="Arial"/>
          <w:sz w:val="24"/>
          <w:szCs w:val="24"/>
          <w:lang w:val="es-ES_tradnl" w:eastAsia="es-CO"/>
        </w:rPr>
        <w:t>el cabildo. Al respecto, aseguró</w:t>
      </w:r>
      <w:r w:rsidRPr="003C56DB">
        <w:rPr>
          <w:rFonts w:ascii="Arial" w:eastAsia="Times New Roman" w:hAnsi="Arial" w:cs="Arial"/>
          <w:sz w:val="24"/>
          <w:szCs w:val="24"/>
          <w:lang w:val="es-ES_tradnl" w:eastAsia="es-CO"/>
        </w:rPr>
        <w:t xml:space="preserve"> que en su comunidad “</w:t>
      </w:r>
      <w:r w:rsidRPr="003C56DB">
        <w:rPr>
          <w:rFonts w:ascii="Arial" w:eastAsia="Times New Roman" w:hAnsi="Arial" w:cs="Arial"/>
          <w:i/>
          <w:sz w:val="24"/>
          <w:szCs w:val="24"/>
          <w:lang w:val="es-ES_tradnl" w:eastAsia="es-CO"/>
        </w:rPr>
        <w:t>tal actuación no constituye delito</w:t>
      </w:r>
      <w:r w:rsidRPr="003C56DB">
        <w:rPr>
          <w:rFonts w:ascii="Arial" w:eastAsia="Times New Roman" w:hAnsi="Arial" w:cs="Arial"/>
          <w:sz w:val="24"/>
          <w:szCs w:val="24"/>
          <w:lang w:val="es-ES_tradnl" w:eastAsia="es-CO"/>
        </w:rPr>
        <w:t>”</w:t>
      </w:r>
      <w:r>
        <w:rPr>
          <w:rFonts w:ascii="Arial" w:eastAsia="Times New Roman" w:hAnsi="Arial" w:cs="Arial"/>
          <w:sz w:val="24"/>
          <w:szCs w:val="24"/>
          <w:lang w:val="es-ES_tradnl" w:eastAsia="es-CO"/>
        </w:rPr>
        <w:t xml:space="preserve">, motivo por el cual, consideró </w:t>
      </w:r>
      <w:r w:rsidRPr="003C56DB">
        <w:rPr>
          <w:rFonts w:ascii="Arial" w:eastAsia="Times New Roman" w:hAnsi="Arial" w:cs="Arial"/>
          <w:sz w:val="24"/>
          <w:szCs w:val="24"/>
          <w:lang w:val="es-ES_tradnl" w:eastAsia="es-CO"/>
        </w:rPr>
        <w:t xml:space="preserve">injusta su detención.  </w:t>
      </w: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CO"/>
        </w:rPr>
        <w:t>En “</w:t>
      </w:r>
      <w:r w:rsidRPr="003C56DB">
        <w:rPr>
          <w:rFonts w:ascii="Arial" w:eastAsia="Times New Roman" w:hAnsi="Arial" w:cs="Arial"/>
          <w:i/>
          <w:sz w:val="24"/>
          <w:szCs w:val="24"/>
          <w:lang w:val="es-ES_tradnl" w:eastAsia="es-CO"/>
        </w:rPr>
        <w:t>Auto No. 42 de 2013</w:t>
      </w:r>
      <w:r w:rsidRPr="003C56DB">
        <w:rPr>
          <w:rFonts w:ascii="Arial" w:eastAsia="Times New Roman" w:hAnsi="Arial" w:cs="Arial"/>
          <w:sz w:val="24"/>
          <w:szCs w:val="24"/>
          <w:lang w:val="es-ES_tradnl" w:eastAsia="es-CO"/>
        </w:rPr>
        <w:t xml:space="preserve">”, proferido el 24 de diciembre de ese año, la Sala Administrativa </w:t>
      </w:r>
      <w:r w:rsidRPr="003C56DB">
        <w:rPr>
          <w:rFonts w:ascii="Arial" w:eastAsia="Times New Roman" w:hAnsi="Arial" w:cs="Arial"/>
          <w:sz w:val="24"/>
          <w:szCs w:val="24"/>
          <w:lang w:val="es-ES_tradnl" w:eastAsia="es-ES"/>
        </w:rPr>
        <w:t>del Consejo Seccional de la Judicatura de Caquetá dispuso “</w:t>
      </w:r>
      <w:r w:rsidRPr="002130B1">
        <w:rPr>
          <w:rFonts w:ascii="Arial" w:eastAsia="Times New Roman" w:hAnsi="Arial" w:cs="Arial"/>
          <w:i/>
          <w:sz w:val="24"/>
          <w:szCs w:val="24"/>
          <w:lang w:val="es-ES_tradnl" w:eastAsia="es-ES"/>
        </w:rPr>
        <w:t xml:space="preserve">no </w:t>
      </w:r>
      <w:proofErr w:type="spellStart"/>
      <w:r w:rsidRPr="002130B1">
        <w:rPr>
          <w:rFonts w:ascii="Arial" w:eastAsia="Times New Roman" w:hAnsi="Arial" w:cs="Arial"/>
          <w:i/>
          <w:sz w:val="24"/>
          <w:szCs w:val="24"/>
          <w:lang w:val="es-ES_tradnl" w:eastAsia="es-ES"/>
        </w:rPr>
        <w:t>aperturar</w:t>
      </w:r>
      <w:proofErr w:type="spellEnd"/>
      <w:r w:rsidRPr="003C56DB">
        <w:rPr>
          <w:rFonts w:ascii="Arial" w:eastAsia="Times New Roman" w:hAnsi="Arial" w:cs="Arial"/>
          <w:sz w:val="24"/>
          <w:szCs w:val="24"/>
          <w:lang w:val="es-ES_tradnl" w:eastAsia="es-ES"/>
        </w:rPr>
        <w:t>” el trámite de vigilancia administrativa solicitado, al considerar que si bien el proceso judicial seguido contra el señor Juan de Jesús Vargas García</w:t>
      </w:r>
      <w:r>
        <w:rPr>
          <w:rFonts w:ascii="Arial" w:eastAsia="Times New Roman" w:hAnsi="Arial" w:cs="Arial"/>
          <w:sz w:val="24"/>
          <w:szCs w:val="24"/>
          <w:lang w:val="es-ES_tradnl" w:eastAsia="es-ES"/>
        </w:rPr>
        <w:t xml:space="preserve"> no ha sido adelantado con celeridad</w:t>
      </w:r>
      <w:r w:rsidRPr="003C56DB">
        <w:rPr>
          <w:rFonts w:ascii="Arial" w:eastAsia="Times New Roman" w:hAnsi="Arial" w:cs="Arial"/>
          <w:sz w:val="24"/>
          <w:szCs w:val="24"/>
          <w:lang w:val="es-ES_tradnl" w:eastAsia="es-ES"/>
        </w:rPr>
        <w:t>, las</w:t>
      </w:r>
      <w:r>
        <w:rPr>
          <w:rFonts w:ascii="Arial" w:eastAsia="Times New Roman" w:hAnsi="Arial" w:cs="Arial"/>
          <w:sz w:val="24"/>
          <w:szCs w:val="24"/>
          <w:lang w:val="es-ES_tradnl" w:eastAsia="es-ES"/>
        </w:rPr>
        <w:t xml:space="preserve"> demoras ocurridas</w:t>
      </w:r>
      <w:r w:rsidRPr="003C56DB">
        <w:rPr>
          <w:rFonts w:ascii="Arial" w:eastAsia="Times New Roman" w:hAnsi="Arial" w:cs="Arial"/>
          <w:sz w:val="24"/>
          <w:szCs w:val="24"/>
          <w:lang w:val="es-ES_tradnl" w:eastAsia="es-ES"/>
        </w:rPr>
        <w:t xml:space="preserve"> se deben a circunstancias ajenas a la voluntad de las autoridades judiciales involucradas en el mismo</w:t>
      </w:r>
      <w:r w:rsidRPr="003C56DB">
        <w:rPr>
          <w:rStyle w:val="Refdenotaalpie"/>
          <w:rFonts w:ascii="Arial" w:eastAsia="Times New Roman" w:hAnsi="Arial" w:cs="Arial"/>
          <w:sz w:val="24"/>
          <w:szCs w:val="24"/>
          <w:lang w:val="es-ES_tradnl" w:eastAsia="es-ES"/>
        </w:rPr>
        <w:footnoteReference w:id="10"/>
      </w:r>
      <w:r w:rsidRPr="003C56DB">
        <w:rPr>
          <w:rFonts w:ascii="Arial" w:eastAsia="Times New Roman" w:hAnsi="Arial" w:cs="Arial"/>
          <w:sz w:val="24"/>
          <w:szCs w:val="24"/>
          <w:lang w:val="es-ES_tradnl" w:eastAsia="es-ES"/>
        </w:rPr>
        <w:t>.</w:t>
      </w: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Una vez reanudada la audiencia preparatoria el 3 de abril de 2014, el </w:t>
      </w:r>
      <w:r w:rsidRPr="003C56DB">
        <w:rPr>
          <w:rFonts w:ascii="Arial" w:eastAsia="Times New Roman" w:hAnsi="Arial" w:cs="Arial"/>
          <w:sz w:val="24"/>
          <w:szCs w:val="24"/>
          <w:lang w:val="es-ES_tradnl" w:eastAsia="es-ES"/>
        </w:rPr>
        <w:t xml:space="preserve">Juez Segundo Penal del Circuito de Florencia Caquetá declaró la nulidad de lo actuado desde la audiencia celebrada el 17 de mayo de 2013, por cuanto en dicha ocasión se escuchó la solicitud de cambio de jurisdicción impetrada por la gobernadora del cabildo indígena Sofía González Campos, sin que ese momento fuera el estadio procesal </w:t>
      </w:r>
      <w:r>
        <w:rPr>
          <w:rFonts w:ascii="Arial" w:eastAsia="Times New Roman" w:hAnsi="Arial" w:cs="Arial"/>
          <w:sz w:val="24"/>
          <w:szCs w:val="24"/>
          <w:lang w:val="es-ES_tradnl" w:eastAsia="es-ES"/>
        </w:rPr>
        <w:t>idóneo</w:t>
      </w:r>
      <w:r w:rsidRPr="003C56DB">
        <w:rPr>
          <w:rFonts w:ascii="Arial" w:eastAsia="Times New Roman" w:hAnsi="Arial" w:cs="Arial"/>
          <w:sz w:val="24"/>
          <w:szCs w:val="24"/>
          <w:lang w:val="es-ES_tradnl" w:eastAsia="es-ES"/>
        </w:rPr>
        <w:t xml:space="preserve"> para efectuar ese tipo de solicitudes.</w:t>
      </w:r>
    </w:p>
    <w:p w:rsidR="00597D8D" w:rsidRPr="003C56DB" w:rsidRDefault="00597D8D" w:rsidP="00597D8D">
      <w:pPr>
        <w:pStyle w:val="Prrafodelista"/>
        <w:ind w:left="0"/>
        <w:rPr>
          <w:rFonts w:ascii="Arial" w:eastAsia="Times New Roman" w:hAnsi="Arial" w:cs="Arial"/>
          <w:sz w:val="24"/>
          <w:szCs w:val="24"/>
          <w:lang w:val="es-ES_tradnl" w:eastAsia="es-CO"/>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Contra la anterior decisión la defensa interpuso recurso de apelación, el cual fue resuelto mediante providencia del 6 de mayo de 2014 por la Sala Penal del Tribunal Superior del Distrito Judicial de Florencia (Caquetá)</w:t>
      </w:r>
      <w:r w:rsidRPr="003C56DB">
        <w:rPr>
          <w:rStyle w:val="Refdenotaalpie"/>
          <w:rFonts w:ascii="Arial" w:eastAsia="Times New Roman" w:hAnsi="Arial" w:cs="Arial"/>
          <w:sz w:val="24"/>
          <w:szCs w:val="24"/>
          <w:lang w:val="es-ES_tradnl" w:eastAsia="es-CO"/>
        </w:rPr>
        <w:footnoteReference w:id="11"/>
      </w:r>
      <w:r w:rsidRPr="003C56DB">
        <w:rPr>
          <w:rFonts w:ascii="Arial" w:eastAsia="Times New Roman" w:hAnsi="Arial" w:cs="Arial"/>
          <w:sz w:val="24"/>
          <w:szCs w:val="24"/>
          <w:lang w:val="es-ES_tradnl" w:eastAsia="es-CO"/>
        </w:rPr>
        <w:t>. De acuerdo con dicha colegiatura, la actuación desplegada en la audi</w:t>
      </w:r>
      <w:r>
        <w:rPr>
          <w:rFonts w:ascii="Arial" w:eastAsia="Times New Roman" w:hAnsi="Arial" w:cs="Arial"/>
          <w:sz w:val="24"/>
          <w:szCs w:val="24"/>
          <w:lang w:val="es-ES_tradnl" w:eastAsia="es-CO"/>
        </w:rPr>
        <w:t>encia del</w:t>
      </w:r>
      <w:r w:rsidRPr="003C56DB">
        <w:rPr>
          <w:rFonts w:ascii="Arial" w:eastAsia="Times New Roman" w:hAnsi="Arial" w:cs="Arial"/>
          <w:sz w:val="24"/>
          <w:szCs w:val="24"/>
          <w:lang w:val="es-ES_tradnl" w:eastAsia="es-CO"/>
        </w:rPr>
        <w:t xml:space="preserve"> 17 de mayo de 2013 no afectó sustancialmente el debido proceso y, por consiguiente, carecía en entidad para decretar la invalidez de las diligencias. Por este motivo, revocó el auto del 3 de abril de 2014 y orden</w:t>
      </w:r>
      <w:r>
        <w:rPr>
          <w:rFonts w:ascii="Arial" w:eastAsia="Times New Roman" w:hAnsi="Arial" w:cs="Arial"/>
          <w:sz w:val="24"/>
          <w:szCs w:val="24"/>
          <w:lang w:val="es-ES_tradnl" w:eastAsia="es-CO"/>
        </w:rPr>
        <w:t>ó proseguir con e</w:t>
      </w:r>
      <w:r w:rsidRPr="003C56DB">
        <w:rPr>
          <w:rFonts w:ascii="Arial" w:eastAsia="Times New Roman" w:hAnsi="Arial" w:cs="Arial"/>
          <w:sz w:val="24"/>
          <w:szCs w:val="24"/>
          <w:lang w:val="es-ES_tradnl" w:eastAsia="es-CO"/>
        </w:rPr>
        <w:t>l trámite penal.</w:t>
      </w:r>
    </w:p>
    <w:p w:rsidR="00597D8D" w:rsidRPr="003C56DB" w:rsidRDefault="00597D8D" w:rsidP="00597D8D">
      <w:pPr>
        <w:pStyle w:val="Prrafodelista"/>
        <w:ind w:left="0"/>
        <w:rPr>
          <w:rFonts w:ascii="Arial" w:eastAsia="Times New Roman" w:hAnsi="Arial" w:cs="Arial"/>
          <w:sz w:val="24"/>
          <w:szCs w:val="24"/>
          <w:lang w:val="es-ES_tradnl" w:eastAsia="es-CO"/>
        </w:rPr>
      </w:pPr>
    </w:p>
    <w:p w:rsidR="00597D8D" w:rsidRPr="003C56DB"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En memo</w:t>
      </w:r>
      <w:r>
        <w:rPr>
          <w:rFonts w:ascii="Arial" w:eastAsia="Times New Roman" w:hAnsi="Arial" w:cs="Arial"/>
          <w:sz w:val="24"/>
          <w:szCs w:val="24"/>
          <w:lang w:val="es-ES_tradnl" w:eastAsia="es-CO"/>
        </w:rPr>
        <w:t>rial del 8 de agosto de 2014, el</w:t>
      </w:r>
      <w:r w:rsidRPr="003C56DB">
        <w:rPr>
          <w:rFonts w:ascii="Arial" w:eastAsia="Times New Roman" w:hAnsi="Arial" w:cs="Arial"/>
          <w:sz w:val="24"/>
          <w:szCs w:val="24"/>
          <w:lang w:val="es-ES_tradnl" w:eastAsia="es-CO"/>
        </w:rPr>
        <w:t xml:space="preserve"> cabildo indígena </w:t>
      </w:r>
      <w:r w:rsidRPr="003C56DB">
        <w:rPr>
          <w:rFonts w:ascii="Arial" w:eastAsia="Times New Roman" w:hAnsi="Arial" w:cs="Arial"/>
          <w:sz w:val="24"/>
          <w:szCs w:val="24"/>
          <w:lang w:val="es-ES_tradnl" w:eastAsia="es-ES"/>
        </w:rPr>
        <w:t xml:space="preserve">Nasa Urbano de Belén informó que el actual gobernador de la comunidad es el señor José Miguel </w:t>
      </w:r>
      <w:proofErr w:type="spellStart"/>
      <w:r w:rsidRPr="003C56DB">
        <w:rPr>
          <w:rFonts w:ascii="Arial" w:eastAsia="Times New Roman" w:hAnsi="Arial" w:cs="Arial"/>
          <w:sz w:val="24"/>
          <w:szCs w:val="24"/>
          <w:lang w:val="es-ES_tradnl" w:eastAsia="es-ES"/>
        </w:rPr>
        <w:t>Pajajoy</w:t>
      </w:r>
      <w:proofErr w:type="spellEnd"/>
      <w:r w:rsidRPr="003C56DB">
        <w:rPr>
          <w:rFonts w:ascii="Arial" w:eastAsia="Times New Roman" w:hAnsi="Arial" w:cs="Arial"/>
          <w:sz w:val="24"/>
          <w:szCs w:val="24"/>
          <w:lang w:val="es-ES_tradnl" w:eastAsia="es-ES"/>
        </w:rPr>
        <w:t xml:space="preserve"> Alegría</w:t>
      </w:r>
      <w:r w:rsidRPr="003C56DB">
        <w:rPr>
          <w:rStyle w:val="Refdenotaalpie"/>
          <w:rFonts w:ascii="Arial" w:eastAsia="Times New Roman" w:hAnsi="Arial" w:cs="Arial"/>
          <w:sz w:val="24"/>
          <w:szCs w:val="24"/>
          <w:lang w:val="es-ES_tradnl" w:eastAsia="es-ES"/>
        </w:rPr>
        <w:footnoteReference w:id="12"/>
      </w:r>
      <w:r w:rsidRPr="003C56DB">
        <w:rPr>
          <w:rFonts w:ascii="Arial" w:eastAsia="Times New Roman" w:hAnsi="Arial" w:cs="Arial"/>
          <w:sz w:val="24"/>
          <w:szCs w:val="24"/>
          <w:lang w:val="es-ES_tradnl" w:eastAsia="es-ES"/>
        </w:rPr>
        <w:t>.</w:t>
      </w:r>
    </w:p>
    <w:p w:rsidR="00597D8D" w:rsidRPr="003C56DB" w:rsidRDefault="00597D8D" w:rsidP="00597D8D">
      <w:pPr>
        <w:pStyle w:val="Prrafodelista"/>
        <w:ind w:left="0"/>
        <w:rPr>
          <w:rFonts w:ascii="Arial" w:eastAsia="Times New Roman" w:hAnsi="Arial" w:cs="Arial"/>
          <w:sz w:val="24"/>
          <w:szCs w:val="24"/>
          <w:lang w:val="es-ES_tradnl" w:eastAsia="es-CO"/>
        </w:rPr>
      </w:pPr>
    </w:p>
    <w:p w:rsidR="00597D8D" w:rsidRDefault="00597D8D" w:rsidP="00597D8D">
      <w:pPr>
        <w:pStyle w:val="Prrafodelista"/>
        <w:numPr>
          <w:ilvl w:val="0"/>
          <w:numId w:val="3"/>
        </w:numPr>
        <w:spacing w:after="0" w:line="360" w:lineRule="auto"/>
        <w:ind w:left="0" w:firstLine="0"/>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El 22 de agosto de 2014 finalmente tuvo lugar la continuación de la audiencia preparatoria en el expediente seguido al señor </w:t>
      </w:r>
      <w:r w:rsidRPr="003C56DB">
        <w:rPr>
          <w:rFonts w:ascii="Arial" w:eastAsia="Times New Roman" w:hAnsi="Arial" w:cs="Arial"/>
          <w:sz w:val="24"/>
          <w:szCs w:val="24"/>
          <w:lang w:val="es-ES_tradnl" w:eastAsia="es-ES"/>
        </w:rPr>
        <w:t>Juan de Jesús Vargas García por el delito de acceso carnal abusivo con menor de 14 años</w:t>
      </w:r>
      <w:r w:rsidRPr="003C56DB">
        <w:rPr>
          <w:rStyle w:val="Refdenotaalpie"/>
          <w:rFonts w:ascii="Arial" w:eastAsia="Times New Roman" w:hAnsi="Arial" w:cs="Arial"/>
          <w:sz w:val="24"/>
          <w:szCs w:val="24"/>
          <w:lang w:val="es-ES_tradnl" w:eastAsia="es-ES"/>
        </w:rPr>
        <w:footnoteReference w:id="13"/>
      </w:r>
      <w:r w:rsidRPr="003C56DB">
        <w:rPr>
          <w:rFonts w:ascii="Arial" w:eastAsia="Times New Roman" w:hAnsi="Arial" w:cs="Arial"/>
          <w:sz w:val="24"/>
          <w:szCs w:val="24"/>
          <w:lang w:val="es-ES_tradnl" w:eastAsia="es-ES"/>
        </w:rPr>
        <w:t xml:space="preserve">. </w:t>
      </w:r>
    </w:p>
    <w:p w:rsidR="00597D8D" w:rsidRPr="002130B1" w:rsidRDefault="00597D8D" w:rsidP="00597D8D">
      <w:pPr>
        <w:pStyle w:val="Prrafodelista"/>
        <w:ind w:left="0"/>
        <w:rPr>
          <w:rFonts w:ascii="Arial" w:eastAsia="Times New Roman" w:hAnsi="Arial" w:cs="Arial"/>
          <w:sz w:val="24"/>
          <w:szCs w:val="24"/>
          <w:lang w:val="es-ES_tradnl" w:eastAsia="es-ES"/>
        </w:rPr>
      </w:pPr>
    </w:p>
    <w:p w:rsidR="00597D8D" w:rsidRDefault="00597D8D" w:rsidP="00597D8D">
      <w:pPr>
        <w:pStyle w:val="Prrafodelista"/>
        <w:spacing w:after="0" w:line="360" w:lineRule="auto"/>
        <w:ind w:left="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En dicha oportunidad, la defensa insistió en el deber de remitir el presente asunto a la justicia indígena, teniendo en cuenta la pertenencia a la comunidad Nasa Urbano tanto de la “</w:t>
      </w:r>
      <w:r w:rsidRPr="003C56DB">
        <w:rPr>
          <w:rFonts w:ascii="Arial" w:eastAsia="Times New Roman" w:hAnsi="Arial" w:cs="Arial"/>
          <w:i/>
          <w:sz w:val="24"/>
          <w:szCs w:val="24"/>
          <w:lang w:val="es-ES_tradnl" w:eastAsia="es-ES"/>
        </w:rPr>
        <w:t>que se dice</w:t>
      </w:r>
      <w:r w:rsidRPr="003C56DB">
        <w:rPr>
          <w:rFonts w:ascii="Arial" w:eastAsia="Times New Roman" w:hAnsi="Arial" w:cs="Arial"/>
          <w:sz w:val="24"/>
          <w:szCs w:val="24"/>
          <w:lang w:val="es-ES_tradnl" w:eastAsia="es-ES"/>
        </w:rPr>
        <w:t>” víctima</w:t>
      </w:r>
      <w:r>
        <w:rPr>
          <w:rFonts w:ascii="Arial" w:eastAsia="Times New Roman" w:hAnsi="Arial" w:cs="Arial"/>
          <w:sz w:val="24"/>
          <w:szCs w:val="24"/>
          <w:lang w:val="es-ES_tradnl" w:eastAsia="es-ES"/>
        </w:rPr>
        <w:t xml:space="preserve">, </w:t>
      </w:r>
      <w:r w:rsidRPr="003C56DB">
        <w:rPr>
          <w:rFonts w:ascii="Arial" w:eastAsia="Times New Roman" w:hAnsi="Arial" w:cs="Arial"/>
          <w:sz w:val="24"/>
          <w:szCs w:val="24"/>
          <w:lang w:val="es-ES_tradnl" w:eastAsia="es-ES"/>
        </w:rPr>
        <w:t>del victimario</w:t>
      </w:r>
      <w:r>
        <w:rPr>
          <w:rFonts w:ascii="Arial" w:eastAsia="Times New Roman" w:hAnsi="Arial" w:cs="Arial"/>
          <w:sz w:val="24"/>
          <w:szCs w:val="24"/>
          <w:lang w:val="es-ES_tradnl" w:eastAsia="es-ES"/>
        </w:rPr>
        <w:t xml:space="preserve"> (</w:t>
      </w:r>
      <w:r w:rsidRPr="003C56DB">
        <w:rPr>
          <w:rFonts w:ascii="Arial" w:eastAsia="Times New Roman" w:hAnsi="Arial" w:cs="Arial"/>
          <w:sz w:val="24"/>
          <w:szCs w:val="24"/>
          <w:lang w:val="es-ES_tradnl" w:eastAsia="es-ES"/>
        </w:rPr>
        <w:t>quienes son pareja</w:t>
      </w:r>
      <w:r>
        <w:rPr>
          <w:rFonts w:ascii="Arial" w:eastAsia="Times New Roman" w:hAnsi="Arial" w:cs="Arial"/>
          <w:sz w:val="24"/>
          <w:szCs w:val="24"/>
          <w:lang w:val="es-ES_tradnl" w:eastAsia="es-ES"/>
        </w:rPr>
        <w:t>)</w:t>
      </w:r>
      <w:r w:rsidRPr="003C56DB">
        <w:rPr>
          <w:rFonts w:ascii="Arial" w:eastAsia="Times New Roman" w:hAnsi="Arial" w:cs="Arial"/>
          <w:sz w:val="24"/>
          <w:szCs w:val="24"/>
          <w:lang w:val="es-ES_tradnl" w:eastAsia="es-ES"/>
        </w:rPr>
        <w:t xml:space="preserve"> y </w:t>
      </w:r>
      <w:r>
        <w:rPr>
          <w:rFonts w:ascii="Arial" w:eastAsia="Times New Roman" w:hAnsi="Arial" w:cs="Arial"/>
          <w:sz w:val="24"/>
          <w:szCs w:val="24"/>
          <w:lang w:val="es-ES_tradnl" w:eastAsia="es-ES"/>
        </w:rPr>
        <w:t>d</w:t>
      </w:r>
      <w:r w:rsidRPr="003C56DB">
        <w:rPr>
          <w:rFonts w:ascii="Arial" w:eastAsia="Times New Roman" w:hAnsi="Arial" w:cs="Arial"/>
          <w:sz w:val="24"/>
          <w:szCs w:val="24"/>
          <w:lang w:val="es-ES_tradnl" w:eastAsia="es-ES"/>
        </w:rPr>
        <w:t>el bebé recién nacido</w:t>
      </w:r>
      <w:r>
        <w:rPr>
          <w:rFonts w:ascii="Arial" w:eastAsia="Times New Roman" w:hAnsi="Arial" w:cs="Arial"/>
          <w:sz w:val="24"/>
          <w:szCs w:val="24"/>
          <w:lang w:val="es-ES_tradnl" w:eastAsia="es-ES"/>
        </w:rPr>
        <w:t>; y que</w:t>
      </w:r>
      <w:r w:rsidRPr="003C56DB">
        <w:rPr>
          <w:rFonts w:ascii="Arial" w:eastAsia="Times New Roman" w:hAnsi="Arial" w:cs="Arial"/>
          <w:sz w:val="24"/>
          <w:szCs w:val="24"/>
          <w:lang w:val="es-ES_tradnl" w:eastAsia="es-ES"/>
        </w:rPr>
        <w:t xml:space="preserve"> los hechos </w:t>
      </w:r>
      <w:r>
        <w:rPr>
          <w:rFonts w:ascii="Arial" w:eastAsia="Times New Roman" w:hAnsi="Arial" w:cs="Arial"/>
          <w:sz w:val="24"/>
          <w:szCs w:val="24"/>
          <w:lang w:val="es-ES_tradnl" w:eastAsia="es-ES"/>
        </w:rPr>
        <w:t xml:space="preserve">ocurrieron </w:t>
      </w:r>
      <w:r w:rsidRPr="003C56DB">
        <w:rPr>
          <w:rFonts w:ascii="Arial" w:eastAsia="Times New Roman" w:hAnsi="Arial" w:cs="Arial"/>
          <w:sz w:val="24"/>
          <w:szCs w:val="24"/>
          <w:lang w:val="es-ES_tradnl" w:eastAsia="es-ES"/>
        </w:rPr>
        <w:t xml:space="preserve">en el municipio de Belén de Los </w:t>
      </w:r>
      <w:proofErr w:type="spellStart"/>
      <w:r w:rsidRPr="003C56DB">
        <w:rPr>
          <w:rFonts w:ascii="Arial" w:eastAsia="Times New Roman" w:hAnsi="Arial" w:cs="Arial"/>
          <w:sz w:val="24"/>
          <w:szCs w:val="24"/>
          <w:lang w:val="es-ES_tradnl" w:eastAsia="es-ES"/>
        </w:rPr>
        <w:t>Andaquíes</w:t>
      </w:r>
      <w:proofErr w:type="spellEnd"/>
      <w:r w:rsidRPr="003C56DB">
        <w:rPr>
          <w:rFonts w:ascii="Arial" w:eastAsia="Times New Roman" w:hAnsi="Arial" w:cs="Arial"/>
          <w:sz w:val="24"/>
          <w:szCs w:val="24"/>
          <w:lang w:val="es-ES_tradnl" w:eastAsia="es-ES"/>
        </w:rPr>
        <w:t xml:space="preserve">. </w:t>
      </w:r>
    </w:p>
    <w:p w:rsidR="00597D8D" w:rsidRDefault="00597D8D" w:rsidP="00597D8D">
      <w:pPr>
        <w:pStyle w:val="Prrafodelista"/>
        <w:spacing w:after="0" w:line="360" w:lineRule="auto"/>
        <w:ind w:left="0"/>
        <w:jc w:val="both"/>
        <w:rPr>
          <w:rFonts w:ascii="Arial" w:eastAsia="Times New Roman" w:hAnsi="Arial" w:cs="Arial"/>
          <w:sz w:val="24"/>
          <w:szCs w:val="24"/>
          <w:lang w:val="es-ES_tradnl" w:eastAsia="es-ES"/>
        </w:rPr>
      </w:pPr>
    </w:p>
    <w:p w:rsidR="00597D8D" w:rsidRDefault="00597D8D" w:rsidP="00597D8D">
      <w:pPr>
        <w:pStyle w:val="Prrafodelista"/>
        <w:spacing w:after="0" w:line="360" w:lineRule="auto"/>
        <w:ind w:left="0"/>
        <w:jc w:val="both"/>
        <w:rPr>
          <w:rFonts w:ascii="Arial" w:eastAsia="Times New Roman" w:hAnsi="Arial" w:cs="Arial"/>
          <w:sz w:val="24"/>
          <w:szCs w:val="24"/>
          <w:lang w:val="es-ES_tradnl" w:eastAsia="es-ES"/>
        </w:rPr>
      </w:pPr>
      <w:r w:rsidRPr="003C56DB">
        <w:rPr>
          <w:rFonts w:ascii="Arial" w:eastAsia="Times New Roman" w:hAnsi="Arial" w:cs="Arial"/>
          <w:sz w:val="24"/>
          <w:szCs w:val="24"/>
          <w:lang w:val="es-ES_tradnl" w:eastAsia="es-ES"/>
        </w:rPr>
        <w:t xml:space="preserve">Por su parte, el representante de la Fiscalía General de la Nación calificó de improcedente la petición de cambio de jurisdicción, por cuanto los hechos ocurrieron en el casco urbano del citado municipio, en donde opera la justicia penal ordinaria. </w:t>
      </w:r>
    </w:p>
    <w:p w:rsidR="00597D8D" w:rsidRDefault="00597D8D" w:rsidP="00597D8D">
      <w:pPr>
        <w:pStyle w:val="Prrafodelista"/>
        <w:spacing w:after="0" w:line="360" w:lineRule="auto"/>
        <w:ind w:left="0"/>
        <w:jc w:val="both"/>
        <w:rPr>
          <w:rFonts w:ascii="Arial" w:eastAsia="Times New Roman" w:hAnsi="Arial" w:cs="Arial"/>
          <w:sz w:val="24"/>
          <w:szCs w:val="24"/>
          <w:lang w:val="es-ES_tradnl" w:eastAsia="es-ES"/>
        </w:rPr>
      </w:pPr>
    </w:p>
    <w:p w:rsidR="00597D8D" w:rsidRPr="003C56DB" w:rsidRDefault="00597D8D" w:rsidP="00597D8D">
      <w:pPr>
        <w:pStyle w:val="Prrafodelista"/>
        <w:spacing w:after="0" w:line="360" w:lineRule="auto"/>
        <w:ind w:left="0"/>
        <w:jc w:val="both"/>
        <w:rPr>
          <w:rFonts w:ascii="Arial" w:eastAsia="Times New Roman" w:hAnsi="Arial" w:cs="Arial"/>
          <w:sz w:val="24"/>
          <w:szCs w:val="24"/>
          <w:lang w:val="es-ES_tradnl" w:eastAsia="es-CO"/>
        </w:rPr>
      </w:pPr>
      <w:r>
        <w:rPr>
          <w:rFonts w:ascii="Arial" w:eastAsia="Times New Roman" w:hAnsi="Arial" w:cs="Arial"/>
          <w:sz w:val="24"/>
          <w:szCs w:val="24"/>
          <w:lang w:val="es-ES_tradnl" w:eastAsia="es-ES"/>
        </w:rPr>
        <w:t>El</w:t>
      </w:r>
      <w:r w:rsidRPr="003C56DB">
        <w:rPr>
          <w:rFonts w:ascii="Arial" w:eastAsia="Times New Roman" w:hAnsi="Arial" w:cs="Arial"/>
          <w:sz w:val="24"/>
          <w:szCs w:val="24"/>
          <w:lang w:val="es-ES_tradnl" w:eastAsia="es-ES"/>
        </w:rPr>
        <w:t xml:space="preserve"> Juez Segundo Penal del Circuito de Florencia</w:t>
      </w:r>
      <w:r>
        <w:rPr>
          <w:rFonts w:ascii="Arial" w:eastAsia="Times New Roman" w:hAnsi="Arial" w:cs="Arial"/>
          <w:sz w:val="24"/>
          <w:szCs w:val="24"/>
          <w:lang w:val="es-ES_tradnl" w:eastAsia="es-ES"/>
        </w:rPr>
        <w:t>, a su turno,</w:t>
      </w:r>
      <w:r w:rsidRPr="003C56DB">
        <w:rPr>
          <w:rFonts w:ascii="Arial" w:eastAsia="Times New Roman" w:hAnsi="Arial" w:cs="Arial"/>
          <w:sz w:val="24"/>
          <w:szCs w:val="24"/>
          <w:lang w:val="es-ES_tradnl" w:eastAsia="es-ES"/>
        </w:rPr>
        <w:t xml:space="preserve"> rechazó la solicitud elevada por el cabildo indígena, por cuanto el “</w:t>
      </w:r>
      <w:r w:rsidRPr="003C56DB">
        <w:rPr>
          <w:rFonts w:ascii="Arial" w:eastAsia="Times New Roman" w:hAnsi="Arial" w:cs="Arial"/>
          <w:i/>
          <w:sz w:val="24"/>
          <w:szCs w:val="24"/>
          <w:lang w:val="es-ES_tradnl" w:eastAsia="es-ES"/>
        </w:rPr>
        <w:t>territorio indígena debe estar delimitado</w:t>
      </w:r>
      <w:r w:rsidRPr="003C56DB">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no puede ser todo el “</w:t>
      </w:r>
      <w:r w:rsidRPr="002130B1">
        <w:rPr>
          <w:rFonts w:ascii="Arial" w:eastAsia="Times New Roman" w:hAnsi="Arial" w:cs="Arial"/>
          <w:i/>
          <w:sz w:val="24"/>
          <w:szCs w:val="24"/>
          <w:lang w:val="es-ES_tradnl" w:eastAsia="es-ES"/>
        </w:rPr>
        <w:t>globo terráqueo</w:t>
      </w:r>
      <w:r>
        <w:rPr>
          <w:rFonts w:ascii="Arial" w:eastAsia="Times New Roman" w:hAnsi="Arial" w:cs="Arial"/>
          <w:sz w:val="24"/>
          <w:szCs w:val="24"/>
          <w:lang w:val="es-ES_tradnl" w:eastAsia="es-ES"/>
        </w:rPr>
        <w:t xml:space="preserve">”, </w:t>
      </w:r>
      <w:r w:rsidRPr="003C56DB">
        <w:rPr>
          <w:rFonts w:ascii="Arial" w:eastAsia="Times New Roman" w:hAnsi="Arial" w:cs="Arial"/>
          <w:sz w:val="24"/>
          <w:szCs w:val="24"/>
          <w:lang w:val="es-ES_tradnl" w:eastAsia="es-ES"/>
        </w:rPr>
        <w:t xml:space="preserve">y es </w:t>
      </w:r>
      <w:r>
        <w:rPr>
          <w:rFonts w:ascii="Arial" w:eastAsia="Times New Roman" w:hAnsi="Arial" w:cs="Arial"/>
          <w:sz w:val="24"/>
          <w:szCs w:val="24"/>
          <w:lang w:val="es-ES_tradnl" w:eastAsia="es-ES"/>
        </w:rPr>
        <w:t xml:space="preserve">sólo a su interior </w:t>
      </w:r>
      <w:r w:rsidRPr="003C56DB">
        <w:rPr>
          <w:rFonts w:ascii="Arial" w:eastAsia="Times New Roman" w:hAnsi="Arial" w:cs="Arial"/>
          <w:sz w:val="24"/>
          <w:szCs w:val="24"/>
          <w:lang w:val="es-ES_tradnl" w:eastAsia="es-ES"/>
        </w:rPr>
        <w:t>que se protege la trasmisión de la cultura ancestral a las futuras generaciones</w:t>
      </w:r>
      <w:r>
        <w:rPr>
          <w:rFonts w:ascii="Arial" w:eastAsia="Times New Roman" w:hAnsi="Arial" w:cs="Arial"/>
          <w:sz w:val="24"/>
          <w:szCs w:val="24"/>
          <w:lang w:val="es-ES_tradnl" w:eastAsia="es-ES"/>
        </w:rPr>
        <w:t xml:space="preserve"> de indígenas</w:t>
      </w:r>
      <w:r w:rsidRPr="003C56DB">
        <w:rPr>
          <w:rFonts w:ascii="Arial" w:eastAsia="Times New Roman" w:hAnsi="Arial" w:cs="Arial"/>
          <w:sz w:val="24"/>
          <w:szCs w:val="24"/>
          <w:lang w:val="es-ES_tradnl" w:eastAsia="es-ES"/>
        </w:rPr>
        <w:t xml:space="preserve">, lo cual no aplica en el caso bajo estudio, toda vez que el delito objeto de investigación ocurrió en el caso urbano del municipio señalado. </w:t>
      </w:r>
    </w:p>
    <w:p w:rsidR="00597D8D"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numPr>
          <w:ilvl w:val="0"/>
          <w:numId w:val="1"/>
        </w:numPr>
        <w:spacing w:before="360" w:after="360" w:line="360" w:lineRule="auto"/>
        <w:contextualSpacing/>
        <w:jc w:val="center"/>
        <w:rPr>
          <w:rFonts w:ascii="Arial" w:eastAsia="Times New Roman" w:hAnsi="Arial" w:cs="Arial"/>
          <w:b/>
          <w:sz w:val="24"/>
          <w:szCs w:val="24"/>
          <w:lang w:val="es-ES_tradnl" w:eastAsia="es-CO"/>
        </w:rPr>
      </w:pPr>
      <w:r w:rsidRPr="003C56DB">
        <w:rPr>
          <w:rFonts w:ascii="Arial" w:eastAsia="Times New Roman" w:hAnsi="Arial" w:cs="Arial"/>
          <w:b/>
          <w:sz w:val="24"/>
          <w:szCs w:val="24"/>
          <w:lang w:val="es-ES_tradnl" w:eastAsia="es-CO"/>
        </w:rPr>
        <w:t>CONSIDERACIONES DE LA SALA</w:t>
      </w: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spacing w:after="0" w:line="360" w:lineRule="auto"/>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La Sala Jurisdiccional del Consejo Superior de la Judicatura es competente para conocer de la definición de competencias prevista en el Código de Procedimiento Penal (arts. 54 y 341) cuando involucra diferentes jurisdicciones, como en el presente caso. Así se infiere del numeral 6 del artículo 256 de la Constitución Política, que dispone: </w:t>
      </w: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spacing w:after="0" w:line="240" w:lineRule="auto"/>
        <w:ind w:left="708"/>
        <w:jc w:val="both"/>
        <w:rPr>
          <w:rFonts w:ascii="Arial" w:eastAsia="Times New Roman" w:hAnsi="Arial" w:cs="Arial"/>
          <w:sz w:val="24"/>
          <w:szCs w:val="24"/>
          <w:lang w:val="es-ES" w:eastAsia="es-CO"/>
        </w:rPr>
      </w:pPr>
      <w:r w:rsidRPr="003C56DB">
        <w:rPr>
          <w:rFonts w:ascii="Arial" w:eastAsia="Times New Roman" w:hAnsi="Arial" w:cs="Arial"/>
          <w:bCs/>
          <w:sz w:val="24"/>
          <w:szCs w:val="24"/>
          <w:lang w:val="es-ES" w:eastAsia="es-CO"/>
        </w:rPr>
        <w:t>“Artí</w:t>
      </w:r>
      <w:bookmarkStart w:id="1" w:name="256"/>
      <w:r w:rsidRPr="003C56DB">
        <w:rPr>
          <w:rFonts w:ascii="Arial" w:eastAsia="Times New Roman" w:hAnsi="Arial" w:cs="Arial"/>
          <w:bCs/>
          <w:sz w:val="24"/>
          <w:szCs w:val="24"/>
          <w:lang w:val="es-ES" w:eastAsia="es-CO"/>
        </w:rPr>
        <w:t>culo </w:t>
      </w:r>
      <w:bookmarkEnd w:id="1"/>
      <w:r w:rsidRPr="003C56DB">
        <w:rPr>
          <w:rFonts w:ascii="Arial" w:eastAsia="Times New Roman" w:hAnsi="Arial" w:cs="Arial"/>
          <w:bCs/>
          <w:sz w:val="24"/>
          <w:szCs w:val="24"/>
          <w:lang w:val="es-ES" w:eastAsia="es-CO"/>
        </w:rPr>
        <w:t>256. </w:t>
      </w:r>
      <w:r w:rsidRPr="003C56DB">
        <w:rPr>
          <w:rFonts w:ascii="Arial" w:eastAsia="Times New Roman" w:hAnsi="Arial" w:cs="Arial"/>
          <w:sz w:val="24"/>
          <w:szCs w:val="24"/>
          <w:lang w:val="es-ES" w:eastAsia="es-CO"/>
        </w:rPr>
        <w:t>Corresponden al Consejo Superior de la Judicatura o a los Consejos Seccionales, según el caso y de acuerdo a la ley, las siguientes atribuciones:</w:t>
      </w:r>
    </w:p>
    <w:p w:rsidR="00597D8D" w:rsidRPr="003C56DB" w:rsidRDefault="00597D8D" w:rsidP="00597D8D">
      <w:pPr>
        <w:spacing w:after="0" w:line="240" w:lineRule="auto"/>
        <w:jc w:val="both"/>
        <w:rPr>
          <w:rFonts w:ascii="Arial" w:eastAsia="Times New Roman" w:hAnsi="Arial" w:cs="Arial"/>
          <w:sz w:val="24"/>
          <w:szCs w:val="24"/>
          <w:lang w:val="es-ES" w:eastAsia="es-CO"/>
        </w:rPr>
      </w:pPr>
    </w:p>
    <w:p w:rsidR="00597D8D" w:rsidRPr="003C56DB" w:rsidRDefault="00597D8D" w:rsidP="00597D8D">
      <w:pPr>
        <w:spacing w:after="0" w:line="240" w:lineRule="auto"/>
        <w:ind w:left="708"/>
        <w:jc w:val="both"/>
        <w:rPr>
          <w:rFonts w:ascii="Arial" w:eastAsia="Times New Roman" w:hAnsi="Arial" w:cs="Arial"/>
          <w:sz w:val="24"/>
          <w:szCs w:val="24"/>
          <w:lang w:val="es-ES" w:eastAsia="es-CO"/>
        </w:rPr>
      </w:pPr>
      <w:r w:rsidRPr="003C56DB">
        <w:rPr>
          <w:rFonts w:ascii="Arial" w:eastAsia="Times New Roman" w:hAnsi="Arial" w:cs="Arial"/>
          <w:sz w:val="24"/>
          <w:szCs w:val="24"/>
          <w:lang w:val="es-ES" w:eastAsia="es-CO"/>
        </w:rPr>
        <w:t>[…] 6. Dirimir los conflictos de competencia que ocurran entre las distintas jurisdicciones”.</w:t>
      </w:r>
    </w:p>
    <w:p w:rsidR="00597D8D" w:rsidRPr="003C56DB" w:rsidRDefault="00597D8D" w:rsidP="00597D8D">
      <w:pPr>
        <w:spacing w:after="0" w:line="360" w:lineRule="auto"/>
        <w:jc w:val="both"/>
        <w:rPr>
          <w:rFonts w:ascii="Arial" w:eastAsia="Times New Roman" w:hAnsi="Arial" w:cs="Arial"/>
          <w:sz w:val="24"/>
          <w:szCs w:val="24"/>
          <w:lang w:val="es-ES_tradnl" w:eastAsia="es-CO"/>
        </w:rPr>
      </w:pPr>
    </w:p>
    <w:p w:rsidR="00597D8D" w:rsidRPr="003C56DB" w:rsidRDefault="00597D8D" w:rsidP="00597D8D">
      <w:pPr>
        <w:spacing w:after="0" w:line="360" w:lineRule="auto"/>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En el presente caso, </w:t>
      </w:r>
      <w:r w:rsidRPr="003C56DB">
        <w:rPr>
          <w:rFonts w:ascii="Arial" w:eastAsia="Times New Roman" w:hAnsi="Arial" w:cs="Arial"/>
          <w:sz w:val="24"/>
          <w:szCs w:val="24"/>
          <w:lang w:val="es-ES_tradnl" w:eastAsia="es-ES"/>
        </w:rPr>
        <w:t xml:space="preserve">problema jurídico a resolver consiste en determinar cuál jurisdicción deberá adelantar la investigación iniciada en contra del señor </w:t>
      </w:r>
      <w:r>
        <w:rPr>
          <w:rFonts w:ascii="Arial" w:eastAsia="Times New Roman" w:hAnsi="Arial" w:cs="Arial"/>
          <w:sz w:val="24"/>
          <w:szCs w:val="24"/>
          <w:lang w:val="es-ES_tradnl" w:eastAsia="es-ES"/>
        </w:rPr>
        <w:t>Juan de Jesús Vargas García</w:t>
      </w:r>
      <w:r w:rsidRPr="003C56DB">
        <w:rPr>
          <w:rFonts w:ascii="Arial" w:eastAsia="Times New Roman" w:hAnsi="Arial" w:cs="Arial"/>
          <w:sz w:val="24"/>
          <w:szCs w:val="24"/>
          <w:lang w:val="es-ES_tradnl" w:eastAsia="es-ES"/>
        </w:rPr>
        <w:t xml:space="preserve">, por hechos que fueron catalogados por la Fiscalía General de la Nación como constitutivos del delito </w:t>
      </w:r>
      <w:r>
        <w:rPr>
          <w:rFonts w:ascii="Arial" w:eastAsia="Times New Roman" w:hAnsi="Arial" w:cs="Arial"/>
          <w:sz w:val="24"/>
          <w:szCs w:val="24"/>
          <w:lang w:val="es-ES_tradnl" w:eastAsia="es-ES"/>
        </w:rPr>
        <w:t>de</w:t>
      </w:r>
      <w:r w:rsidRPr="003C56DB">
        <w:rPr>
          <w:rFonts w:ascii="Arial" w:eastAsia="Times New Roman" w:hAnsi="Arial" w:cs="Arial"/>
          <w:sz w:val="24"/>
          <w:szCs w:val="24"/>
          <w:lang w:val="es-ES_tradnl" w:eastAsia="es-ES"/>
        </w:rPr>
        <w:t xml:space="preserve"> acceso carnal </w:t>
      </w:r>
      <w:r>
        <w:rPr>
          <w:rFonts w:ascii="Arial" w:eastAsia="Times New Roman" w:hAnsi="Arial" w:cs="Arial"/>
          <w:sz w:val="24"/>
          <w:szCs w:val="24"/>
          <w:lang w:val="es-ES_tradnl" w:eastAsia="es-ES"/>
        </w:rPr>
        <w:t>abusivo con menor de 14 años</w:t>
      </w:r>
      <w:r w:rsidRPr="003C56DB">
        <w:rPr>
          <w:rFonts w:ascii="Arial" w:eastAsia="Times New Roman" w:hAnsi="Arial" w:cs="Arial"/>
          <w:sz w:val="24"/>
          <w:szCs w:val="24"/>
          <w:lang w:val="es-ES_tradnl" w:eastAsia="es-ES"/>
        </w:rPr>
        <w:t xml:space="preserve">. </w:t>
      </w:r>
    </w:p>
    <w:p w:rsidR="00597D8D" w:rsidRPr="003C56DB" w:rsidRDefault="00597D8D" w:rsidP="00597D8D">
      <w:pPr>
        <w:spacing w:after="0" w:line="360" w:lineRule="auto"/>
        <w:jc w:val="both"/>
        <w:rPr>
          <w:rFonts w:ascii="Arial" w:eastAsia="Times New Roman" w:hAnsi="Arial" w:cs="Arial"/>
          <w:sz w:val="24"/>
          <w:szCs w:val="24"/>
          <w:lang w:val="es-ES_tradnl" w:eastAsia="es-ES"/>
        </w:rPr>
      </w:pPr>
    </w:p>
    <w:p w:rsidR="00597D8D" w:rsidRPr="003C56DB" w:rsidRDefault="00597D8D" w:rsidP="00597D8D">
      <w:pPr>
        <w:tabs>
          <w:tab w:val="left" w:pos="-720"/>
        </w:tabs>
        <w:suppressAutoHyphens/>
        <w:spacing w:after="0" w:line="360" w:lineRule="auto"/>
        <w:jc w:val="both"/>
        <w:rPr>
          <w:rFonts w:ascii="Arial" w:eastAsia="Calibri" w:hAnsi="Arial" w:cs="Arial"/>
          <w:iCs/>
          <w:spacing w:val="-3"/>
          <w:sz w:val="24"/>
          <w:szCs w:val="24"/>
          <w:lang w:val="es-ES"/>
        </w:rPr>
      </w:pPr>
      <w:r w:rsidRPr="003C56DB">
        <w:rPr>
          <w:rFonts w:ascii="Arial" w:eastAsia="Calibri" w:hAnsi="Arial" w:cs="Arial"/>
          <w:iCs/>
          <w:spacing w:val="-3"/>
          <w:sz w:val="24"/>
          <w:szCs w:val="24"/>
          <w:lang w:val="es-ES"/>
        </w:rPr>
        <w:t xml:space="preserve">Con tal fin, la presente decisión reiterará </w:t>
      </w:r>
      <w:r w:rsidRPr="002130B1">
        <w:rPr>
          <w:rFonts w:ascii="Arial" w:eastAsia="Calibri" w:hAnsi="Arial" w:cs="Arial"/>
          <w:iCs/>
          <w:spacing w:val="-3"/>
          <w:sz w:val="24"/>
          <w:szCs w:val="24"/>
          <w:lang w:val="es-ES"/>
        </w:rPr>
        <w:t>íntegramente</w:t>
      </w:r>
      <w:r w:rsidRPr="003C56DB">
        <w:rPr>
          <w:rFonts w:ascii="Arial" w:eastAsia="Calibri" w:hAnsi="Arial" w:cs="Arial"/>
          <w:iCs/>
          <w:spacing w:val="-3"/>
          <w:sz w:val="24"/>
          <w:szCs w:val="24"/>
          <w:lang w:val="es-ES"/>
        </w:rPr>
        <w:t xml:space="preserve"> el precedente acogido en la materia por esta Sala y desarrollará el siguiente orden: en primer lugar se expondrán algunos rasgos característicos del marco normativo constitucional e internacional aplicable a la jurisdicción indígena en Colombia, según los cuales, dicha manifestación jurídica sólo tiene cabida dentro de los límites impuestos por las normas sobre derechos humanos. En segundo lugar, se abordará de manera sucinta el desarrollo jurisprudencial que esta figura ha tenido tanto a instancias de la Corte Constitucional como de esta Corporación, con el propósito de elucidar sus alcances. En tercer lugar, se demostrará que los derechos fundamentales con amplio respaldo y protección por la comunidad internacional representan </w:t>
      </w:r>
      <w:r w:rsidRPr="003C56DB">
        <w:rPr>
          <w:rFonts w:ascii="Arial" w:eastAsia="Calibri" w:hAnsi="Arial" w:cs="Arial"/>
          <w:i/>
          <w:iCs/>
          <w:spacing w:val="-3"/>
          <w:sz w:val="24"/>
          <w:szCs w:val="24"/>
          <w:lang w:val="es-ES"/>
        </w:rPr>
        <w:t>límites materiales</w:t>
      </w:r>
      <w:r w:rsidRPr="003C56DB">
        <w:rPr>
          <w:rFonts w:ascii="Arial" w:eastAsia="Calibri" w:hAnsi="Arial" w:cs="Arial"/>
          <w:iCs/>
          <w:spacing w:val="-3"/>
          <w:sz w:val="24"/>
          <w:szCs w:val="24"/>
          <w:lang w:val="es-ES"/>
        </w:rPr>
        <w:t xml:space="preserve"> a la jurisdicción especial indígena. Lo anterior, con el fin de justificar la preeminencia que esta Sala le otorga al denominado elemento o factor “</w:t>
      </w:r>
      <w:r w:rsidRPr="003C56DB">
        <w:rPr>
          <w:rFonts w:ascii="Arial" w:eastAsia="Calibri" w:hAnsi="Arial" w:cs="Arial"/>
          <w:i/>
          <w:iCs/>
          <w:spacing w:val="-3"/>
          <w:sz w:val="24"/>
          <w:szCs w:val="24"/>
          <w:lang w:val="es-ES"/>
        </w:rPr>
        <w:t>objetivo</w:t>
      </w:r>
      <w:r w:rsidRPr="003C56DB">
        <w:rPr>
          <w:rFonts w:ascii="Arial" w:eastAsia="Calibri" w:hAnsi="Arial" w:cs="Arial"/>
          <w:iCs/>
          <w:spacing w:val="-3"/>
          <w:sz w:val="24"/>
          <w:szCs w:val="24"/>
          <w:lang w:val="es-ES"/>
        </w:rPr>
        <w:t xml:space="preserve">” en la atribución de competencia a la jurisdicción indígena para juzgar ciertos delitos cometidos contra los derechos fundamentales. En cuarto lugar, se precisará el sentido constitucional de los juicios sobre resolución de conflictos de competencia, encomendados por la Carta Política de 1991 a esta Corporación, de manera que se evidencie la incoherencia e inconveniencia de adelantar en dichos escenarios evaluaciones sustanciales sobre la materia de controversia o los sujetos involucrados en la misma. Por último, se resolverá el caso concreto.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b/>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b/>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a) Marco normativo aplicable </w:t>
      </w:r>
    </w:p>
    <w:p w:rsidR="00597D8D" w:rsidRPr="003C56DB" w:rsidRDefault="00597D8D" w:rsidP="00597D8D">
      <w:pPr>
        <w:spacing w:after="0" w:line="240" w:lineRule="auto"/>
        <w:rPr>
          <w:rFonts w:ascii="Arial" w:eastAsia="Calibri" w:hAnsi="Arial" w:cs="Arial"/>
          <w:b/>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Como lo ha destacado esta Sala</w:t>
      </w:r>
      <w:r w:rsidRPr="003C56DB">
        <w:rPr>
          <w:rFonts w:ascii="Arial" w:eastAsia="Calibri" w:hAnsi="Arial" w:cs="Arial"/>
          <w:iCs/>
          <w:color w:val="000000"/>
          <w:sz w:val="24"/>
          <w:szCs w:val="24"/>
          <w:shd w:val="clear" w:color="auto" w:fill="FFFFFF"/>
          <w:vertAlign w:val="superscript"/>
        </w:rPr>
        <w:footnoteReference w:id="14"/>
      </w:r>
      <w:r w:rsidRPr="003C56DB">
        <w:rPr>
          <w:rFonts w:ascii="Arial" w:eastAsia="Calibri" w:hAnsi="Arial" w:cs="Arial"/>
          <w:iCs/>
          <w:color w:val="000000"/>
          <w:sz w:val="24"/>
          <w:szCs w:val="24"/>
          <w:shd w:val="clear" w:color="auto" w:fill="FFFFFF"/>
        </w:rPr>
        <w:t xml:space="preserve">, la jurisdicción indígena encuentra sus raíces en el principio constitucional de respeto, protección y promoción de la diversidad étnica y cultural de nuestra población. Así, en su primer artículo la Constitución Política define al Estado colombiano como una República </w:t>
      </w:r>
      <w:r w:rsidRPr="003C56DB">
        <w:rPr>
          <w:rFonts w:ascii="Arial" w:eastAsia="Calibri" w:hAnsi="Arial" w:cs="Arial"/>
          <w:i/>
          <w:iCs/>
          <w:color w:val="000000"/>
          <w:sz w:val="24"/>
          <w:szCs w:val="24"/>
          <w:shd w:val="clear" w:color="auto" w:fill="FFFFFF"/>
        </w:rPr>
        <w:t>pluralista</w:t>
      </w:r>
      <w:r w:rsidRPr="003C56DB">
        <w:rPr>
          <w:rFonts w:ascii="Arial" w:eastAsia="Calibri" w:hAnsi="Arial" w:cs="Arial"/>
          <w:iCs/>
          <w:color w:val="000000"/>
          <w:sz w:val="24"/>
          <w:szCs w:val="24"/>
          <w:shd w:val="clear" w:color="auto" w:fill="FFFFFF"/>
        </w:rPr>
        <w:t xml:space="preserve">, adjetivo con proyección sobre todas sus demás disposiciones, que implica el reconocimiento y la protección de las múltiples formas de pensamiento y vida coexistentes en una sola sociedad.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Según jurisprudencia constitucional, esta condición plural del Estado Social de Derecho le impone, como mínimo: 1) admitir y promover “el hecho de la diversidad” en sí mismo; 2) apreciar positivamente las distintas aspiraciones y valoraciones existentes en la población y, en consecuencia, garantizar su libertad religiosa, de pensamiento y de expresión; y, 3) fijar mecanismos jurídicos, políticos y sociales para resolver las posibles controversias que se originen a causa de las diferencias presentes en la colectividad</w:t>
      </w:r>
      <w:r w:rsidRPr="003C56DB">
        <w:rPr>
          <w:rFonts w:ascii="Arial" w:eastAsia="Calibri" w:hAnsi="Arial" w:cs="Arial"/>
          <w:iCs/>
          <w:color w:val="000000"/>
          <w:sz w:val="24"/>
          <w:szCs w:val="24"/>
          <w:shd w:val="clear" w:color="auto" w:fill="FFFFFF"/>
          <w:vertAlign w:val="superscript"/>
        </w:rPr>
        <w:footnoteReference w:id="15"/>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El artículo segundo, por su parte, establece como fin del Estado facilitar la participación de “todos”, con independencia de su origen o de cualquier otra característica personal, en la toma de decisiones con efectos sobre la vida económica, política, administrativa y cultural de la Nación. Más adelante, la Constitución proclama los deberes inquebrantables de reconocer y proteger </w:t>
      </w:r>
      <w:r w:rsidRPr="003C56DB">
        <w:rPr>
          <w:rFonts w:ascii="Arial" w:eastAsia="Calibri" w:hAnsi="Arial" w:cs="Arial"/>
          <w:i/>
          <w:iCs/>
          <w:color w:val="000000"/>
          <w:sz w:val="24"/>
          <w:szCs w:val="24"/>
          <w:shd w:val="clear" w:color="auto" w:fill="FFFFFF"/>
        </w:rPr>
        <w:t>“</w:t>
      </w:r>
      <w:r w:rsidRPr="003C56DB">
        <w:rPr>
          <w:rFonts w:ascii="Arial" w:eastAsia="Calibri" w:hAnsi="Arial" w:cs="Arial"/>
          <w:i/>
          <w:iCs/>
          <w:color w:val="000000"/>
          <w:sz w:val="24"/>
          <w:shd w:val="clear" w:color="auto" w:fill="FFFFFF"/>
          <w:lang w:val="es-ES"/>
        </w:rPr>
        <w:t>la diversidad étnica y cultural”</w:t>
      </w:r>
      <w:r w:rsidRPr="003C56DB">
        <w:rPr>
          <w:rFonts w:ascii="Arial" w:eastAsia="Calibri" w:hAnsi="Arial" w:cs="Arial"/>
          <w:iCs/>
          <w:color w:val="000000"/>
          <w:sz w:val="24"/>
          <w:shd w:val="clear" w:color="auto" w:fill="FFFFFF"/>
          <w:lang w:val="es-ES"/>
        </w:rPr>
        <w:t xml:space="preserve"> del pueblo colombiano (artículo 7º) y garantizar la conservación </w:t>
      </w:r>
      <w:r w:rsidRPr="003C56DB">
        <w:rPr>
          <w:rFonts w:ascii="Arial" w:eastAsia="Calibri" w:hAnsi="Arial" w:cs="Arial"/>
          <w:i/>
          <w:iCs/>
          <w:color w:val="000000"/>
          <w:sz w:val="24"/>
          <w:shd w:val="clear" w:color="auto" w:fill="FFFFFF"/>
          <w:lang w:val="es-ES"/>
        </w:rPr>
        <w:t>“</w:t>
      </w:r>
      <w:r w:rsidRPr="003C56DB">
        <w:rPr>
          <w:rFonts w:ascii="Arial" w:eastAsia="Calibri" w:hAnsi="Arial" w:cs="Arial"/>
          <w:i/>
          <w:iCs/>
          <w:color w:val="000000"/>
          <w:sz w:val="24"/>
          <w:szCs w:val="24"/>
          <w:shd w:val="clear" w:color="auto" w:fill="FFFFFF"/>
        </w:rPr>
        <w:t>las riquezas culturales”</w:t>
      </w:r>
      <w:r w:rsidRPr="003C56DB">
        <w:rPr>
          <w:rFonts w:ascii="Arial" w:eastAsia="Calibri" w:hAnsi="Arial" w:cs="Arial"/>
          <w:iCs/>
          <w:color w:val="000000"/>
          <w:sz w:val="24"/>
          <w:szCs w:val="24"/>
          <w:shd w:val="clear" w:color="auto" w:fill="FFFFFF"/>
        </w:rPr>
        <w:t xml:space="preserve"> del país (artículo 8º) y le confiere reconocimiento oficial a las </w:t>
      </w:r>
      <w:r w:rsidRPr="003C56DB">
        <w:rPr>
          <w:rFonts w:ascii="Arial" w:eastAsia="Calibri" w:hAnsi="Arial" w:cs="Arial"/>
          <w:i/>
          <w:iCs/>
          <w:color w:val="000000"/>
          <w:sz w:val="24"/>
          <w:szCs w:val="24"/>
          <w:shd w:val="clear" w:color="auto" w:fill="FFFFFF"/>
        </w:rPr>
        <w:t>“lenguas y dialectos de los grupos étnicos”</w:t>
      </w:r>
      <w:r w:rsidRPr="003C56DB">
        <w:rPr>
          <w:rFonts w:ascii="Arial" w:eastAsia="Calibri" w:hAnsi="Arial" w:cs="Arial"/>
          <w:iCs/>
          <w:color w:val="000000"/>
          <w:sz w:val="24"/>
          <w:szCs w:val="24"/>
          <w:shd w:val="clear" w:color="auto" w:fill="FFFFFF"/>
        </w:rPr>
        <w:t xml:space="preserve"> en su ámbito territorial (artículo 10), como estrategia de dignificación y contención de los efectos </w:t>
      </w:r>
      <w:proofErr w:type="spellStart"/>
      <w:r w:rsidRPr="003C56DB">
        <w:rPr>
          <w:rFonts w:ascii="Arial" w:eastAsia="Calibri" w:hAnsi="Arial" w:cs="Arial"/>
          <w:i/>
          <w:iCs/>
          <w:color w:val="000000"/>
          <w:sz w:val="24"/>
          <w:szCs w:val="24"/>
          <w:shd w:val="clear" w:color="auto" w:fill="FFFFFF"/>
        </w:rPr>
        <w:t>asimilacionistas</w:t>
      </w:r>
      <w:proofErr w:type="spellEnd"/>
      <w:r w:rsidRPr="003C56DB">
        <w:rPr>
          <w:rFonts w:ascii="Arial" w:eastAsia="Calibri" w:hAnsi="Arial" w:cs="Arial"/>
          <w:iCs/>
          <w:color w:val="000000"/>
          <w:sz w:val="24"/>
          <w:szCs w:val="24"/>
          <w:shd w:val="clear" w:color="auto" w:fill="FFFFFF"/>
          <w:vertAlign w:val="superscript"/>
        </w:rPr>
        <w:footnoteReference w:id="16"/>
      </w:r>
      <w:r w:rsidRPr="003C56DB">
        <w:rPr>
          <w:rFonts w:ascii="Arial" w:eastAsia="Calibri" w:hAnsi="Arial" w:cs="Arial"/>
          <w:iCs/>
          <w:color w:val="000000"/>
          <w:sz w:val="24"/>
          <w:szCs w:val="24"/>
          <w:shd w:val="clear" w:color="auto" w:fill="FFFFFF"/>
        </w:rPr>
        <w:t xml:space="preserve"> del lenguaje sobre las comunidades minoritarias.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El principio y derecho a la igualdad consignado en el artículo 13 de la Constitución también refleja la intención del constituyente de brindarle especial protección a los grupos indígenas colombianos. Además de prohibir cualquier tipo de discriminación por aspectos raciales, de origen o del lenguaje, ordena impulsar las condiciones para que la igualdad pase de ser una mera enunciación abstracta y formal y se traduzca en una realidad, en especial, frente a los </w:t>
      </w:r>
      <w:r w:rsidRPr="003C56DB">
        <w:rPr>
          <w:rFonts w:ascii="Arial" w:eastAsia="Calibri" w:hAnsi="Arial" w:cs="Arial"/>
          <w:i/>
          <w:iCs/>
          <w:color w:val="000000"/>
          <w:sz w:val="24"/>
          <w:szCs w:val="24"/>
          <w:shd w:val="clear" w:color="auto" w:fill="FFFFFF"/>
        </w:rPr>
        <w:t>“grupos marginados”</w:t>
      </w:r>
      <w:r w:rsidRPr="003C56DB">
        <w:rPr>
          <w:rFonts w:ascii="Arial" w:eastAsia="Calibri" w:hAnsi="Arial" w:cs="Arial"/>
          <w:iCs/>
          <w:color w:val="000000"/>
          <w:sz w:val="24"/>
          <w:szCs w:val="24"/>
          <w:shd w:val="clear" w:color="auto" w:fill="FFFFFF"/>
          <w:vertAlign w:val="superscript"/>
        </w:rPr>
        <w:footnoteReference w:id="17"/>
      </w:r>
      <w:r w:rsidRPr="003C56DB">
        <w:rPr>
          <w:rFonts w:ascii="Arial" w:eastAsia="Calibri" w:hAnsi="Arial" w:cs="Arial"/>
          <w:iCs/>
          <w:color w:val="000000"/>
          <w:sz w:val="24"/>
          <w:szCs w:val="24"/>
          <w:shd w:val="clear" w:color="auto" w:fill="FFFFFF"/>
        </w:rPr>
        <w:t xml:space="preserve"> históricamente por la sociedad colombiana, como los pueblos indígenas. Por este motivo, la categoría de </w:t>
      </w:r>
      <w:r w:rsidRPr="003C56DB">
        <w:rPr>
          <w:rFonts w:ascii="Arial" w:eastAsia="Calibri" w:hAnsi="Arial" w:cs="Arial"/>
          <w:i/>
          <w:iCs/>
          <w:color w:val="000000"/>
          <w:sz w:val="24"/>
          <w:szCs w:val="24"/>
          <w:shd w:val="clear" w:color="auto" w:fill="FFFFFF"/>
        </w:rPr>
        <w:t>“sujeto de especial protección constitucional”</w:t>
      </w:r>
      <w:r w:rsidRPr="003C56DB">
        <w:rPr>
          <w:rFonts w:ascii="Arial" w:eastAsia="Calibri" w:hAnsi="Arial" w:cs="Arial"/>
          <w:iCs/>
          <w:color w:val="000000"/>
          <w:sz w:val="24"/>
          <w:szCs w:val="24"/>
          <w:shd w:val="clear" w:color="auto" w:fill="FFFFFF"/>
          <w:vertAlign w:val="superscript"/>
        </w:rPr>
        <w:footnoteReference w:id="18"/>
      </w:r>
      <w:r w:rsidRPr="003C56DB">
        <w:rPr>
          <w:rFonts w:ascii="Arial" w:eastAsia="Calibri" w:hAnsi="Arial" w:cs="Arial"/>
          <w:iCs/>
          <w:color w:val="000000"/>
          <w:sz w:val="24"/>
          <w:szCs w:val="24"/>
          <w:shd w:val="clear" w:color="auto" w:fill="FFFFFF"/>
        </w:rPr>
        <w:t xml:space="preserve"> ha servido como punto de partida para la exigencia de políticas públicas diferenciales a su favor</w:t>
      </w:r>
      <w:r w:rsidRPr="003C56DB">
        <w:rPr>
          <w:rFonts w:ascii="Arial" w:eastAsia="Calibri" w:hAnsi="Arial" w:cs="Arial"/>
          <w:iCs/>
          <w:color w:val="000000"/>
          <w:sz w:val="24"/>
          <w:szCs w:val="24"/>
          <w:shd w:val="clear" w:color="auto" w:fill="FFFFFF"/>
          <w:vertAlign w:val="superscript"/>
        </w:rPr>
        <w:footnoteReference w:id="19"/>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materia de derechos fundamentales, el repertorio previsto tanto en la Constitución como en los instrumentos internacionales adquiere un acento étnico y cultural que permite ajustarlo a sus diversas cosmovisiones o sintonizarlo con sus particulares expectativas de vida.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Así, en numerosas oportunidades la jurisprudencia constitucional ha destacado la importancia de precisar el contenido normativo de los derechos fundamentales de acuerdo con las circunstancias y características culturales de sus titulares. Por ejemplo, en la sentencia T-778 de 2005 empleó la llamada </w:t>
      </w:r>
      <w:r w:rsidRPr="003C56DB">
        <w:rPr>
          <w:rFonts w:ascii="Arial" w:eastAsia="Calibri" w:hAnsi="Arial" w:cs="Arial"/>
          <w:i/>
          <w:iCs/>
          <w:color w:val="000000"/>
          <w:sz w:val="24"/>
          <w:szCs w:val="24"/>
          <w:shd w:val="clear" w:color="auto" w:fill="FFFFFF"/>
        </w:rPr>
        <w:t xml:space="preserve">“excepción por diversidad </w:t>
      </w:r>
      <w:proofErr w:type="spellStart"/>
      <w:r w:rsidRPr="003C56DB">
        <w:rPr>
          <w:rFonts w:ascii="Arial" w:eastAsia="Calibri" w:hAnsi="Arial" w:cs="Arial"/>
          <w:i/>
          <w:iCs/>
          <w:color w:val="000000"/>
          <w:sz w:val="24"/>
          <w:szCs w:val="24"/>
          <w:shd w:val="clear" w:color="auto" w:fill="FFFFFF"/>
        </w:rPr>
        <w:t>etnocultural</w:t>
      </w:r>
      <w:proofErr w:type="spellEnd"/>
      <w:r w:rsidRPr="003C56DB">
        <w:rPr>
          <w:rFonts w:ascii="Arial" w:eastAsia="Calibri" w:hAnsi="Arial" w:cs="Arial"/>
          <w:i/>
          <w:iCs/>
          <w:color w:val="000000"/>
          <w:sz w:val="24"/>
          <w:szCs w:val="24"/>
          <w:shd w:val="clear" w:color="auto" w:fill="FFFFFF"/>
        </w:rPr>
        <w:t xml:space="preserve"> a normas de alcance general”</w:t>
      </w:r>
      <w:r w:rsidRPr="003C56DB">
        <w:rPr>
          <w:rFonts w:ascii="Arial" w:eastAsia="Calibri" w:hAnsi="Arial" w:cs="Arial"/>
          <w:iCs/>
          <w:color w:val="000000"/>
          <w:sz w:val="24"/>
          <w:szCs w:val="24"/>
          <w:shd w:val="clear" w:color="auto" w:fill="FFFFFF"/>
        </w:rPr>
        <w:t xml:space="preserve">, como medio para hacer compatible el requisito de edad previsto para ser elegido concejal del Distrito Capital, con el derecho político de una indígena </w:t>
      </w:r>
      <w:proofErr w:type="spellStart"/>
      <w:r w:rsidRPr="003C56DB">
        <w:rPr>
          <w:rFonts w:ascii="Arial" w:eastAsia="Calibri" w:hAnsi="Arial" w:cs="Arial"/>
          <w:iCs/>
          <w:color w:val="000000"/>
          <w:sz w:val="24"/>
          <w:szCs w:val="24"/>
          <w:shd w:val="clear" w:color="auto" w:fill="FFFFFF"/>
        </w:rPr>
        <w:t>arhuaca</w:t>
      </w:r>
      <w:proofErr w:type="spellEnd"/>
      <w:r w:rsidRPr="003C56DB">
        <w:rPr>
          <w:rFonts w:ascii="Arial" w:eastAsia="Calibri" w:hAnsi="Arial" w:cs="Arial"/>
          <w:iCs/>
          <w:color w:val="000000"/>
          <w:sz w:val="24"/>
          <w:szCs w:val="24"/>
          <w:shd w:val="clear" w:color="auto" w:fill="FFFFFF"/>
        </w:rPr>
        <w:t xml:space="preserve"> a desempeñarse en el mismo. Para la Corte Constitucional, si bien aquella ciudadana no contaba con la edad mínima para ser concejal, el hecho que tuviese </w:t>
      </w:r>
      <w:r w:rsidRPr="003C56DB">
        <w:rPr>
          <w:rFonts w:ascii="Arial" w:eastAsia="Calibri" w:hAnsi="Arial" w:cs="Arial"/>
          <w:i/>
          <w:iCs/>
          <w:color w:val="000000"/>
          <w:sz w:val="24"/>
          <w:szCs w:val="24"/>
          <w:shd w:val="clear" w:color="auto" w:fill="FFFFFF"/>
        </w:rPr>
        <w:t>“el poder de la palabra para actuar públicamente”</w:t>
      </w:r>
      <w:r w:rsidRPr="003C56DB">
        <w:rPr>
          <w:rFonts w:ascii="Arial" w:eastAsia="Calibri" w:hAnsi="Arial" w:cs="Arial"/>
          <w:iCs/>
          <w:color w:val="000000"/>
          <w:sz w:val="24"/>
          <w:szCs w:val="24"/>
          <w:shd w:val="clear" w:color="auto" w:fill="FFFFFF"/>
        </w:rPr>
        <w:t>,</w:t>
      </w:r>
      <w:r w:rsidRPr="003C56DB">
        <w:rPr>
          <w:rFonts w:ascii="Arial" w:eastAsia="Calibri" w:hAnsi="Arial" w:cs="Arial"/>
          <w:i/>
          <w:iCs/>
          <w:color w:val="000000"/>
          <w:sz w:val="24"/>
          <w:szCs w:val="24"/>
          <w:shd w:val="clear" w:color="auto" w:fill="FFFFFF"/>
        </w:rPr>
        <w:t xml:space="preserve"> “de acuerdo a las costumbres de su pueblo”</w:t>
      </w:r>
      <w:r w:rsidRPr="003C56DB">
        <w:rPr>
          <w:rFonts w:ascii="Arial" w:eastAsia="Calibri" w:hAnsi="Arial" w:cs="Arial"/>
          <w:iCs/>
          <w:color w:val="000000"/>
          <w:sz w:val="24"/>
          <w:szCs w:val="24"/>
          <w:shd w:val="clear" w:color="auto" w:fill="FFFFFF"/>
        </w:rPr>
        <w:t xml:space="preserve">, justificaba la inaplicación en el caso concreto de aquel requisito de edad, de manera que pudiese disfrutar del derecho fundamental de participar en el funcionamiento poder público (artículo 40 de la Constitución).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Desde el punto de vista institucional o relacionado con la parte orgánica de la Constitución, también es posible encontrar numerosas garantías colectivas para aquellas comunidades, dirigidas a brindarles autonomía, visibilidad social y participación en los espacios de </w:t>
      </w:r>
      <w:proofErr w:type="gramStart"/>
      <w:r w:rsidRPr="003C56DB">
        <w:rPr>
          <w:rFonts w:ascii="Arial" w:eastAsia="Calibri" w:hAnsi="Arial" w:cs="Arial"/>
          <w:iCs/>
          <w:color w:val="000000"/>
          <w:sz w:val="24"/>
          <w:szCs w:val="24"/>
          <w:shd w:val="clear" w:color="auto" w:fill="FFFFFF"/>
        </w:rPr>
        <w:t>gobierno locales y nacionales</w:t>
      </w:r>
      <w:proofErr w:type="gramEnd"/>
      <w:r w:rsidRPr="003C56DB">
        <w:rPr>
          <w:rFonts w:ascii="Arial" w:eastAsia="Calibri" w:hAnsi="Arial" w:cs="Arial"/>
          <w:iCs/>
          <w:color w:val="000000"/>
          <w:sz w:val="24"/>
          <w:szCs w:val="24"/>
          <w:shd w:val="clear" w:color="auto" w:fill="FFFFFF"/>
          <w:vertAlign w:val="superscript"/>
        </w:rPr>
        <w:footnoteReference w:id="20"/>
      </w:r>
      <w:r w:rsidRPr="003C56DB">
        <w:rPr>
          <w:rFonts w:ascii="Arial" w:eastAsia="Calibri" w:hAnsi="Arial" w:cs="Arial"/>
          <w:iCs/>
          <w:color w:val="000000"/>
          <w:sz w:val="24"/>
          <w:szCs w:val="24"/>
          <w:shd w:val="clear" w:color="auto" w:fill="FFFFFF"/>
        </w:rPr>
        <w:t xml:space="preserve">. Una de ellas es precisamente la delegación de aplicación de justicia en sus autoridades ancestrales, de acuerdo con sus usos, costumbres y tradiciones. Al respecto, el artículo 246 de la Constitución establece lo siguiente: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
          <w:iCs/>
          <w:color w:val="000000"/>
          <w:sz w:val="24"/>
          <w:szCs w:val="24"/>
          <w:shd w:val="clear" w:color="auto" w:fill="FFFFFF"/>
        </w:rPr>
      </w:pPr>
      <w:r w:rsidRPr="003C56DB">
        <w:rPr>
          <w:rFonts w:ascii="Arial" w:eastAsia="Calibri" w:hAnsi="Arial" w:cs="Arial"/>
          <w:i/>
          <w:iCs/>
          <w:color w:val="000000"/>
          <w:sz w:val="24"/>
          <w:szCs w:val="24"/>
          <w:shd w:val="clear" w:color="auto" w:fill="FFFFFF"/>
        </w:rPr>
        <w:t xml:space="preserve">“Las autoridades de los pueblos indígenas podrán ejercer funciones jurisdiccionales dentro de su ámbito territorial, de conformidad con sus propias normas y procedimientos, </w:t>
      </w:r>
      <w:r w:rsidRPr="003C56DB">
        <w:rPr>
          <w:rFonts w:ascii="Arial" w:eastAsia="Calibri" w:hAnsi="Arial" w:cs="Arial"/>
          <w:i/>
          <w:iCs/>
          <w:color w:val="000000"/>
          <w:sz w:val="24"/>
          <w:szCs w:val="24"/>
          <w:u w:val="single"/>
          <w:shd w:val="clear" w:color="auto" w:fill="FFFFFF"/>
        </w:rPr>
        <w:t>siempre que no sean contrarios a la Constitución y leyes de la República</w:t>
      </w:r>
      <w:r w:rsidRPr="003C56DB">
        <w:rPr>
          <w:rFonts w:ascii="Arial" w:eastAsia="Calibri" w:hAnsi="Arial" w:cs="Arial"/>
          <w:i/>
          <w:iCs/>
          <w:color w:val="000000"/>
          <w:sz w:val="24"/>
          <w:szCs w:val="24"/>
          <w:shd w:val="clear" w:color="auto" w:fill="FFFFFF"/>
        </w:rPr>
        <w:t xml:space="preserve">. La ley establecerá las formas de coordinación de esta jurisdicción especial con el sistema judicial nacional” </w:t>
      </w:r>
      <w:r w:rsidRPr="003C56DB">
        <w:rPr>
          <w:rFonts w:ascii="Arial" w:eastAsia="Calibri" w:hAnsi="Arial" w:cs="Arial"/>
          <w:iCs/>
          <w:color w:val="000000"/>
          <w:sz w:val="24"/>
          <w:szCs w:val="24"/>
          <w:shd w:val="clear" w:color="auto" w:fill="FFFFFF"/>
        </w:rPr>
        <w:t>(subraya fuera del texto original)</w:t>
      </w:r>
      <w:r w:rsidRPr="003C56DB">
        <w:rPr>
          <w:rFonts w:ascii="Arial" w:eastAsia="Calibri" w:hAnsi="Arial" w:cs="Arial"/>
          <w:i/>
          <w:iCs/>
          <w:color w:val="000000"/>
          <w:sz w:val="24"/>
          <w:szCs w:val="24"/>
          <w:shd w:val="clear" w:color="auto" w:fill="FFFFFF"/>
        </w:rPr>
        <w:t>.</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Esta norma contiene los cuatro elementos centrales de la jurisdicción indígena:          “i) la posibilidad de que existan autoridades judiciales propias de los pueblos indígenas; ii) la potestad de éstos de establecer normas y procedimientos propios; iii) el respeto a la Constitución y la ley dentro del principio de maximización de la autonomía; y iv) la competencia del legislador para señalar la forma de coordinación de la jurisdicción indígena con el sistema judicial nacional”</w:t>
      </w:r>
      <w:r w:rsidRPr="003C56DB">
        <w:rPr>
          <w:rFonts w:ascii="Arial" w:eastAsia="Calibri" w:hAnsi="Arial" w:cs="Arial"/>
          <w:iCs/>
          <w:color w:val="000000"/>
          <w:sz w:val="24"/>
          <w:szCs w:val="24"/>
          <w:shd w:val="clear" w:color="auto" w:fill="FFFFFF"/>
          <w:vertAlign w:val="superscript"/>
        </w:rPr>
        <w:footnoteReference w:id="21"/>
      </w:r>
      <w:r w:rsidRPr="003C56DB">
        <w:rPr>
          <w:rFonts w:ascii="Arial" w:eastAsia="Calibri" w:hAnsi="Arial" w:cs="Arial"/>
          <w:iCs/>
          <w:color w:val="000000"/>
          <w:sz w:val="24"/>
          <w:szCs w:val="24"/>
          <w:shd w:val="clear" w:color="auto" w:fill="FFFFFF"/>
        </w:rPr>
        <w:t>.</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El artículo 246 también responde a los compromisos adquiridos a nivel internacional por el Estado colombiano en materia de respeto y protección de los grupos indígenas y tribales. En especial, los inmersos en el Convenio No. 169 de la Organización Internacional del Trabajo (OIT)</w:t>
      </w:r>
      <w:r w:rsidRPr="003C56DB">
        <w:rPr>
          <w:rFonts w:ascii="Arial" w:eastAsia="Calibri" w:hAnsi="Arial" w:cs="Arial"/>
          <w:iCs/>
          <w:color w:val="000000"/>
          <w:sz w:val="24"/>
          <w:szCs w:val="24"/>
          <w:shd w:val="clear" w:color="auto" w:fill="FFFFFF"/>
          <w:vertAlign w:val="superscript"/>
        </w:rPr>
        <w:footnoteReference w:id="22"/>
      </w:r>
      <w:r w:rsidRPr="003C56DB">
        <w:rPr>
          <w:rFonts w:ascii="Arial" w:eastAsia="Calibri" w:hAnsi="Arial" w:cs="Arial"/>
          <w:iCs/>
          <w:color w:val="000000"/>
          <w:sz w:val="24"/>
          <w:szCs w:val="24"/>
          <w:shd w:val="clear" w:color="auto" w:fill="FFFFFF"/>
        </w:rPr>
        <w:t xml:space="preserve">, el cual le ordena a los Estados parte asegurar la conservación de las instituciones y costumbres propias de los pueblos indígenas, junto con la aplicación de su derecho consuetudinario (artículo 8).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Con respecto al ámbito jurídico penal, el artículo 9 de aquel instrumento ordena respetar sus sistemas tradicionales de control social, siempre y cuando resulten compatibles con el derecho nacional y el derecho internacional de los derechos humanos: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“1. En la </w:t>
      </w:r>
      <w:r w:rsidRPr="003C56DB">
        <w:rPr>
          <w:rFonts w:ascii="Arial" w:eastAsia="Calibri" w:hAnsi="Arial" w:cs="Arial"/>
          <w:iCs/>
          <w:color w:val="000000"/>
          <w:sz w:val="24"/>
          <w:szCs w:val="24"/>
          <w:u w:val="single"/>
          <w:shd w:val="clear" w:color="auto" w:fill="FFFFFF"/>
        </w:rPr>
        <w:t>medida en que ello sea compatible con el sistema jurídico nacional y con los derechos humanos internacionalmente reconocidos</w:t>
      </w:r>
      <w:r w:rsidRPr="003C56DB">
        <w:rPr>
          <w:rFonts w:ascii="Arial" w:eastAsia="Calibri" w:hAnsi="Arial" w:cs="Arial"/>
          <w:iCs/>
          <w:color w:val="000000"/>
          <w:sz w:val="24"/>
          <w:szCs w:val="24"/>
          <w:shd w:val="clear" w:color="auto" w:fill="FFFFFF"/>
        </w:rPr>
        <w:t>, deberán respetarse los métodos a los que los pueblos interesados recurren tradicionalmente para la represión de los delitos cometidos por sus miembros […]” (subraya de la Sala).</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Otro instrumento internacional que ordena proteger las prácticas jurídicas tradicionales, es la Declaración de las Naciones Unidas sobre los derechos de los pueblos indígenas, adoptada el 10 de septiembre de 2007 por la Asamblea General de esta organización</w:t>
      </w:r>
      <w:r w:rsidRPr="003C56DB">
        <w:rPr>
          <w:rFonts w:ascii="Arial" w:eastAsia="Calibri" w:hAnsi="Arial" w:cs="Arial"/>
          <w:iCs/>
          <w:color w:val="000000"/>
          <w:sz w:val="24"/>
          <w:szCs w:val="24"/>
          <w:shd w:val="clear" w:color="auto" w:fill="FFFFFF"/>
          <w:vertAlign w:val="superscript"/>
        </w:rPr>
        <w:footnoteReference w:id="23"/>
      </w:r>
      <w:r w:rsidRPr="003C56DB">
        <w:rPr>
          <w:rFonts w:ascii="Arial" w:eastAsia="Calibri" w:hAnsi="Arial" w:cs="Arial"/>
          <w:iCs/>
          <w:color w:val="000000"/>
          <w:sz w:val="24"/>
          <w:szCs w:val="24"/>
          <w:shd w:val="clear" w:color="auto" w:fill="FFFFFF"/>
        </w:rPr>
        <w:t xml:space="preserve">. Su artículo 5º reconoce el derecho colectivo a conservar y reforzar las instituciones jurídicas de tipo ancestral, mientras que el artículo 34 contiene el derecho de “promover, desarrollar y mantener sus estructuras institucionales y sus propias costumbres […] o sistemas jurídicos, </w:t>
      </w:r>
      <w:r w:rsidRPr="003C56DB">
        <w:rPr>
          <w:rFonts w:ascii="Arial" w:eastAsia="Calibri" w:hAnsi="Arial" w:cs="Arial"/>
          <w:iCs/>
          <w:color w:val="000000"/>
          <w:sz w:val="24"/>
          <w:szCs w:val="24"/>
          <w:u w:val="single"/>
          <w:shd w:val="clear" w:color="auto" w:fill="FFFFFF"/>
        </w:rPr>
        <w:t>de conformidad con las normas internacionales de derechos humanos</w:t>
      </w:r>
      <w:r w:rsidRPr="003C56DB">
        <w:rPr>
          <w:rFonts w:ascii="Arial" w:eastAsia="Calibri" w:hAnsi="Arial" w:cs="Arial"/>
          <w:iCs/>
          <w:color w:val="000000"/>
          <w:sz w:val="24"/>
          <w:szCs w:val="24"/>
          <w:shd w:val="clear" w:color="auto" w:fill="FFFFFF"/>
        </w:rPr>
        <w:t xml:space="preserve">” (énfasis agregado).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Como se observa, tanto el artículo 246 superior como las disposiciones internacionales citadas defienden la aplicación y preservación de las tradiciones jurídicas indígenas, siempre y cuando se sujeten a las normas constitucionales y al  marco internacional de los derechos humanos.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consecuencia, </w:t>
      </w:r>
      <w:r w:rsidRPr="003C56DB">
        <w:rPr>
          <w:rFonts w:ascii="Arial" w:eastAsia="Calibri" w:hAnsi="Arial" w:cs="Arial"/>
          <w:i/>
          <w:iCs/>
          <w:color w:val="000000"/>
          <w:sz w:val="24"/>
          <w:szCs w:val="24"/>
          <w:shd w:val="clear" w:color="auto" w:fill="FFFFFF"/>
        </w:rPr>
        <w:t xml:space="preserve">no autorizan la existencia y el funcionamiento de cualquier tipo de sistema judicial con raíces </w:t>
      </w:r>
      <w:proofErr w:type="spellStart"/>
      <w:r w:rsidRPr="003C56DB">
        <w:rPr>
          <w:rFonts w:ascii="Arial" w:eastAsia="Calibri" w:hAnsi="Arial" w:cs="Arial"/>
          <w:i/>
          <w:iCs/>
          <w:color w:val="000000"/>
          <w:sz w:val="24"/>
          <w:szCs w:val="24"/>
          <w:shd w:val="clear" w:color="auto" w:fill="FFFFFF"/>
        </w:rPr>
        <w:t>etno</w:t>
      </w:r>
      <w:proofErr w:type="spellEnd"/>
      <w:r w:rsidRPr="003C56DB">
        <w:rPr>
          <w:rFonts w:ascii="Arial" w:eastAsia="Calibri" w:hAnsi="Arial" w:cs="Arial"/>
          <w:i/>
          <w:iCs/>
          <w:color w:val="000000"/>
          <w:sz w:val="24"/>
          <w:szCs w:val="24"/>
          <w:shd w:val="clear" w:color="auto" w:fill="FFFFFF"/>
        </w:rPr>
        <w:t>-culturales diversas al derecho “mayoritario”</w:t>
      </w:r>
      <w:r w:rsidRPr="003C56DB">
        <w:rPr>
          <w:rFonts w:ascii="Arial" w:eastAsia="Calibri" w:hAnsi="Arial" w:cs="Arial"/>
          <w:iCs/>
          <w:color w:val="000000"/>
          <w:sz w:val="24"/>
          <w:szCs w:val="24"/>
          <w:shd w:val="clear" w:color="auto" w:fill="FFFFFF"/>
        </w:rPr>
        <w:t xml:space="preserve">. Tan sólo amparan aquellos que compartan los valores y principios característicos del sistema internacional de los derechos humanos y el derecho interno constitucional.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sz w:val="24"/>
          <w:szCs w:val="28"/>
        </w:rPr>
      </w:pPr>
      <w:r w:rsidRPr="003C56DB">
        <w:rPr>
          <w:rFonts w:ascii="Arial" w:eastAsia="Calibri" w:hAnsi="Arial" w:cs="Arial"/>
          <w:iCs/>
          <w:color w:val="000000"/>
          <w:sz w:val="24"/>
          <w:szCs w:val="24"/>
          <w:shd w:val="clear" w:color="auto" w:fill="FFFFFF"/>
        </w:rPr>
        <w:t xml:space="preserve">Empero, la Corte Constitucional ha establecido que no todas las normas sobre derechos humanos y derechos fundamentales son </w:t>
      </w:r>
      <w:r w:rsidRPr="003C56DB">
        <w:rPr>
          <w:rFonts w:ascii="Arial" w:eastAsia="Calibri" w:hAnsi="Arial" w:cs="Arial"/>
          <w:i/>
          <w:iCs/>
          <w:color w:val="000000"/>
          <w:sz w:val="24"/>
          <w:szCs w:val="24"/>
          <w:shd w:val="clear" w:color="auto" w:fill="FFFFFF"/>
        </w:rPr>
        <w:t>“parámetros de restricción”</w:t>
      </w:r>
      <w:r w:rsidRPr="003C56DB">
        <w:rPr>
          <w:rFonts w:ascii="Arial" w:eastAsia="Calibri" w:hAnsi="Arial" w:cs="Arial"/>
          <w:iCs/>
          <w:color w:val="000000"/>
          <w:sz w:val="24"/>
          <w:szCs w:val="24"/>
          <w:shd w:val="clear" w:color="auto" w:fill="FFFFFF"/>
          <w:vertAlign w:val="superscript"/>
        </w:rPr>
        <w:footnoteReference w:id="24"/>
      </w:r>
      <w:r w:rsidRPr="003C56DB">
        <w:rPr>
          <w:rFonts w:ascii="Arial" w:eastAsia="Calibri" w:hAnsi="Arial" w:cs="Arial"/>
          <w:iCs/>
          <w:color w:val="000000"/>
          <w:sz w:val="24"/>
          <w:szCs w:val="24"/>
          <w:shd w:val="clear" w:color="auto" w:fill="FFFFFF"/>
        </w:rPr>
        <w:t xml:space="preserve"> de la jurisdicción indígena. Pensar de esta manera vaciaría de contenido práctico campo de acción. Solamente limitan su ámbito de aplicación material, aquellas que reflejen consensos interculturales amplios</w:t>
      </w:r>
      <w:r w:rsidRPr="003C56DB">
        <w:rPr>
          <w:rFonts w:ascii="Arial" w:eastAsia="Calibri" w:hAnsi="Arial" w:cs="Arial"/>
          <w:iCs/>
          <w:color w:val="000000"/>
          <w:sz w:val="24"/>
          <w:szCs w:val="24"/>
          <w:shd w:val="clear" w:color="auto" w:fill="FFFFFF"/>
          <w:vertAlign w:val="superscript"/>
        </w:rPr>
        <w:footnoteReference w:id="25"/>
      </w:r>
      <w:r w:rsidRPr="003C56DB">
        <w:rPr>
          <w:rFonts w:ascii="Arial" w:eastAsia="Calibri" w:hAnsi="Arial" w:cs="Arial"/>
          <w:iCs/>
          <w:color w:val="000000"/>
          <w:sz w:val="24"/>
          <w:szCs w:val="24"/>
          <w:shd w:val="clear" w:color="auto" w:fill="FFFFFF"/>
        </w:rPr>
        <w:t xml:space="preserve">, </w:t>
      </w:r>
      <w:r w:rsidRPr="003C56DB">
        <w:rPr>
          <w:rFonts w:ascii="Arial" w:eastAsia="Calibri" w:hAnsi="Arial" w:cs="Arial"/>
          <w:sz w:val="24"/>
          <w:szCs w:val="28"/>
        </w:rPr>
        <w:t>sobre los mínimos de convivencia necesarios para disfrutar de una vida digna</w:t>
      </w:r>
      <w:r w:rsidRPr="003C56DB">
        <w:rPr>
          <w:rFonts w:ascii="Arial" w:eastAsia="Calibri" w:hAnsi="Arial" w:cs="Arial"/>
          <w:sz w:val="24"/>
          <w:szCs w:val="28"/>
          <w:vertAlign w:val="superscript"/>
        </w:rPr>
        <w:footnoteReference w:id="26"/>
      </w:r>
      <w:r w:rsidRPr="003C56DB">
        <w:rPr>
          <w:rFonts w:ascii="Arial" w:eastAsia="Calibri" w:hAnsi="Arial" w:cs="Arial"/>
          <w:sz w:val="24"/>
          <w:szCs w:val="28"/>
        </w:rPr>
        <w:t>. En palabras de la Corte, estas restricciones solo tienen cabida:</w:t>
      </w:r>
    </w:p>
    <w:p w:rsidR="00597D8D" w:rsidRPr="003C56DB" w:rsidRDefault="00597D8D" w:rsidP="00597D8D">
      <w:pPr>
        <w:spacing w:after="0" w:line="360" w:lineRule="auto"/>
        <w:jc w:val="both"/>
        <w:rPr>
          <w:rFonts w:ascii="Arial" w:eastAsia="Calibri" w:hAnsi="Arial" w:cs="Arial"/>
          <w:sz w:val="24"/>
          <w:szCs w:val="28"/>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sz w:val="24"/>
          <w:szCs w:val="28"/>
        </w:rPr>
        <w:t xml:space="preserve"> “[S]obre la base de un consenso en torno a lo verdaderamente inaceptable desde la óptica de los derechos humanos, tratando siempre de que el mencionado consenso sea lo más incluyente posible respecto de todas las culturas existentes en el territorio</w:t>
      </w:r>
      <w:r w:rsidRPr="003C56DB">
        <w:rPr>
          <w:rFonts w:ascii="Arial" w:eastAsia="Calibri" w:hAnsi="Arial" w:cs="Arial"/>
          <w:sz w:val="24"/>
          <w:szCs w:val="28"/>
          <w:vertAlign w:val="superscript"/>
        </w:rPr>
        <w:footnoteReference w:id="27"/>
      </w:r>
      <w:r w:rsidRPr="003C56DB">
        <w:rPr>
          <w:rFonts w:ascii="Arial" w:eastAsia="Calibri" w:hAnsi="Arial" w:cs="Arial"/>
          <w:sz w:val="24"/>
          <w:szCs w:val="28"/>
        </w:rPr>
        <w:t>”</w:t>
      </w:r>
      <w:r w:rsidRPr="003C56DB">
        <w:rPr>
          <w:rFonts w:ascii="Arial" w:eastAsia="Calibri" w:hAnsi="Arial" w:cs="Arial"/>
          <w:sz w:val="24"/>
          <w:szCs w:val="28"/>
          <w:vertAlign w:val="superscript"/>
        </w:rPr>
        <w:footnoteReference w:id="28"/>
      </w:r>
      <w:r w:rsidRPr="003C56DB">
        <w:rPr>
          <w:rFonts w:ascii="Arial" w:eastAsia="Calibri" w:hAnsi="Arial" w:cs="Arial"/>
          <w:sz w:val="24"/>
          <w:szCs w:val="28"/>
        </w:rPr>
        <w:t xml:space="preserve">. </w:t>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En consonancia con esta situación, la Corte Constitucional en la sentencia T-349 de 1996 estableció un conjunto de “derechos intangibles”, como la vida, la prohibición de la esclavitud, la prohibición de la tortura y el debido proceso, cuyo disfrute debe garantizarse incluso por encima de la protección a la potestad de autogobierno reconocida por el constituyente a los puebles indígenas y tribales. Al respecto indicó lo siguiente:</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“La plena vigencia de los derechos fundamentales constitucionales en los territorios indígenas como límite al principio de diversidad étnica y constitucional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w:t>
      </w:r>
      <w:r w:rsidRPr="003C56DB">
        <w:rPr>
          <w:rFonts w:ascii="Arial" w:eastAsia="Calibri" w:hAnsi="Arial" w:cs="Arial"/>
          <w:iCs/>
          <w:color w:val="000000"/>
          <w:sz w:val="24"/>
          <w:szCs w:val="24"/>
          <w:shd w:val="clear" w:color="auto" w:fill="FFFFFF"/>
          <w:vertAlign w:val="superscript"/>
        </w:rPr>
        <w:footnoteReference w:id="29"/>
      </w:r>
      <w:r w:rsidRPr="003C56DB">
        <w:rPr>
          <w:rFonts w:ascii="Arial" w:eastAsia="Calibri" w:hAnsi="Arial" w:cs="Arial"/>
          <w:iCs/>
          <w:color w:val="000000"/>
          <w:sz w:val="24"/>
          <w:szCs w:val="24"/>
          <w:shd w:val="clear" w:color="auto" w:fill="FFFFFF"/>
        </w:rPr>
        <w:t>.</w:t>
      </w: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Esto significa que la autonomía y la jurisdicción indígena se encuentran sometidas o limitadas por el respeto de al menos estos derechos fundamentales.</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b/>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b) Desarrollos jurisprudenciales en materia de jurisdicción penal indígena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Numerosas decisiones de la Corte Constitucional y de esta Sala han desarrollado pautas útiles para resolver conflictos de competencia entre la justicia penal ordinaria y la justicia indígena. En general, ambas corporaciones coinciden en la existencia de al menos cuatro elementos o factores que configuran la jurisdicción especial indígena</w:t>
      </w:r>
      <w:r w:rsidRPr="003C56DB">
        <w:rPr>
          <w:rFonts w:ascii="Arial" w:eastAsia="Calibri" w:hAnsi="Arial" w:cs="Arial"/>
          <w:iCs/>
          <w:color w:val="000000"/>
          <w:sz w:val="24"/>
          <w:szCs w:val="24"/>
          <w:shd w:val="clear" w:color="auto" w:fill="FFFFFF"/>
          <w:vertAlign w:val="superscript"/>
        </w:rPr>
        <w:footnoteReference w:id="30"/>
      </w:r>
      <w:r w:rsidRPr="003C56DB">
        <w:rPr>
          <w:rFonts w:ascii="Arial" w:eastAsia="Calibri" w:hAnsi="Arial" w:cs="Arial"/>
          <w:iCs/>
          <w:color w:val="000000"/>
          <w:sz w:val="24"/>
          <w:szCs w:val="24"/>
          <w:shd w:val="clear" w:color="auto" w:fill="FFFFFF"/>
        </w:rPr>
        <w:t>: personal, territorial, objetivo e institucional.</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El primero de ellos alude a la pertenencia del sujeto sindicado a una comunidad indígena y las repercusiones individuales y sociales que de ello se derivan (p. ej., su identidad étnica y consecuente falta de comprensión de la ilicitud de la conducta castigada por el derecho penal nacional</w:t>
      </w:r>
      <w:r w:rsidRPr="003C56DB">
        <w:rPr>
          <w:rFonts w:ascii="Arial" w:eastAsia="Calibri" w:hAnsi="Arial" w:cs="Arial"/>
          <w:iCs/>
          <w:color w:val="000000"/>
          <w:sz w:val="24"/>
          <w:szCs w:val="24"/>
          <w:shd w:val="clear" w:color="auto" w:fill="FFFFFF"/>
          <w:vertAlign w:val="superscript"/>
        </w:rPr>
        <w:footnoteReference w:id="31"/>
      </w:r>
      <w:r w:rsidRPr="003C56DB">
        <w:rPr>
          <w:rFonts w:ascii="Arial" w:eastAsia="Calibri" w:hAnsi="Arial" w:cs="Arial"/>
          <w:iCs/>
          <w:color w:val="000000"/>
          <w:sz w:val="24"/>
          <w:szCs w:val="24"/>
          <w:shd w:val="clear" w:color="auto" w:fill="FFFFFF"/>
        </w:rPr>
        <w:t>). El segundo elemento se refiere a la ocurrencia de los hechos dentro del “ámbito territorial” de la comunidad indígena, el cual no necesariamente coincide con el espacio geográfico del respectivo cabildo o resguardo</w:t>
      </w:r>
      <w:r w:rsidRPr="003C56DB">
        <w:rPr>
          <w:rFonts w:ascii="Arial" w:eastAsia="Calibri" w:hAnsi="Arial" w:cs="Arial"/>
          <w:iCs/>
          <w:color w:val="000000"/>
          <w:sz w:val="24"/>
          <w:szCs w:val="24"/>
          <w:shd w:val="clear" w:color="auto" w:fill="FFFFFF"/>
          <w:vertAlign w:val="superscript"/>
        </w:rPr>
        <w:footnoteReference w:id="32"/>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El tercer elemento, por su parte, aborda el tipo de bien jurídico lesionado en el caso concreto, es decir, si se trata de un interés exclusivo ya sea para la comunidad indígena o para la llamada “sociedad mayoritaria”, o si en ambas es apreciado como un valor digno de protección. La regla prevista alrededor de este elemento puede sintetizarse en la siguiente máxima: a mayor impacto social y consenso intercultural alrededor de la gravedad de la conducta delictiva, menor probabilidad de delegarse su investigación y castigo en la justicia tradicional indígena</w:t>
      </w:r>
      <w:r w:rsidRPr="003C56DB">
        <w:rPr>
          <w:rFonts w:ascii="Arial" w:eastAsia="Calibri" w:hAnsi="Arial" w:cs="Arial"/>
          <w:iCs/>
          <w:color w:val="000000"/>
          <w:sz w:val="24"/>
          <w:szCs w:val="24"/>
          <w:shd w:val="clear" w:color="auto" w:fill="FFFFFF"/>
          <w:vertAlign w:val="superscript"/>
        </w:rPr>
        <w:footnoteReference w:id="33"/>
      </w:r>
      <w:r w:rsidRPr="003C56DB">
        <w:rPr>
          <w:rFonts w:ascii="Arial" w:eastAsia="Calibri" w:hAnsi="Arial" w:cs="Arial"/>
          <w:iCs/>
          <w:color w:val="000000"/>
          <w:sz w:val="24"/>
          <w:szCs w:val="24"/>
          <w:shd w:val="clear" w:color="auto" w:fill="FFFFFF"/>
        </w:rPr>
        <w:t xml:space="preserve">. Un dato relevante en este elemento lo constituye la tipificación en los ordenamientos jurídicos “mayoritario” e indígena de las conductas reprochables como delitos, pues de esta información se deduce su reproche social y la intención de prevenir con su castigo la repetición de los mismos.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Por último, el aspecto institucional busca dotar de mayor autonomía a las comunidades ancestrales que: (i) ostenten altos grados formalización en sus instituciones judiciales, (ii) demuestren razonable nivel de coerción sobre sus integrantes, (iii) respeten el debido proceso y el principio de legalidad, o de “previsibilidad”, de los delitos y las penas; y (iv) garanticen los derechos de las víctimas.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La Corte Constitucional en la sentencia T-2 de 2012 consolidó los diversos criterios empleados en sus decisiones, aplicables al momento de determinar la capacidad institucional de una comunidad indígena para garantizar los derechos de las víctimas. En general, le apuestan a una valoración “contextual” de las normas y autoridades ancestrales encargadas de impartir justicia, de manera que se evite caer en exigencias desproporcionadas que terminen descartando </w:t>
      </w:r>
      <w:r w:rsidRPr="003C56DB">
        <w:rPr>
          <w:rFonts w:ascii="Arial" w:eastAsia="Calibri" w:hAnsi="Arial" w:cs="Arial"/>
          <w:i/>
          <w:iCs/>
          <w:color w:val="000000"/>
          <w:sz w:val="24"/>
          <w:szCs w:val="24"/>
          <w:shd w:val="clear" w:color="auto" w:fill="FFFFFF"/>
        </w:rPr>
        <w:t>siempre</w:t>
      </w:r>
      <w:r w:rsidRPr="003C56DB">
        <w:rPr>
          <w:rFonts w:ascii="Arial" w:eastAsia="Calibri" w:hAnsi="Arial" w:cs="Arial"/>
          <w:iCs/>
          <w:color w:val="000000"/>
          <w:sz w:val="24"/>
          <w:szCs w:val="24"/>
          <w:shd w:val="clear" w:color="auto" w:fill="FFFFFF"/>
        </w:rPr>
        <w:t xml:space="preserve"> la competencia de las mismas para juzgar los crímenes cometidos por los miembros del cabildo.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En concreto, mencionó seis parámetros útiles para definir judicialmente aquella capacidad institucional:  i) la imposibilidad de tratar el derecho “propio” como una simple copia del derecho “mayoritario”, lo cual le impone al juez estar abierto a tratamientos alternativos y diversos de los derechos de las víctimas, acordes con las costumbres de cada comunidad indígena; ii) la necesidad de considerar la solicitud de cambio de jurisdicción propuesta por los líderes indígenas como una muestra “per se” de la existencia de institucionalidad encargada de velar por las víctimas; iii) el debido respeto al derecho a la igualdad y la obligación de que todos los casos semejantes sean juzgados por la comunidad, iv) la posibilidad de adelantar el estudio con “diferentes niveles” de rigor, pues tratándose de crímenes graves o cometidos contra personas en situación de vulnerabilidad o indefensión, mayor deberá ser la garantía de los derechos de las víctimas</w:t>
      </w:r>
      <w:r w:rsidRPr="003C56DB">
        <w:rPr>
          <w:rFonts w:ascii="Arial" w:eastAsia="Calibri" w:hAnsi="Arial" w:cs="Arial"/>
          <w:iCs/>
          <w:color w:val="000000"/>
          <w:sz w:val="24"/>
          <w:szCs w:val="24"/>
          <w:shd w:val="clear" w:color="auto" w:fill="FFFFFF"/>
          <w:vertAlign w:val="superscript"/>
        </w:rPr>
        <w:footnoteReference w:id="34"/>
      </w:r>
      <w:r w:rsidRPr="003C56DB">
        <w:rPr>
          <w:rFonts w:ascii="Arial" w:eastAsia="Calibri" w:hAnsi="Arial" w:cs="Arial"/>
          <w:iCs/>
          <w:color w:val="000000"/>
          <w:sz w:val="24"/>
          <w:szCs w:val="24"/>
          <w:shd w:val="clear" w:color="auto" w:fill="FFFFFF"/>
        </w:rPr>
        <w:t xml:space="preserve">; y, vi) la flexibilización del principio de legalidad característico del derecho penal “mayoritario”, para reemplazarlo por una visión </w:t>
      </w:r>
      <w:proofErr w:type="spellStart"/>
      <w:r w:rsidRPr="003C56DB">
        <w:rPr>
          <w:rFonts w:ascii="Arial" w:eastAsia="Calibri" w:hAnsi="Arial" w:cs="Arial"/>
          <w:iCs/>
          <w:color w:val="000000"/>
          <w:sz w:val="24"/>
          <w:szCs w:val="24"/>
          <w:shd w:val="clear" w:color="auto" w:fill="FFFFFF"/>
        </w:rPr>
        <w:t>etno</w:t>
      </w:r>
      <w:proofErr w:type="spellEnd"/>
      <w:r w:rsidRPr="003C56DB">
        <w:rPr>
          <w:rFonts w:ascii="Arial" w:eastAsia="Calibri" w:hAnsi="Arial" w:cs="Arial"/>
          <w:iCs/>
          <w:color w:val="000000"/>
          <w:sz w:val="24"/>
          <w:szCs w:val="24"/>
          <w:shd w:val="clear" w:color="auto" w:fill="FFFFFF"/>
        </w:rPr>
        <w:t xml:space="preserve">-cultural del sistema jurídico, más relacionada con la “previsibilidad” de los delitos y las penas.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Ahora bien, cada uno de estos elementos debe valorarse en el caso concreto y atendiendo a numerosas reglas jurisprudenciales que contribuyen a resolver con cierto grado de certeza y uniformidad los conflictos tejidos entre ambas jurisdicciones.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Entre ellas se destacan las fijadas por la Corte Constitucional a partir de la sentencia T-254 de 1994, con ocasión del análisis de un caso en el cual un indígena había sido condenado por las autoridades del cabildo El Tambo (</w:t>
      </w:r>
      <w:proofErr w:type="spellStart"/>
      <w:r w:rsidRPr="003C56DB">
        <w:rPr>
          <w:rFonts w:ascii="Arial" w:eastAsia="Calibri" w:hAnsi="Arial" w:cs="Arial"/>
          <w:iCs/>
          <w:color w:val="000000"/>
          <w:sz w:val="24"/>
          <w:szCs w:val="24"/>
          <w:shd w:val="clear" w:color="auto" w:fill="FFFFFF"/>
        </w:rPr>
        <w:t>Coyaima</w:t>
      </w:r>
      <w:proofErr w:type="spellEnd"/>
      <w:r w:rsidRPr="003C56DB">
        <w:rPr>
          <w:rFonts w:ascii="Arial" w:eastAsia="Calibri" w:hAnsi="Arial" w:cs="Arial"/>
          <w:iCs/>
          <w:color w:val="000000"/>
          <w:sz w:val="24"/>
          <w:szCs w:val="24"/>
          <w:shd w:val="clear" w:color="auto" w:fill="FFFFFF"/>
        </w:rPr>
        <w:t xml:space="preserve"> - Tolima) a la expulsión de su comunidad.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Como primera medida, la protección a la diversidad cultural y a sus manifestaciones jurisdiccionales solo tiene cabida en el ámbito de lo permitido o lo lícito a la luz del texto constitucional. Se busca así asegurar un principio de </w:t>
      </w:r>
      <w:r w:rsidRPr="003C56DB">
        <w:rPr>
          <w:rFonts w:ascii="Arial" w:eastAsia="Calibri" w:hAnsi="Arial" w:cs="Arial"/>
          <w:i/>
          <w:iCs/>
          <w:color w:val="000000"/>
          <w:sz w:val="24"/>
          <w:szCs w:val="24"/>
          <w:shd w:val="clear" w:color="auto" w:fill="FFFFFF"/>
        </w:rPr>
        <w:t>coherencia</w:t>
      </w:r>
      <w:r w:rsidRPr="003C56DB">
        <w:rPr>
          <w:rFonts w:ascii="Arial" w:eastAsia="Calibri" w:hAnsi="Arial" w:cs="Arial"/>
          <w:iCs/>
          <w:color w:val="000000"/>
          <w:sz w:val="24"/>
          <w:szCs w:val="24"/>
          <w:shd w:val="clear" w:color="auto" w:fill="FFFFFF"/>
        </w:rPr>
        <w:t xml:space="preserve"> entre los sistemas jurídicos locales y las normas de la República. En palabras de la Corte: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“La autonomía política y jurídica reconocida a las comunidades indígenas por el constituyente, por su parte, debe ejercerse dentro de los estrictos parámetros señalados por el mismo texto constitucional: </w:t>
      </w:r>
      <w:r w:rsidRPr="003C56DB">
        <w:rPr>
          <w:rFonts w:ascii="Arial" w:eastAsia="Calibri" w:hAnsi="Arial" w:cs="Arial"/>
          <w:b/>
          <w:bCs/>
          <w:iCs/>
          <w:color w:val="000000"/>
          <w:sz w:val="24"/>
          <w:szCs w:val="24"/>
          <w:shd w:val="clear" w:color="auto" w:fill="FFFFFF"/>
        </w:rPr>
        <w:t>de conformidad con sus usos y costumbres, siempre y cuando no sean contrarios a la Constitución y a la ley</w:t>
      </w:r>
      <w:r w:rsidRPr="003C56DB">
        <w:rPr>
          <w:rFonts w:ascii="Arial" w:eastAsia="Calibri" w:hAnsi="Arial" w:cs="Arial"/>
          <w:iCs/>
          <w:color w:val="000000"/>
          <w:sz w:val="24"/>
          <w:szCs w:val="24"/>
          <w:shd w:val="clear" w:color="auto" w:fill="FFFFFF"/>
        </w:rPr>
        <w:t xml:space="preserve"> (CP arts. 246, 330) </w:t>
      </w:r>
      <w:proofErr w:type="gramStart"/>
      <w:r w:rsidRPr="003C56DB">
        <w:rPr>
          <w:rFonts w:ascii="Arial" w:eastAsia="Calibri" w:hAnsi="Arial" w:cs="Arial"/>
          <w:iCs/>
          <w:color w:val="000000"/>
          <w:sz w:val="24"/>
          <w:szCs w:val="24"/>
          <w:shd w:val="clear" w:color="auto" w:fill="FFFFFF"/>
        </w:rPr>
        <w:t>de</w:t>
      </w:r>
      <w:proofErr w:type="gramEnd"/>
      <w:r w:rsidRPr="003C56DB">
        <w:rPr>
          <w:rFonts w:ascii="Arial" w:eastAsia="Calibri" w:hAnsi="Arial" w:cs="Arial"/>
          <w:iCs/>
          <w:color w:val="000000"/>
          <w:sz w:val="24"/>
          <w:szCs w:val="24"/>
          <w:shd w:val="clear" w:color="auto" w:fill="FFFFFF"/>
        </w:rPr>
        <w:t xml:space="preserve"> forma que se asegure la unidad nacional”.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De la cita anterior también se colige el carácter </w:t>
      </w:r>
      <w:r w:rsidRPr="003C56DB">
        <w:rPr>
          <w:rFonts w:ascii="Arial" w:eastAsia="Calibri" w:hAnsi="Arial" w:cs="Arial"/>
          <w:i/>
          <w:iCs/>
          <w:color w:val="000000"/>
          <w:sz w:val="24"/>
          <w:szCs w:val="24"/>
          <w:shd w:val="clear" w:color="auto" w:fill="FFFFFF"/>
        </w:rPr>
        <w:t>restrictivo</w:t>
      </w:r>
      <w:r w:rsidRPr="003C56DB">
        <w:rPr>
          <w:rFonts w:ascii="Arial" w:eastAsia="Calibri" w:hAnsi="Arial" w:cs="Arial"/>
          <w:iCs/>
          <w:color w:val="000000"/>
          <w:sz w:val="24"/>
          <w:szCs w:val="24"/>
          <w:shd w:val="clear" w:color="auto" w:fill="FFFFFF"/>
        </w:rPr>
        <w:t xml:space="preserve"> de la interpretación que debe dársele a la jurisdicción indígena. Según la Corte, la autonomía jurídica deberá ejercerse “dentro de los estrictos parámetros del texto constitucional” de lo cual se infiere su carácter </w:t>
      </w:r>
      <w:r w:rsidRPr="003C56DB">
        <w:rPr>
          <w:rFonts w:ascii="Arial" w:eastAsia="Calibri" w:hAnsi="Arial" w:cs="Arial"/>
          <w:i/>
          <w:iCs/>
          <w:color w:val="000000"/>
          <w:sz w:val="24"/>
          <w:szCs w:val="24"/>
          <w:shd w:val="clear" w:color="auto" w:fill="FFFFFF"/>
        </w:rPr>
        <w:t>excepcional</w:t>
      </w:r>
      <w:r w:rsidRPr="003C56DB">
        <w:rPr>
          <w:rFonts w:ascii="Arial" w:eastAsia="Calibri" w:hAnsi="Arial" w:cs="Arial"/>
          <w:iCs/>
          <w:color w:val="000000"/>
          <w:sz w:val="24"/>
          <w:szCs w:val="24"/>
          <w:shd w:val="clear" w:color="auto" w:fill="FFFFFF"/>
          <w:vertAlign w:val="superscript"/>
        </w:rPr>
        <w:footnoteReference w:id="35"/>
      </w:r>
      <w:r w:rsidRPr="003C56DB">
        <w:rPr>
          <w:rFonts w:ascii="Arial" w:eastAsia="Calibri" w:hAnsi="Arial" w:cs="Arial"/>
          <w:iCs/>
          <w:color w:val="000000"/>
          <w:sz w:val="24"/>
          <w:szCs w:val="24"/>
          <w:shd w:val="clear" w:color="auto" w:fill="FFFFFF"/>
        </w:rPr>
        <w:t xml:space="preserve"> y el deber de armonizar sus alcances con los demás mandatos superiores.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Por otra parte, los conflictos entre la justicia ordinaria y la indígena deberán resolverse teniendo en cuenta lo siguiente:</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
          <w:iCs/>
          <w:color w:val="000000"/>
          <w:sz w:val="24"/>
          <w:szCs w:val="24"/>
          <w:shd w:val="clear" w:color="auto" w:fill="FFFFFF"/>
        </w:rPr>
        <w:t>i)</w:t>
      </w:r>
      <w:r w:rsidRPr="003C56DB">
        <w:rPr>
          <w:rFonts w:ascii="Arial" w:eastAsia="Calibri" w:hAnsi="Arial" w:cs="Arial"/>
          <w:iCs/>
          <w:color w:val="000000"/>
          <w:sz w:val="24"/>
          <w:szCs w:val="24"/>
          <w:shd w:val="clear" w:color="auto" w:fill="FFFFFF"/>
        </w:rPr>
        <w:t xml:space="preserve"> La comunidad indígena deberá gozar de mayor autonomía para juzgar a sus integrantes si exhibe un alto grado de conservación de sus usos y costumbres ancestrales.</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
          <w:iCs/>
          <w:color w:val="000000"/>
          <w:sz w:val="24"/>
          <w:szCs w:val="24"/>
          <w:shd w:val="clear" w:color="auto" w:fill="FFFFFF"/>
        </w:rPr>
        <w:t>ii)</w:t>
      </w:r>
      <w:r w:rsidRPr="003C56DB">
        <w:rPr>
          <w:rFonts w:ascii="Arial" w:eastAsia="Calibri" w:hAnsi="Arial" w:cs="Arial"/>
          <w:iCs/>
          <w:color w:val="000000"/>
          <w:sz w:val="24"/>
          <w:szCs w:val="24"/>
          <w:shd w:val="clear" w:color="auto" w:fill="FFFFFF"/>
        </w:rPr>
        <w:t xml:space="preserve"> En ningún caso la aplicación de la jurisdicción indígena justifica violaciones a los derechos fundamentales. En palabras de la Corte, el sistema de derechos contenido en la norma superior constituye “un </w:t>
      </w:r>
      <w:r w:rsidRPr="003C56DB">
        <w:rPr>
          <w:rFonts w:ascii="Arial" w:eastAsia="Calibri" w:hAnsi="Arial" w:cs="Arial"/>
          <w:i/>
          <w:iCs/>
          <w:color w:val="000000"/>
          <w:sz w:val="24"/>
          <w:szCs w:val="24"/>
          <w:shd w:val="clear" w:color="auto" w:fill="FFFFFF"/>
        </w:rPr>
        <w:t>límite material</w:t>
      </w:r>
      <w:r w:rsidRPr="003C56DB">
        <w:rPr>
          <w:rFonts w:ascii="Arial" w:eastAsia="Calibri" w:hAnsi="Arial" w:cs="Arial"/>
          <w:iCs/>
          <w:color w:val="000000"/>
          <w:sz w:val="24"/>
          <w:szCs w:val="24"/>
          <w:shd w:val="clear" w:color="auto" w:fill="FFFFFF"/>
        </w:rPr>
        <w:t xml:space="preserve"> al principio de diversidad étnica y cultural y a los códigos de valores propios de las diversas comunidades indígenas que habitan el territorio nacional”</w:t>
      </w:r>
      <w:r w:rsidRPr="003C56DB">
        <w:rPr>
          <w:rFonts w:ascii="Arial" w:eastAsia="Calibri" w:hAnsi="Arial" w:cs="Arial"/>
          <w:iCs/>
          <w:color w:val="000000"/>
          <w:sz w:val="24"/>
          <w:szCs w:val="24"/>
          <w:shd w:val="clear" w:color="auto" w:fill="FFFFFF"/>
          <w:vertAlign w:val="superscript"/>
        </w:rPr>
        <w:footnoteReference w:id="36"/>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
          <w:iCs/>
          <w:color w:val="000000"/>
          <w:sz w:val="24"/>
          <w:szCs w:val="24"/>
          <w:shd w:val="clear" w:color="auto" w:fill="FFFFFF"/>
        </w:rPr>
        <w:t>iii)</w:t>
      </w:r>
      <w:r w:rsidRPr="003C56DB">
        <w:rPr>
          <w:rFonts w:ascii="Arial" w:eastAsia="Calibri" w:hAnsi="Arial" w:cs="Arial"/>
          <w:iCs/>
          <w:color w:val="000000"/>
          <w:sz w:val="24"/>
          <w:szCs w:val="24"/>
          <w:shd w:val="clear" w:color="auto" w:fill="FFFFFF"/>
        </w:rPr>
        <w:t xml:space="preserve"> El derecho de orden público prima sobre el derecho propio de las comunidades indígenas, “siempre y cuando [proteja] un valor constitucional superior al principio de diversidad étnica y cultural”</w:t>
      </w:r>
      <w:r w:rsidRPr="003C56DB">
        <w:rPr>
          <w:rFonts w:ascii="Arial" w:eastAsia="Calibri" w:hAnsi="Arial" w:cs="Arial"/>
          <w:iCs/>
          <w:color w:val="000000"/>
          <w:sz w:val="24"/>
          <w:szCs w:val="24"/>
          <w:shd w:val="clear" w:color="auto" w:fill="FFFFFF"/>
          <w:vertAlign w:val="superscript"/>
        </w:rPr>
        <w:footnoteReference w:id="37"/>
      </w:r>
      <w:r w:rsidRPr="003C56DB">
        <w:rPr>
          <w:rFonts w:ascii="Arial" w:eastAsia="Calibri" w:hAnsi="Arial" w:cs="Arial"/>
          <w:iCs/>
          <w:color w:val="000000"/>
          <w:sz w:val="24"/>
          <w:szCs w:val="24"/>
          <w:shd w:val="clear" w:color="auto" w:fill="FFFFFF"/>
        </w:rPr>
        <w:t>; y,</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
          <w:iCs/>
          <w:color w:val="000000"/>
          <w:sz w:val="24"/>
          <w:szCs w:val="24"/>
          <w:shd w:val="clear" w:color="auto" w:fill="FFFFFF"/>
        </w:rPr>
        <w:t>iv)</w:t>
      </w:r>
      <w:r w:rsidRPr="003C56DB">
        <w:rPr>
          <w:rFonts w:ascii="Arial" w:eastAsia="Calibri" w:hAnsi="Arial" w:cs="Arial"/>
          <w:iCs/>
          <w:color w:val="000000"/>
          <w:sz w:val="24"/>
          <w:szCs w:val="24"/>
          <w:shd w:val="clear" w:color="auto" w:fill="FFFFFF"/>
        </w:rPr>
        <w:t xml:space="preserve"> El derecho indígena prevalece sobre las normas con naturaleza dispositiva del ordenamiento jurídico nacional (p. ej., las regulaciones comerciales privadas).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Con respecto a la existencia de límites materiales para la actuación de la justicia indígena, tanto la jurisprudencia constitucional como la sentada por esta Sala han coincidido en restringir su campo de acción cuando repercute negativamente en valores, principios y derechos de estirpe superior al respeto por la diversidad cultural.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Por ejemplo, en la citada providencia T-254 de 1994 la Corte Constitucional dejó sin efectos la pena de destierro impuesta al indígena demandante por las autoridades de su cabildo, al encontrar que desconocía ostensiblemente la prohibición del artículo 34 superior. De igual forma, en la sentencia T-349 de 1996 revocó un castigo de prisión impuesto por la Asamblea General de Cabildos de la Región </w:t>
      </w:r>
      <w:proofErr w:type="spellStart"/>
      <w:r w:rsidRPr="003C56DB">
        <w:rPr>
          <w:rFonts w:ascii="Arial" w:eastAsia="Calibri" w:hAnsi="Arial" w:cs="Arial"/>
          <w:iCs/>
          <w:color w:val="000000"/>
          <w:sz w:val="24"/>
          <w:szCs w:val="24"/>
          <w:shd w:val="clear" w:color="auto" w:fill="FFFFFF"/>
        </w:rPr>
        <w:t>Embera-Chamí</w:t>
      </w:r>
      <w:proofErr w:type="spellEnd"/>
      <w:r w:rsidRPr="003C56DB">
        <w:rPr>
          <w:rFonts w:ascii="Arial" w:eastAsia="Calibri" w:hAnsi="Arial" w:cs="Arial"/>
          <w:iCs/>
          <w:color w:val="000000"/>
          <w:sz w:val="24"/>
          <w:szCs w:val="24"/>
          <w:shd w:val="clear" w:color="auto" w:fill="FFFFFF"/>
        </w:rPr>
        <w:t xml:space="preserve"> tras declarar que representó un “exceso en el ejercicio de las facultades jurisdiccionales” de las comunidades indígenas, pues se adoptó en abierta contradicción del derecho fundamental a un debido proceso (artículo 29 de la Constitución).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Posteriormente, en la sentencia T-811 de 2004 anuló una sanción decretada por el Resguardo Indígena de </w:t>
      </w:r>
      <w:proofErr w:type="spellStart"/>
      <w:r w:rsidRPr="003C56DB">
        <w:rPr>
          <w:rFonts w:ascii="Arial" w:eastAsia="Calibri" w:hAnsi="Arial" w:cs="Arial"/>
          <w:iCs/>
          <w:color w:val="000000"/>
          <w:sz w:val="24"/>
          <w:szCs w:val="24"/>
          <w:shd w:val="clear" w:color="auto" w:fill="FFFFFF"/>
        </w:rPr>
        <w:t>Quizgó</w:t>
      </w:r>
      <w:proofErr w:type="spellEnd"/>
      <w:r w:rsidRPr="003C56DB">
        <w:rPr>
          <w:rFonts w:ascii="Arial" w:eastAsia="Calibri" w:hAnsi="Arial" w:cs="Arial"/>
          <w:iCs/>
          <w:color w:val="000000"/>
          <w:sz w:val="24"/>
          <w:szCs w:val="24"/>
          <w:shd w:val="clear" w:color="auto" w:fill="FFFFFF"/>
        </w:rPr>
        <w:t xml:space="preserve"> en contra de uno de sus comuneros, al haberse fundado en una responsabilidad de carácter objetivo, proscrita en el derecho penal contemporáneo. Y, en la sentencia T-1294 de 2005 la Corte confirmó una sanción de privación de la libertad durante 40 años, impuesta por la Asamblea General de los Cabildos de </w:t>
      </w:r>
      <w:proofErr w:type="spellStart"/>
      <w:r w:rsidRPr="003C56DB">
        <w:rPr>
          <w:rFonts w:ascii="Arial" w:eastAsia="Calibri" w:hAnsi="Arial" w:cs="Arial"/>
          <w:iCs/>
          <w:color w:val="000000"/>
          <w:sz w:val="24"/>
          <w:szCs w:val="24"/>
          <w:shd w:val="clear" w:color="auto" w:fill="FFFFFF"/>
        </w:rPr>
        <w:t>Pioyá</w:t>
      </w:r>
      <w:proofErr w:type="spellEnd"/>
      <w:r w:rsidRPr="003C56DB">
        <w:rPr>
          <w:rFonts w:ascii="Arial" w:eastAsia="Calibri" w:hAnsi="Arial" w:cs="Arial"/>
          <w:iCs/>
          <w:color w:val="000000"/>
          <w:sz w:val="24"/>
          <w:szCs w:val="24"/>
          <w:shd w:val="clear" w:color="auto" w:fill="FFFFFF"/>
        </w:rPr>
        <w:t xml:space="preserve">  y la Aguada de </w:t>
      </w:r>
      <w:proofErr w:type="spellStart"/>
      <w:r w:rsidRPr="003C56DB">
        <w:rPr>
          <w:rFonts w:ascii="Arial" w:eastAsia="Calibri" w:hAnsi="Arial" w:cs="Arial"/>
          <w:iCs/>
          <w:color w:val="000000"/>
          <w:sz w:val="24"/>
          <w:szCs w:val="24"/>
          <w:shd w:val="clear" w:color="auto" w:fill="FFFFFF"/>
        </w:rPr>
        <w:t>Caldono</w:t>
      </w:r>
      <w:proofErr w:type="spellEnd"/>
      <w:r w:rsidRPr="003C56DB">
        <w:rPr>
          <w:rFonts w:ascii="Arial" w:eastAsia="Calibri" w:hAnsi="Arial" w:cs="Arial"/>
          <w:iCs/>
          <w:color w:val="000000"/>
          <w:sz w:val="24"/>
          <w:szCs w:val="24"/>
          <w:shd w:val="clear" w:color="auto" w:fill="FFFFFF"/>
        </w:rPr>
        <w:t xml:space="preserve">, al considerar que la legislación criminal ordinaria establece </w:t>
      </w:r>
      <w:r w:rsidRPr="003C56DB">
        <w:rPr>
          <w:rFonts w:ascii="Arial" w:eastAsia="Calibri" w:hAnsi="Arial" w:cs="Arial"/>
          <w:i/>
          <w:iCs/>
          <w:color w:val="000000"/>
          <w:sz w:val="24"/>
          <w:szCs w:val="24"/>
          <w:shd w:val="clear" w:color="auto" w:fill="FFFFFF"/>
        </w:rPr>
        <w:t>“una pena máxima de la misma cuantía”</w:t>
      </w:r>
      <w:r w:rsidRPr="003C56DB">
        <w:rPr>
          <w:rFonts w:ascii="Arial" w:eastAsia="Calibri" w:hAnsi="Arial" w:cs="Arial"/>
          <w:iCs/>
          <w:color w:val="000000"/>
          <w:sz w:val="24"/>
          <w:szCs w:val="24"/>
          <w:shd w:val="clear" w:color="auto" w:fill="FFFFFF"/>
        </w:rPr>
        <w:t xml:space="preserve"> para el mismo tipo de delito (en este caso, el homicidio agravado).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Estos ejemplos demuestran que la jurisdicción especial indígena no significa la coexistencia de múltiples sistemas judiciales desarticulados al interior del Estado colombiano. Por el contrario, comprueban la vigencia de un solo orden constitucional que opera como punto de encuentro entre las diferentes modalidades de justicia, y ratifican la existencia de normas mínimas de convivencia que permean por completo a los estatutos étnicos locales (a saber, los derechos fundamentales).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Este carácter restringido de la justicia y el fuero indígena favorece el diálogo intercultural, pues obliga a la compresión y al respeto recíproco entre los diferentes valores y racionalidades presentes en una sociedad. Así mismo, evita que el disfrute de los derechos fundamentales se libre por completo a las tradiciones y convicciones de cada comunidad, como ocurre en los llamados sistemas “</w:t>
      </w:r>
      <w:proofErr w:type="spellStart"/>
      <w:r w:rsidRPr="003C56DB">
        <w:rPr>
          <w:rFonts w:ascii="Arial" w:eastAsia="Calibri" w:hAnsi="Arial" w:cs="Arial"/>
          <w:iCs/>
          <w:color w:val="000000"/>
          <w:sz w:val="24"/>
          <w:szCs w:val="24"/>
          <w:shd w:val="clear" w:color="auto" w:fill="FFFFFF"/>
        </w:rPr>
        <w:t>multijurídicos</w:t>
      </w:r>
      <w:proofErr w:type="spellEnd"/>
      <w:r w:rsidRPr="003C56DB">
        <w:rPr>
          <w:rFonts w:ascii="Arial" w:eastAsia="Calibri" w:hAnsi="Arial" w:cs="Arial"/>
          <w:iCs/>
          <w:color w:val="000000"/>
          <w:sz w:val="24"/>
          <w:szCs w:val="24"/>
          <w:shd w:val="clear" w:color="auto" w:fill="FFFFFF"/>
        </w:rPr>
        <w:t xml:space="preserve">”, ejemplos extremos del Estado pluralista.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Según la Corte Europea de Derechos Humanos</w:t>
      </w:r>
      <w:r w:rsidRPr="003C56DB">
        <w:rPr>
          <w:rFonts w:ascii="Arial" w:eastAsia="Calibri" w:hAnsi="Arial" w:cs="Arial"/>
          <w:iCs/>
          <w:color w:val="000000"/>
          <w:sz w:val="24"/>
          <w:szCs w:val="24"/>
          <w:shd w:val="clear" w:color="auto" w:fill="FFFFFF"/>
          <w:vertAlign w:val="superscript"/>
        </w:rPr>
        <w:footnoteReference w:id="38"/>
      </w:r>
      <w:r w:rsidRPr="003C56DB">
        <w:rPr>
          <w:rFonts w:ascii="Arial" w:eastAsia="Calibri" w:hAnsi="Arial" w:cs="Arial"/>
          <w:iCs/>
          <w:color w:val="000000"/>
          <w:sz w:val="24"/>
          <w:szCs w:val="24"/>
          <w:shd w:val="clear" w:color="auto" w:fill="FFFFFF"/>
        </w:rPr>
        <w:t xml:space="preserve">, un sistema de aquel tipo conlleva riesgos para los derechos y las libertades individuales, pues, por un lado, suprime el papel del Estado como garante y </w:t>
      </w:r>
      <w:r w:rsidRPr="003C56DB">
        <w:rPr>
          <w:rFonts w:ascii="Arial" w:eastAsia="Calibri" w:hAnsi="Arial" w:cs="Arial"/>
          <w:i/>
          <w:iCs/>
          <w:color w:val="000000"/>
          <w:sz w:val="24"/>
          <w:szCs w:val="24"/>
          <w:shd w:val="clear" w:color="auto" w:fill="FFFFFF"/>
        </w:rPr>
        <w:t>“organizador imparcial del ejercicio de las diversas convicciones”</w:t>
      </w:r>
      <w:r w:rsidRPr="003C56DB">
        <w:rPr>
          <w:rFonts w:ascii="Arial" w:eastAsia="Calibri" w:hAnsi="Arial" w:cs="Arial"/>
          <w:iCs/>
          <w:color w:val="000000"/>
          <w:sz w:val="24"/>
          <w:szCs w:val="24"/>
          <w:shd w:val="clear" w:color="auto" w:fill="FFFFFF"/>
        </w:rPr>
        <w:t xml:space="preserve"> y las tradiciones presentes en su territorio, y, por otro, vulnera el principio de no discriminación en el goce de los derechos fundamentales, ya que el ejercicio de los mismos dependerá de la comunidad o la agrupación en la cual se nació o habita.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Al respecto, la Carta Política de 1991 optó por una postura intermedia entre el “relativismo cultural incondicional” y el “universalismo extremo”</w:t>
      </w:r>
      <w:r w:rsidRPr="003C56DB">
        <w:rPr>
          <w:rFonts w:ascii="Arial" w:eastAsia="Calibri" w:hAnsi="Arial" w:cs="Arial"/>
          <w:iCs/>
          <w:color w:val="000000"/>
          <w:sz w:val="24"/>
          <w:szCs w:val="24"/>
          <w:shd w:val="clear" w:color="auto" w:fill="FFFFFF"/>
          <w:vertAlign w:val="superscript"/>
        </w:rPr>
        <w:footnoteReference w:id="39"/>
      </w:r>
      <w:r w:rsidRPr="003C56DB">
        <w:rPr>
          <w:rFonts w:ascii="Arial" w:eastAsia="Calibri" w:hAnsi="Arial" w:cs="Arial"/>
          <w:iCs/>
          <w:color w:val="000000"/>
          <w:sz w:val="24"/>
          <w:szCs w:val="24"/>
          <w:shd w:val="clear" w:color="auto" w:fill="FFFFFF"/>
        </w:rPr>
        <w:t xml:space="preserve">, en virtud de la cual no avala cualquier clase de regulación autonómica con raíces culturales, ni impone un marco normativo general o </w:t>
      </w:r>
      <w:r w:rsidRPr="003C56DB">
        <w:rPr>
          <w:rFonts w:ascii="Arial" w:eastAsia="Calibri" w:hAnsi="Arial" w:cs="Arial"/>
          <w:i/>
          <w:iCs/>
          <w:color w:val="000000"/>
          <w:sz w:val="24"/>
          <w:szCs w:val="24"/>
          <w:shd w:val="clear" w:color="auto" w:fill="FFFFFF"/>
        </w:rPr>
        <w:t>indiferente a la diferencia</w:t>
      </w:r>
      <w:r w:rsidRPr="003C56DB">
        <w:rPr>
          <w:rFonts w:ascii="Arial" w:eastAsia="Calibri" w:hAnsi="Arial" w:cs="Arial"/>
          <w:iCs/>
          <w:color w:val="000000"/>
          <w:sz w:val="24"/>
          <w:szCs w:val="24"/>
          <w:shd w:val="clear" w:color="auto" w:fill="FFFFFF"/>
        </w:rPr>
        <w:t xml:space="preserve">. Por el contrario, defiende un grupo mínimo de valores y principios que facilitan la convivencia entre diversos grupos étnicos, razas, religiones, clases sociales, partidos políticos, entre otras colectividades, el cual coincide con el catálogo vigente de derechos fundamentales.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suma, el carácter excepcional y restringido de la jurisdicción indígena o la certeza de límites materiales en su aplicación, </w:t>
      </w:r>
      <w:r w:rsidRPr="003C56DB">
        <w:rPr>
          <w:rFonts w:ascii="Arial" w:eastAsia="Calibri" w:hAnsi="Arial" w:cs="Arial"/>
          <w:i/>
          <w:iCs/>
          <w:color w:val="000000"/>
          <w:sz w:val="24"/>
          <w:szCs w:val="24"/>
          <w:shd w:val="clear" w:color="auto" w:fill="FFFFFF"/>
        </w:rPr>
        <w:t>evita espacios vedados a los derechos fundamentales dentro del territorio colombiano</w:t>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b/>
          <w:iCs/>
          <w:color w:val="000000"/>
          <w:sz w:val="24"/>
          <w:szCs w:val="24"/>
          <w:shd w:val="clear" w:color="auto" w:fill="FFFFFF"/>
        </w:rPr>
      </w:pPr>
      <w:r w:rsidRPr="003C56DB">
        <w:rPr>
          <w:rFonts w:ascii="Arial" w:eastAsia="Calibri" w:hAnsi="Arial" w:cs="Arial"/>
          <w:b/>
          <w:iCs/>
          <w:color w:val="000000"/>
          <w:sz w:val="24"/>
          <w:szCs w:val="24"/>
          <w:shd w:val="clear" w:color="auto" w:fill="FFFFFF"/>
        </w:rPr>
        <w:t>c) Los derechos fundamentales como limites materiales de la jurisdicción indígena</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 primera vista, la estipulación simultánea del derecho colectivo a la diversidad étnica y cultural y los demás derechos fundamentales en la </w:t>
      </w:r>
      <w:r w:rsidRPr="003C56DB">
        <w:rPr>
          <w:rFonts w:ascii="Arial" w:eastAsia="Calibri" w:hAnsi="Arial" w:cs="Arial"/>
          <w:iCs/>
          <w:color w:val="000000"/>
          <w:sz w:val="24"/>
          <w:szCs w:val="24"/>
          <w:shd w:val="clear" w:color="auto" w:fill="FFFFFF"/>
        </w:rPr>
        <w:br/>
        <w:t>Constitución, genera tensiones difíciles de resolver en casos concretos. Para responder a estos dilemas y, por en lo pertinente, definir la jurisdicción competente para investigar los delitos cometido por indígenas, la Corte Constitucional ha recurrido en ocasiones al juicio de ponderación entre los derechos en contienda</w:t>
      </w:r>
      <w:r w:rsidRPr="003C56DB">
        <w:rPr>
          <w:rFonts w:ascii="Arial" w:eastAsia="Calibri" w:hAnsi="Arial" w:cs="Arial"/>
          <w:iCs/>
          <w:color w:val="000000"/>
          <w:sz w:val="24"/>
          <w:szCs w:val="24"/>
          <w:shd w:val="clear" w:color="auto" w:fill="FFFFFF"/>
          <w:vertAlign w:val="superscript"/>
        </w:rPr>
        <w:footnoteReference w:id="40"/>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Sin embargo, esta manera de proceder, a juicio de esta Sala, se funda en un supuesto discutible desde el punto de vista del derecho constitucional e internacional en vigor: que el derecho colectivo de las comunidades indígenas a ejercer su jurisdicción se encuentra </w:t>
      </w:r>
      <w:r w:rsidRPr="003C56DB">
        <w:rPr>
          <w:rFonts w:ascii="Arial" w:eastAsia="Calibri" w:hAnsi="Arial" w:cs="Arial"/>
          <w:i/>
          <w:iCs/>
          <w:color w:val="000000"/>
          <w:sz w:val="24"/>
          <w:szCs w:val="24"/>
          <w:shd w:val="clear" w:color="auto" w:fill="FFFFFF"/>
        </w:rPr>
        <w:t>siempre</w:t>
      </w:r>
      <w:r w:rsidRPr="003C56DB">
        <w:rPr>
          <w:rFonts w:ascii="Arial" w:eastAsia="Calibri" w:hAnsi="Arial" w:cs="Arial"/>
          <w:iCs/>
          <w:color w:val="000000"/>
          <w:sz w:val="24"/>
          <w:szCs w:val="24"/>
          <w:shd w:val="clear" w:color="auto" w:fill="FFFFFF"/>
        </w:rPr>
        <w:t xml:space="preserve"> en un plano de igualdad jurídica con respecto de los principios y derechos constitucionales ubicados en el otro extremo de la balanza.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No obstante, como lo ha reconocido la propia jurisprudencia constitucional, algunos derechos fundamentales e intereses colectivos poseen entidad superior o jerarquía mayor que el derecho a la jurisdicción indígena y, por consiguiente, podrían eliminar </w:t>
      </w:r>
      <w:r w:rsidRPr="003C56DB">
        <w:rPr>
          <w:rFonts w:ascii="Arial" w:eastAsia="Calibri" w:hAnsi="Arial" w:cs="Arial"/>
          <w:i/>
          <w:iCs/>
          <w:color w:val="000000"/>
          <w:sz w:val="24"/>
          <w:szCs w:val="24"/>
          <w:shd w:val="clear" w:color="auto" w:fill="FFFFFF"/>
        </w:rPr>
        <w:t>a priori</w:t>
      </w:r>
      <w:r w:rsidRPr="003C56DB">
        <w:rPr>
          <w:rFonts w:ascii="Arial" w:eastAsia="Calibri" w:hAnsi="Arial" w:cs="Arial"/>
          <w:iCs/>
          <w:color w:val="000000"/>
          <w:sz w:val="24"/>
          <w:szCs w:val="24"/>
          <w:shd w:val="clear" w:color="auto" w:fill="FFFFFF"/>
        </w:rPr>
        <w:t xml:space="preserve"> la necesidad de realizar ejercicios de ponderación y estudios específicos sobre el individuo indígena y su comunidad (de índole antropológica, etnográfica o psicosociales, por citar ejemplos recurrentes en la materia), como requisitos para definir la autoridad judicial competente en la investigación de un determinado hecho delictivo.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Como se mencionó en el acápite anterior, el grupo mínimo de derechos fundamentales que limitan la jurisdicción indígena, según la jurisprudencia constitucional vigente, son: el debido proceso, la vida, la prohibición de la esclavitud y la prohibición de la tortura. Adicionalmente, el precedente constitucional reconoce al “seguridad interna”, como un interés colectivo de “superior jerarquía” que la jurisdicción indígena</w:t>
      </w:r>
      <w:r w:rsidRPr="003C56DB">
        <w:rPr>
          <w:rFonts w:ascii="Arial" w:eastAsia="Calibri" w:hAnsi="Arial" w:cs="Arial"/>
          <w:iCs/>
          <w:color w:val="000000"/>
          <w:sz w:val="24"/>
          <w:szCs w:val="24"/>
          <w:shd w:val="clear" w:color="auto" w:fill="FFFFFF"/>
          <w:vertAlign w:val="superscript"/>
        </w:rPr>
        <w:footnoteReference w:id="41"/>
      </w:r>
      <w:r w:rsidRPr="003C56DB">
        <w:rPr>
          <w:rFonts w:ascii="Arial" w:eastAsia="Calibri" w:hAnsi="Arial" w:cs="Arial"/>
          <w:iCs/>
          <w:color w:val="000000"/>
          <w:sz w:val="24"/>
          <w:szCs w:val="24"/>
          <w:shd w:val="clear" w:color="auto" w:fill="FFFFFF"/>
        </w:rPr>
        <w:t>.</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Con todo, la definición de este “núcleo duro”</w:t>
      </w:r>
      <w:r w:rsidRPr="003C56DB">
        <w:rPr>
          <w:rFonts w:ascii="Arial" w:eastAsia="Calibri" w:hAnsi="Arial" w:cs="Arial"/>
          <w:iCs/>
          <w:color w:val="000000"/>
          <w:sz w:val="24"/>
          <w:szCs w:val="24"/>
          <w:shd w:val="clear" w:color="auto" w:fill="FFFFFF"/>
          <w:vertAlign w:val="superscript"/>
        </w:rPr>
        <w:footnoteReference w:id="42"/>
      </w:r>
      <w:r w:rsidRPr="003C56DB">
        <w:rPr>
          <w:rFonts w:ascii="Arial" w:eastAsia="Calibri" w:hAnsi="Arial" w:cs="Arial"/>
          <w:iCs/>
          <w:color w:val="000000"/>
          <w:sz w:val="24"/>
          <w:szCs w:val="24"/>
          <w:shd w:val="clear" w:color="auto" w:fill="FFFFFF"/>
        </w:rPr>
        <w:t xml:space="preserve"> de derechos humanos e interés colectivo con mayor peso que la jurisdicción indígena, se efectuó en los años 1994 y 1996</w:t>
      </w:r>
      <w:r w:rsidRPr="003C56DB">
        <w:rPr>
          <w:rFonts w:ascii="Arial" w:eastAsia="Calibri" w:hAnsi="Arial" w:cs="Arial"/>
          <w:iCs/>
          <w:color w:val="000000"/>
          <w:sz w:val="24"/>
          <w:szCs w:val="24"/>
          <w:shd w:val="clear" w:color="auto" w:fill="FFFFFF"/>
          <w:vertAlign w:val="superscript"/>
        </w:rPr>
        <w:footnoteReference w:id="43"/>
      </w:r>
      <w:r w:rsidRPr="003C56DB">
        <w:rPr>
          <w:rFonts w:ascii="Arial" w:eastAsia="Calibri" w:hAnsi="Arial" w:cs="Arial"/>
          <w:iCs/>
          <w:color w:val="000000"/>
          <w:sz w:val="24"/>
          <w:szCs w:val="24"/>
          <w:shd w:val="clear" w:color="auto" w:fill="FFFFFF"/>
        </w:rPr>
        <w:t xml:space="preserve">, y permanece </w:t>
      </w:r>
      <w:r w:rsidRPr="003C56DB">
        <w:rPr>
          <w:rFonts w:ascii="Arial" w:eastAsia="Calibri" w:hAnsi="Arial" w:cs="Arial"/>
          <w:i/>
          <w:iCs/>
          <w:color w:val="000000"/>
          <w:sz w:val="24"/>
          <w:szCs w:val="24"/>
          <w:shd w:val="clear" w:color="auto" w:fill="FFFFFF"/>
        </w:rPr>
        <w:t>inmutable</w:t>
      </w:r>
      <w:r w:rsidRPr="003C56DB">
        <w:rPr>
          <w:rFonts w:ascii="Arial" w:eastAsia="Calibri" w:hAnsi="Arial" w:cs="Arial"/>
          <w:iCs/>
          <w:color w:val="000000"/>
          <w:sz w:val="24"/>
          <w:szCs w:val="24"/>
          <w:shd w:val="clear" w:color="auto" w:fill="FFFFFF"/>
        </w:rPr>
        <w:t xml:space="preserve"> hasta la actualidad</w:t>
      </w:r>
      <w:r w:rsidRPr="003C56DB">
        <w:rPr>
          <w:rFonts w:ascii="Arial" w:eastAsia="Calibri" w:hAnsi="Arial" w:cs="Arial"/>
          <w:iCs/>
          <w:color w:val="000000"/>
          <w:sz w:val="24"/>
          <w:szCs w:val="24"/>
          <w:shd w:val="clear" w:color="auto" w:fill="FFFFFF"/>
          <w:vertAlign w:val="superscript"/>
        </w:rPr>
        <w:footnoteReference w:id="44"/>
      </w:r>
      <w:r w:rsidRPr="003C56DB">
        <w:rPr>
          <w:rFonts w:ascii="Arial" w:eastAsia="Calibri" w:hAnsi="Arial" w:cs="Arial"/>
          <w:iCs/>
          <w:color w:val="000000"/>
          <w:sz w:val="24"/>
          <w:szCs w:val="24"/>
          <w:shd w:val="clear" w:color="auto" w:fill="FFFFFF"/>
        </w:rPr>
        <w:t xml:space="preserve">. En esa época, los fundamentos dados por la Corte para atribuirles calidad de límites a la jurisdicción indígena fueron: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ind w:left="708"/>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Doctrina externa y nacional que coincidía en sostener la existencia de ciertas conductas reprochables tanto a nivel global como al interior de algunas comunidades indígenas colombianas</w:t>
      </w:r>
      <w:r w:rsidRPr="003C56DB">
        <w:rPr>
          <w:rFonts w:ascii="Arial" w:eastAsia="Calibri" w:hAnsi="Arial" w:cs="Arial"/>
          <w:iCs/>
          <w:color w:val="000000"/>
          <w:sz w:val="24"/>
          <w:szCs w:val="24"/>
          <w:shd w:val="clear" w:color="auto" w:fill="FFFFFF"/>
          <w:vertAlign w:val="superscript"/>
        </w:rPr>
        <w:footnoteReference w:id="45"/>
      </w:r>
      <w:r w:rsidRPr="003C56DB">
        <w:rPr>
          <w:rFonts w:ascii="Arial" w:eastAsia="Calibri" w:hAnsi="Arial" w:cs="Arial"/>
          <w:iCs/>
          <w:color w:val="000000"/>
          <w:sz w:val="24"/>
          <w:szCs w:val="24"/>
          <w:shd w:val="clear" w:color="auto" w:fill="FFFFFF"/>
        </w:rPr>
        <w:t xml:space="preserve">, y, </w:t>
      </w:r>
    </w:p>
    <w:p w:rsidR="00597D8D" w:rsidRPr="003C56DB" w:rsidRDefault="00597D8D" w:rsidP="00597D8D">
      <w:pPr>
        <w:spacing w:after="0" w:line="360" w:lineRule="auto"/>
        <w:ind w:left="708"/>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ind w:left="708"/>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Un elemento común en cinco tratados internacionales sobre derechos humanos: la prohibición de limitar o suspender el ejercicio de ciertos derechos aún en situaciones excepcionales</w:t>
      </w:r>
      <w:r w:rsidRPr="003C56DB">
        <w:rPr>
          <w:rFonts w:ascii="Arial" w:eastAsia="Calibri" w:hAnsi="Arial" w:cs="Arial"/>
          <w:iCs/>
          <w:color w:val="000000"/>
          <w:sz w:val="24"/>
          <w:szCs w:val="24"/>
          <w:shd w:val="clear" w:color="auto" w:fill="FFFFFF"/>
          <w:vertAlign w:val="superscript"/>
        </w:rPr>
        <w:footnoteReference w:id="46"/>
      </w:r>
      <w:r w:rsidRPr="003C56DB">
        <w:rPr>
          <w:rFonts w:ascii="Arial" w:eastAsia="Calibri" w:hAnsi="Arial" w:cs="Arial"/>
          <w:iCs/>
          <w:color w:val="000000"/>
          <w:sz w:val="24"/>
          <w:szCs w:val="24"/>
          <w:shd w:val="clear" w:color="auto" w:fill="FFFFFF"/>
        </w:rPr>
        <w:t xml:space="preserve"> como la guerra</w:t>
      </w:r>
      <w:r w:rsidRPr="003C56DB">
        <w:rPr>
          <w:rFonts w:ascii="Arial" w:eastAsia="Calibri" w:hAnsi="Arial" w:cs="Arial"/>
          <w:iCs/>
          <w:color w:val="000000"/>
          <w:sz w:val="24"/>
          <w:szCs w:val="24"/>
          <w:shd w:val="clear" w:color="auto" w:fill="FFFFFF"/>
          <w:vertAlign w:val="superscript"/>
        </w:rPr>
        <w:footnoteReference w:id="47"/>
      </w:r>
      <w:r w:rsidRPr="003C56DB">
        <w:rPr>
          <w:rFonts w:ascii="Arial" w:eastAsia="Calibri" w:hAnsi="Arial" w:cs="Arial"/>
          <w:iCs/>
          <w:color w:val="000000"/>
          <w:sz w:val="24"/>
          <w:szCs w:val="24"/>
          <w:shd w:val="clear" w:color="auto" w:fill="FFFFFF"/>
        </w:rPr>
        <w:t>, o el conflicto interno,  que ocasionen inestabilidad política interna , graves alteraciones del orden público o que amenacen la seguridad o independencia del Estado</w:t>
      </w:r>
      <w:r w:rsidRPr="003C56DB">
        <w:rPr>
          <w:rFonts w:ascii="Arial" w:eastAsia="Calibri" w:hAnsi="Arial" w:cs="Arial"/>
          <w:iCs/>
          <w:color w:val="000000"/>
          <w:sz w:val="24"/>
          <w:szCs w:val="24"/>
          <w:shd w:val="clear" w:color="auto" w:fill="FFFFFF"/>
          <w:vertAlign w:val="superscript"/>
        </w:rPr>
        <w:footnoteReference w:id="48"/>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Ahora bien, el derecho tanto interno como internacional de los derechos humanos ha mutado desde los años noventa, y su comprensión sobre la existencia de mínimos de conducta exigibles a todas las naciones bajo cualquier circunstancia ha evolucionado a favor de la persona. El consenso jurídico supranacional en torno a los límites de la conducta humana se ha actualizado para hacerlo comprender un mayor número de situaciones que lesionan los bienes más preciados del individuo.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Así, al igual que sucede en el ámbito local, el derecho internacional es elástico y evoluciona constantemente</w:t>
      </w:r>
      <w:r w:rsidRPr="003C56DB">
        <w:rPr>
          <w:rFonts w:ascii="Arial" w:eastAsia="Calibri" w:hAnsi="Arial" w:cs="Arial"/>
          <w:iCs/>
          <w:color w:val="000000"/>
          <w:sz w:val="24"/>
          <w:szCs w:val="24"/>
          <w:shd w:val="clear" w:color="auto" w:fill="FFFFFF"/>
          <w:vertAlign w:val="superscript"/>
        </w:rPr>
        <w:footnoteReference w:id="49"/>
      </w:r>
      <w:r w:rsidRPr="003C56DB">
        <w:rPr>
          <w:rFonts w:ascii="Arial" w:eastAsia="Calibri" w:hAnsi="Arial" w:cs="Arial"/>
          <w:iCs/>
          <w:color w:val="000000"/>
          <w:sz w:val="24"/>
          <w:szCs w:val="24"/>
          <w:shd w:val="clear" w:color="auto" w:fill="FFFFFF"/>
        </w:rPr>
        <w:t>. De este modo, en línea con el avance de la “conciencia jurídica universal”</w:t>
      </w:r>
      <w:r w:rsidRPr="003C56DB">
        <w:rPr>
          <w:rFonts w:ascii="Arial" w:eastAsia="Calibri" w:hAnsi="Arial" w:cs="Arial"/>
          <w:iCs/>
          <w:color w:val="000000"/>
          <w:sz w:val="24"/>
          <w:szCs w:val="24"/>
          <w:shd w:val="clear" w:color="auto" w:fill="FFFFFF"/>
          <w:vertAlign w:val="superscript"/>
        </w:rPr>
        <w:footnoteReference w:id="50"/>
      </w:r>
      <w:r w:rsidRPr="003C56DB">
        <w:rPr>
          <w:rFonts w:ascii="Arial" w:eastAsia="Calibri" w:hAnsi="Arial" w:cs="Arial"/>
          <w:iCs/>
          <w:color w:val="000000"/>
          <w:sz w:val="24"/>
          <w:szCs w:val="24"/>
          <w:shd w:val="clear" w:color="auto" w:fill="FFFFFF"/>
        </w:rPr>
        <w:t xml:space="preserve"> y el desarrollo del derecho internacional de los derechos humanos, cada vez son más las libertades y los derechos que imponen obligaciones </w:t>
      </w:r>
      <w:r w:rsidRPr="003C56DB">
        <w:rPr>
          <w:rFonts w:ascii="Arial" w:eastAsia="Calibri" w:hAnsi="Arial" w:cs="Arial"/>
          <w:i/>
          <w:iCs/>
          <w:color w:val="000000"/>
          <w:sz w:val="24"/>
          <w:szCs w:val="24"/>
          <w:shd w:val="clear" w:color="auto" w:fill="FFFFFF"/>
        </w:rPr>
        <w:t>erga omnes</w:t>
      </w:r>
      <w:r w:rsidRPr="003C56DB">
        <w:rPr>
          <w:rFonts w:ascii="Arial" w:eastAsia="Calibri" w:hAnsi="Arial" w:cs="Arial"/>
          <w:iCs/>
          <w:color w:val="000000"/>
          <w:sz w:val="24"/>
          <w:szCs w:val="24"/>
          <w:shd w:val="clear" w:color="auto" w:fill="FFFFFF"/>
        </w:rPr>
        <w:t xml:space="preserve"> de respeto, protección y garantía a los Estados y a favor de sus habitantes.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Algunos nuevos integrantes de este núcleo duro de derechos fundamentales e intereses colectivos, superiores </w:t>
      </w:r>
      <w:r w:rsidRPr="003C56DB">
        <w:rPr>
          <w:rFonts w:ascii="Arial" w:eastAsia="Calibri" w:hAnsi="Arial" w:cs="Arial"/>
          <w:i/>
          <w:iCs/>
          <w:color w:val="000000"/>
          <w:sz w:val="24"/>
          <w:szCs w:val="24"/>
          <w:shd w:val="clear" w:color="auto" w:fill="FFFFFF"/>
        </w:rPr>
        <w:t>prima facie</w:t>
      </w:r>
      <w:r w:rsidRPr="003C56DB">
        <w:rPr>
          <w:rFonts w:ascii="Arial" w:eastAsia="Calibri" w:hAnsi="Arial" w:cs="Arial"/>
          <w:iCs/>
          <w:color w:val="000000"/>
          <w:sz w:val="24"/>
          <w:szCs w:val="24"/>
          <w:shd w:val="clear" w:color="auto" w:fill="FFFFFF"/>
        </w:rPr>
        <w:t xml:space="preserve"> al derecho colectivo de la jurisdicción indígena, son: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i. </w:t>
      </w:r>
      <w:r w:rsidRPr="003C56DB">
        <w:rPr>
          <w:rFonts w:ascii="Arial" w:eastAsia="Calibri" w:hAnsi="Arial" w:cs="Arial"/>
          <w:b/>
          <w:i/>
          <w:iCs/>
          <w:color w:val="000000"/>
          <w:sz w:val="24"/>
          <w:szCs w:val="24"/>
          <w:shd w:val="clear" w:color="auto" w:fill="FFFFFF"/>
        </w:rPr>
        <w:t>Los derechos de los niños, las niñas y los adolescentes</w:t>
      </w:r>
      <w:r w:rsidRPr="003C56DB">
        <w:rPr>
          <w:rFonts w:ascii="Arial" w:eastAsia="Calibri" w:hAnsi="Arial" w:cs="Arial"/>
          <w:b/>
          <w:iCs/>
          <w:color w:val="000000"/>
          <w:sz w:val="24"/>
          <w:szCs w:val="24"/>
          <w:shd w:val="clear" w:color="auto" w:fill="FFFFFF"/>
        </w:rPr>
        <w:t>.</w:t>
      </w:r>
      <w:r w:rsidRPr="003C56DB">
        <w:rPr>
          <w:rFonts w:ascii="Arial" w:eastAsia="Calibri" w:hAnsi="Arial" w:cs="Arial"/>
          <w:iCs/>
          <w:color w:val="000000"/>
          <w:sz w:val="24"/>
          <w:szCs w:val="24"/>
          <w:shd w:val="clear" w:color="auto" w:fill="FFFFFF"/>
        </w:rPr>
        <w:t xml:space="preserve"> Tanto la Convención de los Derechos de los Niños de 1989</w:t>
      </w:r>
      <w:r w:rsidRPr="003C56DB">
        <w:rPr>
          <w:rFonts w:ascii="Arial" w:eastAsia="Calibri" w:hAnsi="Arial" w:cs="Arial"/>
          <w:iCs/>
          <w:color w:val="000000"/>
          <w:sz w:val="24"/>
          <w:szCs w:val="24"/>
          <w:shd w:val="clear" w:color="auto" w:fill="FFFFFF"/>
          <w:vertAlign w:val="superscript"/>
        </w:rPr>
        <w:footnoteReference w:id="51"/>
      </w:r>
      <w:r w:rsidRPr="003C56DB">
        <w:rPr>
          <w:rFonts w:ascii="Arial" w:eastAsia="Calibri" w:hAnsi="Arial" w:cs="Arial"/>
          <w:iCs/>
          <w:color w:val="000000"/>
          <w:sz w:val="24"/>
          <w:szCs w:val="24"/>
          <w:shd w:val="clear" w:color="auto" w:fill="FFFFFF"/>
        </w:rPr>
        <w:t>, “</w:t>
      </w:r>
      <w:r w:rsidRPr="003C56DB">
        <w:rPr>
          <w:rFonts w:ascii="Arial" w:eastAsia="Calibri" w:hAnsi="Arial" w:cs="Arial"/>
          <w:i/>
          <w:iCs/>
          <w:color w:val="000000"/>
          <w:sz w:val="24"/>
          <w:szCs w:val="24"/>
          <w:shd w:val="clear" w:color="auto" w:fill="FFFFFF"/>
        </w:rPr>
        <w:t>la más amplia y rápidamente ratificada en la historia</w:t>
      </w:r>
      <w:r w:rsidRPr="003C56DB">
        <w:rPr>
          <w:rFonts w:ascii="Arial" w:eastAsia="Calibri" w:hAnsi="Arial" w:cs="Arial"/>
          <w:iCs/>
          <w:color w:val="000000"/>
          <w:sz w:val="24"/>
          <w:szCs w:val="24"/>
          <w:shd w:val="clear" w:color="auto" w:fill="FFFFFF"/>
        </w:rPr>
        <w:t>”</w:t>
      </w:r>
      <w:r w:rsidRPr="003C56DB">
        <w:rPr>
          <w:rFonts w:ascii="Arial" w:eastAsia="Calibri" w:hAnsi="Arial" w:cs="Arial"/>
          <w:iCs/>
          <w:color w:val="000000"/>
          <w:sz w:val="24"/>
          <w:szCs w:val="24"/>
          <w:shd w:val="clear" w:color="auto" w:fill="FFFFFF"/>
          <w:vertAlign w:val="superscript"/>
          <w:lang w:val="en-US"/>
        </w:rPr>
        <w:footnoteReference w:id="52"/>
      </w:r>
      <w:r w:rsidRPr="003C56DB">
        <w:rPr>
          <w:rFonts w:ascii="Arial" w:eastAsia="Calibri" w:hAnsi="Arial" w:cs="Arial"/>
          <w:iCs/>
          <w:color w:val="000000"/>
          <w:sz w:val="24"/>
          <w:szCs w:val="24"/>
          <w:shd w:val="clear" w:color="auto" w:fill="FFFFFF"/>
        </w:rPr>
        <w:t>, como la jurisprudencia de la Corte Interamericana de Derechos Humanos</w:t>
      </w:r>
      <w:r w:rsidRPr="003C56DB">
        <w:rPr>
          <w:rFonts w:ascii="Arial" w:eastAsia="Calibri" w:hAnsi="Arial" w:cs="Arial"/>
          <w:iCs/>
          <w:color w:val="000000"/>
          <w:sz w:val="24"/>
          <w:szCs w:val="24"/>
          <w:shd w:val="clear" w:color="auto" w:fill="FFFFFF"/>
          <w:vertAlign w:val="superscript"/>
          <w:lang w:val="en-US"/>
        </w:rPr>
        <w:footnoteReference w:id="53"/>
      </w:r>
      <w:r w:rsidRPr="003C56DB">
        <w:rPr>
          <w:rFonts w:ascii="Arial" w:eastAsia="Calibri" w:hAnsi="Arial" w:cs="Arial"/>
          <w:iCs/>
          <w:color w:val="000000"/>
          <w:sz w:val="24"/>
          <w:szCs w:val="24"/>
          <w:shd w:val="clear" w:color="auto" w:fill="FFFFFF"/>
        </w:rPr>
        <w:t xml:space="preserve"> y, a nivel local, el artículo 44 de nuestra Constitución, establecen la prevalencia de los derechos en cabeza de la niñez y la adolescencia, con respecto de otros intereses o bienes tutelados por el ordenamiento jurídico.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ii. </w:t>
      </w:r>
      <w:r w:rsidRPr="003C56DB">
        <w:rPr>
          <w:rFonts w:ascii="Arial" w:eastAsia="Calibri" w:hAnsi="Arial" w:cs="Arial"/>
          <w:b/>
          <w:i/>
          <w:iCs/>
          <w:color w:val="000000"/>
          <w:sz w:val="24"/>
          <w:szCs w:val="24"/>
          <w:shd w:val="clear" w:color="auto" w:fill="FFFFFF"/>
        </w:rPr>
        <w:t>La autonomía reproductiva e integridad sexual de las mujeres</w:t>
      </w:r>
      <w:r w:rsidRPr="003C56DB">
        <w:rPr>
          <w:rFonts w:ascii="Arial" w:eastAsia="Calibri" w:hAnsi="Arial" w:cs="Arial"/>
          <w:b/>
          <w:iCs/>
          <w:color w:val="000000"/>
          <w:sz w:val="24"/>
          <w:szCs w:val="24"/>
          <w:shd w:val="clear" w:color="auto" w:fill="FFFFFF"/>
        </w:rPr>
        <w:t xml:space="preserve">. </w:t>
      </w:r>
      <w:r w:rsidRPr="003C56DB">
        <w:rPr>
          <w:rFonts w:ascii="Arial" w:eastAsia="Calibri" w:hAnsi="Arial" w:cs="Arial"/>
          <w:iCs/>
          <w:color w:val="000000"/>
          <w:sz w:val="24"/>
          <w:szCs w:val="24"/>
          <w:shd w:val="clear" w:color="auto" w:fill="FFFFFF"/>
        </w:rPr>
        <w:t>La inclusión en 1998 de los crímenes sexuales contra las mujeres como parte de las conductas más atroces que puedan cometerse en contra de la humanidad</w:t>
      </w:r>
      <w:r w:rsidRPr="003C56DB">
        <w:rPr>
          <w:rFonts w:ascii="Arial" w:eastAsia="Calibri" w:hAnsi="Arial" w:cs="Arial"/>
          <w:iCs/>
          <w:color w:val="000000"/>
          <w:sz w:val="24"/>
          <w:szCs w:val="24"/>
          <w:shd w:val="clear" w:color="auto" w:fill="FFFFFF"/>
          <w:vertAlign w:val="superscript"/>
        </w:rPr>
        <w:footnoteReference w:id="54"/>
      </w:r>
      <w:r w:rsidRPr="003C56DB">
        <w:rPr>
          <w:rFonts w:ascii="Arial" w:eastAsia="Calibri" w:hAnsi="Arial" w:cs="Arial"/>
          <w:iCs/>
          <w:color w:val="000000"/>
          <w:sz w:val="24"/>
          <w:szCs w:val="24"/>
          <w:shd w:val="clear" w:color="auto" w:fill="FFFFFF"/>
        </w:rPr>
        <w:t xml:space="preserve">, según lo dispone el Estatuto de Roma de la Corte Penal Internacional, constituye un indicio confiable de su rechazo </w:t>
      </w:r>
      <w:r w:rsidRPr="003C56DB">
        <w:rPr>
          <w:rFonts w:ascii="Arial" w:eastAsia="Calibri" w:hAnsi="Arial" w:cs="Arial"/>
          <w:i/>
          <w:iCs/>
          <w:color w:val="000000"/>
          <w:sz w:val="24"/>
          <w:szCs w:val="24"/>
          <w:shd w:val="clear" w:color="auto" w:fill="FFFFFF"/>
        </w:rPr>
        <w:t>unánime</w:t>
      </w:r>
      <w:r w:rsidRPr="003C56DB">
        <w:rPr>
          <w:rFonts w:ascii="Arial" w:eastAsia="Calibri" w:hAnsi="Arial" w:cs="Arial"/>
          <w:iCs/>
          <w:color w:val="000000"/>
          <w:sz w:val="24"/>
          <w:szCs w:val="24"/>
          <w:shd w:val="clear" w:color="auto" w:fill="FFFFFF"/>
        </w:rPr>
        <w:t xml:space="preserve"> por parte de la comunidad internacional, así como de la existencia de un deber general e inaplazable, de combatir, investigar, castigar y reparar la ocurrencia de los mismos al interior de su territorio con la mayor severidad y compromiso posible</w:t>
      </w:r>
      <w:r w:rsidRPr="003C56DB">
        <w:rPr>
          <w:rFonts w:ascii="Arial" w:eastAsia="Calibri" w:hAnsi="Arial" w:cs="Arial"/>
          <w:iCs/>
          <w:color w:val="000000"/>
          <w:sz w:val="24"/>
          <w:szCs w:val="24"/>
          <w:shd w:val="clear" w:color="auto" w:fill="FFFFFF"/>
          <w:vertAlign w:val="superscript"/>
        </w:rPr>
        <w:footnoteReference w:id="55"/>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iii. </w:t>
      </w:r>
      <w:r w:rsidRPr="003C56DB">
        <w:rPr>
          <w:rFonts w:ascii="Arial" w:eastAsia="Calibri" w:hAnsi="Arial" w:cs="Arial"/>
          <w:b/>
          <w:i/>
          <w:iCs/>
          <w:color w:val="000000"/>
          <w:sz w:val="24"/>
          <w:szCs w:val="24"/>
          <w:shd w:val="clear" w:color="auto" w:fill="FFFFFF"/>
        </w:rPr>
        <w:t>El derecho a la igualdad y la prohibición de discriminación</w:t>
      </w:r>
      <w:r w:rsidRPr="003C56DB">
        <w:rPr>
          <w:rFonts w:ascii="Arial" w:eastAsia="Calibri" w:hAnsi="Arial" w:cs="Arial"/>
          <w:b/>
          <w:iCs/>
          <w:color w:val="000000"/>
          <w:sz w:val="24"/>
          <w:szCs w:val="24"/>
          <w:shd w:val="clear" w:color="auto" w:fill="FFFFFF"/>
        </w:rPr>
        <w:t>.</w:t>
      </w:r>
      <w:r w:rsidRPr="003C56DB">
        <w:rPr>
          <w:rFonts w:ascii="Arial" w:eastAsia="Calibri" w:hAnsi="Arial" w:cs="Arial"/>
          <w:iCs/>
          <w:color w:val="000000"/>
          <w:sz w:val="24"/>
          <w:szCs w:val="24"/>
          <w:shd w:val="clear" w:color="auto" w:fill="FFFFFF"/>
        </w:rPr>
        <w:t xml:space="preserve"> Los artículos 13 constitucional y 24 de la Convención Americana sobre Derechos Humanos, entre otros, consagran el principio de igualdad como un límite infranqueable a la conducta del Estado y de los particulares, al punto de atribuirle entidad de norma de “</w:t>
      </w:r>
      <w:proofErr w:type="spellStart"/>
      <w:r w:rsidRPr="003C56DB">
        <w:rPr>
          <w:rFonts w:ascii="Arial" w:eastAsia="Calibri" w:hAnsi="Arial" w:cs="Arial"/>
          <w:iCs/>
          <w:color w:val="000000"/>
          <w:sz w:val="24"/>
          <w:szCs w:val="24"/>
          <w:shd w:val="clear" w:color="auto" w:fill="FFFFFF"/>
        </w:rPr>
        <w:t>ius</w:t>
      </w:r>
      <w:proofErr w:type="spellEnd"/>
      <w:r w:rsidRPr="003C56DB">
        <w:rPr>
          <w:rFonts w:ascii="Arial" w:eastAsia="Calibri" w:hAnsi="Arial" w:cs="Arial"/>
          <w:iCs/>
          <w:color w:val="000000"/>
          <w:sz w:val="24"/>
          <w:szCs w:val="24"/>
          <w:shd w:val="clear" w:color="auto" w:fill="FFFFFF"/>
        </w:rPr>
        <w:t xml:space="preserve"> </w:t>
      </w:r>
      <w:proofErr w:type="spellStart"/>
      <w:r w:rsidRPr="003C56DB">
        <w:rPr>
          <w:rFonts w:ascii="Arial" w:eastAsia="Calibri" w:hAnsi="Arial" w:cs="Arial"/>
          <w:iCs/>
          <w:color w:val="000000"/>
          <w:sz w:val="24"/>
          <w:szCs w:val="24"/>
          <w:shd w:val="clear" w:color="auto" w:fill="FFFFFF"/>
        </w:rPr>
        <w:t>cogens</w:t>
      </w:r>
      <w:proofErr w:type="spellEnd"/>
      <w:r w:rsidRPr="003C56DB">
        <w:rPr>
          <w:rFonts w:ascii="Arial" w:eastAsia="Calibri" w:hAnsi="Arial" w:cs="Arial"/>
          <w:iCs/>
          <w:color w:val="000000"/>
          <w:sz w:val="24"/>
          <w:szCs w:val="24"/>
          <w:shd w:val="clear" w:color="auto" w:fill="FFFFFF"/>
        </w:rPr>
        <w:t>” o perteneciente al ámbito del derecho imperativo internacional</w:t>
      </w:r>
      <w:r w:rsidRPr="003C56DB">
        <w:rPr>
          <w:rFonts w:ascii="Arial" w:eastAsia="Calibri" w:hAnsi="Arial" w:cs="Arial"/>
          <w:iCs/>
          <w:color w:val="000000"/>
          <w:sz w:val="24"/>
          <w:szCs w:val="24"/>
          <w:shd w:val="clear" w:color="auto" w:fill="FFFFFF"/>
          <w:vertAlign w:val="superscript"/>
        </w:rPr>
        <w:footnoteReference w:id="56"/>
      </w:r>
      <w:r w:rsidRPr="003C56DB">
        <w:rPr>
          <w:rFonts w:ascii="Arial" w:eastAsia="Calibri" w:hAnsi="Arial" w:cs="Arial"/>
          <w:iCs/>
          <w:color w:val="000000"/>
          <w:sz w:val="24"/>
          <w:szCs w:val="24"/>
          <w:shd w:val="clear" w:color="auto" w:fill="FFFFFF"/>
        </w:rPr>
        <w:t xml:space="preserve">. Los pueblos indígenas también son titulares de este derecho y no pueden ser objeto de “ningún tipo de discriminación en el ejercicio de sus derechos, en particular la fundada en su origen o identidad indígenas”, según lo prevé el artículo 2º de la Declaración de las Naciones Unidas sobre los derechos de los pueblos indígenas de 2007. La Corte Constitucional colombiana también ha reconocido que la prohibición de  discriminación “parece evidenciarse no sólo como propia al discurso constitucional de algunos Estados, sino poco a poco, como norma del </w:t>
      </w:r>
      <w:proofErr w:type="spellStart"/>
      <w:r w:rsidRPr="003C56DB">
        <w:rPr>
          <w:rFonts w:ascii="Arial" w:eastAsia="Calibri" w:hAnsi="Arial" w:cs="Arial"/>
          <w:i/>
          <w:iCs/>
          <w:color w:val="000000"/>
          <w:sz w:val="24"/>
          <w:szCs w:val="24"/>
          <w:shd w:val="clear" w:color="auto" w:fill="FFFFFF"/>
        </w:rPr>
        <w:t>ius</w:t>
      </w:r>
      <w:proofErr w:type="spellEnd"/>
      <w:r w:rsidRPr="003C56DB">
        <w:rPr>
          <w:rFonts w:ascii="Arial" w:eastAsia="Calibri" w:hAnsi="Arial" w:cs="Arial"/>
          <w:i/>
          <w:iCs/>
          <w:color w:val="000000"/>
          <w:sz w:val="24"/>
          <w:szCs w:val="24"/>
          <w:shd w:val="clear" w:color="auto" w:fill="FFFFFF"/>
        </w:rPr>
        <w:t xml:space="preserve"> </w:t>
      </w:r>
      <w:proofErr w:type="spellStart"/>
      <w:r w:rsidRPr="003C56DB">
        <w:rPr>
          <w:rFonts w:ascii="Arial" w:eastAsia="Calibri" w:hAnsi="Arial" w:cs="Arial"/>
          <w:i/>
          <w:iCs/>
          <w:color w:val="000000"/>
          <w:sz w:val="24"/>
          <w:szCs w:val="24"/>
          <w:shd w:val="clear" w:color="auto" w:fill="FFFFFF"/>
        </w:rPr>
        <w:t>cogens</w:t>
      </w:r>
      <w:proofErr w:type="spellEnd"/>
      <w:r w:rsidRPr="003C56DB">
        <w:rPr>
          <w:rFonts w:ascii="Arial" w:eastAsia="Calibri" w:hAnsi="Arial" w:cs="Arial"/>
          <w:iCs/>
          <w:color w:val="000000"/>
          <w:sz w:val="24"/>
          <w:szCs w:val="24"/>
          <w:shd w:val="clear" w:color="auto" w:fill="FFFFFF"/>
        </w:rPr>
        <w:t>, [es decir] aceptada y reconocida por la comunidad internacional como un todo en tanto normas perentorias o imperativas respecto de las que no se permiten derogaciones”</w:t>
      </w:r>
      <w:r w:rsidRPr="003C56DB">
        <w:rPr>
          <w:rFonts w:ascii="Arial" w:eastAsia="Calibri" w:hAnsi="Arial" w:cs="Arial"/>
          <w:iCs/>
          <w:color w:val="000000"/>
          <w:sz w:val="24"/>
          <w:szCs w:val="24"/>
          <w:shd w:val="clear" w:color="auto" w:fill="FFFFFF"/>
          <w:vertAlign w:val="superscript"/>
        </w:rPr>
        <w:footnoteReference w:id="57"/>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iv. </w:t>
      </w:r>
      <w:r w:rsidRPr="003C56DB">
        <w:rPr>
          <w:rFonts w:ascii="Arial" w:eastAsia="Calibri" w:hAnsi="Arial" w:cs="Arial"/>
          <w:b/>
          <w:i/>
          <w:iCs/>
          <w:color w:val="000000"/>
          <w:sz w:val="24"/>
          <w:szCs w:val="24"/>
          <w:shd w:val="clear" w:color="auto" w:fill="FFFFFF"/>
        </w:rPr>
        <w:t>La seguridad, la paz y la vigencia de un orden constitucional y democrático</w:t>
      </w:r>
      <w:r w:rsidRPr="003C56DB">
        <w:rPr>
          <w:rFonts w:ascii="Arial" w:eastAsia="Calibri" w:hAnsi="Arial" w:cs="Arial"/>
          <w:b/>
          <w:iCs/>
          <w:color w:val="000000"/>
          <w:sz w:val="24"/>
          <w:szCs w:val="24"/>
          <w:shd w:val="clear" w:color="auto" w:fill="FFFFFF"/>
        </w:rPr>
        <w:t>.</w:t>
      </w:r>
      <w:r w:rsidRPr="003C56DB">
        <w:rPr>
          <w:rFonts w:ascii="Arial" w:eastAsia="Calibri" w:hAnsi="Arial" w:cs="Arial"/>
          <w:iCs/>
          <w:color w:val="000000"/>
          <w:sz w:val="24"/>
          <w:szCs w:val="24"/>
          <w:shd w:val="clear" w:color="auto" w:fill="FFFFFF"/>
        </w:rPr>
        <w:t xml:space="preserve"> La población colombiana, al igual que la mayoría naciones del mundo, es titular de los intereses colectivos a la seguridad, la paz, democracia y el disfrute de un orden social democrático y constitucional. Así se infiere de las normas sobre naturaleza y finalidades del Estado colombiano (por ejemplo, los artículos 1º y 2º de la Constitución Política), y de esa forma lo reconocen los principales instrumentos normativos que estructuran el sistema jurídico internacional, como la Carta de las Naciones Unidas de 1945</w:t>
      </w:r>
      <w:r w:rsidRPr="003C56DB">
        <w:rPr>
          <w:rFonts w:ascii="Arial" w:eastAsia="Calibri" w:hAnsi="Arial" w:cs="Arial"/>
          <w:iCs/>
          <w:color w:val="000000"/>
          <w:sz w:val="24"/>
          <w:szCs w:val="24"/>
          <w:shd w:val="clear" w:color="auto" w:fill="FFFFFF"/>
          <w:vertAlign w:val="superscript"/>
        </w:rPr>
        <w:footnoteReference w:id="58"/>
      </w:r>
      <w:r w:rsidRPr="003C56DB">
        <w:rPr>
          <w:rFonts w:ascii="Arial" w:eastAsia="Calibri" w:hAnsi="Arial" w:cs="Arial"/>
          <w:iCs/>
          <w:color w:val="000000"/>
          <w:sz w:val="24"/>
          <w:szCs w:val="24"/>
          <w:shd w:val="clear" w:color="auto" w:fill="FFFFFF"/>
        </w:rPr>
        <w:t>, la Carta de la Organización de los Estados Americanos de 1948 y, más recientemente la Carta Democrática Interamericana de 2001, según la cual, “los pueblos de América tienen derecho a la democracia y sus gobiernos la obligación de promoverla y defenderla”. Corolario de lo anterior, es el deber de asegurar “el mantenimiento de la paz y la seguridad”</w:t>
      </w:r>
      <w:r w:rsidRPr="003C56DB">
        <w:rPr>
          <w:rFonts w:ascii="Arial" w:eastAsia="Calibri" w:hAnsi="Arial" w:cs="Arial"/>
          <w:iCs/>
          <w:color w:val="000000"/>
          <w:sz w:val="24"/>
          <w:szCs w:val="24"/>
          <w:shd w:val="clear" w:color="auto" w:fill="FFFFFF"/>
          <w:vertAlign w:val="superscript"/>
        </w:rPr>
        <w:footnoteReference w:id="59"/>
      </w:r>
      <w:r w:rsidRPr="003C56DB">
        <w:rPr>
          <w:rFonts w:ascii="Arial" w:eastAsia="Calibri" w:hAnsi="Arial" w:cs="Arial"/>
          <w:iCs/>
          <w:color w:val="000000"/>
          <w:sz w:val="24"/>
          <w:szCs w:val="24"/>
          <w:shd w:val="clear" w:color="auto" w:fill="FFFFFF"/>
        </w:rPr>
        <w:t xml:space="preserve">, mediante la represión de todas aquellas conductas criminales con la aptitud para destruir, desestabilizar o lesionar la convivencia pacífica de la sociedad. Ahora bien, atendiendo el contexto actual y los desarrollos normativos recientes, parece razonable incluir preliminarmente dentro de este catálogo de </w:t>
      </w:r>
      <w:proofErr w:type="spellStart"/>
      <w:r w:rsidRPr="003C56DB">
        <w:rPr>
          <w:rFonts w:ascii="Arial" w:eastAsia="Calibri" w:hAnsi="Arial" w:cs="Arial"/>
          <w:iCs/>
          <w:color w:val="000000"/>
          <w:sz w:val="24"/>
          <w:szCs w:val="24"/>
          <w:shd w:val="clear" w:color="auto" w:fill="FFFFFF"/>
        </w:rPr>
        <w:t>de</w:t>
      </w:r>
      <w:proofErr w:type="spellEnd"/>
      <w:r w:rsidRPr="003C56DB">
        <w:rPr>
          <w:rFonts w:ascii="Arial" w:eastAsia="Calibri" w:hAnsi="Arial" w:cs="Arial"/>
          <w:iCs/>
          <w:color w:val="000000"/>
          <w:sz w:val="24"/>
          <w:szCs w:val="24"/>
          <w:shd w:val="clear" w:color="auto" w:fill="FFFFFF"/>
        </w:rPr>
        <w:t xml:space="preserve"> delitos, aquellos relacionados con el terrorismo</w:t>
      </w:r>
      <w:r w:rsidRPr="003C56DB">
        <w:rPr>
          <w:rFonts w:ascii="Arial" w:eastAsia="Calibri" w:hAnsi="Arial" w:cs="Arial"/>
          <w:iCs/>
          <w:color w:val="000000"/>
          <w:sz w:val="24"/>
          <w:szCs w:val="24"/>
          <w:shd w:val="clear" w:color="auto" w:fill="FFFFFF"/>
          <w:vertAlign w:val="superscript"/>
        </w:rPr>
        <w:footnoteReference w:id="60"/>
      </w:r>
      <w:r w:rsidRPr="003C56DB">
        <w:rPr>
          <w:rFonts w:ascii="Arial" w:eastAsia="Calibri" w:hAnsi="Arial" w:cs="Arial"/>
          <w:iCs/>
          <w:color w:val="000000"/>
          <w:sz w:val="24"/>
          <w:szCs w:val="24"/>
          <w:shd w:val="clear" w:color="auto" w:fill="FFFFFF"/>
        </w:rPr>
        <w:t>; las violaciones graves a los derechos humanos, los crímenes de lesa humanidad y las infracciones al Derecho Internacional Humanitario</w:t>
      </w:r>
      <w:r w:rsidRPr="003C56DB">
        <w:rPr>
          <w:rFonts w:ascii="Arial" w:eastAsia="Calibri" w:hAnsi="Arial" w:cs="Arial"/>
          <w:iCs/>
          <w:color w:val="000000"/>
          <w:sz w:val="24"/>
          <w:szCs w:val="24"/>
          <w:shd w:val="clear" w:color="auto" w:fill="FFFFFF"/>
          <w:vertAlign w:val="superscript"/>
        </w:rPr>
        <w:footnoteReference w:id="61"/>
      </w:r>
      <w:r w:rsidRPr="003C56DB">
        <w:rPr>
          <w:rFonts w:ascii="Arial" w:eastAsia="Calibri" w:hAnsi="Arial" w:cs="Arial"/>
          <w:iCs/>
          <w:color w:val="000000"/>
          <w:sz w:val="24"/>
          <w:szCs w:val="24"/>
          <w:shd w:val="clear" w:color="auto" w:fill="FFFFFF"/>
        </w:rPr>
        <w:t>; el tráfico de estupefacientes</w:t>
      </w:r>
      <w:r w:rsidRPr="003C56DB">
        <w:rPr>
          <w:rFonts w:ascii="Arial" w:eastAsia="Calibri" w:hAnsi="Arial" w:cs="Arial"/>
          <w:iCs/>
          <w:color w:val="000000"/>
          <w:sz w:val="24"/>
          <w:szCs w:val="24"/>
          <w:shd w:val="clear" w:color="auto" w:fill="FFFFFF"/>
          <w:vertAlign w:val="superscript"/>
        </w:rPr>
        <w:footnoteReference w:id="62"/>
      </w:r>
      <w:r w:rsidRPr="003C56DB">
        <w:rPr>
          <w:rFonts w:ascii="Arial" w:eastAsia="Calibri" w:hAnsi="Arial" w:cs="Arial"/>
          <w:iCs/>
          <w:color w:val="000000"/>
          <w:sz w:val="24"/>
          <w:szCs w:val="24"/>
          <w:shd w:val="clear" w:color="auto" w:fill="FFFFFF"/>
        </w:rPr>
        <w:t xml:space="preserve"> y las afrentas contra el orden social, económico y financiero</w:t>
      </w:r>
      <w:r w:rsidRPr="003C56DB">
        <w:rPr>
          <w:rFonts w:ascii="Arial" w:eastAsia="Calibri" w:hAnsi="Arial" w:cs="Arial"/>
          <w:iCs/>
          <w:color w:val="000000"/>
          <w:sz w:val="24"/>
          <w:szCs w:val="24"/>
          <w:shd w:val="clear" w:color="auto" w:fill="FFFFFF"/>
          <w:vertAlign w:val="superscript"/>
        </w:rPr>
        <w:footnoteReference w:id="63"/>
      </w:r>
      <w:r w:rsidRPr="003C56DB">
        <w:rPr>
          <w:rFonts w:ascii="Arial" w:eastAsia="Calibri" w:hAnsi="Arial" w:cs="Arial"/>
          <w:iCs/>
          <w:color w:val="000000"/>
          <w:sz w:val="24"/>
          <w:szCs w:val="24"/>
          <w:shd w:val="clear" w:color="auto" w:fill="FFFFFF"/>
        </w:rPr>
        <w:t xml:space="preserve">. Todas estas conductas, por su gravedad intrínseca, la pluralidad de sujetos que afectan y la entidad y número de bienes jurídicos que lesionan, representan ejemplos claros de delitos contrarios a la paz, la estabilidad y el orden político democrático de cualquier país.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v. </w:t>
      </w:r>
      <w:r w:rsidRPr="003C56DB">
        <w:rPr>
          <w:rFonts w:ascii="Arial" w:eastAsia="Calibri" w:hAnsi="Arial" w:cs="Arial"/>
          <w:b/>
          <w:i/>
          <w:iCs/>
          <w:color w:val="000000"/>
          <w:sz w:val="24"/>
          <w:szCs w:val="24"/>
          <w:shd w:val="clear" w:color="auto" w:fill="FFFFFF"/>
        </w:rPr>
        <w:t>Los derechos de las víctimas a la verdad, la justicia, la reparación y la no repetición</w:t>
      </w:r>
      <w:r w:rsidRPr="003C56DB">
        <w:rPr>
          <w:rFonts w:ascii="Arial" w:eastAsia="Calibri" w:hAnsi="Arial" w:cs="Arial"/>
          <w:b/>
          <w:iCs/>
          <w:color w:val="000000"/>
          <w:sz w:val="24"/>
          <w:szCs w:val="24"/>
          <w:shd w:val="clear" w:color="auto" w:fill="FFFFFF"/>
        </w:rPr>
        <w:t>.</w:t>
      </w:r>
      <w:r w:rsidRPr="003C56DB">
        <w:rPr>
          <w:rFonts w:ascii="Arial" w:eastAsia="Calibri" w:hAnsi="Arial" w:cs="Arial"/>
          <w:iCs/>
          <w:color w:val="000000"/>
          <w:sz w:val="24"/>
          <w:szCs w:val="24"/>
          <w:shd w:val="clear" w:color="auto" w:fill="FFFFFF"/>
        </w:rPr>
        <w:t xml:space="preserve"> Instrumentos internacionales y mandatos constitucionales establecen derechos intangibles a favor de las víctimas de violaciones a los derechos humanos</w:t>
      </w:r>
      <w:r w:rsidRPr="003C56DB">
        <w:rPr>
          <w:rFonts w:ascii="Arial" w:eastAsia="Calibri" w:hAnsi="Arial" w:cs="Arial"/>
          <w:iCs/>
          <w:color w:val="000000"/>
          <w:sz w:val="24"/>
          <w:szCs w:val="24"/>
          <w:shd w:val="clear" w:color="auto" w:fill="FFFFFF"/>
          <w:vertAlign w:val="superscript"/>
        </w:rPr>
        <w:footnoteReference w:id="64"/>
      </w:r>
      <w:r w:rsidRPr="003C56DB">
        <w:rPr>
          <w:rFonts w:ascii="Arial" w:eastAsia="Calibri" w:hAnsi="Arial" w:cs="Arial"/>
          <w:iCs/>
          <w:color w:val="000000"/>
          <w:sz w:val="24"/>
          <w:szCs w:val="24"/>
          <w:shd w:val="clear" w:color="auto" w:fill="FFFFFF"/>
        </w:rPr>
        <w:t xml:space="preserve">. Su prevalencia, </w:t>
      </w:r>
      <w:r w:rsidRPr="003C56DB">
        <w:rPr>
          <w:rFonts w:ascii="Arial" w:eastAsia="Calibri" w:hAnsi="Arial" w:cs="Arial"/>
          <w:i/>
          <w:iCs/>
          <w:color w:val="000000"/>
          <w:sz w:val="24"/>
          <w:szCs w:val="24"/>
          <w:shd w:val="clear" w:color="auto" w:fill="FFFFFF"/>
        </w:rPr>
        <w:t>prima facie</w:t>
      </w:r>
      <w:r w:rsidRPr="003C56DB">
        <w:rPr>
          <w:rFonts w:ascii="Arial" w:eastAsia="Calibri" w:hAnsi="Arial" w:cs="Arial"/>
          <w:iCs/>
          <w:color w:val="000000"/>
          <w:sz w:val="24"/>
          <w:szCs w:val="24"/>
          <w:shd w:val="clear" w:color="auto" w:fill="FFFFFF"/>
        </w:rPr>
        <w:t xml:space="preserve">, sobre el conjunto de derechos, individuales y colectivos, pareciera haberse consumado en nuestro sistema jurídico en virtud de precedentes tales como los fijados por la Corte Constitucional en la sentencia C-579 de 2013  y la Corte Interamericana de Derechos Humanos en la sentencia Caso </w:t>
      </w:r>
      <w:proofErr w:type="spellStart"/>
      <w:r w:rsidRPr="003C56DB">
        <w:rPr>
          <w:rFonts w:ascii="Arial" w:eastAsia="Calibri" w:hAnsi="Arial" w:cs="Arial"/>
          <w:iCs/>
          <w:color w:val="000000"/>
          <w:sz w:val="24"/>
          <w:szCs w:val="24"/>
          <w:shd w:val="clear" w:color="auto" w:fill="FFFFFF"/>
        </w:rPr>
        <w:t>Gelman</w:t>
      </w:r>
      <w:proofErr w:type="spellEnd"/>
      <w:r w:rsidRPr="003C56DB">
        <w:rPr>
          <w:rFonts w:ascii="Arial" w:eastAsia="Calibri" w:hAnsi="Arial" w:cs="Arial"/>
          <w:iCs/>
          <w:color w:val="000000"/>
          <w:sz w:val="24"/>
          <w:szCs w:val="24"/>
          <w:shd w:val="clear" w:color="auto" w:fill="FFFFFF"/>
        </w:rPr>
        <w:t xml:space="preserve"> contra Uruguay (2011). En efecto, mientras la primera corporación calificó como “pilar esencial” del Estado colombiano, entre otras cosas, la garantía del derecho de las víctimas a disfrutar de una investigación penal “seria, imparcial, efectiva, cumplida en un plazo razonable  y con su participación”</w:t>
      </w:r>
      <w:r w:rsidRPr="003C56DB">
        <w:rPr>
          <w:rFonts w:ascii="Arial" w:eastAsia="Calibri" w:hAnsi="Arial" w:cs="Arial"/>
          <w:iCs/>
          <w:color w:val="000000"/>
          <w:sz w:val="24"/>
          <w:szCs w:val="24"/>
          <w:shd w:val="clear" w:color="auto" w:fill="FFFFFF"/>
          <w:vertAlign w:val="superscript"/>
        </w:rPr>
        <w:footnoteReference w:id="65"/>
      </w:r>
      <w:r w:rsidRPr="003C56DB">
        <w:rPr>
          <w:rFonts w:ascii="Arial" w:eastAsia="Calibri" w:hAnsi="Arial" w:cs="Arial"/>
          <w:iCs/>
          <w:color w:val="000000"/>
          <w:sz w:val="24"/>
          <w:szCs w:val="24"/>
          <w:shd w:val="clear" w:color="auto" w:fill="FFFFFF"/>
        </w:rPr>
        <w:t>; la segunda aseguró que “la existencia de un verdadero régimen democrático”</w:t>
      </w:r>
      <w:r w:rsidRPr="003C56DB">
        <w:rPr>
          <w:rFonts w:ascii="Arial" w:eastAsia="Calibri" w:hAnsi="Arial" w:cs="Arial"/>
          <w:iCs/>
          <w:color w:val="000000"/>
          <w:sz w:val="24"/>
          <w:szCs w:val="24"/>
          <w:shd w:val="clear" w:color="auto" w:fill="FFFFFF"/>
          <w:vertAlign w:val="superscript"/>
        </w:rPr>
        <w:footnoteReference w:id="66"/>
      </w:r>
      <w:r w:rsidRPr="003C56DB">
        <w:rPr>
          <w:rFonts w:ascii="Arial" w:eastAsia="Calibri" w:hAnsi="Arial" w:cs="Arial"/>
          <w:iCs/>
          <w:color w:val="000000"/>
          <w:sz w:val="24"/>
          <w:szCs w:val="24"/>
          <w:shd w:val="clear" w:color="auto" w:fill="FFFFFF"/>
        </w:rPr>
        <w:t xml:space="preserve"> supone la garantía de los derechos de las víctimas a la investigación, sanción y reparación de los agravios que debieron soportar.</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Como se aprecia, este conjunto de derechos e intereses jurídicos tutelados con normas penales de alcance internacional, constituyen límites sustanciales a la soberanía de los Estados y, por ese camino, restringen su discrecionalidad en lo relativo al </w:t>
      </w:r>
      <w:r w:rsidRPr="003C56DB">
        <w:rPr>
          <w:rFonts w:ascii="Arial" w:eastAsia="Calibri" w:hAnsi="Arial" w:cs="Arial"/>
          <w:i/>
          <w:iCs/>
          <w:color w:val="000000"/>
          <w:sz w:val="24"/>
          <w:szCs w:val="24"/>
          <w:shd w:val="clear" w:color="auto" w:fill="FFFFFF"/>
        </w:rPr>
        <w:t>sí</w:t>
      </w:r>
      <w:r w:rsidRPr="003C56DB">
        <w:rPr>
          <w:rFonts w:ascii="Arial" w:eastAsia="Calibri" w:hAnsi="Arial" w:cs="Arial"/>
          <w:iCs/>
          <w:color w:val="000000"/>
          <w:sz w:val="24"/>
          <w:szCs w:val="24"/>
          <w:shd w:val="clear" w:color="auto" w:fill="FFFFFF"/>
        </w:rPr>
        <w:t xml:space="preserve"> y al </w:t>
      </w:r>
      <w:r w:rsidRPr="003C56DB">
        <w:rPr>
          <w:rFonts w:ascii="Arial" w:eastAsia="Calibri" w:hAnsi="Arial" w:cs="Arial"/>
          <w:i/>
          <w:iCs/>
          <w:color w:val="000000"/>
          <w:sz w:val="24"/>
          <w:szCs w:val="24"/>
          <w:shd w:val="clear" w:color="auto" w:fill="FFFFFF"/>
        </w:rPr>
        <w:t>cómo</w:t>
      </w:r>
      <w:r w:rsidRPr="003C56DB">
        <w:rPr>
          <w:rFonts w:ascii="Arial" w:eastAsia="Calibri" w:hAnsi="Arial" w:cs="Arial"/>
          <w:iCs/>
          <w:color w:val="000000"/>
          <w:sz w:val="24"/>
          <w:szCs w:val="24"/>
          <w:shd w:val="clear" w:color="auto" w:fill="FFFFFF"/>
        </w:rPr>
        <w:t xml:space="preserve"> de la persecución penal. Ante su ocurrencia, las autoridades públicas siempre deberán efectuar una investigación coherente con los estándares nacionales e internacionales aplicables a cada una de esas modalidades delictivas. </w:t>
      </w:r>
      <w:r w:rsidRPr="003C56DB">
        <w:rPr>
          <w:rFonts w:ascii="Arial" w:eastAsia="Calibri" w:hAnsi="Arial" w:cs="Arial"/>
          <w:iCs/>
          <w:color w:val="000000"/>
          <w:sz w:val="24"/>
          <w:szCs w:val="24"/>
          <w:shd w:val="clear" w:color="auto" w:fill="FFFFFF"/>
        </w:rPr>
        <w:cr/>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otras palabras, los derechos e intereses mencionados demandan acciones específicas de protección por parte de los Estados que disminuyen las posibilidades de que sus afrentas puedan investigarse y juzgarse por la jurisdicción indígena.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Para la muestra, el reconocimiento nacional e internacional de derechos especiales en cabeza de las víctimas condicionan, al punto de impedir, la aplicación de una justicia diferencial ante ciertos delitos. Por ejemplo, el derecho a la </w:t>
      </w:r>
      <w:r w:rsidRPr="003C56DB">
        <w:rPr>
          <w:rFonts w:ascii="Arial" w:eastAsia="Calibri" w:hAnsi="Arial" w:cs="Arial"/>
          <w:iCs/>
          <w:color w:val="000000"/>
          <w:sz w:val="24"/>
          <w:szCs w:val="24"/>
          <w:u w:val="single"/>
          <w:shd w:val="clear" w:color="auto" w:fill="FFFFFF"/>
        </w:rPr>
        <w:t>verdad</w:t>
      </w:r>
      <w:r w:rsidRPr="003C56DB">
        <w:rPr>
          <w:rFonts w:ascii="Arial" w:eastAsia="Calibri" w:hAnsi="Arial" w:cs="Arial"/>
          <w:iCs/>
          <w:color w:val="000000"/>
          <w:sz w:val="24"/>
          <w:szCs w:val="24"/>
          <w:shd w:val="clear" w:color="auto" w:fill="FFFFFF"/>
        </w:rPr>
        <w:t xml:space="preserve"> de las víctimas de crímenes sexuales como mujeres y menores de edad, sólo se satisface con la realización de una investigación seria, técnica y eficaz que revele los autores y las circunstancias que rodearon la ocurrencia de los hechos.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Para la Corte Constitucional, las autoridades judiciales tienen deberes positivos durante esta clase de investigaciones, que buscan ofrecer una “protección estatal integral al menor en el curso del proceso penal y por supuesto al término del mismo”</w:t>
      </w:r>
      <w:r w:rsidRPr="003C56DB">
        <w:rPr>
          <w:rFonts w:ascii="Arial" w:eastAsia="Calibri" w:hAnsi="Arial" w:cs="Arial"/>
          <w:iCs/>
          <w:color w:val="000000"/>
          <w:sz w:val="24"/>
          <w:szCs w:val="24"/>
          <w:shd w:val="clear" w:color="auto" w:fill="FFFFFF"/>
          <w:vertAlign w:val="superscript"/>
        </w:rPr>
        <w:footnoteReference w:id="67"/>
      </w:r>
      <w:r w:rsidRPr="003C56DB">
        <w:rPr>
          <w:rFonts w:ascii="Arial" w:eastAsia="Calibri" w:hAnsi="Arial" w:cs="Arial"/>
          <w:iCs/>
          <w:color w:val="000000"/>
          <w:sz w:val="24"/>
          <w:szCs w:val="24"/>
          <w:shd w:val="clear" w:color="auto" w:fill="FFFFFF"/>
        </w:rPr>
        <w:t>. Así las cosas, dichas autoridades no pueden relegarse “a  investigar la ocurrencia de los hechos y al establecimiento de responsabilidades”</w:t>
      </w:r>
      <w:r w:rsidRPr="003C56DB">
        <w:rPr>
          <w:rFonts w:ascii="Arial" w:eastAsia="Calibri" w:hAnsi="Arial" w:cs="Arial"/>
          <w:iCs/>
          <w:color w:val="000000"/>
          <w:sz w:val="24"/>
          <w:szCs w:val="24"/>
          <w:shd w:val="clear" w:color="auto" w:fill="FFFFFF"/>
          <w:vertAlign w:val="superscript"/>
        </w:rPr>
        <w:footnoteReference w:id="68"/>
      </w:r>
      <w:r w:rsidRPr="003C56DB">
        <w:rPr>
          <w:rFonts w:ascii="Arial" w:eastAsia="Calibri" w:hAnsi="Arial" w:cs="Arial"/>
          <w:iCs/>
          <w:color w:val="000000"/>
          <w:sz w:val="24"/>
          <w:szCs w:val="24"/>
          <w:shd w:val="clear" w:color="auto" w:fill="FFFFFF"/>
        </w:rPr>
        <w:t xml:space="preserve"> sino que además, deben “buscar la forma de proteger integralmente al menor que ha sido abusado sexualmente, desde la </w:t>
      </w:r>
      <w:r w:rsidRPr="003C56DB">
        <w:rPr>
          <w:rFonts w:ascii="Arial" w:eastAsia="Calibri" w:hAnsi="Arial" w:cs="Arial"/>
          <w:i/>
          <w:iCs/>
          <w:color w:val="000000"/>
          <w:sz w:val="24"/>
          <w:szCs w:val="24"/>
          <w:shd w:val="clear" w:color="auto" w:fill="FFFFFF"/>
        </w:rPr>
        <w:t xml:space="preserve">noticia </w:t>
      </w:r>
      <w:proofErr w:type="spellStart"/>
      <w:r w:rsidRPr="003C56DB">
        <w:rPr>
          <w:rFonts w:ascii="Arial" w:eastAsia="Calibri" w:hAnsi="Arial" w:cs="Arial"/>
          <w:i/>
          <w:iCs/>
          <w:color w:val="000000"/>
          <w:sz w:val="24"/>
          <w:szCs w:val="24"/>
          <w:shd w:val="clear" w:color="auto" w:fill="FFFFFF"/>
        </w:rPr>
        <w:t>criminis</w:t>
      </w:r>
      <w:proofErr w:type="spellEnd"/>
      <w:r w:rsidRPr="003C56DB">
        <w:rPr>
          <w:rFonts w:ascii="Arial" w:eastAsia="Calibri" w:hAnsi="Arial" w:cs="Arial"/>
          <w:i/>
          <w:iCs/>
          <w:color w:val="000000"/>
          <w:sz w:val="24"/>
          <w:szCs w:val="24"/>
          <w:shd w:val="clear" w:color="auto" w:fill="FFFFFF"/>
        </w:rPr>
        <w:t>”</w:t>
      </w:r>
      <w:r w:rsidRPr="003C56DB">
        <w:rPr>
          <w:rFonts w:ascii="Arial" w:eastAsia="Calibri" w:hAnsi="Arial" w:cs="Arial"/>
          <w:iCs/>
          <w:color w:val="000000"/>
          <w:sz w:val="24"/>
          <w:szCs w:val="24"/>
          <w:shd w:val="clear" w:color="auto" w:fill="FFFFFF"/>
          <w:vertAlign w:val="superscript"/>
        </w:rPr>
        <w:footnoteReference w:id="69"/>
      </w:r>
      <w:r w:rsidRPr="003C56DB">
        <w:rPr>
          <w:rFonts w:ascii="Arial" w:eastAsia="Calibri" w:hAnsi="Arial" w:cs="Arial"/>
          <w:i/>
          <w:iCs/>
          <w:color w:val="000000"/>
          <w:sz w:val="24"/>
          <w:szCs w:val="24"/>
          <w:shd w:val="clear" w:color="auto" w:fill="FFFFFF"/>
        </w:rPr>
        <w:t>.</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r w:rsidRPr="003C56DB">
        <w:rPr>
          <w:rFonts w:ascii="Arial" w:eastAsia="Calibri" w:hAnsi="Arial" w:cs="Arial"/>
          <w:i/>
          <w:iCs/>
          <w:color w:val="000000"/>
          <w:sz w:val="24"/>
          <w:szCs w:val="24"/>
          <w:shd w:val="clear" w:color="auto" w:fill="FFFFFF"/>
        </w:rPr>
        <w:t>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De igual forma, tratándose de muertes violentas con elementos sexuales o sospechas de </w:t>
      </w:r>
      <w:proofErr w:type="spellStart"/>
      <w:r w:rsidRPr="003C56DB">
        <w:rPr>
          <w:rFonts w:ascii="Arial" w:eastAsia="Calibri" w:hAnsi="Arial" w:cs="Arial"/>
          <w:iCs/>
          <w:color w:val="000000"/>
          <w:sz w:val="24"/>
          <w:szCs w:val="24"/>
          <w:shd w:val="clear" w:color="auto" w:fill="FFFFFF"/>
        </w:rPr>
        <w:t>feminicidio</w:t>
      </w:r>
      <w:proofErr w:type="spellEnd"/>
      <w:r w:rsidRPr="003C56DB">
        <w:rPr>
          <w:rFonts w:ascii="Arial" w:eastAsia="Calibri" w:hAnsi="Arial" w:cs="Arial"/>
          <w:iCs/>
          <w:color w:val="000000"/>
          <w:sz w:val="24"/>
          <w:szCs w:val="24"/>
          <w:shd w:val="clear" w:color="auto" w:fill="FFFFFF"/>
        </w:rPr>
        <w:t xml:space="preserve">, la Corte Interamericana de Derechos Humanos ha establecido una serie de parámetros que determinan el proceder de las autoridades estatales en las correspondientes investigaciones penales. Su desconocimiento, no sobra recordarlo, puede comprometer la responsabilidad internacional del Estado. A continuación se trascriben algunos de aquellos parámetros </w:t>
      </w:r>
      <w:r w:rsidRPr="003C56DB">
        <w:rPr>
          <w:rFonts w:ascii="Arial" w:eastAsia="Calibri" w:hAnsi="Arial" w:cs="Arial"/>
          <w:i/>
          <w:iCs/>
          <w:color w:val="000000"/>
          <w:sz w:val="24"/>
          <w:szCs w:val="24"/>
          <w:shd w:val="clear" w:color="auto" w:fill="FFFFFF"/>
        </w:rPr>
        <w:t>in extenso</w:t>
      </w:r>
      <w:r w:rsidRPr="003C56DB">
        <w:rPr>
          <w:rFonts w:ascii="Arial" w:eastAsia="Calibri" w:hAnsi="Arial" w:cs="Arial"/>
          <w:iCs/>
          <w:color w:val="000000"/>
          <w:sz w:val="24"/>
          <w:szCs w:val="24"/>
          <w:shd w:val="clear" w:color="auto" w:fill="FFFFFF"/>
        </w:rPr>
        <w:t xml:space="preserve">, con el fin de ilustrar la complejidad del asunto: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“Las autoridades estatales que conducen una investigación de este tipo deben intentar como mínimo, </w:t>
      </w:r>
      <w:r w:rsidRPr="003C56DB">
        <w:rPr>
          <w:rFonts w:ascii="Arial" w:eastAsia="Calibri" w:hAnsi="Arial" w:cs="Arial"/>
          <w:i/>
          <w:iCs/>
          <w:color w:val="000000"/>
          <w:sz w:val="24"/>
          <w:szCs w:val="24"/>
          <w:shd w:val="clear" w:color="auto" w:fill="FFFFFF"/>
        </w:rPr>
        <w:t xml:space="preserve">inter </w:t>
      </w:r>
      <w:proofErr w:type="spellStart"/>
      <w:r w:rsidRPr="003C56DB">
        <w:rPr>
          <w:rFonts w:ascii="Arial" w:eastAsia="Calibri" w:hAnsi="Arial" w:cs="Arial"/>
          <w:i/>
          <w:iCs/>
          <w:color w:val="000000"/>
          <w:sz w:val="24"/>
          <w:szCs w:val="24"/>
          <w:shd w:val="clear" w:color="auto" w:fill="FFFFFF"/>
        </w:rPr>
        <w:t>alia</w:t>
      </w:r>
      <w:proofErr w:type="spellEnd"/>
      <w:r w:rsidRPr="003C56DB">
        <w:rPr>
          <w:rFonts w:ascii="Arial" w:eastAsia="Calibri" w:hAnsi="Arial" w:cs="Arial"/>
          <w:iCs/>
          <w:color w:val="000000"/>
          <w:sz w:val="24"/>
          <w:szCs w:val="24"/>
          <w:shd w:val="clear" w:color="auto" w:fill="FFFFFF"/>
        </w:rPr>
        <w:t>: i) identificar a la víctima; ii) recuperar y preservar el material probatorio relacionado con la muerte, con el fin de ayudar en cualquier potencial investigación penal de los responsables; iii) identificar posibles testigos y obtener sus declaraciones en relación con la muerte que se  investiga; iv) determinar la causa, forma, lugar y momento de la muerte, así como cualquier patrón o práctica que pueda haber causado la muerte, y v) distinguir entre muerte natural, muerte accidental, suicidio y homicidio. Además, es necesario investigar exhaustivamente la escena del crimen, se deben realizar autopsias y análisis de restos humanos, en forma rigurosa, por profesionales competentes y empleando los  procedimientos más apropiados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301. Además, los estándares internacionales señalan que, en relación con la escena del crimen, los investigadores deben, como mínimo, fotografiar dicha escena, cualquier otra evidencia física y el cuerpo como se encontró y después de moverlo; todas las muestras de sangre, cabello, fibras, hilos u otras pistas deben ser recogidas y conservadas; examinar el área en busca de huellas de zapatos o cualquier otra que tenga naturaleza de evidencia, y hacer un informe detallando cualquier observación de la escena, las acciones de los investigadores y la disposición de toda la evidencia coleccionada […]. El Protocolo de Minnesota establece, entre otras obligaciones, que al investigar una escena del crimen se debe cerrar la zona contigua al cadáver, y prohibir, salvo para el investigador y su equipo, el ingreso a la misma”</w:t>
      </w:r>
      <w:r w:rsidRPr="003C56DB">
        <w:rPr>
          <w:rFonts w:ascii="Arial" w:eastAsia="Calibri" w:hAnsi="Arial" w:cs="Arial"/>
          <w:iCs/>
          <w:color w:val="000000"/>
          <w:sz w:val="24"/>
          <w:szCs w:val="24"/>
          <w:shd w:val="clear" w:color="auto" w:fill="FFFFFF"/>
          <w:vertAlign w:val="superscript"/>
        </w:rPr>
        <w:footnoteReference w:id="70"/>
      </w:r>
      <w:r w:rsidRPr="003C56DB">
        <w:rPr>
          <w:rFonts w:ascii="Arial" w:eastAsia="Calibri" w:hAnsi="Arial" w:cs="Arial"/>
          <w:iCs/>
          <w:color w:val="000000"/>
          <w:sz w:val="24"/>
          <w:szCs w:val="24"/>
          <w:shd w:val="clear" w:color="auto" w:fill="FFFFFF"/>
        </w:rPr>
        <w:t>.</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Así las cosas, el derecho a la verdad de las víctimas de crímenes sexuales le impone cargas al Estado en materia de investigación que difícilmente pueden excusarse en la protección del principio de diversidad étnica y cultural y que resultaría desproporcionado descargar en la institucionalidad de las comunidades indígenas colombianas.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Con relación al derecho de las víctimas a la </w:t>
      </w:r>
      <w:r w:rsidRPr="003C56DB">
        <w:rPr>
          <w:rFonts w:ascii="Arial" w:eastAsia="Calibri" w:hAnsi="Arial" w:cs="Arial"/>
          <w:iCs/>
          <w:color w:val="000000"/>
          <w:sz w:val="24"/>
          <w:szCs w:val="24"/>
          <w:u w:val="single"/>
          <w:shd w:val="clear" w:color="auto" w:fill="FFFFFF"/>
        </w:rPr>
        <w:t>justicia</w:t>
      </w:r>
      <w:r w:rsidRPr="003C56DB">
        <w:rPr>
          <w:rFonts w:ascii="Arial" w:eastAsia="Calibri" w:hAnsi="Arial" w:cs="Arial"/>
          <w:iCs/>
          <w:color w:val="000000"/>
          <w:sz w:val="24"/>
          <w:szCs w:val="24"/>
          <w:shd w:val="clear" w:color="auto" w:fill="FFFFFF"/>
        </w:rPr>
        <w:t xml:space="preserve">, la manera en que ha sido concebido tanto por la Corte Interamericana de Derechos Humanos como por diferentes organismos de las Naciones Unidas, supone la apertura de procesos penales a cargo de las autoridades públicas, bajo un marco normativo sustancial y procesal </w:t>
      </w:r>
      <w:r w:rsidRPr="003C56DB">
        <w:rPr>
          <w:rFonts w:ascii="Arial" w:eastAsia="Calibri" w:hAnsi="Arial" w:cs="Arial"/>
          <w:i/>
          <w:iCs/>
          <w:color w:val="000000"/>
          <w:sz w:val="24"/>
          <w:szCs w:val="24"/>
          <w:shd w:val="clear" w:color="auto" w:fill="FFFFFF"/>
        </w:rPr>
        <w:t>de orden público</w:t>
      </w:r>
      <w:r w:rsidRPr="003C56DB">
        <w:rPr>
          <w:rFonts w:ascii="Arial" w:eastAsia="Calibri" w:hAnsi="Arial" w:cs="Arial"/>
          <w:iCs/>
          <w:color w:val="000000"/>
          <w:sz w:val="24"/>
          <w:szCs w:val="24"/>
          <w:shd w:val="clear" w:color="auto" w:fill="FFFFFF"/>
        </w:rPr>
        <w:t xml:space="preserve"> que conduzca, si es del caso, a la imposición de penas </w:t>
      </w:r>
      <w:r w:rsidRPr="003C56DB">
        <w:rPr>
          <w:rFonts w:ascii="Arial" w:eastAsia="Calibri" w:hAnsi="Arial" w:cs="Arial"/>
          <w:i/>
          <w:iCs/>
          <w:color w:val="000000"/>
          <w:sz w:val="24"/>
          <w:szCs w:val="24"/>
          <w:shd w:val="clear" w:color="auto" w:fill="FFFFFF"/>
        </w:rPr>
        <w:t>proporcionales</w:t>
      </w:r>
      <w:r w:rsidRPr="003C56DB">
        <w:rPr>
          <w:rFonts w:ascii="Arial" w:eastAsia="Calibri" w:hAnsi="Arial" w:cs="Arial"/>
          <w:iCs/>
          <w:color w:val="000000"/>
          <w:sz w:val="24"/>
          <w:szCs w:val="24"/>
          <w:shd w:val="clear" w:color="auto" w:fill="FFFFFF"/>
        </w:rPr>
        <w:t xml:space="preserve"> y al decreto de reparaciones </w:t>
      </w:r>
      <w:r w:rsidRPr="003C56DB">
        <w:rPr>
          <w:rFonts w:ascii="Arial" w:eastAsia="Calibri" w:hAnsi="Arial" w:cs="Arial"/>
          <w:i/>
          <w:iCs/>
          <w:color w:val="000000"/>
          <w:sz w:val="24"/>
          <w:szCs w:val="24"/>
          <w:shd w:val="clear" w:color="auto" w:fill="FFFFFF"/>
        </w:rPr>
        <w:t xml:space="preserve">integrales </w:t>
      </w:r>
      <w:r w:rsidRPr="003C56DB">
        <w:rPr>
          <w:rFonts w:ascii="Arial" w:eastAsia="Calibri" w:hAnsi="Arial" w:cs="Arial"/>
          <w:iCs/>
          <w:color w:val="000000"/>
          <w:sz w:val="24"/>
          <w:szCs w:val="24"/>
          <w:shd w:val="clear" w:color="auto" w:fill="FFFFFF"/>
        </w:rPr>
        <w:t xml:space="preserve">al daño ocasionado, en condiciones de </w:t>
      </w:r>
      <w:r w:rsidRPr="003C56DB">
        <w:rPr>
          <w:rFonts w:ascii="Arial" w:eastAsia="Calibri" w:hAnsi="Arial" w:cs="Arial"/>
          <w:i/>
          <w:iCs/>
          <w:color w:val="000000"/>
          <w:sz w:val="24"/>
          <w:szCs w:val="24"/>
          <w:shd w:val="clear" w:color="auto" w:fill="FFFFFF"/>
        </w:rPr>
        <w:t>igualdad</w:t>
      </w:r>
      <w:r w:rsidRPr="003C56DB">
        <w:rPr>
          <w:rFonts w:ascii="Arial" w:eastAsia="Calibri" w:hAnsi="Arial" w:cs="Arial"/>
          <w:iCs/>
          <w:color w:val="000000"/>
          <w:sz w:val="24"/>
          <w:szCs w:val="24"/>
          <w:shd w:val="clear" w:color="auto" w:fill="FFFFFF"/>
        </w:rPr>
        <w:t xml:space="preserve"> entre todas las víctimas.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Entre otras cosas, se infiere de lo anterior que la delegación en particulares como las autoridades judiciales indígenas, de la persecución y el castigo de esta clase de criminalidad, junto con la autorización de tipos y sanciones penales diferenciadas, podría eventualmente implicar el desconocimiento del orden constitucional y de las obligaciones internacionales asumidas por el Estado colombiano.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Con respecto a lo primero, la Corte Constitucional en la sentencia C-370 de 2006 estableció que el derecho de las víctimas a la justicia exige la puesta en funcionamiento del aparato </w:t>
      </w:r>
      <w:r w:rsidRPr="003C56DB">
        <w:rPr>
          <w:rFonts w:ascii="Arial" w:eastAsia="Calibri" w:hAnsi="Arial" w:cs="Arial"/>
          <w:i/>
          <w:iCs/>
          <w:color w:val="000000"/>
          <w:sz w:val="24"/>
          <w:szCs w:val="24"/>
          <w:shd w:val="clear" w:color="auto" w:fill="FFFFFF"/>
        </w:rPr>
        <w:t>formal</w:t>
      </w:r>
      <w:r w:rsidRPr="003C56DB">
        <w:rPr>
          <w:rFonts w:ascii="Arial" w:eastAsia="Calibri" w:hAnsi="Arial" w:cs="Arial"/>
          <w:iCs/>
          <w:color w:val="000000"/>
          <w:sz w:val="24"/>
          <w:szCs w:val="24"/>
          <w:shd w:val="clear" w:color="auto" w:fill="FFFFFF"/>
        </w:rPr>
        <w:t xml:space="preserve"> de justicia penal. Así, según este Tribunal: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w:t>
      </w:r>
      <w:r w:rsidRPr="003C56DB">
        <w:rPr>
          <w:rFonts w:ascii="Arial" w:eastAsia="Calibri" w:hAnsi="Arial" w:cs="Arial"/>
          <w:iCs/>
          <w:color w:val="000000"/>
          <w:sz w:val="24"/>
          <w:szCs w:val="24"/>
          <w:u w:val="single"/>
          <w:shd w:val="clear" w:color="auto" w:fill="FFFFFF"/>
        </w:rPr>
        <w:t>La realización concreta del derecho de acceso a la administración de justicia implica que</w:t>
      </w:r>
      <w:r w:rsidRPr="003C56DB">
        <w:rPr>
          <w:rFonts w:ascii="Arial" w:eastAsia="Calibri" w:hAnsi="Arial" w:cs="Arial"/>
          <w:iCs/>
          <w:color w:val="000000"/>
          <w:sz w:val="24"/>
          <w:szCs w:val="24"/>
          <w:shd w:val="clear" w:color="auto" w:fill="FFFFFF"/>
        </w:rPr>
        <w:t xml:space="preserve"> </w:t>
      </w:r>
      <w:r w:rsidRPr="003C56DB">
        <w:rPr>
          <w:rFonts w:ascii="Arial" w:eastAsia="Calibri" w:hAnsi="Arial" w:cs="Arial"/>
          <w:iCs/>
          <w:color w:val="000000"/>
          <w:sz w:val="24"/>
          <w:szCs w:val="24"/>
          <w:u w:val="single"/>
          <w:shd w:val="clear" w:color="auto" w:fill="FFFFFF"/>
        </w:rPr>
        <w:t>el Estado asuma a plenitud el deber de investigar los hechos constitutivos de violaciones graves a los derechos humanos</w:t>
      </w:r>
      <w:r w:rsidRPr="003C56DB">
        <w:rPr>
          <w:rFonts w:ascii="Arial" w:eastAsia="Calibri" w:hAnsi="Arial" w:cs="Arial"/>
          <w:iCs/>
          <w:color w:val="000000"/>
          <w:sz w:val="24"/>
          <w:szCs w:val="24"/>
          <w:shd w:val="clear" w:color="auto" w:fill="FFFFFF"/>
        </w:rPr>
        <w:t xml:space="preserve"> o al derecho internacional humanitario, y que, como consecuencia de tales investigaciones se someta a juzgamiento a los presuntos responsables para imponer, si es del caso </w:t>
      </w:r>
      <w:r w:rsidRPr="003C56DB">
        <w:rPr>
          <w:rFonts w:ascii="Arial" w:eastAsia="Calibri" w:hAnsi="Arial" w:cs="Arial"/>
          <w:iCs/>
          <w:color w:val="000000"/>
          <w:sz w:val="24"/>
          <w:szCs w:val="24"/>
          <w:u w:val="single"/>
          <w:shd w:val="clear" w:color="auto" w:fill="FFFFFF"/>
        </w:rPr>
        <w:t>las sanciones correspondientes conforme a la ley</w:t>
      </w:r>
      <w:r w:rsidRPr="003C56DB">
        <w:rPr>
          <w:rFonts w:ascii="Arial" w:eastAsia="Calibri" w:hAnsi="Arial" w:cs="Arial"/>
          <w:iCs/>
          <w:color w:val="000000"/>
          <w:sz w:val="24"/>
          <w:szCs w:val="24"/>
          <w:shd w:val="clear" w:color="auto" w:fill="FFFFFF"/>
        </w:rPr>
        <w:t>” (subraya fuera del original).</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relación con lo segundo, bajo la óptica del derecho internacional de los derechos humanos, la atribución de sanciones irrisorias o desproporcionales a la gravedad de los delitos, representa una forma de impunidad. Por ejemplo, en el Caso </w:t>
      </w:r>
      <w:proofErr w:type="spellStart"/>
      <w:r w:rsidRPr="003C56DB">
        <w:rPr>
          <w:rFonts w:ascii="Arial" w:eastAsia="Calibri" w:hAnsi="Arial" w:cs="Arial"/>
          <w:iCs/>
          <w:color w:val="000000"/>
          <w:sz w:val="24"/>
          <w:szCs w:val="24"/>
          <w:shd w:val="clear" w:color="auto" w:fill="FFFFFF"/>
        </w:rPr>
        <w:t>Raxcaco</w:t>
      </w:r>
      <w:proofErr w:type="spellEnd"/>
      <w:r w:rsidRPr="003C56DB">
        <w:rPr>
          <w:rFonts w:ascii="Arial" w:eastAsia="Calibri" w:hAnsi="Arial" w:cs="Arial"/>
          <w:iCs/>
          <w:color w:val="000000"/>
          <w:sz w:val="24"/>
          <w:szCs w:val="24"/>
          <w:shd w:val="clear" w:color="auto" w:fill="FFFFFF"/>
        </w:rPr>
        <w:t xml:space="preserve"> Reyes de 2005, la Corte Interamericana de Derechos Humanos señaló que: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“El Estado deberá asegurar que la nueva pena sea proporcional a la naturaleza y gravedad del delito que se persigue, y tome en cuenta las circunstancias atenuantes y agravantes que pudieren concurrir en este caso”.</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 su turno, el derecho a la </w:t>
      </w:r>
      <w:r w:rsidRPr="003C56DB">
        <w:rPr>
          <w:rFonts w:ascii="Arial" w:eastAsia="Calibri" w:hAnsi="Arial" w:cs="Arial"/>
          <w:iCs/>
          <w:color w:val="000000"/>
          <w:sz w:val="24"/>
          <w:szCs w:val="24"/>
          <w:u w:val="single"/>
          <w:shd w:val="clear" w:color="auto" w:fill="FFFFFF"/>
        </w:rPr>
        <w:t>reparación</w:t>
      </w:r>
      <w:r w:rsidRPr="003C56DB">
        <w:rPr>
          <w:rFonts w:ascii="Arial" w:eastAsia="Calibri" w:hAnsi="Arial" w:cs="Arial"/>
          <w:iCs/>
          <w:color w:val="000000"/>
          <w:sz w:val="24"/>
          <w:szCs w:val="24"/>
          <w:shd w:val="clear" w:color="auto" w:fill="FFFFFF"/>
        </w:rPr>
        <w:t xml:space="preserve"> le impone al Estado la obligación de garantizar la restitución de los derechos lesionados en la medida de lo posible, y, de forma subsidiaria, el deber de indemnizar el perjuicio sufridos por las víctimas. Tratándose de graves afrentas a los derechos humanos, la reparación integral comprende adicionalmente el derecho a la rehabilitación, tanto física como mental, a recibir medidas de satisfacción encaminadas a restaurar la dignidad de las víctimas y a prevenir la repetición de tales conductas dañinas</w:t>
      </w:r>
      <w:r w:rsidRPr="003C56DB">
        <w:rPr>
          <w:rFonts w:ascii="Arial" w:eastAsia="Calibri" w:hAnsi="Arial" w:cs="Arial"/>
          <w:iCs/>
          <w:color w:val="000000"/>
          <w:sz w:val="24"/>
          <w:szCs w:val="24"/>
          <w:shd w:val="clear" w:color="auto" w:fill="FFFFFF"/>
          <w:vertAlign w:val="superscript"/>
        </w:rPr>
        <w:footnoteReference w:id="71"/>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el estado actual de desarrollo del derecho internacional, este último derecho a la </w:t>
      </w:r>
      <w:r w:rsidRPr="003C56DB">
        <w:rPr>
          <w:rFonts w:ascii="Arial" w:eastAsia="Calibri" w:hAnsi="Arial" w:cs="Arial"/>
          <w:iCs/>
          <w:color w:val="000000"/>
          <w:sz w:val="24"/>
          <w:szCs w:val="24"/>
          <w:u w:val="single"/>
          <w:shd w:val="clear" w:color="auto" w:fill="FFFFFF"/>
        </w:rPr>
        <w:t>no repetición</w:t>
      </w:r>
      <w:r w:rsidRPr="003C56DB">
        <w:rPr>
          <w:rFonts w:ascii="Arial" w:eastAsia="Calibri" w:hAnsi="Arial" w:cs="Arial"/>
          <w:iCs/>
          <w:color w:val="000000"/>
          <w:sz w:val="24"/>
          <w:szCs w:val="24"/>
          <w:shd w:val="clear" w:color="auto" w:fill="FFFFFF"/>
        </w:rPr>
        <w:t xml:space="preserve">, adquirió entidad autónoma y posee dos facetas o dimensiones: una de tipo individual que protege a las víctimas de padecer el mismo delito sufrido, y una colectiva que obliga al Estado a prevenir la comisión futura de los mismos hechos dentro de su jurisdicción.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En contextos de transición hacia la paz como el colombiano, la dimensión colectiva del derecho a la no repetición cobra vital importancia, pues de su satisfacción depende la viabilidad del proceso de reconciliación emprendido por los distintos actores del conflicto. Entre otras acciones, le impone al Estado el deber ajustar e implementar sus políticas criminales y sistemas judiciales de manera que se conviertan en factores  eficaces de prevención de los graves atentados contra los derechos de las personas</w:t>
      </w:r>
      <w:r w:rsidRPr="003C56DB">
        <w:rPr>
          <w:rFonts w:ascii="Arial" w:eastAsia="Calibri" w:hAnsi="Arial" w:cs="Arial"/>
          <w:iCs/>
          <w:color w:val="000000"/>
          <w:sz w:val="24"/>
          <w:szCs w:val="24"/>
          <w:shd w:val="clear" w:color="auto" w:fill="FFFFFF"/>
          <w:vertAlign w:val="superscript"/>
        </w:rPr>
        <w:footnoteReference w:id="72"/>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Según la Corte Constitucional, dicha obligación de prevenir incluye además, los siguientes deberes: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(i) Reconocer a nivel interno los derechos y ofrecer garantías de igualdad ; (ii) Diseñar y poner en marcha estrategias y políticas de prevención integral; (iii) Implementar programas de educación y divulgación dirigidos a eliminar los patrones de violencia y vulneración de derechos, e informar sobre los derechos, sus mecanismos de protección y las consecuencias de su infracción; </w:t>
      </w: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(iv) Introducir programas y promover prácticas que permitan actuar de manera eficaz ante las denuncias de violaciones a los DDHH, así como fortalecer las instituciones con funciones en la materia;</w:t>
      </w: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(v) Destinar recursos suficientes para apoyar la labor de prevención;</w:t>
      </w: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w:t>
      </w:r>
      <w:proofErr w:type="gramStart"/>
      <w:r w:rsidRPr="003C56DB">
        <w:rPr>
          <w:rFonts w:ascii="Arial" w:eastAsia="Calibri" w:hAnsi="Arial" w:cs="Arial"/>
          <w:iCs/>
          <w:color w:val="000000"/>
          <w:sz w:val="24"/>
          <w:szCs w:val="24"/>
          <w:shd w:val="clear" w:color="auto" w:fill="FFFFFF"/>
        </w:rPr>
        <w:t>vi</w:t>
      </w:r>
      <w:proofErr w:type="gramEnd"/>
      <w:r w:rsidRPr="003C56DB">
        <w:rPr>
          <w:rFonts w:ascii="Arial" w:eastAsia="Calibri" w:hAnsi="Arial" w:cs="Arial"/>
          <w:iCs/>
          <w:color w:val="000000"/>
          <w:sz w:val="24"/>
          <w:szCs w:val="24"/>
          <w:shd w:val="clear" w:color="auto" w:fill="FFFFFF"/>
        </w:rPr>
        <w:t>) Adoptar medidas para erradicar los factores de riesgo, lo que incluye el diseño e implementación de instrumentos para facilitar la identificación y notificación de los factores y eventos de riesgo de violación;</w:t>
      </w:r>
    </w:p>
    <w:p w:rsidR="00597D8D" w:rsidRPr="003C56DB" w:rsidRDefault="00597D8D" w:rsidP="00597D8D">
      <w:pPr>
        <w:spacing w:after="0" w:line="240" w:lineRule="auto"/>
        <w:ind w:left="720"/>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(vii) Tomar medidas de prevención específica en casos en los que se detecte que un grupo de personas está en riesgo de que sus derechos sean vulnerados […]”</w:t>
      </w:r>
      <w:r w:rsidRPr="003C56DB">
        <w:rPr>
          <w:rFonts w:ascii="Arial" w:eastAsia="Calibri" w:hAnsi="Arial" w:cs="Arial"/>
          <w:iCs/>
          <w:color w:val="000000"/>
          <w:sz w:val="24"/>
          <w:szCs w:val="24"/>
          <w:shd w:val="clear" w:color="auto" w:fill="FFFFFF"/>
          <w:vertAlign w:val="superscript"/>
        </w:rPr>
        <w:footnoteReference w:id="73"/>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suma, los derechos de las víctimas a la verdad, la justicia, la reparación integral y la no repetición, tienen como correlato un complejo entramado de deberes y obligaciones suyo responsable principal es el Estado y frente al cual no resultaría lícito a nivel internacional abstenerse de cumplir, aduciendo razones de índole jurídica interna, como la existencia de una jurisdicción indígena que opera al margen del sistema judicial nacional.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Por lo demás, los anteriores planteamientos, y en especial el relativo a la existencia de derechos e intereses colectivos superiores </w:t>
      </w:r>
      <w:r w:rsidRPr="003C56DB">
        <w:rPr>
          <w:rFonts w:ascii="Arial" w:eastAsia="Calibri" w:hAnsi="Arial" w:cs="Arial"/>
          <w:i/>
          <w:iCs/>
          <w:color w:val="000000"/>
          <w:sz w:val="24"/>
          <w:szCs w:val="24"/>
          <w:shd w:val="clear" w:color="auto" w:fill="FFFFFF"/>
        </w:rPr>
        <w:t>prima facie</w:t>
      </w:r>
      <w:r w:rsidRPr="003C56DB">
        <w:rPr>
          <w:rFonts w:ascii="Arial" w:eastAsia="Calibri" w:hAnsi="Arial" w:cs="Arial"/>
          <w:iCs/>
          <w:color w:val="000000"/>
          <w:sz w:val="24"/>
          <w:szCs w:val="24"/>
          <w:shd w:val="clear" w:color="auto" w:fill="FFFFFF"/>
        </w:rPr>
        <w:t xml:space="preserve"> al principio de diversidad étnica y cultural, han sido empleado de manera constante y uniforme por esta Sala Jurisdiccional Disciplinaria como herramientas para resolver los conflictos de jurisdicciones entre el sistema penal ordinario y la justicia indígena</w:t>
      </w:r>
      <w:r w:rsidRPr="003C56DB">
        <w:rPr>
          <w:rFonts w:ascii="Arial" w:eastAsia="Calibri" w:hAnsi="Arial" w:cs="Arial"/>
          <w:iCs/>
          <w:color w:val="000000"/>
          <w:sz w:val="24"/>
          <w:szCs w:val="24"/>
          <w:shd w:val="clear" w:color="auto" w:fill="FFFFFF"/>
          <w:vertAlign w:val="superscript"/>
        </w:rPr>
        <w:footnoteReference w:id="74"/>
      </w:r>
      <w:r w:rsidRPr="003C56DB">
        <w:rPr>
          <w:rFonts w:ascii="Arial" w:eastAsia="Calibri" w:hAnsi="Arial" w:cs="Arial"/>
          <w:iCs/>
          <w:color w:val="000000"/>
          <w:sz w:val="24"/>
          <w:szCs w:val="24"/>
          <w:shd w:val="clear" w:color="auto" w:fill="FFFFFF"/>
        </w:rPr>
        <w:t>.</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lo anteriores términos, esta corporación reconoce la ampliación del repertorio mínimo de derechos humanos e intereses colectivos no susceptibles de limitación por la jurisdicción indígena, y, por consiguiente, reitera la prevalencia </w:t>
      </w:r>
      <w:r w:rsidRPr="003C56DB">
        <w:rPr>
          <w:rFonts w:ascii="Arial" w:eastAsia="Calibri" w:hAnsi="Arial" w:cs="Arial"/>
          <w:i/>
          <w:iCs/>
          <w:color w:val="000000"/>
          <w:sz w:val="24"/>
          <w:szCs w:val="24"/>
          <w:shd w:val="clear" w:color="auto" w:fill="FFFFFF"/>
        </w:rPr>
        <w:t>prima facie</w:t>
      </w:r>
      <w:r w:rsidRPr="003C56DB">
        <w:rPr>
          <w:rFonts w:ascii="Arial" w:eastAsia="Calibri" w:hAnsi="Arial" w:cs="Arial"/>
          <w:iCs/>
          <w:color w:val="000000"/>
          <w:sz w:val="24"/>
          <w:szCs w:val="24"/>
          <w:shd w:val="clear" w:color="auto" w:fill="FFFFFF"/>
        </w:rPr>
        <w:t xml:space="preserve"> del elemento objetivo de la misma, en lo referido a la definición de la jurisdicción competente para investigar y juzgar delitos contrarios a los derechos y principios mencionados.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Esta tesis parece haber sido acogida ya por la Corte Constitucional en sentencias como la T-449 de 2013, en donde conoció una acción de tutela promovida en contra de esta Sala por dirimir un conflicto entre las jurisdicciones penal ordinaria y la indígena, a favor de la primera. En tal ocasión, los hechos delictivos objeto de controversia aludían a la posible desaparición forzada cometida por indígenas, dentro del territorio ancestral y en contra de otros miembros de la comunidad. Ante la gravedad inusitada de este delito y la prohibición internacional de evadir la aplicación de justicia formal y Estatal en esta clase de eventos, la Corte Constitucional avaló la interpretación adoptada por esta Sala en el sentido de que ese tipo de atentados graves contra los derechos humanos bajo ninguna hipótesis son susceptibles de investigarse y juzgarse por la justicia especial indígena. En palabras del Alto Tribunal: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08"/>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“No es necesario ahondar en el análisis de la circunstancia de que la víctima no sea indígena, pues incluso en el evento de serlo, si se trata de juzgar hechos constitutivos de desaparición forzada de personas, el asunto corresponde de manera exclusiva a la jurisdicción ordinaria, con exclusión de la jurisdicción especial indígena.</w:t>
      </w:r>
    </w:p>
    <w:p w:rsidR="00597D8D" w:rsidRPr="003C56DB" w:rsidRDefault="00597D8D" w:rsidP="00597D8D">
      <w:pPr>
        <w:spacing w:after="0" w:line="240" w:lineRule="auto"/>
        <w:ind w:left="708"/>
        <w:jc w:val="both"/>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ind w:left="708"/>
        <w:jc w:val="both"/>
        <w:rPr>
          <w:rFonts w:ascii="Arial" w:eastAsia="Calibri" w:hAnsi="Arial" w:cs="Arial"/>
          <w:iCs/>
          <w:color w:val="000000"/>
          <w:sz w:val="24"/>
          <w:szCs w:val="24"/>
          <w:shd w:val="clear" w:color="auto" w:fill="FFFFFF"/>
          <w:lang w:val="es-ES"/>
        </w:rPr>
      </w:pPr>
      <w:r w:rsidRPr="003C56DB">
        <w:rPr>
          <w:rFonts w:ascii="Arial" w:eastAsia="Calibri" w:hAnsi="Arial" w:cs="Arial"/>
          <w:iCs/>
          <w:color w:val="000000"/>
          <w:sz w:val="24"/>
          <w:szCs w:val="24"/>
          <w:shd w:val="clear" w:color="auto" w:fill="FFFFFF"/>
          <w:lang w:val="es-ES"/>
        </w:rPr>
        <w:t xml:space="preserve">[…] </w:t>
      </w:r>
      <w:r w:rsidRPr="003C56DB">
        <w:rPr>
          <w:rFonts w:ascii="Arial" w:eastAsia="Calibri" w:hAnsi="Arial" w:cs="Arial"/>
          <w:iCs/>
          <w:color w:val="000000"/>
          <w:sz w:val="24"/>
          <w:szCs w:val="24"/>
          <w:u w:val="single"/>
          <w:shd w:val="clear" w:color="auto" w:fill="FFFFFF"/>
          <w:lang w:val="es-ES"/>
        </w:rPr>
        <w:t>Solamente la jurisdicción ordinaria puede juzgar a los presuntos responsables de hechos constitutivos de desaparición forzada, con exclusión de cualquier jurisdicción especial, sea la jurisdicción penal militar o sea la jurisdicción indígena</w:t>
      </w:r>
      <w:r w:rsidRPr="003C56DB">
        <w:rPr>
          <w:rFonts w:ascii="Arial" w:eastAsia="Calibri" w:hAnsi="Arial" w:cs="Arial"/>
          <w:iCs/>
          <w:color w:val="000000"/>
          <w:sz w:val="24"/>
          <w:szCs w:val="24"/>
          <w:shd w:val="clear" w:color="auto" w:fill="FFFFFF"/>
          <w:lang w:val="es-ES"/>
        </w:rPr>
        <w:t>” (Destaca la Sala).</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Como se observa, la tesis de la prevalencia general del elemento objetivo ante casos de violaciones graves a los derechos humanos pareciera encontrar respaldo en la jurisprudencia reciente el máximo intérprete de la Constitución Política.</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Con todo, antes de finalizar, esta Sala encuentra pertinente efectuar algunas aclaraciones en torno al sentido y los alcances que debe tener el juicio de definición de competencias delegado en la misma por mandato Constitucional.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jc w:val="both"/>
        <w:rPr>
          <w:rFonts w:ascii="Arial" w:eastAsia="Calibri" w:hAnsi="Arial" w:cs="Arial"/>
          <w:b/>
          <w:iCs/>
          <w:color w:val="000000"/>
          <w:sz w:val="24"/>
          <w:szCs w:val="24"/>
          <w:shd w:val="clear" w:color="auto" w:fill="FFFFFF"/>
        </w:rPr>
      </w:pPr>
      <w:r w:rsidRPr="003C56DB">
        <w:rPr>
          <w:rFonts w:ascii="Arial" w:eastAsia="Calibri" w:hAnsi="Arial" w:cs="Arial"/>
          <w:b/>
          <w:iCs/>
          <w:color w:val="000000"/>
          <w:sz w:val="24"/>
          <w:szCs w:val="24"/>
          <w:shd w:val="clear" w:color="auto" w:fill="FFFFFF"/>
        </w:rPr>
        <w:t>d) El proceso judicial encargado de resolver un conflicto de competencia</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Pareciera sencillo advertir la diferencia conceptual existente entre resolver un conflicto de competencias tejido entre diferentes jurisdicciones y aplicar la ley penal. Así, mientras en el primer evento el juez debería limitarse a declarar la autoridad judicial competente para resolver un asunto según las normas procesales y sustanciales aplicables, en la segunda hipótesis el juez de conocimiento desarrolla a profundidad una investigación, dirigida a verificar, entre otras cosas, la ocurrencia del hecho delictivo, la determinación de su o sus posibles autores y responsables, las consecuencias de aquel y la procedencia de imponer una sanción, según la antijuridicidad de la conducta y la culpabilidad del acusado.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No obstante lo anterior, la tendencia observada en reciente jurisprudencia constitucional pareciera perder de vista este sentido del juicio de definición de competencias, confundiéndolo con aquel al interior del cual se efectúa la aplicación de la ley penal.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Como lo advirtió esta Sala en reciente providencia</w:t>
      </w:r>
      <w:r w:rsidRPr="003C56DB">
        <w:rPr>
          <w:rFonts w:ascii="Arial" w:eastAsia="Calibri" w:hAnsi="Arial" w:cs="Arial"/>
          <w:iCs/>
          <w:color w:val="000000"/>
          <w:sz w:val="24"/>
          <w:szCs w:val="24"/>
          <w:shd w:val="clear" w:color="auto" w:fill="FFFFFF"/>
          <w:vertAlign w:val="superscript"/>
        </w:rPr>
        <w:footnoteReference w:id="75"/>
      </w:r>
      <w:r w:rsidRPr="003C56DB">
        <w:rPr>
          <w:rFonts w:ascii="Arial" w:eastAsia="Calibri" w:hAnsi="Arial" w:cs="Arial"/>
          <w:iCs/>
          <w:color w:val="000000"/>
          <w:sz w:val="24"/>
          <w:szCs w:val="24"/>
          <w:shd w:val="clear" w:color="auto" w:fill="FFFFFF"/>
        </w:rPr>
        <w:t xml:space="preserve">, la decisión que resuelve un conflicto de competencia no puede pretender “en forma alguna” abordar temáticas propias del juicio penal ni tomar partido en el resultado del mismo, pues con aquella no afecta ni define a favor o en contra de los sujetos procesales, los resultados de la respectiva investigación.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En otras palabras, el proceso que define la autoridad judicial competente para resolver un caso de naturaleza criminal carece de entidad para condenar o absolver previamente al sindicado y </w:t>
      </w:r>
      <w:r w:rsidRPr="003C56DB">
        <w:rPr>
          <w:rFonts w:ascii="Arial" w:eastAsia="Calibri" w:hAnsi="Arial" w:cs="Arial"/>
          <w:i/>
          <w:iCs/>
          <w:color w:val="000000"/>
          <w:sz w:val="24"/>
          <w:szCs w:val="24"/>
          <w:shd w:val="clear" w:color="auto" w:fill="FFFFFF"/>
        </w:rPr>
        <w:t>debe abstenerse de pronunciarse sobre materias reservadas al juez penal</w:t>
      </w:r>
      <w:r w:rsidRPr="003C56DB">
        <w:rPr>
          <w:rFonts w:ascii="Arial" w:eastAsia="Calibri" w:hAnsi="Arial" w:cs="Arial"/>
          <w:iCs/>
          <w:color w:val="000000"/>
          <w:sz w:val="24"/>
          <w:szCs w:val="24"/>
          <w:shd w:val="clear" w:color="auto" w:fill="FFFFFF"/>
        </w:rPr>
        <w:t xml:space="preserve">, como lo son la eventual tipicidad, antijuridicidad y culpabilidad de una conducta.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Por ende, cuando en la resolución de un conflicto entre las jurisdicciones penal ordinaria e indígena se efectúan estudios antropológicos y </w:t>
      </w:r>
      <w:proofErr w:type="spellStart"/>
      <w:r w:rsidRPr="003C56DB">
        <w:rPr>
          <w:rFonts w:ascii="Arial" w:eastAsia="Calibri" w:hAnsi="Arial" w:cs="Arial"/>
          <w:iCs/>
          <w:color w:val="000000"/>
          <w:sz w:val="24"/>
          <w:szCs w:val="24"/>
          <w:shd w:val="clear" w:color="auto" w:fill="FFFFFF"/>
        </w:rPr>
        <w:t>sociojuridicos</w:t>
      </w:r>
      <w:proofErr w:type="spellEnd"/>
      <w:r w:rsidRPr="003C56DB">
        <w:rPr>
          <w:rFonts w:ascii="Arial" w:eastAsia="Calibri" w:hAnsi="Arial" w:cs="Arial"/>
          <w:iCs/>
          <w:color w:val="000000"/>
          <w:sz w:val="24"/>
          <w:szCs w:val="24"/>
          <w:shd w:val="clear" w:color="auto" w:fill="FFFFFF"/>
        </w:rPr>
        <w:t xml:space="preserve"> con el fin de intentar comprender la cosmovisión de un cierto grupo poblacional, se invaden las competencias de otras autoridades judiciales y, con ello, se reducen las garantías procesales de los indígenas involucrados en el asunto.</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Con respecto a lo primero, es el juez penal la autoridad que tiene el deber de evaluar la tipicidad, antijuridicidad y culpabilidad de una conducta con base en testimonios, peritajes, dictámenes de especialistas, inspecciones judiciales y demás pruebas recaudadas con todas las formalidades en la investigación, para luego determinar si el individuo perteneciente a la comunidad indígena comprendía o no la ilicitud de su conducta, el daño que causó o si existían justificaciones a la misma, con respaldo en los valores o la cosmovisión ancestral de su específica comunidad.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Según la Corte Constitucional, la protección de las comunidades indígenas en relación con la aplicación del derecho penal, no se limita al fuero y a la jurisdicción especial. También abarca garantías al interior del proceso penal ordinario que buscan adaptar las normas nacionales a la diversidad cultural de cada individuo. Así, en las sentencias T-1238 de 2004 y T-921 de 2013 esta corporación advirtió que las figuras de “inimputabilidad por diversidad sociocultural” y “error invencible de prohibición” por la misma diversidad, le permiten a las autoridades nacionales adecuar el ordenamiento penal general a las situaciones concretas por las cuales atraviesan los indígenas sindicados de cometer un delito. De esta forma se garantizan simultáneamente el respeto por el debido proceso individual y la investigación y el castigo de los delitos que lesionan derechos o intereses superiores a la autonomía de los pueblos indígenas.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Impedirle al juez penal ordinario realizar este análisis técnico y profundo del caso para trasladarle esa responsabilidad al juez que dirime el conflicto de competencia entre la justicia ordinaria y la especial indígena, reduce las garantías penales de los indígenas sindicados, quienes se ven privados de la oportunidad de demostrar en su caso particular, la falta de tipicidad, antijuridicidad y culpabilidad de los hechos que se le imputan. En otras palabras, puede lesionar su derecho a un debido proceso.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De igual forma, resulta incoherente con el discurso constitucional de protección a la diversidad cultural, obligar al juez que resuelve el conflicto entre jurisdicciones a evaluar en cada uno de los sistemas jurídicos indígenas, entre otras cosas:                   i) cuáles conductas poseen un reproche equiparable al previsto en normas penales nacionales; ii) cuál es el grado de institucionalidad de la comunidad para sancionar determinados delitos y proteger los derechos de las víctimas; iii) cuál es el nivel de respeto por el principio de “previsibilidad” penal del cabildo indígena y de acuerdo con visiones alternativas y multiculturales del principio de legalidad penal; e incluso, calificar iv) la validez y legitimidad en sí misma del sistema legal del respectivo pueblo indígena; tal y como lo sugieren algunas decisiones de la Corte Constitucional</w:t>
      </w:r>
      <w:r w:rsidRPr="003C56DB">
        <w:rPr>
          <w:rFonts w:ascii="Arial" w:eastAsia="Calibri" w:hAnsi="Arial" w:cs="Arial"/>
          <w:iCs/>
          <w:color w:val="000000"/>
          <w:sz w:val="24"/>
          <w:szCs w:val="24"/>
          <w:shd w:val="clear" w:color="auto" w:fill="FFFFFF"/>
          <w:vertAlign w:val="superscript"/>
        </w:rPr>
        <w:footnoteReference w:id="76"/>
      </w: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La incoherencia radica en que el respeto por la diversidad cultural justamente implica evitar cualquier calificación de los sistemas jurídicos indígenas que parta de categorías o parámetros de evaluación “occidentales” o “mayoritarios”, ajenos a la realidad y a las tradiciones ancestrales de los pueblos tribales.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Es contradictorio sostener que se protege la integridad cultural de una comunidad cuando la aplicación de sus usos y costumbres </w:t>
      </w:r>
      <w:r w:rsidRPr="003C56DB">
        <w:rPr>
          <w:rFonts w:ascii="Arial" w:eastAsia="Calibri" w:hAnsi="Arial" w:cs="Arial"/>
          <w:i/>
          <w:iCs/>
          <w:color w:val="000000"/>
          <w:sz w:val="24"/>
          <w:szCs w:val="24"/>
          <w:shd w:val="clear" w:color="auto" w:fill="FFFFFF"/>
        </w:rPr>
        <w:t>está condicionada a que superen las calificaciones sobre su “validez” que realicen jueces “externos” a partir de conceptos jurídicos ajenos a su propia cosmovisión</w:t>
      </w:r>
      <w:r w:rsidRPr="003C56DB">
        <w:rPr>
          <w:rFonts w:ascii="Arial" w:eastAsia="Calibri" w:hAnsi="Arial" w:cs="Arial"/>
          <w:iCs/>
          <w:color w:val="000000"/>
          <w:sz w:val="24"/>
          <w:szCs w:val="24"/>
          <w:shd w:val="clear" w:color="auto" w:fill="FFFFFF"/>
        </w:rPr>
        <w:t xml:space="preserve">. Sólo ellos pueden declarar con autoridad qué conductas chocan contra qué normas de su sistema jurídico y de qué manera serán tratadas al interior de su jurisdicción.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Así las cosas, en aras de potenciar el respeto a la diversidad cultural desde una postura multicultural del derecho, se termina </w:t>
      </w:r>
      <w:r w:rsidRPr="003C56DB">
        <w:rPr>
          <w:rFonts w:ascii="Arial" w:eastAsia="Calibri" w:hAnsi="Arial" w:cs="Arial"/>
          <w:i/>
          <w:iCs/>
          <w:color w:val="000000"/>
          <w:sz w:val="24"/>
          <w:szCs w:val="24"/>
          <w:shd w:val="clear" w:color="auto" w:fill="FFFFFF"/>
        </w:rPr>
        <w:t>evaluando</w:t>
      </w:r>
      <w:r w:rsidRPr="003C56DB">
        <w:rPr>
          <w:rFonts w:ascii="Arial" w:eastAsia="Calibri" w:hAnsi="Arial" w:cs="Arial"/>
          <w:iCs/>
          <w:color w:val="000000"/>
          <w:sz w:val="24"/>
          <w:szCs w:val="24"/>
          <w:shd w:val="clear" w:color="auto" w:fill="FFFFFF"/>
        </w:rPr>
        <w:t xml:space="preserve"> el derecho indígena desde una óptica “mayoritaria” que se abroga la competencia de medir, tasar, aprobar y rechazar aspectos tan íntimos de los pueblos ancestrales, como su sistema de valores y sus procedimientos para la aplicación de justicia. Un ejemplo más claro de colonialismo jurídico resulta difícil de concebir.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b/>
          <w:iCs/>
          <w:color w:val="000000"/>
          <w:sz w:val="24"/>
          <w:szCs w:val="24"/>
          <w:shd w:val="clear" w:color="auto" w:fill="FFFFFF"/>
        </w:rPr>
      </w:pPr>
      <w:r w:rsidRPr="003C56DB">
        <w:rPr>
          <w:rFonts w:ascii="Arial" w:eastAsia="Calibri" w:hAnsi="Arial" w:cs="Arial"/>
          <w:b/>
          <w:iCs/>
          <w:color w:val="000000"/>
          <w:sz w:val="24"/>
          <w:szCs w:val="24"/>
          <w:shd w:val="clear" w:color="auto" w:fill="FFFFFF"/>
        </w:rPr>
        <w:t xml:space="preserve">Conclusiones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numPr>
          <w:ilvl w:val="0"/>
          <w:numId w:val="2"/>
        </w:numPr>
        <w:spacing w:before="360" w:after="360" w:line="360" w:lineRule="auto"/>
        <w:jc w:val="both"/>
        <w:rPr>
          <w:rFonts w:ascii="Arial" w:eastAsia="Times New Roman" w:hAnsi="Arial" w:cs="Arial"/>
          <w:iCs/>
          <w:color w:val="000000"/>
          <w:sz w:val="24"/>
          <w:szCs w:val="24"/>
          <w:shd w:val="clear" w:color="auto" w:fill="FFFFFF"/>
          <w:lang w:val="es-ES" w:eastAsia="es-ES"/>
        </w:rPr>
      </w:pPr>
      <w:r w:rsidRPr="003C56DB">
        <w:rPr>
          <w:rFonts w:ascii="Arial" w:eastAsia="Times New Roman" w:hAnsi="Arial" w:cs="Arial"/>
          <w:iCs/>
          <w:color w:val="000000"/>
          <w:sz w:val="24"/>
          <w:szCs w:val="24"/>
          <w:shd w:val="clear" w:color="auto" w:fill="FFFFFF"/>
          <w:lang w:val="es-ES" w:eastAsia="es-ES"/>
        </w:rPr>
        <w:t xml:space="preserve">La vigencia de un orden justo en el marco del Estado pluralista creado con la Constitución Política de 1991, no conlleva a un “relativismo axiológico” extremo, que autorice la aplicación de </w:t>
      </w:r>
      <w:r w:rsidRPr="003C56DB">
        <w:rPr>
          <w:rFonts w:ascii="Arial" w:eastAsia="Times New Roman" w:hAnsi="Arial" w:cs="Arial"/>
          <w:i/>
          <w:iCs/>
          <w:color w:val="000000"/>
          <w:sz w:val="24"/>
          <w:szCs w:val="24"/>
          <w:shd w:val="clear" w:color="auto" w:fill="FFFFFF"/>
          <w:lang w:val="es-ES" w:eastAsia="es-ES"/>
        </w:rPr>
        <w:t>cualquier tipo de justicia</w:t>
      </w:r>
      <w:r w:rsidRPr="003C56DB">
        <w:rPr>
          <w:rFonts w:ascii="Arial" w:eastAsia="Times New Roman" w:hAnsi="Arial" w:cs="Arial"/>
          <w:iCs/>
          <w:color w:val="000000"/>
          <w:sz w:val="24"/>
          <w:szCs w:val="24"/>
          <w:shd w:val="clear" w:color="auto" w:fill="FFFFFF"/>
          <w:lang w:val="es-ES" w:eastAsia="es-ES"/>
        </w:rPr>
        <w:t xml:space="preserve"> frente a delitos con especial gravedad social. </w:t>
      </w:r>
    </w:p>
    <w:p w:rsidR="00597D8D" w:rsidRPr="003C56DB" w:rsidRDefault="00597D8D" w:rsidP="00597D8D">
      <w:pPr>
        <w:numPr>
          <w:ilvl w:val="0"/>
          <w:numId w:val="2"/>
        </w:numPr>
        <w:spacing w:before="360" w:after="360" w:line="360" w:lineRule="auto"/>
        <w:jc w:val="both"/>
        <w:rPr>
          <w:rFonts w:ascii="Arial" w:eastAsia="Times New Roman" w:hAnsi="Arial" w:cs="Arial"/>
          <w:iCs/>
          <w:color w:val="000000"/>
          <w:sz w:val="24"/>
          <w:szCs w:val="24"/>
          <w:shd w:val="clear" w:color="auto" w:fill="FFFFFF"/>
          <w:lang w:val="es-ES" w:eastAsia="es-ES"/>
        </w:rPr>
      </w:pPr>
      <w:r w:rsidRPr="003C56DB">
        <w:rPr>
          <w:rFonts w:ascii="Arial" w:eastAsia="Times New Roman" w:hAnsi="Arial" w:cs="Arial"/>
          <w:iCs/>
          <w:color w:val="000000"/>
          <w:sz w:val="24"/>
          <w:szCs w:val="24"/>
          <w:shd w:val="clear" w:color="auto" w:fill="FFFFFF"/>
          <w:lang w:val="es-ES" w:eastAsia="es-ES"/>
        </w:rPr>
        <w:t>El establecimiento de la jurisdicción indígena por la Constitución tampoco puede entenderse como la renuncia a defender unos “mínimos de convivencia” dentro de todo el territorio nacional y a favor de todos los colombianos, sin distinción de su raza, sexo, edad u origen étnico y cultural.</w:t>
      </w:r>
    </w:p>
    <w:p w:rsidR="00597D8D" w:rsidRPr="003C56DB" w:rsidRDefault="00597D8D" w:rsidP="00597D8D">
      <w:pPr>
        <w:numPr>
          <w:ilvl w:val="0"/>
          <w:numId w:val="2"/>
        </w:numPr>
        <w:spacing w:before="360" w:after="360" w:line="360" w:lineRule="auto"/>
        <w:jc w:val="both"/>
        <w:rPr>
          <w:rFonts w:ascii="Arial" w:eastAsia="Times New Roman" w:hAnsi="Arial" w:cs="Arial"/>
          <w:iCs/>
          <w:color w:val="000000"/>
          <w:sz w:val="24"/>
          <w:szCs w:val="24"/>
          <w:shd w:val="clear" w:color="auto" w:fill="FFFFFF"/>
          <w:lang w:val="es-ES" w:eastAsia="es-ES"/>
        </w:rPr>
      </w:pPr>
      <w:r w:rsidRPr="003C56DB">
        <w:rPr>
          <w:rFonts w:ascii="Arial" w:eastAsia="Times New Roman" w:hAnsi="Arial" w:cs="Arial"/>
          <w:iCs/>
          <w:color w:val="000000"/>
          <w:sz w:val="24"/>
          <w:szCs w:val="24"/>
          <w:shd w:val="clear" w:color="auto" w:fill="FFFFFF"/>
          <w:lang w:val="es-ES" w:eastAsia="es-ES"/>
        </w:rPr>
        <w:t xml:space="preserve">El precedente constitucional reconoce la coincidencia de estos mínimos de convivencia con un núcleo o grupo de derechos humanos e intereses colectivos, que limitan la aplicación de la jurisdicción indígena. La definición de este núcleo se actualiza de acuerdo con el desarrollo del derecho interno e internacional de los derechos humanos, razón por la cual, hoy en día lo integran más derechos que la vida, el debido proceso y las prohibiciones de tortura y servidumbre. Entre otros, los derechos de la niñez, de la mujer contra la violencia sexual, a la igualdad, de las víctimas y la protección de la seguridad, la paz y la estabilidad social y económica del sistema democrático, representan nuevos mínimos de convivencia alrededor de los cuales existe un evidente consenso intercultural, ratificado por numerosos instrumentos normativos de alcance global. </w:t>
      </w:r>
    </w:p>
    <w:p w:rsidR="00597D8D" w:rsidRPr="003C56DB" w:rsidRDefault="00597D8D" w:rsidP="00597D8D">
      <w:pPr>
        <w:numPr>
          <w:ilvl w:val="0"/>
          <w:numId w:val="2"/>
        </w:numPr>
        <w:spacing w:before="360" w:after="360" w:line="360" w:lineRule="auto"/>
        <w:jc w:val="both"/>
        <w:rPr>
          <w:rFonts w:ascii="Arial" w:eastAsia="Times New Roman" w:hAnsi="Arial" w:cs="Arial"/>
          <w:iCs/>
          <w:color w:val="000000"/>
          <w:sz w:val="24"/>
          <w:szCs w:val="24"/>
          <w:shd w:val="clear" w:color="auto" w:fill="FFFFFF"/>
          <w:lang w:val="es-ES" w:eastAsia="es-ES"/>
        </w:rPr>
      </w:pPr>
      <w:r w:rsidRPr="003C56DB">
        <w:rPr>
          <w:rFonts w:ascii="Arial" w:eastAsia="Times New Roman" w:hAnsi="Arial" w:cs="Arial"/>
          <w:iCs/>
          <w:color w:val="000000"/>
          <w:sz w:val="24"/>
          <w:szCs w:val="24"/>
          <w:shd w:val="clear" w:color="auto" w:fill="FFFFFF"/>
          <w:lang w:val="es-ES" w:eastAsia="es-ES"/>
        </w:rPr>
        <w:t xml:space="preserve">Los elementos a tener en cuenta para la aplicación de la jurisdicción especial indígena (personal, territorial, institucional y objetivo) deberán evaluarse en la resolución de conflictos de competencia penal, teniendo en cuenta la prevalencia </w:t>
      </w:r>
      <w:r w:rsidRPr="003C56DB">
        <w:rPr>
          <w:rFonts w:ascii="Arial" w:eastAsia="Times New Roman" w:hAnsi="Arial" w:cs="Arial"/>
          <w:i/>
          <w:iCs/>
          <w:color w:val="000000"/>
          <w:sz w:val="24"/>
          <w:szCs w:val="24"/>
          <w:shd w:val="clear" w:color="auto" w:fill="FFFFFF"/>
          <w:lang w:val="es-ES" w:eastAsia="es-ES"/>
        </w:rPr>
        <w:t>prima facie</w:t>
      </w:r>
      <w:r w:rsidRPr="003C56DB">
        <w:rPr>
          <w:rFonts w:ascii="Arial" w:eastAsia="Times New Roman" w:hAnsi="Arial" w:cs="Arial"/>
          <w:iCs/>
          <w:color w:val="000000"/>
          <w:sz w:val="24"/>
          <w:szCs w:val="24"/>
          <w:shd w:val="clear" w:color="auto" w:fill="FFFFFF"/>
          <w:lang w:val="es-ES" w:eastAsia="es-ES"/>
        </w:rPr>
        <w:t xml:space="preserve"> del relacionado con el tipo o la clase de delito presuntamente cometido por el indígena. </w:t>
      </w:r>
    </w:p>
    <w:p w:rsidR="00597D8D" w:rsidRPr="003C56DB" w:rsidRDefault="00597D8D" w:rsidP="00597D8D">
      <w:pPr>
        <w:numPr>
          <w:ilvl w:val="0"/>
          <w:numId w:val="2"/>
        </w:numPr>
        <w:spacing w:before="360" w:after="360" w:line="360" w:lineRule="auto"/>
        <w:jc w:val="both"/>
        <w:rPr>
          <w:rFonts w:ascii="Arial" w:eastAsia="Times New Roman" w:hAnsi="Arial" w:cs="Arial"/>
          <w:iCs/>
          <w:color w:val="000000"/>
          <w:sz w:val="24"/>
          <w:szCs w:val="24"/>
          <w:shd w:val="clear" w:color="auto" w:fill="FFFFFF"/>
          <w:lang w:val="es-ES" w:eastAsia="es-ES"/>
        </w:rPr>
      </w:pPr>
      <w:r w:rsidRPr="003C56DB">
        <w:rPr>
          <w:rFonts w:ascii="Arial" w:eastAsia="Times New Roman" w:hAnsi="Arial" w:cs="Arial"/>
          <w:iCs/>
          <w:color w:val="000000"/>
          <w:sz w:val="24"/>
          <w:szCs w:val="24"/>
          <w:shd w:val="clear" w:color="auto" w:fill="FFFFFF"/>
          <w:lang w:val="es-ES" w:eastAsia="es-ES"/>
        </w:rPr>
        <w:t xml:space="preserve">Dicho de otra forma, el recuento normativo anterior justifica la adopción de una regla jurisprudencial según la cual debe preferirse el factor objetivo de la jurisdicción indígena al momento de resolver los conflictos que se susciten entre la justicia penal y la indígena, cuando involucren delitos contrarios a derechos fundamentales e intereses colectivos que gozan de reconocimiento y protección reforzada a nivel interno e internacional, como pareciera haberlo establecido la Corte Constitucional en la sentencia T-449 de 2013. </w:t>
      </w:r>
    </w:p>
    <w:p w:rsidR="00597D8D" w:rsidRPr="003C56DB" w:rsidRDefault="00597D8D" w:rsidP="00597D8D">
      <w:pPr>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De esta manera, las tensiones existentes entre el principio de autogobierno de los públicos indígenas y el catálogo restante de derechos fundamentales, recibirán una respuesta inicial </w:t>
      </w:r>
      <w:r w:rsidRPr="003C56DB">
        <w:rPr>
          <w:rFonts w:ascii="Arial" w:eastAsia="Calibri" w:hAnsi="Arial" w:cs="Arial"/>
          <w:i/>
          <w:iCs/>
          <w:color w:val="000000"/>
          <w:sz w:val="24"/>
          <w:szCs w:val="24"/>
          <w:shd w:val="clear" w:color="auto" w:fill="FFFFFF"/>
        </w:rPr>
        <w:t>en abstracto</w:t>
      </w:r>
      <w:r w:rsidRPr="003C56DB">
        <w:rPr>
          <w:rFonts w:ascii="Arial" w:eastAsia="Calibri" w:hAnsi="Arial" w:cs="Arial"/>
          <w:iCs/>
          <w:color w:val="000000"/>
          <w:sz w:val="24"/>
          <w:szCs w:val="24"/>
          <w:shd w:val="clear" w:color="auto" w:fill="FFFFFF"/>
        </w:rPr>
        <w:t xml:space="preserve">, que podrá luego ajustarse a las particularidades  del caso concreto por la autoridad judicial competente. </w:t>
      </w:r>
    </w:p>
    <w:p w:rsidR="00597D8D" w:rsidRPr="003C56DB" w:rsidRDefault="00597D8D" w:rsidP="00597D8D">
      <w:pPr>
        <w:spacing w:after="0" w:line="240" w:lineRule="auto"/>
        <w:rPr>
          <w:rFonts w:ascii="Arial" w:eastAsia="Calibri" w:hAnsi="Arial" w:cs="Arial"/>
          <w:iCs/>
          <w:color w:val="000000"/>
          <w:sz w:val="24"/>
          <w:szCs w:val="24"/>
          <w:shd w:val="clear" w:color="auto" w:fill="FFFFFF"/>
        </w:rPr>
      </w:pPr>
    </w:p>
    <w:p w:rsidR="00597D8D" w:rsidRPr="003C56DB" w:rsidRDefault="00597D8D" w:rsidP="00597D8D">
      <w:pPr>
        <w:spacing w:after="0" w:line="240" w:lineRule="auto"/>
        <w:rPr>
          <w:rFonts w:ascii="Arial" w:eastAsia="Calibri" w:hAnsi="Arial" w:cs="Arial"/>
          <w:iCs/>
          <w:color w:val="FF0000"/>
          <w:sz w:val="24"/>
          <w:szCs w:val="24"/>
          <w:shd w:val="clear" w:color="auto" w:fill="FFFFFF"/>
        </w:rPr>
      </w:pPr>
    </w:p>
    <w:p w:rsidR="00597D8D" w:rsidRPr="003C56DB" w:rsidRDefault="00597D8D" w:rsidP="00597D8D">
      <w:pPr>
        <w:spacing w:after="0" w:line="240" w:lineRule="auto"/>
        <w:jc w:val="both"/>
        <w:rPr>
          <w:rFonts w:ascii="Arial" w:eastAsia="Calibri" w:hAnsi="Arial" w:cs="Arial"/>
          <w:b/>
          <w:iCs/>
          <w:sz w:val="24"/>
          <w:szCs w:val="24"/>
          <w:shd w:val="clear" w:color="auto" w:fill="FFFFFF"/>
        </w:rPr>
      </w:pPr>
      <w:r w:rsidRPr="003C56DB">
        <w:rPr>
          <w:rFonts w:ascii="Arial" w:eastAsia="Calibri" w:hAnsi="Arial" w:cs="Arial"/>
          <w:b/>
          <w:iCs/>
          <w:sz w:val="24"/>
          <w:szCs w:val="24"/>
          <w:shd w:val="clear" w:color="auto" w:fill="FFFFFF"/>
        </w:rPr>
        <w:t>e) Caso concreto</w:t>
      </w:r>
    </w:p>
    <w:p w:rsidR="00597D8D" w:rsidRPr="003C56DB" w:rsidRDefault="00597D8D" w:rsidP="00597D8D">
      <w:pPr>
        <w:autoSpaceDE w:val="0"/>
        <w:autoSpaceDN w:val="0"/>
        <w:adjustRightInd w:val="0"/>
        <w:spacing w:after="0" w:line="360" w:lineRule="auto"/>
        <w:jc w:val="both"/>
        <w:rPr>
          <w:rFonts w:ascii="Arial" w:eastAsia="Times New Roman" w:hAnsi="Arial" w:cs="Arial"/>
          <w:bCs/>
          <w:sz w:val="24"/>
          <w:szCs w:val="24"/>
          <w:lang w:eastAsia="es-ES"/>
        </w:rPr>
      </w:pPr>
    </w:p>
    <w:p w:rsidR="00597D8D" w:rsidRPr="003C56DB"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En el presente asunto el señor </w:t>
      </w:r>
      <w:r>
        <w:rPr>
          <w:rFonts w:ascii="Arial" w:eastAsia="Times New Roman" w:hAnsi="Arial" w:cs="Arial"/>
          <w:sz w:val="24"/>
          <w:szCs w:val="24"/>
          <w:lang w:val="es-ES_tradnl" w:eastAsia="es-ES"/>
        </w:rPr>
        <w:t>Juan de Jesús Vargas García</w:t>
      </w:r>
      <w:r w:rsidRPr="003C56DB">
        <w:rPr>
          <w:rFonts w:ascii="Arial" w:eastAsia="Times New Roman" w:hAnsi="Arial" w:cs="Arial"/>
          <w:sz w:val="24"/>
          <w:szCs w:val="24"/>
          <w:lang w:val="es-ES_tradnl" w:eastAsia="es-ES"/>
        </w:rPr>
        <w:t xml:space="preserve"> es señalado por la Fiscalía General de la Nación de cometer el delito de acceso carnal </w:t>
      </w:r>
      <w:r>
        <w:rPr>
          <w:rFonts w:ascii="Arial" w:eastAsia="Times New Roman" w:hAnsi="Arial" w:cs="Arial"/>
          <w:sz w:val="24"/>
          <w:szCs w:val="24"/>
          <w:lang w:val="es-ES_tradnl" w:eastAsia="es-ES"/>
        </w:rPr>
        <w:t xml:space="preserve">abusivo con menor de 14 años, en concurso homogéneo, desde el mes de mayo </w:t>
      </w:r>
      <w:r w:rsidRPr="003C56DB">
        <w:rPr>
          <w:rFonts w:ascii="Arial" w:eastAsia="Times New Roman" w:hAnsi="Arial" w:cs="Arial"/>
          <w:sz w:val="24"/>
          <w:szCs w:val="24"/>
          <w:lang w:val="es-ES_tradnl" w:eastAsia="es-CO"/>
        </w:rPr>
        <w:t xml:space="preserve">de 2012. </w:t>
      </w:r>
    </w:p>
    <w:p w:rsidR="00597D8D" w:rsidRPr="003C56DB"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CO"/>
        </w:rPr>
      </w:pPr>
    </w:p>
    <w:p w:rsidR="00597D8D" w:rsidRPr="003C56DB"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Sin embargo, </w:t>
      </w:r>
      <w:r>
        <w:rPr>
          <w:rFonts w:ascii="Arial" w:eastAsia="Times New Roman" w:hAnsi="Arial" w:cs="Arial"/>
          <w:sz w:val="24"/>
          <w:szCs w:val="24"/>
          <w:lang w:val="es-ES_tradnl" w:eastAsia="es-CO"/>
        </w:rPr>
        <w:t xml:space="preserve">los gobernadores </w:t>
      </w:r>
      <w:r>
        <w:rPr>
          <w:rFonts w:ascii="Arial" w:eastAsia="Times New Roman" w:hAnsi="Arial" w:cs="Arial"/>
          <w:sz w:val="24"/>
          <w:szCs w:val="24"/>
          <w:lang w:val="es-ES_tradnl" w:eastAsia="es-ES"/>
        </w:rPr>
        <w:t>del cabildo indígena “</w:t>
      </w:r>
      <w:r w:rsidRPr="00AA67B1">
        <w:rPr>
          <w:rFonts w:ascii="Arial" w:eastAsia="Times New Roman" w:hAnsi="Arial" w:cs="Arial"/>
          <w:i/>
          <w:sz w:val="24"/>
          <w:szCs w:val="24"/>
          <w:lang w:val="es-ES_tradnl" w:eastAsia="es-ES"/>
        </w:rPr>
        <w:t>Nasa Urbano</w:t>
      </w:r>
      <w:r>
        <w:rPr>
          <w:rFonts w:ascii="Arial" w:eastAsia="Times New Roman" w:hAnsi="Arial" w:cs="Arial"/>
          <w:sz w:val="24"/>
          <w:szCs w:val="24"/>
          <w:lang w:val="es-ES_tradnl" w:eastAsia="es-ES"/>
        </w:rPr>
        <w:t xml:space="preserve">” propusieron </w:t>
      </w:r>
      <w:r w:rsidRPr="003C56DB">
        <w:rPr>
          <w:rFonts w:ascii="Arial" w:eastAsia="Times New Roman" w:hAnsi="Arial" w:cs="Arial"/>
          <w:sz w:val="24"/>
          <w:szCs w:val="24"/>
          <w:lang w:val="es-ES_tradnl" w:eastAsia="es-CO"/>
        </w:rPr>
        <w:t>conflicto de jurisdicciones al considerar que le</w:t>
      </w:r>
      <w:r>
        <w:rPr>
          <w:rFonts w:ascii="Arial" w:eastAsia="Times New Roman" w:hAnsi="Arial" w:cs="Arial"/>
          <w:sz w:val="24"/>
          <w:szCs w:val="24"/>
          <w:lang w:val="es-ES_tradnl" w:eastAsia="es-CO"/>
        </w:rPr>
        <w:t>s</w:t>
      </w:r>
      <w:r w:rsidRPr="003C56DB">
        <w:rPr>
          <w:rFonts w:ascii="Arial" w:eastAsia="Times New Roman" w:hAnsi="Arial" w:cs="Arial"/>
          <w:sz w:val="24"/>
          <w:szCs w:val="24"/>
          <w:lang w:val="es-ES_tradnl" w:eastAsia="es-CO"/>
        </w:rPr>
        <w:t xml:space="preserve"> asiste competencia exclusiva para investigar y sancionar a tal individuo. </w:t>
      </w:r>
      <w:r>
        <w:rPr>
          <w:rFonts w:ascii="Arial" w:eastAsia="Times New Roman" w:hAnsi="Arial" w:cs="Arial"/>
          <w:sz w:val="24"/>
          <w:szCs w:val="24"/>
          <w:lang w:val="es-ES_tradnl" w:eastAsia="es-CO"/>
        </w:rPr>
        <w:t>En particular, teniendo en cuenta la pertenencia de la menor de edad y el señor Vargas García a la comunidad indígena, que el hecho ocurrió en el territorio indígena y que según sus normas consuetudinarias es lícita la unión marital entre menores de edad y adultos como sucedió en este caso.</w:t>
      </w:r>
    </w:p>
    <w:p w:rsidR="00597D8D" w:rsidRPr="003C56DB"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CO"/>
        </w:rPr>
      </w:pPr>
    </w:p>
    <w:p w:rsidR="00597D8D" w:rsidRPr="003C56DB"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CO"/>
        </w:rPr>
      </w:pPr>
      <w:r w:rsidRPr="003C56DB">
        <w:rPr>
          <w:rFonts w:ascii="Arial" w:eastAsia="Times New Roman" w:hAnsi="Arial" w:cs="Arial"/>
          <w:sz w:val="24"/>
          <w:szCs w:val="24"/>
          <w:lang w:val="es-ES_tradnl" w:eastAsia="es-CO"/>
        </w:rPr>
        <w:t xml:space="preserve">Ahora bien, teniendo en cuenta las consideraciones jurídicas expuestas en los acápites precedentes, esta Sala asignará el conocimiento del caso a la justicia penal ordinaria, dando alcance a la prevalencia del factor objetivo para la aplicación de la jurisdicción indígena, consistente en apreciar la entidad y el tipo de conducta ilícita presuntamente realizada por los acusados, pues, como se estableció previamente, </w:t>
      </w:r>
      <w:r w:rsidRPr="002130B1">
        <w:rPr>
          <w:rFonts w:ascii="Arial" w:eastAsia="Times New Roman" w:hAnsi="Arial" w:cs="Arial"/>
          <w:i/>
          <w:sz w:val="24"/>
          <w:szCs w:val="24"/>
          <w:lang w:val="es-ES_tradnl" w:eastAsia="es-CO"/>
        </w:rPr>
        <w:t>los delitos de índole sexual cometidos contra menores de edad representan crímenes graves, reprochables a nivel internacional, alrededor del cual existe consenso normativo la obligación estatal de garantizar que sus víctimas disfruten de los derechos a la verdad, la justicia y la reparación, y frente al cual es menester aplicar justicia formal, en aras de evitar la impunidad y propender por la no repetición</w:t>
      </w:r>
      <w:r w:rsidRPr="003C56DB">
        <w:rPr>
          <w:rFonts w:ascii="Arial" w:eastAsia="Times New Roman" w:hAnsi="Arial" w:cs="Arial"/>
          <w:sz w:val="24"/>
          <w:szCs w:val="24"/>
          <w:lang w:val="es-ES_tradnl" w:eastAsia="es-CO"/>
        </w:rPr>
        <w:t xml:space="preserve">. </w:t>
      </w:r>
    </w:p>
    <w:p w:rsidR="00597D8D" w:rsidRPr="003C56DB"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CO"/>
        </w:rPr>
      </w:pPr>
    </w:p>
    <w:p w:rsidR="00597D8D" w:rsidRPr="003C56DB"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r w:rsidRPr="003C56DB">
        <w:rPr>
          <w:rFonts w:ascii="Arial" w:eastAsia="Times New Roman" w:hAnsi="Arial" w:cs="Arial"/>
          <w:sz w:val="24"/>
          <w:szCs w:val="24"/>
          <w:lang w:val="es-ES_tradnl" w:eastAsia="es-CO"/>
        </w:rPr>
        <w:t xml:space="preserve">En efecto, teniendo en cuenta el principio fijado por la Corte Constitucional, referido a que </w:t>
      </w:r>
      <w:r w:rsidRPr="003C56DB">
        <w:rPr>
          <w:rFonts w:ascii="Arial" w:eastAsia="Times New Roman" w:hAnsi="Arial" w:cs="Arial"/>
          <w:i/>
          <w:sz w:val="24"/>
          <w:szCs w:val="24"/>
          <w:lang w:val="es-ES_tradnl" w:eastAsia="es-CO"/>
        </w:rPr>
        <w:t>“</w:t>
      </w:r>
      <w:r w:rsidRPr="003C56DB">
        <w:rPr>
          <w:rFonts w:ascii="Arial" w:eastAsia="Times New Roman" w:hAnsi="Arial" w:cs="Arial"/>
          <w:i/>
          <w:iCs/>
          <w:sz w:val="24"/>
          <w:szCs w:val="24"/>
          <w:lang w:eastAsia="es-CO"/>
        </w:rPr>
        <w:t>a mayor impacto social y consenso intercultural alrededor de la gravedad de la conducta delictiva, menor probabilidad de delegarse su investigación y castigo en la justicia tradicional indígena”</w:t>
      </w:r>
      <w:r w:rsidRPr="003C56DB">
        <w:rPr>
          <w:rFonts w:ascii="Arial" w:eastAsia="Times New Roman" w:hAnsi="Arial" w:cs="Arial"/>
          <w:iCs/>
          <w:sz w:val="24"/>
          <w:szCs w:val="24"/>
          <w:vertAlign w:val="superscript"/>
          <w:lang w:eastAsia="es-CO"/>
        </w:rPr>
        <w:footnoteReference w:id="77"/>
      </w:r>
      <w:r w:rsidRPr="003C56DB">
        <w:rPr>
          <w:rFonts w:ascii="Arial" w:eastAsia="Times New Roman" w:hAnsi="Arial" w:cs="Arial"/>
          <w:iCs/>
          <w:sz w:val="24"/>
          <w:szCs w:val="24"/>
          <w:lang w:eastAsia="es-CO"/>
        </w:rPr>
        <w:t xml:space="preserve">, resulta innegable que en estado actual de desarrollo del derecho interno e internacional, existe un claro consenso intercultural en torno al reproche jurídico </w:t>
      </w:r>
      <w:r>
        <w:rPr>
          <w:rFonts w:ascii="Arial" w:eastAsia="Times New Roman" w:hAnsi="Arial" w:cs="Arial"/>
          <w:iCs/>
          <w:sz w:val="24"/>
          <w:szCs w:val="24"/>
          <w:lang w:eastAsia="es-CO"/>
        </w:rPr>
        <w:t>especial</w:t>
      </w:r>
      <w:r w:rsidRPr="003C56DB">
        <w:rPr>
          <w:rFonts w:ascii="Arial" w:eastAsia="Times New Roman" w:hAnsi="Arial" w:cs="Arial"/>
          <w:iCs/>
          <w:sz w:val="24"/>
          <w:szCs w:val="24"/>
          <w:lang w:eastAsia="es-CO"/>
        </w:rPr>
        <w:t xml:space="preserve"> que merecen las conductas </w:t>
      </w:r>
      <w:r>
        <w:rPr>
          <w:rFonts w:ascii="Arial" w:eastAsia="Times New Roman" w:hAnsi="Arial" w:cs="Arial"/>
          <w:iCs/>
          <w:sz w:val="24"/>
          <w:szCs w:val="24"/>
          <w:lang w:eastAsia="es-CO"/>
        </w:rPr>
        <w:t xml:space="preserve">contrarias a la integridad sexual de </w:t>
      </w:r>
      <w:r w:rsidRPr="003C56DB">
        <w:rPr>
          <w:rFonts w:ascii="Arial" w:eastAsia="Times New Roman" w:hAnsi="Arial" w:cs="Arial"/>
          <w:iCs/>
          <w:sz w:val="24"/>
          <w:szCs w:val="24"/>
          <w:lang w:eastAsia="es-CO"/>
        </w:rPr>
        <w:t xml:space="preserve">las mujeres y las niñas; </w:t>
      </w:r>
      <w:r w:rsidRPr="002130B1">
        <w:rPr>
          <w:rFonts w:ascii="Arial" w:eastAsia="Times New Roman" w:hAnsi="Arial" w:cs="Arial"/>
          <w:i/>
          <w:iCs/>
          <w:sz w:val="24"/>
          <w:szCs w:val="24"/>
          <w:lang w:eastAsia="es-CO"/>
        </w:rPr>
        <w:t>situación que elimina cualquier posibilidad de que la investigación de esta clase de delitos se delegue en las autoridades indígenas</w:t>
      </w:r>
      <w:r w:rsidRPr="003C56DB">
        <w:rPr>
          <w:rFonts w:ascii="Arial" w:eastAsia="Times New Roman" w:hAnsi="Arial" w:cs="Arial"/>
          <w:iCs/>
          <w:sz w:val="24"/>
          <w:szCs w:val="24"/>
          <w:lang w:eastAsia="es-CO"/>
        </w:rPr>
        <w:t xml:space="preserve">. </w:t>
      </w:r>
    </w:p>
    <w:p w:rsidR="00597D8D" w:rsidRPr="003C56DB"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p>
    <w:p w:rsidR="00597D8D" w:rsidRPr="003C56DB" w:rsidRDefault="00597D8D" w:rsidP="00597D8D">
      <w:pPr>
        <w:autoSpaceDE w:val="0"/>
        <w:autoSpaceDN w:val="0"/>
        <w:adjustRightInd w:val="0"/>
        <w:spacing w:after="0" w:line="360" w:lineRule="auto"/>
        <w:jc w:val="both"/>
        <w:rPr>
          <w:rFonts w:ascii="Arial" w:eastAsia="Calibri" w:hAnsi="Arial" w:cs="Arial"/>
          <w:iCs/>
          <w:color w:val="000000"/>
          <w:sz w:val="24"/>
          <w:szCs w:val="24"/>
          <w:shd w:val="clear" w:color="auto" w:fill="FFFFFF"/>
        </w:rPr>
      </w:pPr>
      <w:r w:rsidRPr="003C56DB">
        <w:rPr>
          <w:rFonts w:ascii="Arial" w:eastAsia="Calibri" w:hAnsi="Arial" w:cs="Arial"/>
          <w:iCs/>
          <w:color w:val="000000"/>
          <w:sz w:val="24"/>
          <w:szCs w:val="24"/>
          <w:shd w:val="clear" w:color="auto" w:fill="FFFFFF"/>
        </w:rPr>
        <w:t xml:space="preserve">Adicionalmente, el derecho a la verdad de las víctimas de crímenes sexuales como mujeres y menores de edad, sólo se satisface con la realización de una investigación seria, técnica y eficaz que revele los autores y las circunstancias que rodearon la ocurrencia de los hechos. Dicha actividad de instrucción debe emprenderse por las autoridades estatales con la mayor seriedad y empleando todos los medios técnicos a su alcance de manera que se logre determinar tanto el responsable como las causas y consecuencias que rodearon la victimización, como se constató en los acápites precedentes. </w:t>
      </w:r>
    </w:p>
    <w:p w:rsidR="00597D8D" w:rsidRPr="003C56DB" w:rsidRDefault="00597D8D" w:rsidP="00597D8D">
      <w:pPr>
        <w:autoSpaceDE w:val="0"/>
        <w:autoSpaceDN w:val="0"/>
        <w:adjustRightInd w:val="0"/>
        <w:spacing w:after="0" w:line="360" w:lineRule="auto"/>
        <w:jc w:val="both"/>
        <w:rPr>
          <w:rFonts w:ascii="Arial" w:eastAsia="Calibri" w:hAnsi="Arial" w:cs="Arial"/>
          <w:iCs/>
          <w:color w:val="000000"/>
          <w:sz w:val="24"/>
          <w:szCs w:val="24"/>
          <w:shd w:val="clear" w:color="auto" w:fill="FFFFFF"/>
        </w:rPr>
      </w:pP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r w:rsidRPr="003C56DB">
        <w:rPr>
          <w:rFonts w:ascii="Arial" w:eastAsia="Calibri" w:hAnsi="Arial" w:cs="Arial"/>
          <w:iCs/>
          <w:color w:val="000000"/>
          <w:sz w:val="24"/>
          <w:szCs w:val="24"/>
          <w:shd w:val="clear" w:color="auto" w:fill="FFFFFF"/>
        </w:rPr>
        <w:t xml:space="preserve">En el caso de marras, debe </w:t>
      </w:r>
      <w:r>
        <w:rPr>
          <w:rFonts w:ascii="Arial" w:eastAsia="Calibri" w:hAnsi="Arial" w:cs="Arial"/>
          <w:iCs/>
          <w:color w:val="000000"/>
          <w:sz w:val="24"/>
          <w:szCs w:val="24"/>
          <w:shd w:val="clear" w:color="auto" w:fill="FFFFFF"/>
        </w:rPr>
        <w:t xml:space="preserve">llamarse la atención sobre el hecho reconocido tanto por el victimario como por las autoridades jurídicas del cabildo </w:t>
      </w:r>
      <w:r>
        <w:rPr>
          <w:rFonts w:ascii="Arial" w:eastAsia="Times New Roman" w:hAnsi="Arial" w:cs="Arial"/>
          <w:sz w:val="24"/>
          <w:szCs w:val="24"/>
          <w:lang w:val="es-ES_tradnl" w:eastAsia="es-ES"/>
        </w:rPr>
        <w:t xml:space="preserve">Nasa Urbano de Belén de los </w:t>
      </w:r>
      <w:proofErr w:type="spellStart"/>
      <w:r>
        <w:rPr>
          <w:rFonts w:ascii="Arial" w:eastAsia="Times New Roman" w:hAnsi="Arial" w:cs="Arial"/>
          <w:sz w:val="24"/>
          <w:szCs w:val="24"/>
          <w:lang w:val="es-ES_tradnl" w:eastAsia="es-ES"/>
        </w:rPr>
        <w:t>Andaquíes</w:t>
      </w:r>
      <w:proofErr w:type="spellEnd"/>
      <w:r>
        <w:rPr>
          <w:rFonts w:ascii="Arial" w:eastAsia="Times New Roman" w:hAnsi="Arial" w:cs="Arial"/>
          <w:sz w:val="24"/>
          <w:szCs w:val="24"/>
          <w:lang w:val="es-ES_tradnl" w:eastAsia="es-ES"/>
        </w:rPr>
        <w:t xml:space="preserve">, que la comisión de actos sexuales entre adultos y niñas menores de 14 años, al parecer, es un acto carente reproche punitivo al interior de aquel resguardo. </w:t>
      </w: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En otros términos, que </w:t>
      </w:r>
      <w:r w:rsidRPr="00024149">
        <w:rPr>
          <w:rFonts w:ascii="Arial" w:eastAsia="Times New Roman" w:hAnsi="Arial" w:cs="Arial"/>
          <w:i/>
          <w:sz w:val="24"/>
          <w:szCs w:val="24"/>
          <w:lang w:val="es-ES_tradnl" w:eastAsia="es-ES"/>
        </w:rPr>
        <w:t>el delito de acceso carnal abusivo con menores de 14 años no existe dentro del repertorio de normas aplicables a su interior</w:t>
      </w:r>
      <w:r>
        <w:rPr>
          <w:rFonts w:ascii="Arial" w:eastAsia="Times New Roman" w:hAnsi="Arial" w:cs="Arial"/>
          <w:sz w:val="24"/>
          <w:szCs w:val="24"/>
          <w:lang w:val="es-ES_tradnl" w:eastAsia="es-ES"/>
        </w:rPr>
        <w:t xml:space="preserve"> o que, al parecer, no representa una conducta ilícita, sometida a reproche, de acuerdo con las tradiciones y costumbres propias de aquella comunidad</w:t>
      </w: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Esta sola circunstancia le impide a esta Sala remitir el presente caso a la justicia ancestral indígena, por cuanto de antemano se cuenta con certeza del resultado impróspero que tendrían las pesquisas y el juzgamiento desarrollado por las autoridades del cabildo en cuestión. </w:t>
      </w: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Con todo, es necesario advertir, por un lado, que el concepto territorial del fuero indígena manejado por las autoridades judiciales ordinarias en el presente caso debe acompasarse con una noción amplia del mismo, que trascienda los precisos contornos geográficos del cabildo y abarque también las “</w:t>
      </w:r>
      <w:r w:rsidRPr="00AA67B1">
        <w:rPr>
          <w:rFonts w:ascii="Arial" w:eastAsia="Times New Roman" w:hAnsi="Arial" w:cs="Arial"/>
          <w:i/>
          <w:sz w:val="24"/>
          <w:szCs w:val="24"/>
          <w:lang w:val="es-ES_tradnl" w:eastAsia="es-ES"/>
        </w:rPr>
        <w:t>zonas de influencia</w:t>
      </w:r>
      <w:r>
        <w:rPr>
          <w:rFonts w:ascii="Arial" w:eastAsia="Times New Roman" w:hAnsi="Arial" w:cs="Arial"/>
          <w:sz w:val="24"/>
          <w:szCs w:val="24"/>
          <w:lang w:val="es-ES_tradnl" w:eastAsia="es-ES"/>
        </w:rPr>
        <w:t xml:space="preserve">” económica, social o cultural de la comunidad. En ese orden de ideas, la posibilidad de que exista un cabildo indígena de carácter </w:t>
      </w:r>
      <w:r w:rsidRPr="00AA67B1">
        <w:rPr>
          <w:rFonts w:ascii="Arial" w:eastAsia="Times New Roman" w:hAnsi="Arial" w:cs="Arial"/>
          <w:i/>
          <w:sz w:val="24"/>
          <w:szCs w:val="24"/>
          <w:lang w:val="es-ES_tradnl" w:eastAsia="es-ES"/>
        </w:rPr>
        <w:t>urbano</w:t>
      </w:r>
      <w:r>
        <w:rPr>
          <w:rFonts w:ascii="Arial" w:eastAsia="Times New Roman" w:hAnsi="Arial" w:cs="Arial"/>
          <w:sz w:val="24"/>
          <w:szCs w:val="24"/>
          <w:lang w:val="es-ES_tradnl" w:eastAsia="es-ES"/>
        </w:rPr>
        <w:t xml:space="preserve"> no necesariamente resulta improcedente ni desconoce </w:t>
      </w:r>
      <w:r w:rsidRPr="00AA67B1">
        <w:rPr>
          <w:rFonts w:ascii="Arial" w:eastAsia="Times New Roman" w:hAnsi="Arial" w:cs="Arial"/>
          <w:i/>
          <w:sz w:val="24"/>
          <w:szCs w:val="24"/>
          <w:lang w:val="es-ES_tradnl" w:eastAsia="es-ES"/>
        </w:rPr>
        <w:t>prima facie</w:t>
      </w:r>
      <w:r>
        <w:rPr>
          <w:rFonts w:ascii="Arial" w:eastAsia="Times New Roman" w:hAnsi="Arial" w:cs="Arial"/>
          <w:sz w:val="24"/>
          <w:szCs w:val="24"/>
          <w:lang w:val="es-ES_tradnl" w:eastAsia="es-ES"/>
        </w:rPr>
        <w:t xml:space="preserve"> los principios constitucionales establecidos en la materia. </w:t>
      </w:r>
    </w:p>
    <w:p w:rsidR="00597D8D"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r>
        <w:rPr>
          <w:rFonts w:ascii="Arial" w:eastAsia="Times New Roman" w:hAnsi="Arial" w:cs="Arial"/>
          <w:sz w:val="24"/>
          <w:szCs w:val="24"/>
          <w:lang w:val="es-ES_tradnl" w:eastAsia="es-ES"/>
        </w:rPr>
        <w:t xml:space="preserve">Por otro, que las autoridades penales ordinarias deberán analizar </w:t>
      </w:r>
      <w:r w:rsidRPr="003C56DB">
        <w:rPr>
          <w:rFonts w:ascii="Arial" w:eastAsia="Times New Roman" w:hAnsi="Arial" w:cs="Arial"/>
          <w:iCs/>
          <w:sz w:val="24"/>
          <w:szCs w:val="24"/>
          <w:lang w:eastAsia="es-CO"/>
        </w:rPr>
        <w:t xml:space="preserve">la conciencia de ilicitud del señor </w:t>
      </w:r>
      <w:r>
        <w:rPr>
          <w:rFonts w:ascii="Arial" w:eastAsia="Times New Roman" w:hAnsi="Arial" w:cs="Arial"/>
          <w:sz w:val="24"/>
          <w:szCs w:val="24"/>
          <w:lang w:val="es-ES_tradnl" w:eastAsia="es-ES"/>
        </w:rPr>
        <w:t>Juan de Jesús Vargas García y la</w:t>
      </w:r>
      <w:r w:rsidRPr="003C56DB">
        <w:rPr>
          <w:rFonts w:ascii="Arial" w:eastAsia="Times New Roman" w:hAnsi="Arial" w:cs="Arial"/>
          <w:iCs/>
          <w:sz w:val="24"/>
          <w:szCs w:val="24"/>
          <w:lang w:eastAsia="es-CO"/>
        </w:rPr>
        <w:t xml:space="preserve"> posible configuración de una causal de exclusión de responsabilidad penal a su favor, </w:t>
      </w:r>
      <w:r>
        <w:rPr>
          <w:rFonts w:ascii="Arial" w:eastAsia="Times New Roman" w:hAnsi="Arial" w:cs="Arial"/>
          <w:iCs/>
          <w:sz w:val="24"/>
          <w:szCs w:val="24"/>
          <w:lang w:eastAsia="es-CO"/>
        </w:rPr>
        <w:t>fundada en</w:t>
      </w:r>
      <w:r w:rsidRPr="003C56DB">
        <w:rPr>
          <w:rFonts w:ascii="Arial" w:eastAsia="Times New Roman" w:hAnsi="Arial" w:cs="Arial"/>
          <w:iCs/>
          <w:sz w:val="24"/>
          <w:szCs w:val="24"/>
          <w:lang w:eastAsia="es-CO"/>
        </w:rPr>
        <w:t xml:space="preserve"> las diferentes cosmovisiones y costumbres propias la comunidad indígena </w:t>
      </w:r>
      <w:r>
        <w:rPr>
          <w:rFonts w:ascii="Arial" w:eastAsia="Times New Roman" w:hAnsi="Arial" w:cs="Arial"/>
          <w:sz w:val="24"/>
          <w:szCs w:val="24"/>
          <w:lang w:val="es-ES_tradnl" w:eastAsia="es-ES"/>
        </w:rPr>
        <w:t>Nasa Urbano</w:t>
      </w:r>
      <w:r w:rsidRPr="003C56DB">
        <w:rPr>
          <w:rFonts w:ascii="Arial" w:eastAsia="Times New Roman" w:hAnsi="Arial" w:cs="Arial"/>
          <w:iCs/>
          <w:sz w:val="24"/>
          <w:szCs w:val="24"/>
          <w:lang w:eastAsia="es-CO"/>
        </w:rPr>
        <w:t>,</w:t>
      </w:r>
      <w:r>
        <w:rPr>
          <w:rFonts w:ascii="Arial" w:eastAsia="Times New Roman" w:hAnsi="Arial" w:cs="Arial"/>
          <w:iCs/>
          <w:sz w:val="24"/>
          <w:szCs w:val="24"/>
          <w:lang w:eastAsia="es-CO"/>
        </w:rPr>
        <w:t xml:space="preserve"> con base en las cuales eventualmente pueda eximirse de responder según las normas penales nacionales. </w:t>
      </w: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r>
        <w:rPr>
          <w:rFonts w:ascii="Arial" w:eastAsia="Times New Roman" w:hAnsi="Arial" w:cs="Arial"/>
          <w:iCs/>
          <w:sz w:val="24"/>
          <w:szCs w:val="24"/>
          <w:lang w:eastAsia="es-CO"/>
        </w:rPr>
        <w:t>En este punto, la Sala insiste en que la valoración subjetiva de la conducta desplegada por el sindicado, así como la solicitud y el estudio de dictámenes antropológicos o socioculturales encaminados a determinar su responsabilidad penal</w:t>
      </w:r>
      <w:r w:rsidRPr="00AA67B1">
        <w:rPr>
          <w:rFonts w:ascii="Arial" w:eastAsia="Times New Roman" w:hAnsi="Arial" w:cs="Arial"/>
          <w:i/>
          <w:iCs/>
          <w:sz w:val="24"/>
          <w:szCs w:val="24"/>
          <w:lang w:eastAsia="es-CO"/>
        </w:rPr>
        <w:t xml:space="preserve">, no pueden </w:t>
      </w:r>
      <w:r>
        <w:rPr>
          <w:rFonts w:ascii="Arial" w:eastAsia="Times New Roman" w:hAnsi="Arial" w:cs="Arial"/>
          <w:i/>
          <w:iCs/>
          <w:sz w:val="24"/>
          <w:szCs w:val="24"/>
          <w:lang w:eastAsia="es-CO"/>
        </w:rPr>
        <w:t xml:space="preserve">efectuarse </w:t>
      </w:r>
      <w:r w:rsidRPr="00AA67B1">
        <w:rPr>
          <w:rFonts w:ascii="Arial" w:eastAsia="Times New Roman" w:hAnsi="Arial" w:cs="Arial"/>
          <w:i/>
          <w:iCs/>
          <w:sz w:val="24"/>
          <w:szCs w:val="24"/>
          <w:lang w:eastAsia="es-CO"/>
        </w:rPr>
        <w:t xml:space="preserve">por el juez encargado de definir la </w:t>
      </w:r>
      <w:r>
        <w:rPr>
          <w:rFonts w:ascii="Arial" w:eastAsia="Times New Roman" w:hAnsi="Arial" w:cs="Arial"/>
          <w:i/>
          <w:iCs/>
          <w:sz w:val="24"/>
          <w:szCs w:val="24"/>
          <w:lang w:eastAsia="es-CO"/>
        </w:rPr>
        <w:t>jurisdicción aplicable al caso concreto</w:t>
      </w:r>
      <w:r>
        <w:rPr>
          <w:rFonts w:ascii="Arial" w:eastAsia="Times New Roman" w:hAnsi="Arial" w:cs="Arial"/>
          <w:iCs/>
          <w:sz w:val="24"/>
          <w:szCs w:val="24"/>
          <w:lang w:eastAsia="es-CO"/>
        </w:rPr>
        <w:t xml:space="preserve">. </w:t>
      </w: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r>
        <w:rPr>
          <w:rFonts w:ascii="Arial" w:eastAsia="Times New Roman" w:hAnsi="Arial" w:cs="Arial"/>
          <w:iCs/>
          <w:sz w:val="24"/>
          <w:szCs w:val="24"/>
          <w:lang w:eastAsia="es-CO"/>
        </w:rPr>
        <w:t xml:space="preserve">Como se aclaró previamente, el papel de la Sala en esta clase de asuntos se limita a </w:t>
      </w:r>
      <w:r w:rsidRPr="00CF5266">
        <w:rPr>
          <w:rFonts w:ascii="Arial" w:eastAsia="Times New Roman" w:hAnsi="Arial" w:cs="Arial"/>
          <w:i/>
          <w:iCs/>
          <w:sz w:val="24"/>
          <w:szCs w:val="24"/>
          <w:lang w:eastAsia="es-CO"/>
        </w:rPr>
        <w:t>definir</w:t>
      </w:r>
      <w:r>
        <w:rPr>
          <w:rFonts w:ascii="Arial" w:eastAsia="Times New Roman" w:hAnsi="Arial" w:cs="Arial"/>
          <w:iCs/>
          <w:sz w:val="24"/>
          <w:szCs w:val="24"/>
          <w:lang w:eastAsia="es-CO"/>
        </w:rPr>
        <w:t xml:space="preserve"> la autoridad judicial que deberá investigar y juzgar la conducta presuntamente ilícita, sin invadir la órbita de competencias de los jueces ordinarios ni abrogarse funciones totalmente ajenas a su rol institucional.</w:t>
      </w: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p>
    <w:p w:rsidR="00597D8D" w:rsidRPr="00024149" w:rsidRDefault="00597D8D" w:rsidP="00597D8D">
      <w:pPr>
        <w:autoSpaceDE w:val="0"/>
        <w:autoSpaceDN w:val="0"/>
        <w:adjustRightInd w:val="0"/>
        <w:spacing w:after="0" w:line="360" w:lineRule="auto"/>
        <w:jc w:val="both"/>
        <w:rPr>
          <w:rFonts w:ascii="Arial" w:eastAsia="Times New Roman" w:hAnsi="Arial" w:cs="Arial"/>
          <w:sz w:val="24"/>
          <w:szCs w:val="24"/>
          <w:lang w:val="es-ES_tradnl" w:eastAsia="es-ES"/>
        </w:rPr>
      </w:pPr>
      <w:r>
        <w:rPr>
          <w:rFonts w:ascii="Arial" w:eastAsia="Times New Roman" w:hAnsi="Arial" w:cs="Arial"/>
          <w:iCs/>
          <w:sz w:val="24"/>
          <w:szCs w:val="24"/>
          <w:lang w:eastAsia="es-CO"/>
        </w:rPr>
        <w:t>Por consiguiente, tales indagaciones y estudios extrajurídicos son actividades delegadas exclusivamente en los jueces penales, quienes por mandato legal y por su situación de cercanía e inmediación con los sujetos procesales, son los verdaderamente llamadas determinar la</w:t>
      </w:r>
      <w:r w:rsidRPr="003C56DB">
        <w:rPr>
          <w:rFonts w:ascii="Arial" w:eastAsia="Times New Roman" w:hAnsi="Arial" w:cs="Arial"/>
          <w:iCs/>
          <w:sz w:val="24"/>
          <w:szCs w:val="24"/>
          <w:lang w:eastAsia="es-CO"/>
        </w:rPr>
        <w:t xml:space="preserve"> eventual incursión </w:t>
      </w:r>
      <w:r>
        <w:rPr>
          <w:rFonts w:ascii="Arial" w:eastAsia="Times New Roman" w:hAnsi="Arial" w:cs="Arial"/>
          <w:iCs/>
          <w:sz w:val="24"/>
          <w:szCs w:val="24"/>
          <w:lang w:eastAsia="es-CO"/>
        </w:rPr>
        <w:t xml:space="preserve">del señor Vargas García </w:t>
      </w:r>
      <w:r w:rsidRPr="003C56DB">
        <w:rPr>
          <w:rFonts w:ascii="Arial" w:eastAsia="Times New Roman" w:hAnsi="Arial" w:cs="Arial"/>
          <w:iCs/>
          <w:sz w:val="24"/>
          <w:szCs w:val="24"/>
          <w:lang w:eastAsia="es-CO"/>
        </w:rPr>
        <w:t xml:space="preserve">en un error invencible de prohibición o en una causal de inimputabilidad penal por diversidad sociocultural, que lo exima de responder en condiciones de igualdad con cualquier otro ciudadano colombiano, por cometer la conducta delictiva por la que fue objeto de medida de aseguramiento privativa de la libertad. </w:t>
      </w: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p>
    <w:p w:rsidR="00597D8D"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r>
        <w:rPr>
          <w:rFonts w:ascii="Arial" w:eastAsia="Times New Roman" w:hAnsi="Arial" w:cs="Arial"/>
          <w:iCs/>
          <w:sz w:val="24"/>
          <w:szCs w:val="24"/>
          <w:lang w:eastAsia="es-CO"/>
        </w:rPr>
        <w:t>Al respecto, similar a lo ocurrido en la sentencia T-921 de 2013 proferida por la Corte Constitucional, esta Sala advierte que cuando los jueces penales vislumbren la existencia de prácticas sociales diversas a las características de la “</w:t>
      </w:r>
      <w:r w:rsidRPr="00AA67B1">
        <w:rPr>
          <w:rFonts w:ascii="Arial" w:eastAsia="Times New Roman" w:hAnsi="Arial" w:cs="Arial"/>
          <w:i/>
          <w:iCs/>
          <w:sz w:val="24"/>
          <w:szCs w:val="24"/>
          <w:lang w:eastAsia="es-CO"/>
        </w:rPr>
        <w:t>sociedad mayoritaria</w:t>
      </w:r>
      <w:r>
        <w:rPr>
          <w:rFonts w:ascii="Arial" w:eastAsia="Times New Roman" w:hAnsi="Arial" w:cs="Arial"/>
          <w:iCs/>
          <w:sz w:val="24"/>
          <w:szCs w:val="24"/>
          <w:lang w:eastAsia="es-CO"/>
        </w:rPr>
        <w:t xml:space="preserve">” en virtud de las cuales comportamientos sexuales como los adelantados por el señor </w:t>
      </w:r>
      <w:r>
        <w:rPr>
          <w:rFonts w:ascii="Arial" w:eastAsia="Times New Roman" w:hAnsi="Arial" w:cs="Arial"/>
          <w:sz w:val="24"/>
          <w:szCs w:val="24"/>
          <w:lang w:val="es-ES_tradnl" w:eastAsia="es-ES"/>
        </w:rPr>
        <w:t xml:space="preserve">Juan de Jesús Vargas García con la menor de 14 años </w:t>
      </w:r>
      <w:r>
        <w:rPr>
          <w:rFonts w:ascii="Arial" w:eastAsia="Times New Roman" w:hAnsi="Arial" w:cs="Arial"/>
          <w:i/>
          <w:sz w:val="24"/>
          <w:szCs w:val="24"/>
          <w:lang w:val="es-ES_tradnl" w:eastAsia="es-CO"/>
        </w:rPr>
        <w:t>LDCC</w:t>
      </w:r>
      <w:r w:rsidRPr="003C56DB">
        <w:rPr>
          <w:rFonts w:ascii="Arial" w:eastAsia="Times New Roman" w:hAnsi="Arial" w:cs="Arial"/>
          <w:iCs/>
          <w:sz w:val="24"/>
          <w:szCs w:val="24"/>
          <w:lang w:eastAsia="es-CO"/>
        </w:rPr>
        <w:t xml:space="preserve"> </w:t>
      </w:r>
      <w:r>
        <w:rPr>
          <w:rFonts w:ascii="Arial" w:eastAsia="Times New Roman" w:hAnsi="Arial" w:cs="Arial"/>
          <w:iCs/>
          <w:sz w:val="24"/>
          <w:szCs w:val="24"/>
          <w:lang w:eastAsia="es-CO"/>
        </w:rPr>
        <w:t xml:space="preserve">puedan ser el resultado de decisiones </w:t>
      </w:r>
      <w:r w:rsidRPr="00AA67B1">
        <w:rPr>
          <w:rFonts w:ascii="Arial" w:eastAsia="Times New Roman" w:hAnsi="Arial" w:cs="Arial"/>
          <w:i/>
          <w:iCs/>
          <w:sz w:val="24"/>
          <w:szCs w:val="24"/>
          <w:lang w:eastAsia="es-CO"/>
        </w:rPr>
        <w:t>conscientes y voluntarias</w:t>
      </w:r>
      <w:r>
        <w:rPr>
          <w:rFonts w:ascii="Arial" w:eastAsia="Times New Roman" w:hAnsi="Arial" w:cs="Arial"/>
          <w:iCs/>
          <w:sz w:val="24"/>
          <w:szCs w:val="24"/>
          <w:lang w:eastAsia="es-CO"/>
        </w:rPr>
        <w:t xml:space="preserve">, es posible que se escapen del ámbito punitivo nacional al ser el resultado de costumbres ancestrales merecedoras de respeto y protección a la luz de la Constitución Política.   </w:t>
      </w:r>
    </w:p>
    <w:p w:rsidR="00597D8D" w:rsidRPr="003C56DB" w:rsidRDefault="00597D8D" w:rsidP="00597D8D">
      <w:pPr>
        <w:autoSpaceDE w:val="0"/>
        <w:autoSpaceDN w:val="0"/>
        <w:adjustRightInd w:val="0"/>
        <w:spacing w:after="0" w:line="360" w:lineRule="auto"/>
        <w:jc w:val="both"/>
        <w:rPr>
          <w:rFonts w:ascii="Arial" w:eastAsia="Times New Roman" w:hAnsi="Arial" w:cs="Arial"/>
          <w:iCs/>
          <w:sz w:val="24"/>
          <w:szCs w:val="24"/>
          <w:lang w:eastAsia="es-CO"/>
        </w:rPr>
      </w:pPr>
    </w:p>
    <w:p w:rsidR="00597D8D" w:rsidRDefault="00597D8D" w:rsidP="00597D8D">
      <w:pPr>
        <w:spacing w:line="360" w:lineRule="auto"/>
        <w:ind w:right="40"/>
        <w:jc w:val="both"/>
        <w:rPr>
          <w:rFonts w:ascii="Arial" w:eastAsia="Arial Unicode MS" w:hAnsi="Arial" w:cs="Arial"/>
          <w:color w:val="000000"/>
          <w:sz w:val="24"/>
          <w:szCs w:val="24"/>
        </w:rPr>
      </w:pPr>
      <w:r>
        <w:rPr>
          <w:rFonts w:ascii="Arial" w:eastAsia="Arial Unicode MS" w:hAnsi="Arial" w:cs="Arial"/>
          <w:color w:val="000000"/>
          <w:sz w:val="24"/>
          <w:szCs w:val="24"/>
        </w:rPr>
        <w:t>En mérito de lo expuesto, la Sala Jurisdiccional Disciplinaria del Consejo Superior de la Judicatura, administrando justicia en nombre de la República y por autoridad de la Constitución y de ley,</w:t>
      </w:r>
    </w:p>
    <w:p w:rsidR="00597D8D" w:rsidRPr="003C56DB" w:rsidRDefault="00597D8D" w:rsidP="00597D8D">
      <w:pPr>
        <w:tabs>
          <w:tab w:val="left" w:pos="567"/>
        </w:tabs>
        <w:spacing w:after="0" w:line="360" w:lineRule="auto"/>
        <w:ind w:right="55"/>
        <w:jc w:val="center"/>
        <w:rPr>
          <w:rFonts w:ascii="Arial" w:eastAsia="Times New Roman" w:hAnsi="Arial" w:cs="Arial"/>
          <w:b/>
          <w:bCs/>
          <w:sz w:val="24"/>
          <w:szCs w:val="24"/>
          <w:lang w:eastAsia="es-ES"/>
        </w:rPr>
      </w:pPr>
    </w:p>
    <w:p w:rsidR="00597D8D" w:rsidRPr="003C56DB" w:rsidRDefault="00597D8D" w:rsidP="00597D8D">
      <w:pPr>
        <w:tabs>
          <w:tab w:val="left" w:pos="567"/>
        </w:tabs>
        <w:spacing w:after="0" w:line="360" w:lineRule="auto"/>
        <w:ind w:right="55"/>
        <w:jc w:val="center"/>
        <w:rPr>
          <w:rFonts w:ascii="Arial" w:eastAsia="Times New Roman" w:hAnsi="Arial" w:cs="Arial"/>
          <w:b/>
          <w:bCs/>
          <w:sz w:val="24"/>
          <w:szCs w:val="24"/>
          <w:lang w:eastAsia="es-ES"/>
        </w:rPr>
      </w:pPr>
      <w:r w:rsidRPr="003C56DB">
        <w:rPr>
          <w:rFonts w:ascii="Arial" w:eastAsia="Times New Roman" w:hAnsi="Arial" w:cs="Arial"/>
          <w:b/>
          <w:bCs/>
          <w:sz w:val="24"/>
          <w:szCs w:val="24"/>
          <w:lang w:eastAsia="es-ES"/>
        </w:rPr>
        <w:t>RESUELVE:</w:t>
      </w:r>
    </w:p>
    <w:p w:rsidR="00597D8D" w:rsidRPr="003C56DB" w:rsidRDefault="00597D8D" w:rsidP="00597D8D">
      <w:pPr>
        <w:tabs>
          <w:tab w:val="left" w:pos="567"/>
        </w:tabs>
        <w:spacing w:after="0" w:line="360" w:lineRule="auto"/>
        <w:ind w:right="55"/>
        <w:jc w:val="both"/>
        <w:rPr>
          <w:rFonts w:ascii="Arial" w:eastAsia="Times New Roman" w:hAnsi="Arial" w:cs="Arial"/>
          <w:sz w:val="24"/>
          <w:szCs w:val="24"/>
          <w:lang w:eastAsia="es-ES"/>
        </w:rPr>
      </w:pPr>
    </w:p>
    <w:p w:rsidR="00597D8D" w:rsidRPr="003C56DB" w:rsidRDefault="00597D8D" w:rsidP="00597D8D">
      <w:pPr>
        <w:autoSpaceDE w:val="0"/>
        <w:autoSpaceDN w:val="0"/>
        <w:adjustRightInd w:val="0"/>
        <w:spacing w:after="0" w:line="360" w:lineRule="auto"/>
        <w:jc w:val="both"/>
        <w:rPr>
          <w:rFonts w:ascii="Arial" w:eastAsia="Times New Roman" w:hAnsi="Arial" w:cs="Arial"/>
          <w:bCs/>
          <w:sz w:val="24"/>
          <w:szCs w:val="24"/>
          <w:lang w:eastAsia="es-ES"/>
        </w:rPr>
      </w:pPr>
      <w:r w:rsidRPr="003C56DB">
        <w:rPr>
          <w:rFonts w:ascii="Arial" w:eastAsia="Times New Roman" w:hAnsi="Arial" w:cs="Arial"/>
          <w:b/>
          <w:bCs/>
          <w:sz w:val="24"/>
          <w:szCs w:val="24"/>
          <w:lang w:eastAsia="es-ES"/>
        </w:rPr>
        <w:t xml:space="preserve">PRIMERO.- ASIGNAR </w:t>
      </w:r>
      <w:r w:rsidRPr="003C56DB">
        <w:rPr>
          <w:rFonts w:ascii="Arial" w:eastAsia="Times New Roman" w:hAnsi="Arial" w:cs="Arial"/>
          <w:bCs/>
          <w:sz w:val="24"/>
          <w:szCs w:val="24"/>
          <w:lang w:eastAsia="es-ES"/>
        </w:rPr>
        <w:t xml:space="preserve">la competencia para el juzgamiento del delito sexual posiblemente cometido por el </w:t>
      </w:r>
      <w:r>
        <w:rPr>
          <w:rFonts w:ascii="Arial" w:eastAsia="Times New Roman" w:hAnsi="Arial" w:cs="Arial"/>
          <w:bCs/>
          <w:sz w:val="24"/>
          <w:szCs w:val="24"/>
          <w:lang w:eastAsia="es-ES"/>
        </w:rPr>
        <w:t xml:space="preserve">señor </w:t>
      </w:r>
      <w:r>
        <w:rPr>
          <w:rFonts w:ascii="Arial" w:eastAsia="Times New Roman" w:hAnsi="Arial" w:cs="Arial"/>
          <w:sz w:val="24"/>
          <w:szCs w:val="24"/>
          <w:lang w:val="es-ES_tradnl" w:eastAsia="es-ES"/>
        </w:rPr>
        <w:t xml:space="preserve">Juan de Jesús Vargas García </w:t>
      </w:r>
      <w:r w:rsidRPr="003C56DB">
        <w:rPr>
          <w:rFonts w:ascii="Arial" w:eastAsia="Times New Roman" w:hAnsi="Arial" w:cs="Arial"/>
          <w:bCs/>
          <w:sz w:val="24"/>
          <w:szCs w:val="24"/>
          <w:lang w:eastAsia="es-ES"/>
        </w:rPr>
        <w:t xml:space="preserve">en la jurisdicción penal ordinaria, representada por </w:t>
      </w:r>
      <w:r>
        <w:rPr>
          <w:rFonts w:ascii="Arial" w:eastAsia="Times New Roman" w:hAnsi="Arial" w:cs="Arial"/>
          <w:bCs/>
          <w:sz w:val="24"/>
          <w:szCs w:val="24"/>
          <w:lang w:eastAsia="es-ES"/>
        </w:rPr>
        <w:t xml:space="preserve">el </w:t>
      </w:r>
      <w:r w:rsidRPr="003C56DB">
        <w:rPr>
          <w:rFonts w:ascii="Arial" w:eastAsia="Times New Roman" w:hAnsi="Arial" w:cs="Arial"/>
          <w:sz w:val="24"/>
          <w:szCs w:val="24"/>
          <w:lang w:val="es-ES_tradnl" w:eastAsia="es-ES"/>
        </w:rPr>
        <w:t xml:space="preserve">Juzgado </w:t>
      </w:r>
      <w:r>
        <w:rPr>
          <w:rFonts w:ascii="Arial" w:eastAsia="Times New Roman" w:hAnsi="Arial" w:cs="Arial"/>
          <w:sz w:val="24"/>
          <w:szCs w:val="24"/>
          <w:lang w:val="es-ES_tradnl" w:eastAsia="es-ES"/>
        </w:rPr>
        <w:t>Segundo Penal del Circuito de Florencia (Caquetá) y el Fiscal 1</w:t>
      </w:r>
      <w:r w:rsidRPr="003C56DB">
        <w:rPr>
          <w:rFonts w:ascii="Arial" w:eastAsia="Times New Roman" w:hAnsi="Arial" w:cs="Arial"/>
          <w:sz w:val="24"/>
          <w:szCs w:val="24"/>
          <w:lang w:val="es-ES_tradnl" w:eastAsia="es-ES"/>
        </w:rPr>
        <w:t xml:space="preserve">3 Seccional de </w:t>
      </w:r>
      <w:r>
        <w:rPr>
          <w:rFonts w:ascii="Arial" w:eastAsia="Times New Roman" w:hAnsi="Arial" w:cs="Arial"/>
          <w:sz w:val="24"/>
          <w:szCs w:val="24"/>
          <w:lang w:val="es-ES_tradnl" w:eastAsia="es-ES"/>
        </w:rPr>
        <w:t xml:space="preserve">Belén de Los </w:t>
      </w:r>
      <w:proofErr w:type="spellStart"/>
      <w:r>
        <w:rPr>
          <w:rFonts w:ascii="Arial" w:eastAsia="Times New Roman" w:hAnsi="Arial" w:cs="Arial"/>
          <w:sz w:val="24"/>
          <w:szCs w:val="24"/>
          <w:lang w:val="es-ES_tradnl" w:eastAsia="es-ES"/>
        </w:rPr>
        <w:t>Andaquíes</w:t>
      </w:r>
      <w:proofErr w:type="spellEnd"/>
      <w:r>
        <w:rPr>
          <w:rFonts w:ascii="Arial" w:eastAsia="Times New Roman" w:hAnsi="Arial" w:cs="Arial"/>
          <w:sz w:val="24"/>
          <w:szCs w:val="24"/>
          <w:lang w:val="es-ES_tradnl" w:eastAsia="es-ES"/>
        </w:rPr>
        <w:t>,</w:t>
      </w:r>
      <w:r w:rsidRPr="003C56DB">
        <w:rPr>
          <w:rFonts w:ascii="Arial" w:eastAsia="Times New Roman" w:hAnsi="Arial" w:cs="Arial"/>
          <w:bCs/>
          <w:sz w:val="24"/>
          <w:szCs w:val="24"/>
          <w:lang w:eastAsia="es-ES"/>
        </w:rPr>
        <w:t xml:space="preserve"> de acuerdo con la parte motiva de esta providencia. </w:t>
      </w:r>
    </w:p>
    <w:p w:rsidR="00597D8D" w:rsidRPr="003C56DB" w:rsidRDefault="00597D8D" w:rsidP="00597D8D">
      <w:pPr>
        <w:autoSpaceDE w:val="0"/>
        <w:autoSpaceDN w:val="0"/>
        <w:adjustRightInd w:val="0"/>
        <w:spacing w:after="0" w:line="360" w:lineRule="auto"/>
        <w:jc w:val="both"/>
        <w:rPr>
          <w:rFonts w:ascii="Arial" w:eastAsia="Times New Roman" w:hAnsi="Arial" w:cs="Arial"/>
          <w:bCs/>
          <w:sz w:val="24"/>
          <w:szCs w:val="24"/>
          <w:lang w:eastAsia="es-ES"/>
        </w:rPr>
      </w:pPr>
    </w:p>
    <w:p w:rsidR="00597D8D" w:rsidRPr="003C56DB" w:rsidRDefault="00597D8D" w:rsidP="00597D8D">
      <w:pPr>
        <w:autoSpaceDE w:val="0"/>
        <w:autoSpaceDN w:val="0"/>
        <w:adjustRightInd w:val="0"/>
        <w:spacing w:after="0" w:line="360" w:lineRule="auto"/>
        <w:jc w:val="both"/>
        <w:rPr>
          <w:rFonts w:ascii="Arial" w:eastAsia="Times New Roman" w:hAnsi="Arial" w:cs="Arial"/>
          <w:color w:val="FF0000"/>
          <w:sz w:val="24"/>
          <w:szCs w:val="24"/>
          <w:lang w:eastAsia="es-ES"/>
        </w:rPr>
      </w:pPr>
      <w:r w:rsidRPr="003C56DB">
        <w:rPr>
          <w:rFonts w:ascii="Arial" w:eastAsia="Times New Roman" w:hAnsi="Arial" w:cs="Arial"/>
          <w:b/>
          <w:bCs/>
          <w:sz w:val="24"/>
          <w:szCs w:val="24"/>
          <w:lang w:eastAsia="es-ES"/>
        </w:rPr>
        <w:t>SEGUNDO.-</w:t>
      </w:r>
      <w:r w:rsidRPr="003C56DB">
        <w:rPr>
          <w:rFonts w:ascii="Arial" w:eastAsia="Times New Roman" w:hAnsi="Arial" w:cs="Arial"/>
          <w:bCs/>
          <w:sz w:val="24"/>
          <w:szCs w:val="24"/>
          <w:lang w:eastAsia="es-ES"/>
        </w:rPr>
        <w:t xml:space="preserve"> Por la Secretaría de esta Sala, remítase la actuación surtida al mencionado juzgado e infórmesele por ese mismo conducto la presente decisión a los sujetos procesales. </w:t>
      </w:r>
    </w:p>
    <w:p w:rsidR="00597D8D" w:rsidRPr="003C56DB" w:rsidRDefault="00597D8D" w:rsidP="00597D8D">
      <w:pPr>
        <w:spacing w:after="0" w:line="360" w:lineRule="auto"/>
        <w:ind w:right="51"/>
        <w:jc w:val="both"/>
        <w:rPr>
          <w:rFonts w:ascii="Arial" w:eastAsia="Times New Roman" w:hAnsi="Arial" w:cs="Arial"/>
          <w:color w:val="FF0000"/>
          <w:sz w:val="24"/>
          <w:szCs w:val="24"/>
          <w:lang w:eastAsia="es-ES"/>
        </w:rPr>
      </w:pPr>
    </w:p>
    <w:p w:rsidR="00597D8D" w:rsidRPr="00E879DF" w:rsidRDefault="00597D8D" w:rsidP="00597D8D">
      <w:pPr>
        <w:tabs>
          <w:tab w:val="left" w:pos="0"/>
          <w:tab w:val="left" w:pos="180"/>
        </w:tabs>
        <w:spacing w:after="0" w:line="360" w:lineRule="auto"/>
        <w:ind w:right="-91"/>
        <w:jc w:val="center"/>
        <w:rPr>
          <w:rFonts w:ascii="Arial" w:eastAsia="Calibri" w:hAnsi="Arial" w:cs="Arial"/>
          <w:b/>
        </w:rPr>
      </w:pPr>
      <w:r w:rsidRPr="00E879DF">
        <w:rPr>
          <w:rFonts w:ascii="Arial" w:eastAsia="Calibri" w:hAnsi="Arial" w:cs="Arial"/>
          <w:b/>
        </w:rPr>
        <w:t>NOTIFÍQUESE Y CÚMPLASE</w:t>
      </w:r>
    </w:p>
    <w:p w:rsidR="00597D8D" w:rsidRPr="00E879DF" w:rsidRDefault="00597D8D" w:rsidP="00597D8D">
      <w:pPr>
        <w:tabs>
          <w:tab w:val="left" w:pos="0"/>
          <w:tab w:val="left" w:pos="180"/>
        </w:tabs>
        <w:spacing w:after="0" w:line="240" w:lineRule="auto"/>
        <w:ind w:right="-91"/>
        <w:jc w:val="center"/>
        <w:rPr>
          <w:rFonts w:ascii="Arial" w:eastAsia="Calibri" w:hAnsi="Arial" w:cs="Arial"/>
          <w:b/>
        </w:rPr>
      </w:pPr>
    </w:p>
    <w:p w:rsidR="00597D8D" w:rsidRPr="00E879DF" w:rsidRDefault="00597D8D" w:rsidP="00597D8D">
      <w:pPr>
        <w:tabs>
          <w:tab w:val="left" w:pos="0"/>
          <w:tab w:val="left" w:pos="180"/>
        </w:tabs>
        <w:spacing w:after="0" w:line="240" w:lineRule="auto"/>
        <w:ind w:right="-91"/>
        <w:jc w:val="center"/>
        <w:rPr>
          <w:rFonts w:ascii="Arial" w:eastAsia="Calibri" w:hAnsi="Arial" w:cs="Arial"/>
          <w:b/>
        </w:rPr>
      </w:pPr>
    </w:p>
    <w:tbl>
      <w:tblPr>
        <w:tblW w:w="5000" w:type="pct"/>
        <w:tblCellMar>
          <w:left w:w="70" w:type="dxa"/>
          <w:right w:w="70" w:type="dxa"/>
        </w:tblCellMar>
        <w:tblLook w:val="04A0" w:firstRow="1" w:lastRow="0" w:firstColumn="1" w:lastColumn="0" w:noHBand="0" w:noVBand="1"/>
      </w:tblPr>
      <w:tblGrid>
        <w:gridCol w:w="4491"/>
        <w:gridCol w:w="4349"/>
      </w:tblGrid>
      <w:tr w:rsidR="00597D8D" w:rsidRPr="00E879DF" w:rsidTr="001B57A1">
        <w:tc>
          <w:tcPr>
            <w:tcW w:w="2540" w:type="pct"/>
          </w:tcPr>
          <w:p w:rsidR="00597D8D" w:rsidRPr="00E879DF" w:rsidRDefault="00597D8D" w:rsidP="001B57A1">
            <w:pPr>
              <w:widowControl w:val="0"/>
              <w:tabs>
                <w:tab w:val="left" w:pos="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spacing w:val="-2"/>
              </w:rPr>
            </w:pPr>
            <w:r w:rsidRPr="00E879DF">
              <w:rPr>
                <w:rFonts w:ascii="Arial" w:eastAsia="Calibri" w:hAnsi="Arial" w:cs="Arial"/>
                <w:b/>
              </w:rPr>
              <w:t>MARÍA MERCEDES LÓPEZ MORA</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spacing w:val="-2"/>
              </w:rPr>
              <w:t>PRESIDENTA</w:t>
            </w:r>
          </w:p>
        </w:tc>
        <w:tc>
          <w:tcPr>
            <w:tcW w:w="2460" w:type="pct"/>
          </w:tcPr>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spacing w:val="-2"/>
              </w:rPr>
            </w:pPr>
            <w:r w:rsidRPr="00E879DF">
              <w:rPr>
                <w:rFonts w:ascii="Arial" w:eastAsia="Calibri" w:hAnsi="Arial" w:cs="Arial"/>
                <w:b/>
              </w:rPr>
              <w:t>PEDRO ALONSO SANABRIA BUITRAGO</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b/>
                <w:spacing w:val="-2"/>
              </w:rPr>
            </w:pPr>
            <w:r w:rsidRPr="00E879DF">
              <w:rPr>
                <w:rFonts w:ascii="Arial" w:eastAsia="Calibri" w:hAnsi="Arial" w:cs="Arial"/>
                <w:b/>
                <w:spacing w:val="-2"/>
              </w:rPr>
              <w:t>VICEPRESIDENTE</w:t>
            </w:r>
          </w:p>
        </w:tc>
      </w:tr>
      <w:tr w:rsidR="00597D8D" w:rsidRPr="00E879DF" w:rsidTr="001B57A1">
        <w:tc>
          <w:tcPr>
            <w:tcW w:w="2540" w:type="pct"/>
          </w:tcPr>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rPr>
              <w:t>JOSÉ OVIDIO CLAROS POLANCO</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rPr>
              <w:t>MAGISTRADO</w:t>
            </w:r>
          </w:p>
        </w:tc>
        <w:tc>
          <w:tcPr>
            <w:tcW w:w="2460" w:type="pct"/>
          </w:tcPr>
          <w:p w:rsidR="00597D8D" w:rsidRPr="00E879DF" w:rsidRDefault="00597D8D" w:rsidP="001B57A1">
            <w:pPr>
              <w:widowControl w:val="0"/>
              <w:tabs>
                <w:tab w:val="left" w:pos="-993"/>
                <w:tab w:val="left" w:pos="2590"/>
              </w:tabs>
              <w:suppressAutoHyphens/>
              <w:spacing w:after="0"/>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rPr>
              <w:t>JULIA EMMA GARZÓN DE GÓMEZ</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spacing w:val="-2"/>
              </w:rPr>
              <w:t>MAGISTRADA</w:t>
            </w:r>
          </w:p>
        </w:tc>
      </w:tr>
      <w:tr w:rsidR="00597D8D" w:rsidRPr="00E879DF" w:rsidTr="001B57A1">
        <w:tc>
          <w:tcPr>
            <w:tcW w:w="2540" w:type="pct"/>
          </w:tcPr>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p>
          <w:p w:rsidR="00597D8D" w:rsidRDefault="00597D8D" w:rsidP="001B57A1">
            <w:pPr>
              <w:widowControl w:val="0"/>
              <w:tabs>
                <w:tab w:val="left" w:pos="-993"/>
                <w:tab w:val="left" w:pos="2590"/>
              </w:tabs>
              <w:suppressAutoHyphens/>
              <w:spacing w:after="0"/>
              <w:jc w:val="center"/>
              <w:rPr>
                <w:rFonts w:ascii="Arial" w:eastAsia="Calibri" w:hAnsi="Arial" w:cs="Arial"/>
                <w:b/>
                <w:spacing w:val="-2"/>
              </w:rPr>
            </w:pPr>
          </w:p>
          <w:p w:rsidR="00597D8D" w:rsidRDefault="00597D8D" w:rsidP="001B57A1">
            <w:pPr>
              <w:widowControl w:val="0"/>
              <w:tabs>
                <w:tab w:val="left" w:pos="-993"/>
                <w:tab w:val="left" w:pos="2590"/>
              </w:tabs>
              <w:suppressAutoHyphens/>
              <w:spacing w:after="0"/>
              <w:jc w:val="center"/>
              <w:rPr>
                <w:rFonts w:ascii="Arial" w:eastAsia="Calibri" w:hAnsi="Arial" w:cs="Arial"/>
                <w:b/>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spacing w:val="-2"/>
              </w:rPr>
            </w:pPr>
            <w:r w:rsidRPr="00E879DF">
              <w:rPr>
                <w:rFonts w:ascii="Arial" w:eastAsia="Calibri" w:hAnsi="Arial" w:cs="Arial"/>
                <w:b/>
                <w:spacing w:val="-2"/>
              </w:rPr>
              <w:t>ANGELINO LIZCANO RIVERA</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rPr>
            </w:pPr>
            <w:r w:rsidRPr="00E879DF">
              <w:rPr>
                <w:rFonts w:ascii="Arial" w:eastAsia="Calibri" w:hAnsi="Arial" w:cs="Arial"/>
                <w:b/>
                <w:spacing w:val="-2"/>
              </w:rPr>
              <w:t>MAGISTRADO</w:t>
            </w:r>
          </w:p>
        </w:tc>
        <w:tc>
          <w:tcPr>
            <w:tcW w:w="2460" w:type="pct"/>
          </w:tcPr>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Default="00597D8D" w:rsidP="001B57A1">
            <w:pPr>
              <w:spacing w:after="0"/>
              <w:jc w:val="center"/>
              <w:rPr>
                <w:rFonts w:ascii="Arial" w:eastAsia="Calibri" w:hAnsi="Arial" w:cs="Arial"/>
                <w:b/>
                <w:spacing w:val="-2"/>
              </w:rPr>
            </w:pPr>
          </w:p>
          <w:p w:rsidR="00597D8D" w:rsidRDefault="00597D8D" w:rsidP="001B57A1">
            <w:pPr>
              <w:spacing w:after="0"/>
              <w:jc w:val="center"/>
              <w:rPr>
                <w:rFonts w:ascii="Arial" w:eastAsia="Calibri" w:hAnsi="Arial" w:cs="Arial"/>
                <w:b/>
                <w:spacing w:val="-2"/>
              </w:rPr>
            </w:pPr>
          </w:p>
          <w:p w:rsidR="00597D8D" w:rsidRPr="00E879DF" w:rsidRDefault="00597D8D" w:rsidP="001B57A1">
            <w:pPr>
              <w:spacing w:after="0"/>
              <w:jc w:val="center"/>
              <w:rPr>
                <w:rFonts w:ascii="Arial" w:eastAsia="Calibri" w:hAnsi="Arial" w:cs="Arial"/>
                <w:b/>
                <w:spacing w:val="-2"/>
              </w:rPr>
            </w:pPr>
            <w:r w:rsidRPr="00E879DF">
              <w:rPr>
                <w:rFonts w:ascii="Arial" w:eastAsia="Calibri" w:hAnsi="Arial" w:cs="Arial"/>
                <w:b/>
                <w:spacing w:val="-2"/>
              </w:rPr>
              <w:t>NÉSTOR IVÁN JAVIER OSUNA PATIÑO</w:t>
            </w:r>
          </w:p>
          <w:p w:rsidR="00597D8D" w:rsidRPr="00E879DF" w:rsidRDefault="00597D8D" w:rsidP="001B57A1">
            <w:pPr>
              <w:spacing w:after="0"/>
              <w:jc w:val="center"/>
              <w:rPr>
                <w:rFonts w:ascii="Arial" w:eastAsia="Calibri" w:hAnsi="Arial" w:cs="Arial"/>
                <w:spacing w:val="-2"/>
              </w:rPr>
            </w:pPr>
            <w:r w:rsidRPr="00E879DF">
              <w:rPr>
                <w:rFonts w:ascii="Arial" w:eastAsia="Calibri" w:hAnsi="Arial" w:cs="Arial"/>
                <w:b/>
                <w:spacing w:val="-2"/>
              </w:rPr>
              <w:t>MAGISTRADO</w:t>
            </w:r>
          </w:p>
        </w:tc>
      </w:tr>
      <w:tr w:rsidR="00597D8D" w:rsidRPr="00E879DF" w:rsidTr="001B57A1">
        <w:tc>
          <w:tcPr>
            <w:tcW w:w="5000" w:type="pct"/>
            <w:gridSpan w:val="2"/>
          </w:tcPr>
          <w:p w:rsidR="00597D8D" w:rsidRPr="00E879DF" w:rsidRDefault="00597D8D" w:rsidP="001B57A1">
            <w:pPr>
              <w:widowControl w:val="0"/>
              <w:tabs>
                <w:tab w:val="left" w:pos="-993"/>
                <w:tab w:val="left" w:pos="2590"/>
              </w:tabs>
              <w:suppressAutoHyphens/>
              <w:spacing w:after="0"/>
              <w:rPr>
                <w:rFonts w:ascii="Arial" w:eastAsia="Calibri" w:hAnsi="Arial" w:cs="Arial"/>
              </w:rPr>
            </w:pPr>
          </w:p>
          <w:p w:rsidR="00597D8D" w:rsidRPr="00E879DF" w:rsidRDefault="00597D8D" w:rsidP="001B57A1">
            <w:pPr>
              <w:widowControl w:val="0"/>
              <w:tabs>
                <w:tab w:val="left" w:pos="-993"/>
                <w:tab w:val="left" w:pos="2590"/>
              </w:tabs>
              <w:suppressAutoHyphens/>
              <w:spacing w:after="0"/>
              <w:rPr>
                <w:rFonts w:ascii="Arial" w:eastAsia="Calibri" w:hAnsi="Arial" w:cs="Arial"/>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lang w:val="fr-FR"/>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lang w:val="fr-FR"/>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lang w:val="fr-FR"/>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spacing w:val="-2"/>
                <w:lang w:val="fr-FR"/>
              </w:rPr>
            </w:pPr>
            <w:r w:rsidRPr="00E879DF">
              <w:rPr>
                <w:rFonts w:ascii="Arial" w:eastAsia="Calibri" w:hAnsi="Arial" w:cs="Arial"/>
                <w:b/>
                <w:lang w:val="fr-FR"/>
              </w:rPr>
              <w:t>WILSON RUIZ OREJUELA</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r w:rsidRPr="00E879DF">
              <w:rPr>
                <w:rFonts w:ascii="Arial" w:eastAsia="Calibri" w:hAnsi="Arial" w:cs="Arial"/>
                <w:b/>
                <w:spacing w:val="-2"/>
              </w:rPr>
              <w:t>MAGISTRADO</w:t>
            </w:r>
          </w:p>
        </w:tc>
      </w:tr>
      <w:tr w:rsidR="00597D8D" w:rsidRPr="00E879DF" w:rsidTr="001B57A1">
        <w:tc>
          <w:tcPr>
            <w:tcW w:w="5000" w:type="pct"/>
            <w:gridSpan w:val="2"/>
          </w:tcPr>
          <w:p w:rsidR="00597D8D" w:rsidRPr="00E879DF" w:rsidRDefault="00597D8D" w:rsidP="001B57A1">
            <w:pPr>
              <w:widowControl w:val="0"/>
              <w:tabs>
                <w:tab w:val="left" w:pos="-993"/>
                <w:tab w:val="left" w:pos="2590"/>
              </w:tabs>
              <w:suppressAutoHyphens/>
              <w:spacing w:after="0"/>
              <w:jc w:val="center"/>
              <w:rPr>
                <w:rFonts w:ascii="Arial" w:eastAsia="Calibri" w:hAnsi="Arial" w:cs="Arial"/>
                <w:spacing w:val="-2"/>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rPr>
              <w:t xml:space="preserve">YIRA LUCÍA OLARTE ÁVILA </w:t>
            </w:r>
          </w:p>
          <w:p w:rsidR="00597D8D" w:rsidRPr="00E879DF" w:rsidRDefault="00597D8D" w:rsidP="001B57A1">
            <w:pPr>
              <w:widowControl w:val="0"/>
              <w:tabs>
                <w:tab w:val="left" w:pos="-993"/>
                <w:tab w:val="left" w:pos="2590"/>
              </w:tabs>
              <w:suppressAutoHyphens/>
              <w:spacing w:after="0"/>
              <w:jc w:val="center"/>
              <w:rPr>
                <w:rFonts w:ascii="Arial" w:eastAsia="Calibri" w:hAnsi="Arial" w:cs="Arial"/>
                <w:b/>
              </w:rPr>
            </w:pPr>
            <w:r w:rsidRPr="00E879DF">
              <w:rPr>
                <w:rFonts w:ascii="Arial" w:eastAsia="Calibri" w:hAnsi="Arial" w:cs="Arial"/>
                <w:b/>
              </w:rPr>
              <w:t>SECRETARIA JUDICIAL</w:t>
            </w:r>
          </w:p>
        </w:tc>
      </w:tr>
    </w:tbl>
    <w:p w:rsidR="00597D8D" w:rsidRPr="00E879DF" w:rsidRDefault="00597D8D" w:rsidP="00597D8D">
      <w:pPr>
        <w:spacing w:after="0" w:line="240" w:lineRule="auto"/>
        <w:rPr>
          <w:rFonts w:ascii="Calibri" w:eastAsia="Calibri" w:hAnsi="Calibri" w:cs="Times New Roman"/>
        </w:rPr>
      </w:pPr>
    </w:p>
    <w:p w:rsidR="00597D8D" w:rsidRPr="003C56DB" w:rsidRDefault="00597D8D" w:rsidP="00597D8D">
      <w:pPr>
        <w:tabs>
          <w:tab w:val="left" w:pos="0"/>
          <w:tab w:val="left" w:pos="180"/>
        </w:tabs>
        <w:spacing w:after="0" w:line="240" w:lineRule="auto"/>
        <w:ind w:right="-91"/>
        <w:jc w:val="both"/>
        <w:rPr>
          <w:rFonts w:ascii="Arial" w:eastAsia="Calibri" w:hAnsi="Arial" w:cs="Arial"/>
          <w:b/>
          <w:sz w:val="24"/>
          <w:szCs w:val="24"/>
        </w:rPr>
      </w:pPr>
      <w:r w:rsidRPr="003C56DB">
        <w:rPr>
          <w:rFonts w:ascii="Arial" w:eastAsia="Calibri" w:hAnsi="Arial" w:cs="Arial"/>
          <w:b/>
          <w:sz w:val="24"/>
          <w:szCs w:val="24"/>
        </w:rPr>
        <w:t xml:space="preserve">                                       </w:t>
      </w:r>
    </w:p>
    <w:p w:rsidR="00597D8D" w:rsidRPr="003C56DB" w:rsidRDefault="00597D8D" w:rsidP="00597D8D">
      <w:pPr>
        <w:spacing w:after="0" w:line="240" w:lineRule="auto"/>
        <w:rPr>
          <w:rFonts w:ascii="Arial" w:eastAsia="Calibri" w:hAnsi="Arial" w:cs="Arial"/>
          <w:b/>
          <w:bCs/>
          <w:sz w:val="24"/>
          <w:szCs w:val="24"/>
        </w:rPr>
      </w:pPr>
      <w:r w:rsidRPr="003C56DB">
        <w:rPr>
          <w:rFonts w:ascii="Arial" w:eastAsia="Calibri" w:hAnsi="Arial" w:cs="Arial"/>
          <w:b/>
          <w:bCs/>
          <w:sz w:val="24"/>
          <w:szCs w:val="24"/>
        </w:rPr>
        <w:t xml:space="preserve">                                                     </w:t>
      </w:r>
    </w:p>
    <w:p w:rsidR="00597D8D" w:rsidRPr="003C56DB" w:rsidRDefault="00597D8D" w:rsidP="00597D8D">
      <w:pPr>
        <w:spacing w:before="360" w:after="360" w:line="360" w:lineRule="auto"/>
        <w:jc w:val="both"/>
        <w:rPr>
          <w:rFonts w:ascii="Arial" w:eastAsia="Times New Roman" w:hAnsi="Arial" w:cs="Arial"/>
          <w:color w:val="000000"/>
          <w:sz w:val="24"/>
          <w:szCs w:val="24"/>
          <w:lang w:eastAsia="es-ES"/>
        </w:rPr>
      </w:pPr>
    </w:p>
    <w:p w:rsidR="00597D8D" w:rsidRPr="003C56DB" w:rsidRDefault="00597D8D" w:rsidP="00597D8D">
      <w:pPr>
        <w:spacing w:after="0" w:line="240" w:lineRule="auto"/>
        <w:jc w:val="both"/>
        <w:rPr>
          <w:rFonts w:ascii="Arial" w:eastAsia="Calibri" w:hAnsi="Arial" w:cs="Arial"/>
          <w:sz w:val="20"/>
          <w:szCs w:val="20"/>
          <w:lang w:val="es-ES"/>
        </w:rPr>
      </w:pPr>
    </w:p>
    <w:p w:rsidR="00597D8D" w:rsidRPr="003C56DB" w:rsidRDefault="00597D8D" w:rsidP="00597D8D">
      <w:pPr>
        <w:rPr>
          <w:rFonts w:ascii="Arial" w:hAnsi="Arial" w:cs="Arial"/>
        </w:rPr>
      </w:pPr>
    </w:p>
    <w:p w:rsidR="00813F16" w:rsidRDefault="00813F16" w:rsidP="00813F16"/>
    <w:p w:rsidR="00213F1E" w:rsidRDefault="00213F1E"/>
    <w:sectPr w:rsidR="00213F1E" w:rsidSect="00597D8D">
      <w:headerReference w:type="default" r:id="rId8"/>
      <w:footerReference w:type="default" r:id="rId9"/>
      <w:pgSz w:w="12242" w:h="18722" w:code="119"/>
      <w:pgMar w:top="2268" w:right="1701" w:bottom="1701"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8D" w:rsidRDefault="00597D8D" w:rsidP="00597D8D">
      <w:pPr>
        <w:spacing w:after="0" w:line="240" w:lineRule="auto"/>
      </w:pPr>
      <w:r>
        <w:separator/>
      </w:r>
    </w:p>
  </w:endnote>
  <w:endnote w:type="continuationSeparator" w:id="0">
    <w:p w:rsidR="00597D8D" w:rsidRDefault="00597D8D" w:rsidP="0059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268121"/>
      <w:docPartObj>
        <w:docPartGallery w:val="Page Numbers (Bottom of Page)"/>
        <w:docPartUnique/>
      </w:docPartObj>
    </w:sdtPr>
    <w:sdtEndPr/>
    <w:sdtContent>
      <w:p w:rsidR="00597D8D" w:rsidRDefault="00597D8D">
        <w:pPr>
          <w:pStyle w:val="Piedepgina"/>
          <w:jc w:val="right"/>
        </w:pPr>
        <w:r>
          <w:fldChar w:fldCharType="begin"/>
        </w:r>
        <w:r>
          <w:instrText>PAGE   \* MERGEFORMAT</w:instrText>
        </w:r>
        <w:r>
          <w:fldChar w:fldCharType="separate"/>
        </w:r>
        <w:r w:rsidR="00EE6FF6" w:rsidRPr="00EE6FF6">
          <w:rPr>
            <w:noProof/>
            <w:lang w:val="es-ES"/>
          </w:rPr>
          <w:t>21</w:t>
        </w:r>
        <w:r>
          <w:fldChar w:fldCharType="end"/>
        </w:r>
      </w:p>
    </w:sdtContent>
  </w:sdt>
  <w:p w:rsidR="00597D8D" w:rsidRDefault="00597D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8D" w:rsidRDefault="00597D8D" w:rsidP="00597D8D">
      <w:pPr>
        <w:spacing w:after="0" w:line="240" w:lineRule="auto"/>
      </w:pPr>
      <w:r>
        <w:separator/>
      </w:r>
    </w:p>
  </w:footnote>
  <w:footnote w:type="continuationSeparator" w:id="0">
    <w:p w:rsidR="00597D8D" w:rsidRDefault="00597D8D" w:rsidP="00597D8D">
      <w:pPr>
        <w:spacing w:after="0" w:line="240" w:lineRule="auto"/>
      </w:pPr>
      <w:r>
        <w:continuationSeparator/>
      </w:r>
    </w:p>
  </w:footnote>
  <w:footnote w:id="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22 a 25 del cuaderno original (C.O.)</w:t>
      </w:r>
    </w:p>
  </w:footnote>
  <w:footnote w:id="2">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63 y 64 C.O.</w:t>
      </w:r>
    </w:p>
  </w:footnote>
  <w:footnote w:id="3">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 67 C.O.</w:t>
      </w:r>
    </w:p>
  </w:footnote>
  <w:footnote w:id="4">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68 y 69 C.O.</w:t>
      </w:r>
    </w:p>
  </w:footnote>
  <w:footnote w:id="5">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 101 C.O.</w:t>
      </w:r>
    </w:p>
  </w:footnote>
  <w:footnote w:id="6">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137 a 164 C.O.</w:t>
      </w:r>
    </w:p>
  </w:footnote>
  <w:footnote w:id="7">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165 a 170 C.O.</w:t>
      </w:r>
    </w:p>
  </w:footnote>
  <w:footnote w:id="8">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 180 C.O.</w:t>
      </w:r>
    </w:p>
  </w:footnote>
  <w:footnote w:id="9">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186 a 187 C.O.</w:t>
      </w:r>
    </w:p>
  </w:footnote>
  <w:footnote w:id="10">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189 a 191 C.O.</w:t>
      </w:r>
    </w:p>
  </w:footnote>
  <w:footnote w:id="11">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13 a 21, cuaderno anexo de apelación.</w:t>
      </w:r>
    </w:p>
  </w:footnote>
  <w:footnote w:id="12">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Folios 219 a 230 C.O.</w:t>
      </w:r>
    </w:p>
  </w:footnote>
  <w:footnote w:id="13">
    <w:p w:rsidR="00597D8D" w:rsidRPr="00E879DF" w:rsidRDefault="00597D8D" w:rsidP="00597D8D">
      <w:pPr>
        <w:pStyle w:val="Textonotapie"/>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CD obrante entre folios 281 y 282 C.O.</w:t>
      </w:r>
    </w:p>
  </w:footnote>
  <w:footnote w:id="1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Ver, entre muchas otras, las sentencias del 19 de agosto de 2010 (expediente 2010-2400), 4 de marzo de 2011 (expediente 2011-0417) y 18 de diciembre de 2013 (expediente 2013-0326).</w:t>
      </w:r>
    </w:p>
  </w:footnote>
  <w:footnote w:id="1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xml:space="preserve">., Corte Constitucional, sentencia T-388 de 2009. </w:t>
      </w:r>
    </w:p>
  </w:footnote>
  <w:footnote w:id="1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Por </w:t>
      </w:r>
      <w:proofErr w:type="spellStart"/>
      <w:r w:rsidRPr="00E879DF">
        <w:rPr>
          <w:rFonts w:ascii="Arial" w:hAnsi="Arial" w:cs="Arial"/>
          <w:sz w:val="18"/>
          <w:szCs w:val="18"/>
        </w:rPr>
        <w:t>asimilacionismo</w:t>
      </w:r>
      <w:proofErr w:type="spellEnd"/>
      <w:r w:rsidRPr="00E879DF">
        <w:rPr>
          <w:rFonts w:ascii="Arial" w:hAnsi="Arial" w:cs="Arial"/>
          <w:sz w:val="18"/>
          <w:szCs w:val="18"/>
        </w:rPr>
        <w:t xml:space="preserve"> puede entenderse el “proceso por el que los diferentes grupos étnicos y culturales son absorbidos con la intención de hacerlos iguales al resto de la sociedad que se supone que es homogénea. Esta postura parte del supuesto de que la cultura receptora y dominante es superior a las demás y, por lo tanto, es la única que debe sobrevivir en la confrontación […]. Instituto Interamericano de Derechos Humanos, San José de Costa Rica, s.f. (Disponible en: </w:t>
      </w:r>
      <w:hyperlink r:id="rId1" w:history="1">
        <w:r w:rsidRPr="00E879DF">
          <w:rPr>
            <w:rStyle w:val="Hipervnculo"/>
            <w:rFonts w:ascii="Arial" w:hAnsi="Arial" w:cs="Arial"/>
            <w:sz w:val="18"/>
            <w:szCs w:val="18"/>
          </w:rPr>
          <w:t>www.iidh.ed.cr/BibliotecaWeb/Varios/Documentos/BD_2084057325/Asimilacionismo.doc?url</w:t>
        </w:r>
      </w:hyperlink>
      <w:r w:rsidRPr="00E879DF">
        <w:rPr>
          <w:rFonts w:ascii="Arial" w:hAnsi="Arial" w:cs="Arial"/>
          <w:sz w:val="18"/>
          <w:szCs w:val="18"/>
        </w:rPr>
        <w:t>=).</w:t>
      </w:r>
    </w:p>
  </w:footnote>
  <w:footnote w:id="1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Según la Corte Constitucional, este concepto “comprende no solo a personas que han sido colocadas en una situación de desventaja por decisiones estatales, políticas públicas o prejuicios sociales, sino además a quienes dadas las condiciones reales en que viven, sin importar la causa, están en una situación de exclusión social, no se han incorporado a las actividades económicas acudiendo a las formas ordinarias para ello o están en la imposibilidad material de acceder a los beneficios de una sociedad organizada”. En, sentencia C-741 de 2003.</w:t>
      </w:r>
    </w:p>
  </w:footnote>
  <w:footnote w:id="18">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xml:space="preserve">., entre otras, la sentencia T-376 de 2012. </w:t>
      </w:r>
    </w:p>
  </w:footnote>
  <w:footnote w:id="19">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Ver, por ejemplo, el Auto 382 de 2010, sobre políticas de prevención, protección y restablecimiento en materia de desplazamiento forzado y comunidades indígenas.</w:t>
      </w:r>
    </w:p>
  </w:footnote>
  <w:footnote w:id="20">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artículos 171 (circunscripción especial indígena en el Senado de la República), 288 (territorios indígenas como entidades territoriales) y parágrafo del 330 (participación en la explotación de los recursos naturales) de la Constitución Política.</w:t>
      </w:r>
    </w:p>
  </w:footnote>
  <w:footnote w:id="2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sentencia T-009 de 2007.</w:t>
      </w:r>
    </w:p>
  </w:footnote>
  <w:footnote w:id="22">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Aprobado por la ley 21 de 1991.</w:t>
      </w:r>
    </w:p>
  </w:footnote>
  <w:footnote w:id="23">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Resolución No. 61/295 de la Asamblea General, 107a sesión plenaria.</w:t>
      </w:r>
    </w:p>
  </w:footnote>
  <w:footnote w:id="2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T-002 de 2012.</w:t>
      </w:r>
    </w:p>
  </w:footnote>
  <w:footnote w:id="2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T-349 de 1996.</w:t>
      </w:r>
    </w:p>
  </w:footnote>
  <w:footnote w:id="2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T-002 de 2012.</w:t>
      </w:r>
    </w:p>
  </w:footnote>
  <w:footnote w:id="2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lang w:val="es-ES_tradnl"/>
        </w:rPr>
        <w:t>El artículo 1 de la Declaración Universal de los Derechos del Hombre - "Todos los seres humanos nacen libres e iguales en dignidad y derechos y, dotados como están de razón y conciencia, deben comportarse fraternalmente los unos con los otros”- representa el consenso al que los Estados han llegado en materia de Derechos Humanos en torno a la existencia de ciertos derechos esenciales que emanan de la naturaleza humana.</w:t>
      </w:r>
    </w:p>
  </w:footnote>
  <w:footnote w:id="28">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T-002 de 2012.</w:t>
      </w:r>
    </w:p>
  </w:footnote>
  <w:footnote w:id="29">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Sentencias T-254 de 1994 y T-811 de 2004.</w:t>
      </w:r>
    </w:p>
  </w:footnote>
  <w:footnote w:id="30">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sentencia T-002 de 2012 de la Corte Constitucional y sentencia del 18 de diciembre de 2013 de la Sala Jurisdiccional Disciplinaria del Consejo Superior de la Judicatura, Radicado No. 2013-03263.</w:t>
      </w:r>
    </w:p>
  </w:footnote>
  <w:footnote w:id="3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sentencia T-496 de 1996.</w:t>
      </w:r>
    </w:p>
  </w:footnote>
  <w:footnote w:id="32">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sentencia T-1238 de 2004.</w:t>
      </w:r>
    </w:p>
  </w:footnote>
  <w:footnote w:id="33">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w:t>
      </w:r>
      <w:r w:rsidRPr="00E879DF">
        <w:rPr>
          <w:rStyle w:val="apple-converted-space"/>
          <w:rFonts w:ascii="Arial" w:hAnsi="Arial" w:cs="Arial"/>
          <w:iCs/>
          <w:sz w:val="18"/>
          <w:szCs w:val="18"/>
          <w:shd w:val="clear" w:color="auto" w:fill="FFFFFF"/>
        </w:rPr>
        <w:t>sentencia T-552 de 2003.</w:t>
      </w:r>
    </w:p>
  </w:footnote>
  <w:footnote w:id="3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Sobre este punto la Corte enfatizó lo siguiente: “Los crímenes de lesa humanidad, el uso de violencia sistemática u organizada o la especial situación de indefensión y vulnerabilidad de la víctima justifican el empleo de criterios más rígidos y exigentes en la verificación de la institucionalidad, sin dejar de lado que ‘el objeto de esta verificación consiste en asegurarse de que existan autoridades internas competentes para adelantar el juzgamiento, usos y costumbres propios que aseguren el principio de legalidad (…) y medidas de protección de las víctimas’ (Sentencia T-617 de 2010)”.</w:t>
      </w:r>
    </w:p>
  </w:footnote>
  <w:footnote w:id="3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Al respecto, en la sentencia T-1070 de 2005 la Corte Constitucional reconoció que la jurisdicción indígena reviste carácter excepcional y que con su existencia no se desconoce la unidad de jurisdicción que opera en el Estado: “Razones de naturaleza política, </w:t>
      </w:r>
      <w:proofErr w:type="spellStart"/>
      <w:r w:rsidRPr="00E879DF">
        <w:rPr>
          <w:rFonts w:ascii="Arial" w:hAnsi="Arial" w:cs="Arial"/>
          <w:sz w:val="18"/>
          <w:szCs w:val="18"/>
        </w:rPr>
        <w:t>etno</w:t>
      </w:r>
      <w:proofErr w:type="spellEnd"/>
      <w:r w:rsidRPr="00E879DF">
        <w:rPr>
          <w:rFonts w:ascii="Arial" w:hAnsi="Arial" w:cs="Arial"/>
          <w:sz w:val="18"/>
          <w:szCs w:val="18"/>
        </w:rPr>
        <w:t>-culturales y de eficiencia en el servicio de administración de justicia, justifican que de forma excepcional la Constitución Nacional haya autorizado la existencia de jurisdicciones especiales, como ocurre por ejemplo en el caso de la jurisdicción indígena, sin que ello implique un rompimiento de la unidad ontológica de la jurisdicción del Estado”.</w:t>
      </w:r>
    </w:p>
  </w:footnote>
  <w:footnote w:id="3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T-254 de 1994.</w:t>
      </w:r>
    </w:p>
  </w:footnote>
  <w:footnote w:id="3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Ídem.</w:t>
      </w:r>
    </w:p>
  </w:footnote>
  <w:footnote w:id="38">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Caso del </w:t>
      </w:r>
      <w:proofErr w:type="spellStart"/>
      <w:r w:rsidRPr="00E879DF">
        <w:rPr>
          <w:rFonts w:ascii="Arial" w:hAnsi="Arial" w:cs="Arial"/>
          <w:sz w:val="18"/>
          <w:szCs w:val="18"/>
        </w:rPr>
        <w:t>Refah</w:t>
      </w:r>
      <w:proofErr w:type="spellEnd"/>
      <w:r w:rsidRPr="00E879DF">
        <w:rPr>
          <w:rFonts w:ascii="Arial" w:hAnsi="Arial" w:cs="Arial"/>
          <w:sz w:val="18"/>
          <w:szCs w:val="18"/>
        </w:rPr>
        <w:t xml:space="preserve"> </w:t>
      </w:r>
      <w:proofErr w:type="spellStart"/>
      <w:r w:rsidRPr="00E879DF">
        <w:rPr>
          <w:rFonts w:ascii="Arial" w:hAnsi="Arial" w:cs="Arial"/>
          <w:sz w:val="18"/>
          <w:szCs w:val="18"/>
        </w:rPr>
        <w:t>Partisi</w:t>
      </w:r>
      <w:proofErr w:type="spellEnd"/>
      <w:r w:rsidRPr="00E879DF">
        <w:rPr>
          <w:rFonts w:ascii="Arial" w:hAnsi="Arial" w:cs="Arial"/>
          <w:sz w:val="18"/>
          <w:szCs w:val="18"/>
        </w:rPr>
        <w:t xml:space="preserve"> (</w:t>
      </w:r>
      <w:proofErr w:type="spellStart"/>
      <w:r w:rsidRPr="00E879DF">
        <w:rPr>
          <w:rFonts w:ascii="Arial" w:hAnsi="Arial" w:cs="Arial"/>
          <w:sz w:val="18"/>
          <w:szCs w:val="18"/>
        </w:rPr>
        <w:t>The</w:t>
      </w:r>
      <w:proofErr w:type="spellEnd"/>
      <w:r w:rsidRPr="00E879DF">
        <w:rPr>
          <w:rFonts w:ascii="Arial" w:hAnsi="Arial" w:cs="Arial"/>
          <w:sz w:val="18"/>
          <w:szCs w:val="18"/>
        </w:rPr>
        <w:t xml:space="preserve"> </w:t>
      </w:r>
      <w:proofErr w:type="spellStart"/>
      <w:r w:rsidRPr="00E879DF">
        <w:rPr>
          <w:rFonts w:ascii="Arial" w:hAnsi="Arial" w:cs="Arial"/>
          <w:sz w:val="18"/>
          <w:szCs w:val="18"/>
        </w:rPr>
        <w:t>Welfare</w:t>
      </w:r>
      <w:proofErr w:type="spellEnd"/>
      <w:r w:rsidRPr="00E879DF">
        <w:rPr>
          <w:rFonts w:ascii="Arial" w:hAnsi="Arial" w:cs="Arial"/>
          <w:sz w:val="18"/>
          <w:szCs w:val="18"/>
        </w:rPr>
        <w:t xml:space="preserve"> </w:t>
      </w:r>
      <w:proofErr w:type="spellStart"/>
      <w:r w:rsidRPr="00E879DF">
        <w:rPr>
          <w:rFonts w:ascii="Arial" w:hAnsi="Arial" w:cs="Arial"/>
          <w:sz w:val="18"/>
          <w:szCs w:val="18"/>
        </w:rPr>
        <w:t>Party</w:t>
      </w:r>
      <w:proofErr w:type="spellEnd"/>
      <w:r w:rsidRPr="00E879DF">
        <w:rPr>
          <w:rFonts w:ascii="Arial" w:hAnsi="Arial" w:cs="Arial"/>
          <w:sz w:val="18"/>
          <w:szCs w:val="18"/>
        </w:rPr>
        <w:t>) y otros contra Turquía, sentencia del 31 de julio de 2001, párrafo 70.</w:t>
      </w:r>
    </w:p>
  </w:footnote>
  <w:footnote w:id="39">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SU510 de 1998.</w:t>
      </w:r>
    </w:p>
  </w:footnote>
  <w:footnote w:id="40">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Ver, entre otras, la sentencia T-002 de 2012.</w:t>
      </w:r>
    </w:p>
  </w:footnote>
  <w:footnote w:id="4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Vid., sentencia T-002 de 2012, que en este aspecto cita como apoyo a las sentencias “</w:t>
      </w:r>
      <w:r w:rsidRPr="00E879DF">
        <w:rPr>
          <w:rStyle w:val="apple-style-span"/>
          <w:rFonts w:ascii="Arial" w:eastAsiaTheme="majorEastAsia" w:hAnsi="Arial" w:cs="Arial"/>
          <w:sz w:val="18"/>
          <w:szCs w:val="18"/>
          <w:shd w:val="clear" w:color="auto" w:fill="FFFFFF"/>
        </w:rPr>
        <w:t>T-254 de 1994, T-349 de 1996 y SU-510 de 1998”.</w:t>
      </w:r>
    </w:p>
  </w:footnote>
  <w:footnote w:id="42">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Sentencias T-349 de 1996 y  T-002 de 2012.</w:t>
      </w:r>
    </w:p>
  </w:footnote>
  <w:footnote w:id="43">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Mediantes sentencias como la T-254 de 1994, la C-139 de 1996 y T-349 del mismo año. </w:t>
      </w:r>
    </w:p>
  </w:footnote>
  <w:footnote w:id="4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Cfr., sentencia T-921 del 5 de diciembre de 2013, de la Corte Constitucional. M.P.: Jorge </w:t>
      </w:r>
      <w:proofErr w:type="spellStart"/>
      <w:r w:rsidRPr="00E879DF">
        <w:rPr>
          <w:rFonts w:ascii="Arial" w:hAnsi="Arial" w:cs="Arial"/>
          <w:sz w:val="18"/>
          <w:szCs w:val="18"/>
        </w:rPr>
        <w:t>Pretelt</w:t>
      </w:r>
      <w:proofErr w:type="spellEnd"/>
      <w:r w:rsidRPr="00E879DF">
        <w:rPr>
          <w:rFonts w:ascii="Arial" w:hAnsi="Arial" w:cs="Arial"/>
          <w:sz w:val="18"/>
          <w:szCs w:val="18"/>
        </w:rPr>
        <w:t xml:space="preserve"> </w:t>
      </w:r>
      <w:proofErr w:type="spellStart"/>
      <w:r w:rsidRPr="00E879DF">
        <w:rPr>
          <w:rFonts w:ascii="Arial" w:hAnsi="Arial" w:cs="Arial"/>
          <w:sz w:val="18"/>
          <w:szCs w:val="18"/>
        </w:rPr>
        <w:t>Chaljub</w:t>
      </w:r>
      <w:proofErr w:type="spellEnd"/>
      <w:r w:rsidRPr="00E879DF">
        <w:rPr>
          <w:rFonts w:ascii="Arial" w:hAnsi="Arial" w:cs="Arial"/>
          <w:sz w:val="18"/>
          <w:szCs w:val="18"/>
        </w:rPr>
        <w:t>.</w:t>
      </w:r>
    </w:p>
  </w:footnote>
  <w:footnote w:id="4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Cfr., la sentencia T-349 de 1996 en donde se respalda la existencia del mencionado consenso intercultural en los siguientes tres estudios: “A</w:t>
      </w:r>
      <w:proofErr w:type="spellStart"/>
      <w:r w:rsidRPr="00E879DF">
        <w:rPr>
          <w:rFonts w:ascii="Arial" w:hAnsi="Arial" w:cs="Arial"/>
          <w:sz w:val="18"/>
          <w:szCs w:val="18"/>
          <w:lang w:val="es-ES_tradnl"/>
        </w:rPr>
        <w:t>bdullahi</w:t>
      </w:r>
      <w:proofErr w:type="spellEnd"/>
      <w:r w:rsidRPr="00E879DF">
        <w:rPr>
          <w:rFonts w:ascii="Arial" w:hAnsi="Arial" w:cs="Arial"/>
          <w:sz w:val="18"/>
          <w:szCs w:val="18"/>
          <w:lang w:val="es-ES_tradnl"/>
        </w:rPr>
        <w:t xml:space="preserve"> Ahmed </w:t>
      </w:r>
      <w:proofErr w:type="spellStart"/>
      <w:r w:rsidRPr="00E879DF">
        <w:rPr>
          <w:rFonts w:ascii="Arial" w:hAnsi="Arial" w:cs="Arial"/>
          <w:sz w:val="18"/>
          <w:szCs w:val="18"/>
          <w:lang w:val="es-ES_tradnl"/>
        </w:rPr>
        <w:t>An-na’im</w:t>
      </w:r>
      <w:proofErr w:type="spellEnd"/>
      <w:r w:rsidRPr="00E879DF">
        <w:rPr>
          <w:rFonts w:ascii="Arial" w:hAnsi="Arial" w:cs="Arial"/>
          <w:sz w:val="18"/>
          <w:szCs w:val="18"/>
          <w:lang w:val="es-ES_tradnl"/>
        </w:rPr>
        <w:t>, ‘</w:t>
      </w:r>
      <w:proofErr w:type="spellStart"/>
      <w:r w:rsidRPr="00E879DF">
        <w:rPr>
          <w:rFonts w:ascii="Arial" w:hAnsi="Arial" w:cs="Arial"/>
          <w:sz w:val="18"/>
          <w:szCs w:val="18"/>
          <w:lang w:val="es-ES_tradnl"/>
        </w:rPr>
        <w:t>Toward</w:t>
      </w:r>
      <w:proofErr w:type="spellEnd"/>
      <w:r w:rsidRPr="00E879DF">
        <w:rPr>
          <w:rFonts w:ascii="Arial" w:hAnsi="Arial" w:cs="Arial"/>
          <w:sz w:val="18"/>
          <w:szCs w:val="18"/>
          <w:lang w:val="es-ES_tradnl"/>
        </w:rPr>
        <w:t xml:space="preserve"> a Cross Cultural </w:t>
      </w:r>
      <w:proofErr w:type="spellStart"/>
      <w:r w:rsidRPr="00E879DF">
        <w:rPr>
          <w:rFonts w:ascii="Arial" w:hAnsi="Arial" w:cs="Arial"/>
          <w:sz w:val="18"/>
          <w:szCs w:val="18"/>
          <w:lang w:val="es-ES_tradnl"/>
        </w:rPr>
        <w:t>Approach</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to</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Defining</w:t>
      </w:r>
      <w:proofErr w:type="spellEnd"/>
      <w:r w:rsidRPr="00E879DF">
        <w:rPr>
          <w:rFonts w:ascii="Arial" w:hAnsi="Arial" w:cs="Arial"/>
          <w:sz w:val="18"/>
          <w:szCs w:val="18"/>
          <w:lang w:val="es-ES_tradnl"/>
        </w:rPr>
        <w:t xml:space="preserve"> International </w:t>
      </w:r>
      <w:proofErr w:type="spellStart"/>
      <w:r w:rsidRPr="00E879DF">
        <w:rPr>
          <w:rFonts w:ascii="Arial" w:hAnsi="Arial" w:cs="Arial"/>
          <w:sz w:val="18"/>
          <w:szCs w:val="18"/>
          <w:lang w:val="es-ES_tradnl"/>
        </w:rPr>
        <w:t>Standards</w:t>
      </w:r>
      <w:proofErr w:type="spellEnd"/>
      <w:r w:rsidRPr="00E879DF">
        <w:rPr>
          <w:rFonts w:ascii="Arial" w:hAnsi="Arial" w:cs="Arial"/>
          <w:sz w:val="18"/>
          <w:szCs w:val="18"/>
          <w:lang w:val="es-ES_tradnl"/>
        </w:rPr>
        <w:t xml:space="preserve"> of Human </w:t>
      </w:r>
      <w:proofErr w:type="spellStart"/>
      <w:r w:rsidRPr="00E879DF">
        <w:rPr>
          <w:rFonts w:ascii="Arial" w:hAnsi="Arial" w:cs="Arial"/>
          <w:sz w:val="18"/>
          <w:szCs w:val="18"/>
          <w:lang w:val="es-ES_tradnl"/>
        </w:rPr>
        <w:t>Rights</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The</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Meaning</w:t>
      </w:r>
      <w:proofErr w:type="spellEnd"/>
      <w:r w:rsidRPr="00E879DF">
        <w:rPr>
          <w:rFonts w:ascii="Arial" w:hAnsi="Arial" w:cs="Arial"/>
          <w:sz w:val="18"/>
          <w:szCs w:val="18"/>
          <w:lang w:val="es-ES_tradnl"/>
        </w:rPr>
        <w:t xml:space="preserve"> of Cruel, Inhuman, </w:t>
      </w:r>
      <w:proofErr w:type="spellStart"/>
      <w:r w:rsidRPr="00E879DF">
        <w:rPr>
          <w:rFonts w:ascii="Arial" w:hAnsi="Arial" w:cs="Arial"/>
          <w:sz w:val="18"/>
          <w:szCs w:val="18"/>
          <w:lang w:val="es-ES_tradnl"/>
        </w:rPr>
        <w:t>or</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Degrading</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Treatment</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or</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Punishment</w:t>
      </w:r>
      <w:proofErr w:type="spellEnd"/>
      <w:r w:rsidRPr="00E879DF">
        <w:rPr>
          <w:rFonts w:ascii="Arial" w:hAnsi="Arial" w:cs="Arial"/>
          <w:sz w:val="18"/>
          <w:szCs w:val="18"/>
          <w:lang w:val="es-ES_tradnl"/>
        </w:rPr>
        <w:t xml:space="preserve">’ en </w:t>
      </w:r>
      <w:proofErr w:type="spellStart"/>
      <w:r w:rsidRPr="00E879DF">
        <w:rPr>
          <w:rFonts w:ascii="Arial" w:hAnsi="Arial" w:cs="Arial"/>
          <w:sz w:val="18"/>
          <w:szCs w:val="18"/>
          <w:lang w:val="es-ES_tradnl"/>
        </w:rPr>
        <w:t>Abdullahi</w:t>
      </w:r>
      <w:proofErr w:type="spellEnd"/>
      <w:r w:rsidRPr="00E879DF">
        <w:rPr>
          <w:rFonts w:ascii="Arial" w:hAnsi="Arial" w:cs="Arial"/>
          <w:sz w:val="18"/>
          <w:szCs w:val="18"/>
          <w:lang w:val="es-ES_tradnl"/>
        </w:rPr>
        <w:t xml:space="preserve"> Ahmed </w:t>
      </w:r>
      <w:proofErr w:type="spellStart"/>
      <w:r w:rsidRPr="00E879DF">
        <w:rPr>
          <w:rFonts w:ascii="Arial" w:hAnsi="Arial" w:cs="Arial"/>
          <w:sz w:val="18"/>
          <w:szCs w:val="18"/>
          <w:lang w:val="es-ES_tradnl"/>
        </w:rPr>
        <w:t>An-na’im</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comp.</w:t>
      </w:r>
      <w:proofErr w:type="spellEnd"/>
      <w:r w:rsidRPr="00E879DF">
        <w:rPr>
          <w:rFonts w:ascii="Arial" w:hAnsi="Arial" w:cs="Arial"/>
          <w:sz w:val="18"/>
          <w:szCs w:val="18"/>
          <w:lang w:val="es-ES_tradnl"/>
        </w:rPr>
        <w:t>), </w:t>
      </w:r>
      <w:r w:rsidRPr="00E879DF">
        <w:rPr>
          <w:rFonts w:ascii="Arial" w:hAnsi="Arial" w:cs="Arial"/>
          <w:i/>
          <w:iCs/>
          <w:sz w:val="18"/>
          <w:szCs w:val="18"/>
          <w:u w:val="single"/>
          <w:lang w:val="es-ES_tradnl"/>
        </w:rPr>
        <w:t xml:space="preserve">Human </w:t>
      </w:r>
      <w:proofErr w:type="spellStart"/>
      <w:r w:rsidRPr="00E879DF">
        <w:rPr>
          <w:rFonts w:ascii="Arial" w:hAnsi="Arial" w:cs="Arial"/>
          <w:i/>
          <w:iCs/>
          <w:sz w:val="18"/>
          <w:szCs w:val="18"/>
          <w:u w:val="single"/>
          <w:lang w:val="es-ES_tradnl"/>
        </w:rPr>
        <w:t>Rigths</w:t>
      </w:r>
      <w:proofErr w:type="spellEnd"/>
      <w:r w:rsidRPr="00E879DF">
        <w:rPr>
          <w:rFonts w:ascii="Arial" w:hAnsi="Arial" w:cs="Arial"/>
          <w:i/>
          <w:iCs/>
          <w:sz w:val="18"/>
          <w:szCs w:val="18"/>
          <w:u w:val="single"/>
          <w:lang w:val="es-ES_tradnl"/>
        </w:rPr>
        <w:t xml:space="preserve"> in Cross-Cultural </w:t>
      </w:r>
      <w:proofErr w:type="spellStart"/>
      <w:r w:rsidRPr="00E879DF">
        <w:rPr>
          <w:rFonts w:ascii="Arial" w:hAnsi="Arial" w:cs="Arial"/>
          <w:i/>
          <w:iCs/>
          <w:sz w:val="18"/>
          <w:szCs w:val="18"/>
          <w:u w:val="single"/>
          <w:lang w:val="es-ES_tradnl"/>
        </w:rPr>
        <w:t>Perspectives</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University</w:t>
      </w:r>
      <w:proofErr w:type="spellEnd"/>
      <w:r w:rsidRPr="00E879DF">
        <w:rPr>
          <w:rFonts w:ascii="Arial" w:hAnsi="Arial" w:cs="Arial"/>
          <w:sz w:val="18"/>
          <w:szCs w:val="18"/>
          <w:lang w:val="es-ES_tradnl"/>
        </w:rPr>
        <w:t xml:space="preserve"> of Pennsylvania </w:t>
      </w:r>
      <w:proofErr w:type="spellStart"/>
      <w:r w:rsidRPr="00E879DF">
        <w:rPr>
          <w:rFonts w:ascii="Arial" w:hAnsi="Arial" w:cs="Arial"/>
          <w:sz w:val="18"/>
          <w:szCs w:val="18"/>
          <w:lang w:val="es-ES_tradnl"/>
        </w:rPr>
        <w:t>Press</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Philadelphia</w:t>
      </w:r>
      <w:proofErr w:type="spellEnd"/>
      <w:r w:rsidRPr="00E879DF">
        <w:rPr>
          <w:rFonts w:ascii="Arial" w:hAnsi="Arial" w:cs="Arial"/>
          <w:sz w:val="18"/>
          <w:szCs w:val="18"/>
          <w:lang w:val="es-ES_tradnl"/>
        </w:rPr>
        <w:t xml:space="preserve">, 1991; y Richard </w:t>
      </w:r>
      <w:proofErr w:type="spellStart"/>
      <w:r w:rsidRPr="00E879DF">
        <w:rPr>
          <w:rFonts w:ascii="Arial" w:hAnsi="Arial" w:cs="Arial"/>
          <w:sz w:val="18"/>
          <w:szCs w:val="18"/>
          <w:lang w:val="es-ES_tradnl"/>
        </w:rPr>
        <w:t>Falk</w:t>
      </w:r>
      <w:proofErr w:type="spellEnd"/>
      <w:r w:rsidRPr="00E879DF">
        <w:rPr>
          <w:rFonts w:ascii="Arial" w:hAnsi="Arial" w:cs="Arial"/>
          <w:sz w:val="18"/>
          <w:szCs w:val="18"/>
          <w:lang w:val="es-ES_tradnl"/>
        </w:rPr>
        <w:t xml:space="preserve">, ‘Cultural </w:t>
      </w:r>
      <w:proofErr w:type="spellStart"/>
      <w:r w:rsidRPr="00E879DF">
        <w:rPr>
          <w:rFonts w:ascii="Arial" w:hAnsi="Arial" w:cs="Arial"/>
          <w:sz w:val="18"/>
          <w:szCs w:val="18"/>
          <w:lang w:val="es-ES_tradnl"/>
        </w:rPr>
        <w:t>foundations</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for</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the</w:t>
      </w:r>
      <w:proofErr w:type="spellEnd"/>
      <w:r w:rsidRPr="00E879DF">
        <w:rPr>
          <w:rFonts w:ascii="Arial" w:hAnsi="Arial" w:cs="Arial"/>
          <w:sz w:val="18"/>
          <w:szCs w:val="18"/>
          <w:lang w:val="es-ES_tradnl"/>
        </w:rPr>
        <w:t xml:space="preserve"> International </w:t>
      </w:r>
      <w:proofErr w:type="spellStart"/>
      <w:r w:rsidRPr="00E879DF">
        <w:rPr>
          <w:rFonts w:ascii="Arial" w:hAnsi="Arial" w:cs="Arial"/>
          <w:sz w:val="18"/>
          <w:szCs w:val="18"/>
          <w:lang w:val="es-ES_tradnl"/>
        </w:rPr>
        <w:t>Protection</w:t>
      </w:r>
      <w:proofErr w:type="spellEnd"/>
      <w:r w:rsidRPr="00E879DF">
        <w:rPr>
          <w:rFonts w:ascii="Arial" w:hAnsi="Arial" w:cs="Arial"/>
          <w:sz w:val="18"/>
          <w:szCs w:val="18"/>
          <w:lang w:val="es-ES_tradnl"/>
        </w:rPr>
        <w:t xml:space="preserve"> of Human </w:t>
      </w:r>
      <w:proofErr w:type="spellStart"/>
      <w:r w:rsidRPr="00E879DF">
        <w:rPr>
          <w:rFonts w:ascii="Arial" w:hAnsi="Arial" w:cs="Arial"/>
          <w:sz w:val="18"/>
          <w:szCs w:val="18"/>
          <w:lang w:val="es-ES_tradnl"/>
        </w:rPr>
        <w:t>Rights</w:t>
      </w:r>
      <w:proofErr w:type="spellEnd"/>
      <w:r w:rsidRPr="00E879DF">
        <w:rPr>
          <w:rFonts w:ascii="Arial" w:hAnsi="Arial" w:cs="Arial"/>
          <w:sz w:val="18"/>
          <w:szCs w:val="18"/>
          <w:lang w:val="es-ES_tradnl"/>
        </w:rPr>
        <w:t xml:space="preserve">’, </w:t>
      </w:r>
      <w:proofErr w:type="spellStart"/>
      <w:r w:rsidRPr="00E879DF">
        <w:rPr>
          <w:rFonts w:ascii="Arial" w:hAnsi="Arial" w:cs="Arial"/>
          <w:sz w:val="18"/>
          <w:szCs w:val="18"/>
          <w:lang w:val="es-ES_tradnl"/>
        </w:rPr>
        <w:t>ibid</w:t>
      </w:r>
      <w:proofErr w:type="spellEnd"/>
      <w:r w:rsidRPr="00E879DF">
        <w:rPr>
          <w:rFonts w:ascii="Arial" w:hAnsi="Arial" w:cs="Arial"/>
          <w:sz w:val="18"/>
          <w:szCs w:val="18"/>
          <w:lang w:val="es-ES_tradnl"/>
        </w:rPr>
        <w:t xml:space="preserve">. La existencia de un consenso intercultural en torno a estos derechos también sería susceptible de verificación en el contexto colombiano. Por lo menos eso parecen sugerir los estudios relativos al tema, que demuestran que en las comunidades estudiadas se sanciona penalmente el homicidio y no se practican ni la esclavitud, ni la tortura por parte de las autoridades. Carlos César </w:t>
      </w:r>
      <w:proofErr w:type="spellStart"/>
      <w:r w:rsidRPr="00E879DF">
        <w:rPr>
          <w:rFonts w:ascii="Arial" w:hAnsi="Arial" w:cs="Arial"/>
          <w:sz w:val="18"/>
          <w:szCs w:val="18"/>
          <w:lang w:val="es-ES_tradnl"/>
        </w:rPr>
        <w:t>Perafán</w:t>
      </w:r>
      <w:proofErr w:type="spellEnd"/>
      <w:r w:rsidRPr="00E879DF">
        <w:rPr>
          <w:rFonts w:ascii="Arial" w:hAnsi="Arial" w:cs="Arial"/>
          <w:sz w:val="18"/>
          <w:szCs w:val="18"/>
          <w:lang w:val="es-ES_tradnl"/>
        </w:rPr>
        <w:t>, </w:t>
      </w:r>
      <w:r w:rsidRPr="00E879DF">
        <w:rPr>
          <w:rFonts w:ascii="Arial" w:hAnsi="Arial" w:cs="Arial"/>
          <w:i/>
          <w:iCs/>
          <w:sz w:val="18"/>
          <w:szCs w:val="18"/>
          <w:u w:val="single"/>
          <w:lang w:val="es-ES_tradnl"/>
        </w:rPr>
        <w:t xml:space="preserve">Sistemas Jurídicos </w:t>
      </w:r>
      <w:proofErr w:type="spellStart"/>
      <w:r w:rsidRPr="00E879DF">
        <w:rPr>
          <w:rFonts w:ascii="Arial" w:hAnsi="Arial" w:cs="Arial"/>
          <w:i/>
          <w:iCs/>
          <w:sz w:val="18"/>
          <w:szCs w:val="18"/>
          <w:u w:val="single"/>
          <w:lang w:val="es-ES_tradnl"/>
        </w:rPr>
        <w:t>Paez</w:t>
      </w:r>
      <w:proofErr w:type="spellEnd"/>
      <w:r w:rsidRPr="00E879DF">
        <w:rPr>
          <w:rFonts w:ascii="Arial" w:hAnsi="Arial" w:cs="Arial"/>
          <w:i/>
          <w:iCs/>
          <w:sz w:val="18"/>
          <w:szCs w:val="18"/>
          <w:u w:val="single"/>
          <w:lang w:val="es-ES_tradnl"/>
        </w:rPr>
        <w:t xml:space="preserve">, </w:t>
      </w:r>
      <w:proofErr w:type="spellStart"/>
      <w:r w:rsidRPr="00E879DF">
        <w:rPr>
          <w:rFonts w:ascii="Arial" w:hAnsi="Arial" w:cs="Arial"/>
          <w:i/>
          <w:iCs/>
          <w:sz w:val="18"/>
          <w:szCs w:val="18"/>
          <w:u w:val="single"/>
          <w:lang w:val="es-ES_tradnl"/>
        </w:rPr>
        <w:t>Kogi</w:t>
      </w:r>
      <w:proofErr w:type="spellEnd"/>
      <w:r w:rsidRPr="00E879DF">
        <w:rPr>
          <w:rFonts w:ascii="Arial" w:hAnsi="Arial" w:cs="Arial"/>
          <w:i/>
          <w:iCs/>
          <w:sz w:val="18"/>
          <w:szCs w:val="18"/>
          <w:u w:val="single"/>
          <w:lang w:val="es-ES_tradnl"/>
        </w:rPr>
        <w:t>, Wayuu y Tule</w:t>
      </w:r>
      <w:r w:rsidRPr="00E879DF">
        <w:rPr>
          <w:rFonts w:ascii="Arial" w:hAnsi="Arial" w:cs="Arial"/>
          <w:sz w:val="18"/>
          <w:szCs w:val="18"/>
          <w:lang w:val="es-ES_tradnl"/>
        </w:rPr>
        <w:t>, Instituto Colombiano de Antropología, 1995”.</w:t>
      </w:r>
    </w:p>
  </w:footnote>
  <w:footnote w:id="4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Artículo 4º del Pacto de Derechos Civiles y Políticos de 1966 (aprobado por la Ley 74 de 1968).</w:t>
      </w:r>
    </w:p>
  </w:footnote>
  <w:footnote w:id="4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Artículo 15 de la Convención Europea de Derechos Humanos de 1950.</w:t>
      </w:r>
    </w:p>
  </w:footnote>
  <w:footnote w:id="48">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Convención Americana de Derechos Humanos de 1969 (aprobada por la Ley 16 de 1972).</w:t>
      </w:r>
    </w:p>
  </w:footnote>
  <w:footnote w:id="49">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Vid</w:t>
      </w:r>
      <w:r w:rsidRPr="00E879DF">
        <w:rPr>
          <w:rFonts w:ascii="Arial" w:hAnsi="Arial" w:cs="Arial"/>
          <w:sz w:val="18"/>
          <w:szCs w:val="18"/>
        </w:rPr>
        <w:t xml:space="preserve">., Corte Interamericana de Derechos Humanos, Caso de los “Niños de la Calle” (Villagrán Morales y otros) Vs. Guatemala, sentencia de 19 de noviembre de 1999, serie C No. 63, párrafos 192 a 193. Del mismo modo, para el Tribunal Europeo de Derechos Humanos los instrumentos internacionales son textos vivos, cuyo contenido se actualiza de la evolución social y moral de los tiempos modernos. </w:t>
      </w:r>
      <w:r w:rsidRPr="00E879DF">
        <w:rPr>
          <w:rFonts w:ascii="Arial" w:hAnsi="Arial" w:cs="Arial"/>
          <w:i/>
          <w:sz w:val="18"/>
          <w:szCs w:val="18"/>
        </w:rPr>
        <w:t>Cfr</w:t>
      </w:r>
      <w:r w:rsidRPr="00E879DF">
        <w:rPr>
          <w:rFonts w:ascii="Arial" w:hAnsi="Arial" w:cs="Arial"/>
          <w:sz w:val="18"/>
          <w:szCs w:val="18"/>
        </w:rPr>
        <w:t>., Caso de  E.B. v. Francia, sentencia del 22 de enero de 2008.</w:t>
      </w:r>
    </w:p>
  </w:footnote>
  <w:footnote w:id="50">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Este concepto alude a las manifestaciones de la comunidad internacional en torno a ciertos puntos de derecho que merecen la atención y respuesta de los Estados. </w:t>
      </w:r>
      <w:r w:rsidRPr="00E879DF">
        <w:rPr>
          <w:rFonts w:ascii="Arial" w:hAnsi="Arial" w:cs="Arial"/>
          <w:i/>
          <w:sz w:val="18"/>
          <w:szCs w:val="18"/>
        </w:rPr>
        <w:t>Cfr</w:t>
      </w:r>
      <w:r w:rsidRPr="00E879DF">
        <w:rPr>
          <w:rFonts w:ascii="Arial" w:hAnsi="Arial" w:cs="Arial"/>
          <w:sz w:val="18"/>
          <w:szCs w:val="18"/>
        </w:rPr>
        <w:t xml:space="preserve">. Voto razonado del juez A.A. </w:t>
      </w:r>
      <w:proofErr w:type="spellStart"/>
      <w:r w:rsidRPr="00E879DF">
        <w:rPr>
          <w:rFonts w:ascii="Arial" w:hAnsi="Arial" w:cs="Arial"/>
          <w:sz w:val="18"/>
          <w:szCs w:val="18"/>
        </w:rPr>
        <w:t>Cançado</w:t>
      </w:r>
      <w:proofErr w:type="spellEnd"/>
      <w:r w:rsidRPr="00E879DF">
        <w:rPr>
          <w:rFonts w:ascii="Arial" w:hAnsi="Arial" w:cs="Arial"/>
          <w:sz w:val="18"/>
          <w:szCs w:val="18"/>
        </w:rPr>
        <w:t xml:space="preserve"> </w:t>
      </w:r>
      <w:proofErr w:type="spellStart"/>
      <w:r w:rsidRPr="00E879DF">
        <w:rPr>
          <w:rFonts w:ascii="Arial" w:hAnsi="Arial" w:cs="Arial"/>
          <w:sz w:val="18"/>
          <w:szCs w:val="18"/>
        </w:rPr>
        <w:t>Trindade</w:t>
      </w:r>
      <w:proofErr w:type="spellEnd"/>
      <w:r w:rsidRPr="00E879DF">
        <w:rPr>
          <w:rFonts w:ascii="Arial" w:hAnsi="Arial" w:cs="Arial"/>
          <w:sz w:val="18"/>
          <w:szCs w:val="18"/>
        </w:rPr>
        <w:t xml:space="preserve">, a la sentencia de la Corte Interamericana de Derechos Humanos Caso de La Comunidad </w:t>
      </w:r>
      <w:proofErr w:type="spellStart"/>
      <w:r w:rsidRPr="00E879DF">
        <w:rPr>
          <w:rFonts w:ascii="Arial" w:hAnsi="Arial" w:cs="Arial"/>
          <w:sz w:val="18"/>
          <w:szCs w:val="18"/>
        </w:rPr>
        <w:t>Moiwana</w:t>
      </w:r>
      <w:proofErr w:type="spellEnd"/>
      <w:r w:rsidRPr="00E879DF">
        <w:rPr>
          <w:rFonts w:ascii="Arial" w:hAnsi="Arial" w:cs="Arial"/>
          <w:sz w:val="18"/>
          <w:szCs w:val="18"/>
        </w:rPr>
        <w:t xml:space="preserve"> vs. </w:t>
      </w:r>
      <w:proofErr w:type="spellStart"/>
      <w:r w:rsidRPr="00E879DF">
        <w:rPr>
          <w:rFonts w:ascii="Arial" w:hAnsi="Arial" w:cs="Arial"/>
          <w:sz w:val="18"/>
          <w:szCs w:val="18"/>
        </w:rPr>
        <w:t>Suriname</w:t>
      </w:r>
      <w:proofErr w:type="spellEnd"/>
      <w:r w:rsidRPr="00E879DF">
        <w:rPr>
          <w:rFonts w:ascii="Arial" w:hAnsi="Arial" w:cs="Arial"/>
          <w:sz w:val="18"/>
          <w:szCs w:val="18"/>
        </w:rPr>
        <w:t>, Sentencia de 15 de junio de 2005, Corte I.D.H., (Ser. C) No. 124.</w:t>
      </w:r>
    </w:p>
  </w:footnote>
  <w:footnote w:id="5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Adoptada mediante ley 12 de 1991.</w:t>
      </w:r>
    </w:p>
  </w:footnote>
  <w:footnote w:id="52">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Human </w:t>
      </w:r>
      <w:proofErr w:type="spellStart"/>
      <w:r w:rsidRPr="00E879DF">
        <w:rPr>
          <w:rFonts w:ascii="Arial" w:hAnsi="Arial" w:cs="Arial"/>
          <w:sz w:val="18"/>
          <w:szCs w:val="18"/>
        </w:rPr>
        <w:t>Rights</w:t>
      </w:r>
      <w:proofErr w:type="spellEnd"/>
      <w:r w:rsidRPr="00E879DF">
        <w:rPr>
          <w:rFonts w:ascii="Arial" w:hAnsi="Arial" w:cs="Arial"/>
          <w:sz w:val="18"/>
          <w:szCs w:val="18"/>
        </w:rPr>
        <w:t xml:space="preserve"> </w:t>
      </w:r>
      <w:proofErr w:type="spellStart"/>
      <w:r w:rsidRPr="00E879DF">
        <w:rPr>
          <w:rFonts w:ascii="Arial" w:hAnsi="Arial" w:cs="Arial"/>
          <w:sz w:val="18"/>
          <w:szCs w:val="18"/>
        </w:rPr>
        <w:t>Watch</w:t>
      </w:r>
      <w:proofErr w:type="spellEnd"/>
      <w:r w:rsidRPr="00E879DF">
        <w:rPr>
          <w:rFonts w:ascii="Arial" w:hAnsi="Arial" w:cs="Arial"/>
          <w:sz w:val="18"/>
          <w:szCs w:val="18"/>
        </w:rPr>
        <w:t>, 2009.</w:t>
      </w:r>
    </w:p>
  </w:footnote>
  <w:footnote w:id="53">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xml:space="preserve">., Corte Interamericana de Derechos Humanos. Caso </w:t>
      </w:r>
      <w:proofErr w:type="spellStart"/>
      <w:r w:rsidRPr="00E879DF">
        <w:rPr>
          <w:rFonts w:ascii="Arial" w:hAnsi="Arial" w:cs="Arial"/>
          <w:sz w:val="18"/>
          <w:szCs w:val="18"/>
        </w:rPr>
        <w:t>Atala</w:t>
      </w:r>
      <w:proofErr w:type="spellEnd"/>
      <w:r w:rsidRPr="00E879DF">
        <w:rPr>
          <w:rFonts w:ascii="Arial" w:hAnsi="Arial" w:cs="Arial"/>
          <w:sz w:val="18"/>
          <w:szCs w:val="18"/>
        </w:rPr>
        <w:t xml:space="preserve"> </w:t>
      </w:r>
      <w:proofErr w:type="spellStart"/>
      <w:r w:rsidRPr="00E879DF">
        <w:rPr>
          <w:rFonts w:ascii="Arial" w:hAnsi="Arial" w:cs="Arial"/>
          <w:sz w:val="18"/>
          <w:szCs w:val="18"/>
        </w:rPr>
        <w:t>Riffo</w:t>
      </w:r>
      <w:proofErr w:type="spellEnd"/>
      <w:r w:rsidRPr="00E879DF">
        <w:rPr>
          <w:rFonts w:ascii="Arial" w:hAnsi="Arial" w:cs="Arial"/>
          <w:sz w:val="18"/>
          <w:szCs w:val="18"/>
        </w:rPr>
        <w:t xml:space="preserve"> y Niñas Vs. Chile. Fondo, Reparaciones y Costas. Sentencia del 24 de febrero de 2012. Serie C No. 239.</w:t>
      </w:r>
    </w:p>
  </w:footnote>
  <w:footnote w:id="5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De acuerdo con su preámbulo, una de las finalidades perseguidas con la aprobación del Estatuto de Roma por los Estados parte en la Organización de Naciones Unidas fue reafirmar </w:t>
      </w:r>
      <w:r w:rsidRPr="00E879DF">
        <w:rPr>
          <w:rFonts w:ascii="Arial" w:hAnsi="Arial" w:cs="Arial"/>
          <w:i/>
          <w:sz w:val="18"/>
          <w:szCs w:val="18"/>
        </w:rPr>
        <w:t>“que los crímenes más graves de trascendencia para la comunidad internacional en su conjunto no deben quedar sin castigo y que, a tal fin, hay que adoptar medidas en el plano nacional e intensificar la cooperación internacional para asegurar que sean efectivamente sometidos a la acción de la justicia”</w:t>
      </w:r>
      <w:r w:rsidRPr="00E879DF">
        <w:rPr>
          <w:rFonts w:ascii="Arial" w:hAnsi="Arial" w:cs="Arial"/>
          <w:sz w:val="18"/>
          <w:szCs w:val="18"/>
        </w:rPr>
        <w:t xml:space="preserve">. </w:t>
      </w:r>
    </w:p>
  </w:footnote>
  <w:footnote w:id="5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Al respecto, debe recordarse que las penas previstas en dicho estatuto abarcan la prisión perpetua, razón por la cual, su ratificación por el Estado colombiano debió incluir la modificación del artículo </w:t>
      </w:r>
    </w:p>
  </w:footnote>
  <w:footnote w:id="5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Así, en la opinión consultiva  No. 18 de 2003, la Corte Interamericana de Derechos Humanos afirmó lo siguiente: “este Tribunal considera que el principio de igualdad ante la ley, igual protección ante la ley y no discriminación, pertenece al </w:t>
      </w:r>
      <w:proofErr w:type="spellStart"/>
      <w:r w:rsidRPr="00E879DF">
        <w:rPr>
          <w:rFonts w:ascii="Arial" w:hAnsi="Arial" w:cs="Arial"/>
          <w:sz w:val="18"/>
          <w:szCs w:val="18"/>
        </w:rPr>
        <w:t>jus</w:t>
      </w:r>
      <w:proofErr w:type="spellEnd"/>
      <w:r w:rsidRPr="00E879DF">
        <w:rPr>
          <w:rFonts w:ascii="Arial" w:hAnsi="Arial" w:cs="Arial"/>
          <w:sz w:val="18"/>
          <w:szCs w:val="18"/>
        </w:rPr>
        <w:t xml:space="preserve"> </w:t>
      </w:r>
      <w:proofErr w:type="spellStart"/>
      <w:r w:rsidRPr="00E879DF">
        <w:rPr>
          <w:rFonts w:ascii="Arial" w:hAnsi="Arial" w:cs="Arial"/>
          <w:sz w:val="18"/>
          <w:szCs w:val="18"/>
        </w:rPr>
        <w:t>cogens</w:t>
      </w:r>
      <w:proofErr w:type="spellEnd"/>
      <w:r w:rsidRPr="00E879DF">
        <w:rPr>
          <w:rFonts w:ascii="Arial" w:hAnsi="Arial" w:cs="Arial"/>
          <w:sz w:val="18"/>
          <w:szCs w:val="18"/>
        </w:rPr>
        <w:t xml:space="preserve">,  puesto que sobre él descansa todo el andamiaje jurídico del orden público nacional e internacional y es un principio fundamental que permea todo ordenamiento jurídico. </w:t>
      </w:r>
    </w:p>
    <w:p w:rsidR="00597D8D" w:rsidRPr="00E879DF" w:rsidRDefault="00597D8D" w:rsidP="00597D8D">
      <w:pPr>
        <w:pStyle w:val="Textonotapie"/>
        <w:jc w:val="both"/>
        <w:rPr>
          <w:rFonts w:ascii="Arial" w:hAnsi="Arial" w:cs="Arial"/>
          <w:sz w:val="18"/>
          <w:szCs w:val="18"/>
        </w:rPr>
      </w:pPr>
      <w:r w:rsidRPr="00E879DF">
        <w:rPr>
          <w:rFonts w:ascii="Arial" w:hAnsi="Arial" w:cs="Arial"/>
          <w:sz w:val="18"/>
          <w:szCs w:val="18"/>
        </w:rPr>
        <w:t xml:space="preserve">Hoy día no se admite ningún acto jurídico que entre en conflicto con dicho principio  fundamental, no se admiten tratos discriminatorios en perjuicio de ninguna persona,  por motivos de género, raza, color, idioma, religión o convicción, opinión política o de  otra índole, origen nacional, étnico o social, nacionalidad, edad, situación económica,  patrimonio, estado civil, nacimiento o cualquier otra condición. Este principio  (igualdad y no discriminación) forma parte del derecho internacional general. </w:t>
      </w:r>
      <w:r w:rsidRPr="00E879DF">
        <w:rPr>
          <w:rFonts w:ascii="Arial" w:hAnsi="Arial" w:cs="Arial"/>
          <w:sz w:val="18"/>
          <w:szCs w:val="18"/>
          <w:u w:val="single"/>
        </w:rPr>
        <w:t xml:space="preserve">En la  actual etapa de la evolución del derecho internacional, el principio fundamental de  igualdad y no discriminación ha ingresado en el dominio del </w:t>
      </w:r>
      <w:proofErr w:type="spellStart"/>
      <w:r w:rsidRPr="00E879DF">
        <w:rPr>
          <w:rFonts w:ascii="Arial" w:hAnsi="Arial" w:cs="Arial"/>
          <w:sz w:val="18"/>
          <w:szCs w:val="18"/>
          <w:u w:val="single"/>
        </w:rPr>
        <w:t>jus</w:t>
      </w:r>
      <w:proofErr w:type="spellEnd"/>
      <w:r w:rsidRPr="00E879DF">
        <w:rPr>
          <w:rFonts w:ascii="Arial" w:hAnsi="Arial" w:cs="Arial"/>
          <w:sz w:val="18"/>
          <w:szCs w:val="18"/>
          <w:u w:val="single"/>
        </w:rPr>
        <w:t xml:space="preserve"> </w:t>
      </w:r>
      <w:proofErr w:type="spellStart"/>
      <w:r w:rsidRPr="00E879DF">
        <w:rPr>
          <w:rFonts w:ascii="Arial" w:hAnsi="Arial" w:cs="Arial"/>
          <w:sz w:val="18"/>
          <w:szCs w:val="18"/>
          <w:u w:val="single"/>
        </w:rPr>
        <w:t>cogens</w:t>
      </w:r>
      <w:proofErr w:type="spellEnd"/>
      <w:r w:rsidRPr="00E879DF">
        <w:rPr>
          <w:rFonts w:ascii="Arial" w:hAnsi="Arial" w:cs="Arial"/>
          <w:sz w:val="18"/>
          <w:szCs w:val="18"/>
        </w:rPr>
        <w:t>”, párrafo 101 (énfasis de la Sala).</w:t>
      </w:r>
    </w:p>
  </w:footnote>
  <w:footnote w:id="5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T-629 de 2010.</w:t>
      </w:r>
    </w:p>
  </w:footnote>
  <w:footnote w:id="58">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Adoptada en San Francisco (California, Estados Unidos), en el marco de la Conferencia de las Naciones Unidas sobre Organización Internacional.</w:t>
      </w:r>
    </w:p>
  </w:footnote>
  <w:footnote w:id="59">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Preámbulo de la </w:t>
      </w:r>
      <w:r w:rsidRPr="00E879DF">
        <w:rPr>
          <w:rFonts w:ascii="Arial" w:hAnsi="Arial" w:cs="Arial"/>
          <w:bCs/>
          <w:sz w:val="18"/>
          <w:szCs w:val="18"/>
        </w:rPr>
        <w:t>Carta de las Naciones Unidas.</w:t>
      </w:r>
    </w:p>
  </w:footnote>
  <w:footnote w:id="60">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Al respecto, la Asamblea General de la Organización de las Naciones Unidas ha condenado sistemáticamente la realización de actividades terroristas, al considerar que entrañan actos criminales “injustificables dondequiera y por quienquiera que sea cometidos”. </w:t>
      </w:r>
      <w:r w:rsidRPr="00E879DF">
        <w:rPr>
          <w:rFonts w:ascii="Arial" w:hAnsi="Arial" w:cs="Arial"/>
          <w:i/>
          <w:sz w:val="18"/>
          <w:szCs w:val="18"/>
        </w:rPr>
        <w:t>Vid</w:t>
      </w:r>
      <w:r w:rsidRPr="00E879DF">
        <w:rPr>
          <w:rFonts w:ascii="Arial" w:hAnsi="Arial" w:cs="Arial"/>
          <w:sz w:val="18"/>
          <w:szCs w:val="18"/>
        </w:rPr>
        <w:t xml:space="preserve">., entre otras, la Resolución 60/105, titulada “Medidas para eliminar el terrorismo internacional”, aprobada por la Asamblea General el 9 de diciembre de 2011. </w:t>
      </w:r>
    </w:p>
  </w:footnote>
  <w:footnote w:id="6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Este grupo de acciones  representan de lejos los peores ejemplos de violencia y agresión entre congéneres. De allí su castigo unánime por parte de la comunidad internacional y el establecimiento de garantías para su eficaz persecución, como su carácter imprescriptible. </w:t>
      </w:r>
      <w:r w:rsidRPr="00E879DF">
        <w:rPr>
          <w:rFonts w:ascii="Arial" w:hAnsi="Arial" w:cs="Arial"/>
          <w:i/>
          <w:sz w:val="18"/>
          <w:szCs w:val="18"/>
        </w:rPr>
        <w:t>Cfr</w:t>
      </w:r>
      <w:r w:rsidRPr="00E879DF">
        <w:rPr>
          <w:rFonts w:ascii="Arial" w:hAnsi="Arial" w:cs="Arial"/>
          <w:sz w:val="18"/>
          <w:szCs w:val="18"/>
        </w:rPr>
        <w:t xml:space="preserve">., Asamblea General de la Organización de Naciones Unidas, “Principios y directrices básicos sobre el derecho de las víctimas de violaciones manifiestas de las normas internacionales de derechos humanos y de violaciones graves del derecho internacional humanitario a interponer recursos y obtener reparaciones”, Resolución 60/147, aprobada por la Asamblea General el 16 de diciembre de 2005. </w:t>
      </w:r>
    </w:p>
  </w:footnote>
  <w:footnote w:id="62">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La Asamblea General de la Organización de las Naciones Unidas también ha reprochado los delitos asociados al narcotráfico, por sus efectos nocivos sobre la generalidad de los Estados. Así, en 1998 destacó lo siguiente: “Las drogas afectan a todos los sectores de la sociedad en todos los países; sobre todo, el uso indebido de drogas afecta a la libertad y al desarrollo de los jóvenes, que son el patrimonio más preciado de la humanidad. </w:t>
      </w:r>
      <w:r w:rsidRPr="00E879DF">
        <w:rPr>
          <w:rFonts w:ascii="Arial" w:hAnsi="Arial" w:cs="Arial"/>
          <w:sz w:val="18"/>
          <w:szCs w:val="18"/>
          <w:u w:val="single"/>
        </w:rPr>
        <w:t>Las drogas constituyen una grave amenaza para la salud y el bienestar de todo el género humano, para la independencia de los Estados, la democracia, la estabilidad de las naciones, la estructura de todas las sociedades y la dignidad y la esperanza de millones de personas y sus familias</w:t>
      </w:r>
      <w:r w:rsidRPr="00E879DF">
        <w:rPr>
          <w:rFonts w:ascii="Arial" w:hAnsi="Arial" w:cs="Arial"/>
          <w:sz w:val="18"/>
          <w:szCs w:val="18"/>
        </w:rPr>
        <w:t>” (énfasis agregado). En, “Sesión Especial de la Asamblea General de Naciones Unidas, celebrada en Nueva York los días 8 a 10 de junio de 1998”, (Disponible en: www.pnsd.msc.es/Categoria3/coopera/onu/cooperanacio5.htm).</w:t>
      </w:r>
    </w:p>
  </w:footnote>
  <w:footnote w:id="63">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Sobre la incidencia de estos delitos en el funcionamiento de la sociedad y el Estado, la Corte Constitucional señaló en la sentencia C-083 de 1999, lo siguiente: “Los compromisos constitucionales que en materia económica y social le corresponde cumplir al Estado, exigen de éste la implementación de políticas institucionales y la obtención de los instrumentos idóneos para su realización material […] Esto explica por qué en el ordenamiento jurídico se consagran una serie de medidas administrativas y jurisdiccionales tendientes a proteger ese bien jurídico denominado ‘orden económico social’. Precisamente, el orden legal económico se constituye en objeto de tutela del derecho, particularmente del derecho punitivo, dado el interés que representa para el Estado su conservación. Ciertamente, resulta de singular importancia para la administración pública que el régimen económico establecido por la Constitución y la ley se desenvuelva en condiciones de normalidad, sin alteraciones, buscando asegurar la prestación de los servicios que de él se desprenden”.</w:t>
      </w:r>
    </w:p>
  </w:footnote>
  <w:footnote w:id="6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Según la Corte Interamericana de Derechos Humanos los derechos de las víctimas se derivan de los artículos 8 (garantías judiciales) y 25 (protección judicial) de la Convención Americana sobre Derechos Humanos (</w:t>
      </w:r>
      <w:r w:rsidRPr="00E879DF">
        <w:rPr>
          <w:rFonts w:ascii="Arial" w:hAnsi="Arial" w:cs="Arial"/>
          <w:i/>
          <w:sz w:val="18"/>
          <w:szCs w:val="18"/>
        </w:rPr>
        <w:t>Cfr</w:t>
      </w:r>
      <w:r w:rsidRPr="00E879DF">
        <w:rPr>
          <w:rFonts w:ascii="Arial" w:hAnsi="Arial" w:cs="Arial"/>
          <w:sz w:val="18"/>
          <w:szCs w:val="18"/>
        </w:rPr>
        <w:t xml:space="preserve">., sentencia de fondo y reparaciones en el Caso </w:t>
      </w:r>
      <w:proofErr w:type="spellStart"/>
      <w:r w:rsidRPr="00E879DF">
        <w:rPr>
          <w:rFonts w:ascii="Arial" w:hAnsi="Arial" w:cs="Arial"/>
          <w:sz w:val="18"/>
          <w:szCs w:val="18"/>
        </w:rPr>
        <w:t>Gelman</w:t>
      </w:r>
      <w:proofErr w:type="spellEnd"/>
      <w:r w:rsidRPr="00E879DF">
        <w:rPr>
          <w:rFonts w:ascii="Arial" w:hAnsi="Arial" w:cs="Arial"/>
          <w:sz w:val="18"/>
          <w:szCs w:val="18"/>
        </w:rPr>
        <w:t xml:space="preserve"> vs. Uruguay, del 24 de febrero de  2011). Por su lado, la Corte Constitucional colombiana asegura que estos derechos encuentran fundamento jurídico positivo en el artículo 22 superior sobre el derecho a la paz (</w:t>
      </w:r>
      <w:r w:rsidRPr="00E879DF">
        <w:rPr>
          <w:rFonts w:ascii="Arial" w:hAnsi="Arial" w:cs="Arial"/>
          <w:i/>
          <w:sz w:val="18"/>
          <w:szCs w:val="18"/>
        </w:rPr>
        <w:t>Cfr</w:t>
      </w:r>
      <w:r w:rsidRPr="00E879DF">
        <w:rPr>
          <w:rFonts w:ascii="Arial" w:hAnsi="Arial" w:cs="Arial"/>
          <w:sz w:val="18"/>
          <w:szCs w:val="18"/>
        </w:rPr>
        <w:t xml:space="preserve">., sentencia T-821 de 2007). </w:t>
      </w:r>
    </w:p>
  </w:footnote>
  <w:footnote w:id="6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comunicado de prensa No. 34 del 28 de agosto de 2013. </w:t>
      </w:r>
    </w:p>
  </w:footnote>
  <w:footnote w:id="6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Interamericana de Derechos Humanos, sentencia de fondo y reparaciones en el Caso </w:t>
      </w:r>
      <w:proofErr w:type="spellStart"/>
      <w:r w:rsidRPr="00E879DF">
        <w:rPr>
          <w:rFonts w:ascii="Arial" w:hAnsi="Arial" w:cs="Arial"/>
          <w:sz w:val="18"/>
          <w:szCs w:val="18"/>
        </w:rPr>
        <w:t>Gelman</w:t>
      </w:r>
      <w:proofErr w:type="spellEnd"/>
      <w:r w:rsidRPr="00E879DF">
        <w:rPr>
          <w:rFonts w:ascii="Arial" w:hAnsi="Arial" w:cs="Arial"/>
          <w:sz w:val="18"/>
          <w:szCs w:val="18"/>
        </w:rPr>
        <w:t xml:space="preserve"> vs. Uruguay, del 24 de febrero de  2011, párrafo 239.</w:t>
      </w:r>
    </w:p>
  </w:footnote>
  <w:footnote w:id="6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Sentencia T-554 de 2003.</w:t>
      </w:r>
    </w:p>
  </w:footnote>
  <w:footnote w:id="68">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Ídem. </w:t>
      </w:r>
    </w:p>
  </w:footnote>
  <w:footnote w:id="69">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Ídem. </w:t>
      </w:r>
    </w:p>
  </w:footnote>
  <w:footnote w:id="70">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Interamericana de Derechos Humanos, sentencia del Caso González y otras (“Campo Algodonero”) vs. México, 16 de noviembre de 2009, párrafos 300 y 301.</w:t>
      </w:r>
    </w:p>
  </w:footnote>
  <w:footnote w:id="71">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sentencia C-839 de 2013.</w:t>
      </w:r>
    </w:p>
  </w:footnote>
  <w:footnote w:id="72">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“Principios y directrices básicos sobre el derecho de las víctimas de violaciones manifiestas de las normas internacionales de derechos humanos y de violaciones graves del derecho internacional humanitario a interponer recursos y obtener reparaciones”, Resolución 60/147 aprobada por la Asamblea General de la Organización de las Naciones Unidas el 16 de diciembre de 2005.</w:t>
      </w:r>
    </w:p>
  </w:footnote>
  <w:footnote w:id="73">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sentencia C-839 de 2013.</w:t>
      </w:r>
    </w:p>
  </w:footnote>
  <w:footnote w:id="74">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Ver, entre muchas otras, las sentencias del 22 de junio de 2010 (expediente 2010-1829), 4 de agosto de 2010 (expediente 2010-00226), 19 de agosto de 2010 (expediente 2010-2400), 4 de marzo de 2011 (expediente 2011-417), 11 de mayo de 2011 (expediente 2011-996),  18 de diciembre de 2013 (expediente2013-3263), 20 de noviembre 2013 (expediente 2013-2962) y 6 de noviembre de 2013 (expediente 2013-2852).</w:t>
      </w:r>
    </w:p>
  </w:footnote>
  <w:footnote w:id="75">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Expediente 2014-286, sentencia de 26 de febrero de 2014. </w:t>
      </w:r>
    </w:p>
  </w:footnote>
  <w:footnote w:id="76">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w:t>
      </w:r>
      <w:r w:rsidRPr="00E879DF">
        <w:rPr>
          <w:rFonts w:ascii="Arial" w:hAnsi="Arial" w:cs="Arial"/>
          <w:i/>
          <w:sz w:val="18"/>
          <w:szCs w:val="18"/>
        </w:rPr>
        <w:t>Cfr</w:t>
      </w:r>
      <w:r w:rsidRPr="00E879DF">
        <w:rPr>
          <w:rFonts w:ascii="Arial" w:hAnsi="Arial" w:cs="Arial"/>
          <w:sz w:val="18"/>
          <w:szCs w:val="18"/>
        </w:rPr>
        <w:t>., entre otras, la sentencia T-002 de 2012.</w:t>
      </w:r>
    </w:p>
  </w:footnote>
  <w:footnote w:id="77">
    <w:p w:rsidR="00597D8D" w:rsidRPr="00E879DF" w:rsidRDefault="00597D8D" w:rsidP="00597D8D">
      <w:pPr>
        <w:pStyle w:val="Textonotapie"/>
        <w:jc w:val="both"/>
        <w:rPr>
          <w:rFonts w:ascii="Arial" w:hAnsi="Arial" w:cs="Arial"/>
          <w:sz w:val="18"/>
          <w:szCs w:val="18"/>
        </w:rPr>
      </w:pPr>
      <w:r w:rsidRPr="00E879DF">
        <w:rPr>
          <w:rStyle w:val="Refdenotaalpie"/>
          <w:rFonts w:ascii="Arial" w:hAnsi="Arial" w:cs="Arial"/>
          <w:sz w:val="18"/>
          <w:szCs w:val="18"/>
        </w:rPr>
        <w:footnoteRef/>
      </w:r>
      <w:r w:rsidRPr="00E879DF">
        <w:rPr>
          <w:rFonts w:ascii="Arial" w:hAnsi="Arial" w:cs="Arial"/>
          <w:sz w:val="18"/>
          <w:szCs w:val="18"/>
        </w:rPr>
        <w:t xml:space="preserve"> Corte Constitucional, </w:t>
      </w:r>
      <w:r w:rsidRPr="00E879DF">
        <w:rPr>
          <w:rStyle w:val="PiedepginaCar"/>
          <w:rFonts w:ascii="Arial" w:hAnsi="Arial" w:cs="Arial"/>
          <w:iCs/>
          <w:sz w:val="18"/>
          <w:szCs w:val="18"/>
          <w:shd w:val="clear" w:color="auto" w:fill="FFFFFF"/>
        </w:rPr>
        <w:t>sentencia T-552 de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8D" w:rsidRPr="00E879DF" w:rsidRDefault="00597D8D" w:rsidP="00597D8D">
    <w:pPr>
      <w:pStyle w:val="Encabezado"/>
      <w:rPr>
        <w:i/>
        <w:sz w:val="18"/>
        <w:szCs w:val="18"/>
      </w:rPr>
    </w:pPr>
    <w:r w:rsidRPr="00E879DF">
      <w:rPr>
        <w:i/>
        <w:sz w:val="18"/>
        <w:szCs w:val="18"/>
      </w:rPr>
      <w:t>Conflicto de jurisdicciones</w:t>
    </w:r>
  </w:p>
  <w:p w:rsidR="00597D8D" w:rsidRPr="00E879DF" w:rsidRDefault="00597D8D" w:rsidP="00597D8D">
    <w:pPr>
      <w:pStyle w:val="Encabezado"/>
      <w:rPr>
        <w:i/>
        <w:sz w:val="18"/>
        <w:szCs w:val="18"/>
      </w:rPr>
    </w:pPr>
    <w:r w:rsidRPr="00E879DF">
      <w:rPr>
        <w:rFonts w:ascii="Arial" w:hAnsi="Arial" w:cs="Arial"/>
        <w:i/>
        <w:sz w:val="18"/>
        <w:szCs w:val="18"/>
      </w:rPr>
      <w:t xml:space="preserve">Radicado número: </w:t>
    </w:r>
    <w:r w:rsidRPr="002F05C7">
      <w:rPr>
        <w:bCs/>
        <w:i/>
        <w:iCs/>
        <w:sz w:val="18"/>
        <w:szCs w:val="18"/>
      </w:rPr>
      <w:t>110010102000201402168 00</w:t>
    </w:r>
  </w:p>
  <w:p w:rsidR="00597D8D" w:rsidRDefault="00597D8D">
    <w:pPr>
      <w:pStyle w:val="Encabezado"/>
    </w:pPr>
  </w:p>
  <w:p w:rsidR="00597D8D" w:rsidRDefault="00597D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57731"/>
    <w:multiLevelType w:val="hybridMultilevel"/>
    <w:tmpl w:val="D27C88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B505AA6"/>
    <w:multiLevelType w:val="hybridMultilevel"/>
    <w:tmpl w:val="D8B07400"/>
    <w:lvl w:ilvl="0" w:tplc="A9EEB84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9416F4"/>
    <w:multiLevelType w:val="hybridMultilevel"/>
    <w:tmpl w:val="83A61C22"/>
    <w:lvl w:ilvl="0" w:tplc="A470F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16"/>
    <w:rsid w:val="001E0F04"/>
    <w:rsid w:val="00213F1E"/>
    <w:rsid w:val="00597D8D"/>
    <w:rsid w:val="00813F16"/>
    <w:rsid w:val="00AB2090"/>
    <w:rsid w:val="00EE6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A4F5D-EEF3-4496-9197-0053A709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8D"/>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97D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7D8D"/>
    <w:rPr>
      <w:lang w:val="es-CO"/>
    </w:rPr>
  </w:style>
  <w:style w:type="paragraph" w:styleId="Textonotapie">
    <w:name w:val="footnote text"/>
    <w:basedOn w:val="Normal"/>
    <w:link w:val="TextonotapieCar"/>
    <w:uiPriority w:val="99"/>
    <w:semiHidden/>
    <w:unhideWhenUsed/>
    <w:rsid w:val="00597D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7D8D"/>
    <w:rPr>
      <w:sz w:val="20"/>
      <w:szCs w:val="20"/>
      <w:lang w:val="es-CO"/>
    </w:rPr>
  </w:style>
  <w:style w:type="character" w:styleId="Refdenotaalpie">
    <w:name w:val="footnote reference"/>
    <w:aliases w:val="Texto de nota al pie,Appel note de bas de page,referencia nota al pie"/>
    <w:uiPriority w:val="99"/>
    <w:unhideWhenUsed/>
    <w:rsid w:val="00597D8D"/>
    <w:rPr>
      <w:rFonts w:ascii="Times New Roman" w:hAnsi="Times New Roman" w:cs="Times New Roman" w:hint="default"/>
      <w:vertAlign w:val="superscript"/>
    </w:rPr>
  </w:style>
  <w:style w:type="character" w:styleId="Hipervnculo">
    <w:name w:val="Hyperlink"/>
    <w:uiPriority w:val="99"/>
    <w:unhideWhenUsed/>
    <w:rsid w:val="00597D8D"/>
    <w:rPr>
      <w:color w:val="0563C1"/>
      <w:u w:val="single"/>
    </w:rPr>
  </w:style>
  <w:style w:type="character" w:customStyle="1" w:styleId="apple-converted-space">
    <w:name w:val="apple-converted-space"/>
    <w:basedOn w:val="Fuentedeprrafopredeter"/>
    <w:rsid w:val="00597D8D"/>
  </w:style>
  <w:style w:type="character" w:customStyle="1" w:styleId="apple-style-span">
    <w:name w:val="apple-style-span"/>
    <w:basedOn w:val="Fuentedeprrafopredeter"/>
    <w:rsid w:val="00597D8D"/>
  </w:style>
  <w:style w:type="paragraph" w:styleId="Prrafodelista">
    <w:name w:val="List Paragraph"/>
    <w:basedOn w:val="Normal"/>
    <w:uiPriority w:val="34"/>
    <w:qFormat/>
    <w:rsid w:val="00597D8D"/>
    <w:pPr>
      <w:ind w:left="720"/>
      <w:contextualSpacing/>
    </w:pPr>
  </w:style>
  <w:style w:type="paragraph" w:styleId="Encabezado">
    <w:name w:val="header"/>
    <w:basedOn w:val="Normal"/>
    <w:link w:val="EncabezadoCar"/>
    <w:uiPriority w:val="99"/>
    <w:unhideWhenUsed/>
    <w:rsid w:val="00597D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7D8D"/>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idh.ed.cr/BibliotecaWeb/Varios/Documentos/BD_2084057325/Asimilacionismo.doc?ur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10734</Words>
  <Characters>59039</Characters>
  <Application>Microsoft Office Word</Application>
  <DocSecurity>4</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Marcela Rodriguez Vargas</dc:creator>
  <cp:keywords/>
  <dc:description/>
  <cp:lastModifiedBy>Ivan Vasquez Ramirez</cp:lastModifiedBy>
  <cp:revision>2</cp:revision>
  <dcterms:created xsi:type="dcterms:W3CDTF">2014-12-10T15:11:00Z</dcterms:created>
  <dcterms:modified xsi:type="dcterms:W3CDTF">2014-12-10T15:11:00Z</dcterms:modified>
</cp:coreProperties>
</file>