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2E11" w:rsidRPr="00BE4E66" w:rsidRDefault="00CF2E11" w:rsidP="00CF2E11">
      <w:pPr>
        <w:tabs>
          <w:tab w:val="center" w:pos="4765"/>
        </w:tabs>
        <w:suppressAutoHyphens/>
        <w:jc w:val="center"/>
        <w:rPr>
          <w:rFonts w:eastAsia="Calibri"/>
          <w:b/>
          <w:bCs/>
          <w:spacing w:val="-2"/>
          <w:sz w:val="24"/>
          <w:szCs w:val="24"/>
          <w:lang w:val="es-CO"/>
        </w:rPr>
      </w:pPr>
      <w:bookmarkStart w:id="0" w:name="_GoBack"/>
      <w:bookmarkEnd w:id="0"/>
      <w:r w:rsidRPr="00BE4E66">
        <w:rPr>
          <w:rFonts w:eastAsia="Calibri"/>
          <w:b/>
          <w:bCs/>
          <w:spacing w:val="-2"/>
          <w:sz w:val="24"/>
          <w:szCs w:val="24"/>
          <w:lang w:val="es-CO"/>
        </w:rPr>
        <w:t>REPÚBLICA DE COLOMBIA</w:t>
      </w:r>
    </w:p>
    <w:p w:rsidR="00CF2E11" w:rsidRPr="00BE4E66" w:rsidRDefault="00CF2E11" w:rsidP="00CF2E11">
      <w:pPr>
        <w:tabs>
          <w:tab w:val="center" w:pos="4765"/>
        </w:tabs>
        <w:suppressAutoHyphens/>
        <w:jc w:val="center"/>
        <w:rPr>
          <w:rFonts w:eastAsia="Calibri"/>
          <w:b/>
          <w:bCs/>
          <w:spacing w:val="-2"/>
          <w:sz w:val="24"/>
          <w:szCs w:val="24"/>
          <w:lang w:val="es-CO"/>
        </w:rPr>
      </w:pPr>
      <w:r w:rsidRPr="00BE4E66">
        <w:rPr>
          <w:rFonts w:eastAsia="Calibri"/>
          <w:b/>
          <w:bCs/>
          <w:spacing w:val="-2"/>
          <w:sz w:val="24"/>
          <w:szCs w:val="24"/>
          <w:lang w:val="es-CO"/>
        </w:rPr>
        <w:t>RAMA JUDICIAL</w:t>
      </w:r>
    </w:p>
    <w:p w:rsidR="00CF2E11" w:rsidRPr="00BE4E66" w:rsidRDefault="00CF2E11" w:rsidP="00CF2E11">
      <w:pPr>
        <w:jc w:val="center"/>
        <w:rPr>
          <w:rFonts w:eastAsia="Calibri"/>
          <w:sz w:val="24"/>
          <w:szCs w:val="24"/>
          <w:lang w:val="es-CO"/>
        </w:rPr>
      </w:pPr>
      <w:r w:rsidRPr="00BE4E66">
        <w:rPr>
          <w:rFonts w:eastAsia="Calibri"/>
          <w:b/>
          <w:noProof/>
          <w:sz w:val="24"/>
          <w:szCs w:val="24"/>
          <w:lang w:eastAsia="es-ES"/>
        </w:rPr>
        <w:drawing>
          <wp:inline distT="0" distB="0" distL="0" distR="0" wp14:anchorId="22D767A3" wp14:editId="3CAF9AFA">
            <wp:extent cx="638175" cy="752475"/>
            <wp:effectExtent l="0" t="0" r="9525"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38175" cy="752475"/>
                    </a:xfrm>
                    <a:prstGeom prst="rect">
                      <a:avLst/>
                    </a:prstGeom>
                    <a:noFill/>
                    <a:ln>
                      <a:noFill/>
                    </a:ln>
                  </pic:spPr>
                </pic:pic>
              </a:graphicData>
            </a:graphic>
          </wp:inline>
        </w:drawing>
      </w:r>
    </w:p>
    <w:p w:rsidR="00CF2E11" w:rsidRPr="00BE4E66" w:rsidRDefault="00CF2E11" w:rsidP="00CF2E11">
      <w:pPr>
        <w:tabs>
          <w:tab w:val="left" w:pos="-720"/>
        </w:tabs>
        <w:suppressAutoHyphens/>
        <w:spacing w:before="120"/>
        <w:jc w:val="center"/>
        <w:rPr>
          <w:rFonts w:eastAsia="Calibri"/>
          <w:b/>
          <w:bCs/>
          <w:sz w:val="24"/>
          <w:szCs w:val="24"/>
          <w:lang w:val="es-CO"/>
        </w:rPr>
      </w:pPr>
      <w:r w:rsidRPr="00BE4E66">
        <w:rPr>
          <w:rFonts w:eastAsia="Calibri"/>
          <w:b/>
          <w:bCs/>
          <w:sz w:val="24"/>
          <w:szCs w:val="24"/>
          <w:lang w:val="es-CO"/>
        </w:rPr>
        <w:t>CONSEJO SUPERIOR DE LA JUDICATURA</w:t>
      </w:r>
    </w:p>
    <w:p w:rsidR="00CF2E11" w:rsidRPr="00BE4E66" w:rsidRDefault="00CF2E11" w:rsidP="00CF2E11">
      <w:pPr>
        <w:jc w:val="center"/>
        <w:rPr>
          <w:rFonts w:eastAsia="Calibri"/>
          <w:b/>
          <w:bCs/>
          <w:sz w:val="24"/>
          <w:szCs w:val="24"/>
          <w:lang w:val="es-CO"/>
        </w:rPr>
      </w:pPr>
      <w:r w:rsidRPr="00BE4E66">
        <w:rPr>
          <w:rFonts w:eastAsia="Calibri"/>
          <w:b/>
          <w:bCs/>
          <w:sz w:val="24"/>
          <w:szCs w:val="24"/>
          <w:lang w:val="es-CO"/>
        </w:rPr>
        <w:t>SALA JURISDICCIONAL DISCIPLINARIA</w:t>
      </w:r>
    </w:p>
    <w:p w:rsidR="00CF2E11" w:rsidRPr="00BE4E66" w:rsidRDefault="00CF2E11" w:rsidP="00CF2E11">
      <w:pPr>
        <w:jc w:val="left"/>
        <w:rPr>
          <w:rFonts w:eastAsia="Calibri"/>
          <w:b/>
          <w:bCs/>
          <w:sz w:val="24"/>
          <w:szCs w:val="24"/>
          <w:lang w:val="es-CO"/>
        </w:rPr>
      </w:pPr>
    </w:p>
    <w:p w:rsidR="00CF2E11" w:rsidRPr="00BE4E66" w:rsidRDefault="00CF2E11" w:rsidP="00CF2E11">
      <w:pPr>
        <w:jc w:val="left"/>
        <w:rPr>
          <w:rFonts w:eastAsia="Calibri"/>
          <w:b/>
          <w:bCs/>
          <w:sz w:val="24"/>
          <w:szCs w:val="24"/>
          <w:lang w:val="es-CO"/>
        </w:rPr>
      </w:pPr>
    </w:p>
    <w:p w:rsidR="00CF2E11" w:rsidRPr="004F6E54" w:rsidRDefault="00CF2E11" w:rsidP="00CF2E11">
      <w:pPr>
        <w:jc w:val="left"/>
        <w:rPr>
          <w:rFonts w:eastAsia="Calibri"/>
          <w:b/>
          <w:bCs/>
          <w:sz w:val="22"/>
          <w:szCs w:val="22"/>
          <w:lang w:val="es-CO"/>
        </w:rPr>
      </w:pPr>
      <w:r w:rsidRPr="004F6E54">
        <w:rPr>
          <w:rFonts w:eastAsia="Calibri"/>
          <w:b/>
          <w:bCs/>
          <w:sz w:val="22"/>
          <w:szCs w:val="22"/>
          <w:lang w:val="es-CO"/>
        </w:rPr>
        <w:t xml:space="preserve">Bogotá D. C., </w:t>
      </w:r>
      <w:r w:rsidRPr="004F6E54">
        <w:rPr>
          <w:b/>
          <w:bCs/>
          <w:sz w:val="22"/>
          <w:szCs w:val="22"/>
          <w:lang w:val="es-CO"/>
        </w:rPr>
        <w:t>treinta (30) de octubre de 2014</w:t>
      </w:r>
    </w:p>
    <w:p w:rsidR="00CF2E11" w:rsidRPr="004F6E54" w:rsidRDefault="00CF2E11" w:rsidP="00CF2E11">
      <w:pPr>
        <w:jc w:val="left"/>
        <w:rPr>
          <w:rFonts w:eastAsia="Calibri"/>
          <w:b/>
          <w:bCs/>
          <w:sz w:val="22"/>
          <w:szCs w:val="22"/>
          <w:lang w:val="es-CO"/>
        </w:rPr>
      </w:pPr>
      <w:r w:rsidRPr="004F6E54">
        <w:rPr>
          <w:rFonts w:eastAsia="Calibri"/>
          <w:b/>
          <w:bCs/>
          <w:sz w:val="22"/>
          <w:szCs w:val="22"/>
          <w:lang w:val="es-CO"/>
        </w:rPr>
        <w:t xml:space="preserve">Magistrado Ponente: Dr. NÉSTOR </w:t>
      </w:r>
      <w:r w:rsidRPr="004F6E54">
        <w:rPr>
          <w:b/>
          <w:bCs/>
          <w:sz w:val="22"/>
          <w:szCs w:val="22"/>
          <w:lang w:val="es-CO"/>
        </w:rPr>
        <w:t>IVÁN JAVIER</w:t>
      </w:r>
      <w:r w:rsidRPr="004F6E54">
        <w:rPr>
          <w:rFonts w:eastAsia="Calibri"/>
          <w:b/>
          <w:bCs/>
          <w:sz w:val="22"/>
          <w:szCs w:val="22"/>
          <w:lang w:val="es-CO"/>
        </w:rPr>
        <w:t xml:space="preserve"> OSUNA PATIÑO</w:t>
      </w:r>
    </w:p>
    <w:p w:rsidR="00CF2E11" w:rsidRPr="004F6E54" w:rsidRDefault="00CF2E11" w:rsidP="00CF2E11">
      <w:pPr>
        <w:rPr>
          <w:b/>
          <w:sz w:val="22"/>
          <w:szCs w:val="22"/>
          <w:lang w:val="es-CO"/>
        </w:rPr>
      </w:pPr>
      <w:r w:rsidRPr="004F6E54">
        <w:rPr>
          <w:rFonts w:eastAsia="Calibri"/>
          <w:b/>
          <w:sz w:val="22"/>
          <w:szCs w:val="22"/>
          <w:lang w:val="es-CO"/>
        </w:rPr>
        <w:t>Radicación No. 110010102000201401356 01</w:t>
      </w:r>
    </w:p>
    <w:p w:rsidR="00CF2E11" w:rsidRPr="004F6E54" w:rsidRDefault="00CF2E11" w:rsidP="00CF2E11">
      <w:pPr>
        <w:jc w:val="left"/>
        <w:rPr>
          <w:rFonts w:eastAsia="Calibri"/>
          <w:b/>
          <w:bCs/>
          <w:sz w:val="22"/>
          <w:szCs w:val="22"/>
          <w:lang w:val="es-CO"/>
        </w:rPr>
      </w:pPr>
      <w:r w:rsidRPr="004F6E54">
        <w:rPr>
          <w:rFonts w:eastAsia="Calibri"/>
          <w:b/>
          <w:bCs/>
          <w:sz w:val="22"/>
          <w:szCs w:val="22"/>
          <w:lang w:val="es-CO"/>
        </w:rPr>
        <w:t xml:space="preserve">Registro proyecto: </w:t>
      </w:r>
      <w:r w:rsidRPr="004F6E54">
        <w:rPr>
          <w:b/>
          <w:bCs/>
          <w:sz w:val="22"/>
          <w:szCs w:val="22"/>
          <w:lang w:val="es-CO"/>
        </w:rPr>
        <w:t>30 de octubre de 2014</w:t>
      </w:r>
    </w:p>
    <w:p w:rsidR="00CF2E11" w:rsidRPr="004F6E54" w:rsidRDefault="00CF2E11" w:rsidP="00CF2E11">
      <w:pPr>
        <w:jc w:val="left"/>
        <w:rPr>
          <w:rFonts w:eastAsia="Calibri"/>
          <w:b/>
          <w:bCs/>
          <w:sz w:val="22"/>
          <w:szCs w:val="22"/>
          <w:lang w:val="es-CO"/>
        </w:rPr>
      </w:pPr>
      <w:r w:rsidRPr="004F6E54">
        <w:rPr>
          <w:rFonts w:eastAsia="Calibri"/>
          <w:b/>
          <w:bCs/>
          <w:sz w:val="22"/>
          <w:szCs w:val="22"/>
          <w:lang w:val="es-CO"/>
        </w:rPr>
        <w:t xml:space="preserve">Aprobado según Acta N° </w:t>
      </w:r>
      <w:r>
        <w:rPr>
          <w:b/>
          <w:bCs/>
          <w:sz w:val="22"/>
          <w:szCs w:val="22"/>
          <w:lang w:val="es-CO"/>
        </w:rPr>
        <w:t>91</w:t>
      </w:r>
      <w:r w:rsidRPr="004F6E54">
        <w:rPr>
          <w:b/>
          <w:bCs/>
          <w:sz w:val="22"/>
          <w:szCs w:val="22"/>
          <w:lang w:val="es-CO"/>
        </w:rPr>
        <w:t xml:space="preserve"> de 30 de octubre de 2014</w:t>
      </w:r>
    </w:p>
    <w:p w:rsidR="00CF2E11" w:rsidRDefault="00CF2E11" w:rsidP="00CF2E11">
      <w:pPr>
        <w:spacing w:line="360" w:lineRule="auto"/>
        <w:rPr>
          <w:rFonts w:eastAsia="Calibri"/>
          <w:sz w:val="24"/>
          <w:szCs w:val="24"/>
          <w:lang w:val="es-CO" w:eastAsia="es-CO"/>
        </w:rPr>
      </w:pPr>
    </w:p>
    <w:p w:rsidR="00CF2E11" w:rsidRDefault="00CF2E11" w:rsidP="00CF2E11">
      <w:pPr>
        <w:spacing w:line="360" w:lineRule="auto"/>
        <w:rPr>
          <w:rFonts w:eastAsia="Calibri"/>
          <w:sz w:val="24"/>
          <w:szCs w:val="24"/>
          <w:lang w:val="es-CO" w:eastAsia="es-CO"/>
        </w:rPr>
      </w:pPr>
    </w:p>
    <w:p w:rsidR="00CF2E11" w:rsidRDefault="00CF2E11" w:rsidP="00CF2E11">
      <w:pPr>
        <w:spacing w:line="360" w:lineRule="auto"/>
        <w:rPr>
          <w:rFonts w:eastAsia="Calibri"/>
          <w:sz w:val="24"/>
          <w:szCs w:val="24"/>
          <w:lang w:val="es-CO" w:eastAsia="es-CO"/>
        </w:rPr>
      </w:pPr>
    </w:p>
    <w:tbl>
      <w:tblPr>
        <w:tblW w:w="0" w:type="auto"/>
        <w:tblInd w:w="28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5"/>
        <w:gridCol w:w="4323"/>
      </w:tblGrid>
      <w:tr w:rsidR="00CF2E11" w:rsidRPr="00BD2AA4" w:rsidTr="009658F0">
        <w:trPr>
          <w:trHeight w:val="379"/>
        </w:trPr>
        <w:tc>
          <w:tcPr>
            <w:tcW w:w="1701" w:type="dxa"/>
            <w:vAlign w:val="center"/>
          </w:tcPr>
          <w:p w:rsidR="00CF2E11" w:rsidRPr="00DC07B2" w:rsidRDefault="00CF2E11" w:rsidP="009658F0">
            <w:pPr>
              <w:tabs>
                <w:tab w:val="left" w:pos="0"/>
              </w:tabs>
              <w:ind w:right="-91"/>
              <w:rPr>
                <w:b/>
              </w:rPr>
            </w:pPr>
            <w:r w:rsidRPr="00DC07B2">
              <w:rPr>
                <w:b/>
              </w:rPr>
              <w:t>REFERENCIA:</w:t>
            </w:r>
          </w:p>
        </w:tc>
        <w:tc>
          <w:tcPr>
            <w:tcW w:w="4536" w:type="dxa"/>
            <w:vAlign w:val="center"/>
          </w:tcPr>
          <w:p w:rsidR="00CF2E11" w:rsidRPr="00BD2AA4" w:rsidRDefault="00CF2E11" w:rsidP="009658F0">
            <w:pPr>
              <w:tabs>
                <w:tab w:val="left" w:pos="0"/>
              </w:tabs>
            </w:pPr>
            <w:r>
              <w:t>Acción de tutela – segunda instancia</w:t>
            </w:r>
            <w:r w:rsidRPr="00BD2AA4">
              <w:t xml:space="preserve"> </w:t>
            </w:r>
          </w:p>
        </w:tc>
      </w:tr>
      <w:tr w:rsidR="00CF2E11" w:rsidRPr="00BD2AA4" w:rsidTr="009658F0">
        <w:trPr>
          <w:trHeight w:val="379"/>
        </w:trPr>
        <w:tc>
          <w:tcPr>
            <w:tcW w:w="1701" w:type="dxa"/>
            <w:vAlign w:val="center"/>
          </w:tcPr>
          <w:p w:rsidR="00CF2E11" w:rsidRPr="00DC07B2" w:rsidRDefault="00CF2E11" w:rsidP="009658F0">
            <w:pPr>
              <w:tabs>
                <w:tab w:val="left" w:pos="0"/>
              </w:tabs>
              <w:ind w:right="-91"/>
              <w:rPr>
                <w:b/>
              </w:rPr>
            </w:pPr>
            <w:r>
              <w:rPr>
                <w:b/>
              </w:rPr>
              <w:t>DEMANDANTE</w:t>
            </w:r>
            <w:r w:rsidRPr="00DC07B2">
              <w:rPr>
                <w:b/>
              </w:rPr>
              <w:t>:</w:t>
            </w:r>
          </w:p>
        </w:tc>
        <w:tc>
          <w:tcPr>
            <w:tcW w:w="4536" w:type="dxa"/>
            <w:vAlign w:val="center"/>
          </w:tcPr>
          <w:p w:rsidR="00CF2E11" w:rsidRPr="00BD2AA4" w:rsidRDefault="00CF2E11" w:rsidP="009658F0">
            <w:pPr>
              <w:tabs>
                <w:tab w:val="left" w:pos="0"/>
              </w:tabs>
            </w:pPr>
            <w:r>
              <w:t>Nelly Esther Gesama Tá</w:t>
            </w:r>
            <w:r w:rsidRPr="007B398C">
              <w:t>quez</w:t>
            </w:r>
            <w:r>
              <w:t xml:space="preserve">, </w:t>
            </w:r>
            <w:r w:rsidRPr="007B398C">
              <w:t xml:space="preserve">agente oficiosa de la </w:t>
            </w:r>
            <w:r>
              <w:t>niña</w:t>
            </w:r>
            <w:r w:rsidRPr="007B398C">
              <w:t xml:space="preserve"> “Bertha</w:t>
            </w:r>
            <w:r>
              <w:t>”</w:t>
            </w:r>
          </w:p>
        </w:tc>
      </w:tr>
      <w:tr w:rsidR="00CF2E11" w:rsidRPr="00BD2AA4" w:rsidTr="009658F0">
        <w:trPr>
          <w:trHeight w:val="380"/>
        </w:trPr>
        <w:tc>
          <w:tcPr>
            <w:tcW w:w="1701" w:type="dxa"/>
            <w:vAlign w:val="center"/>
          </w:tcPr>
          <w:p w:rsidR="00CF2E11" w:rsidRPr="00DC07B2" w:rsidRDefault="00CF2E11" w:rsidP="009658F0">
            <w:pPr>
              <w:tabs>
                <w:tab w:val="left" w:pos="0"/>
              </w:tabs>
              <w:ind w:right="-91"/>
              <w:rPr>
                <w:b/>
              </w:rPr>
            </w:pPr>
            <w:r>
              <w:rPr>
                <w:b/>
              </w:rPr>
              <w:t>DEMANDADO</w:t>
            </w:r>
            <w:r w:rsidRPr="00DC07B2">
              <w:rPr>
                <w:b/>
              </w:rPr>
              <w:t>:</w:t>
            </w:r>
          </w:p>
        </w:tc>
        <w:tc>
          <w:tcPr>
            <w:tcW w:w="4536" w:type="dxa"/>
            <w:vAlign w:val="center"/>
          </w:tcPr>
          <w:p w:rsidR="00CF2E11" w:rsidRPr="00BD2AA4" w:rsidRDefault="00CF2E11" w:rsidP="009658F0">
            <w:pPr>
              <w:tabs>
                <w:tab w:val="left" w:pos="0"/>
              </w:tabs>
            </w:pPr>
            <w:r>
              <w:t>Sala disciplinaria del Consejo Superior de la Judicatura</w:t>
            </w:r>
          </w:p>
        </w:tc>
      </w:tr>
      <w:tr w:rsidR="00CF2E11" w:rsidRPr="00BD2AA4" w:rsidTr="009658F0">
        <w:trPr>
          <w:trHeight w:val="380"/>
        </w:trPr>
        <w:tc>
          <w:tcPr>
            <w:tcW w:w="1701" w:type="dxa"/>
            <w:vAlign w:val="center"/>
          </w:tcPr>
          <w:p w:rsidR="00CF2E11" w:rsidRPr="00DC07B2" w:rsidRDefault="00CF2E11" w:rsidP="009658F0">
            <w:pPr>
              <w:tabs>
                <w:tab w:val="left" w:pos="0"/>
              </w:tabs>
              <w:ind w:right="-91"/>
              <w:rPr>
                <w:b/>
              </w:rPr>
            </w:pPr>
            <w:r>
              <w:rPr>
                <w:b/>
              </w:rPr>
              <w:t>PRIMERA INSTANCIA</w:t>
            </w:r>
            <w:r w:rsidRPr="00DC07B2">
              <w:rPr>
                <w:b/>
              </w:rPr>
              <w:t>:</w:t>
            </w:r>
          </w:p>
        </w:tc>
        <w:tc>
          <w:tcPr>
            <w:tcW w:w="4536" w:type="dxa"/>
            <w:vAlign w:val="center"/>
          </w:tcPr>
          <w:p w:rsidR="00CF2E11" w:rsidRPr="00BD2AA4" w:rsidRDefault="00CF2E11" w:rsidP="009658F0">
            <w:pPr>
              <w:tabs>
                <w:tab w:val="left" w:pos="0"/>
              </w:tabs>
            </w:pPr>
            <w:r>
              <w:t>Negó las pretensiones</w:t>
            </w:r>
          </w:p>
        </w:tc>
      </w:tr>
      <w:tr w:rsidR="00CF2E11" w:rsidRPr="00BD2AA4" w:rsidTr="009658F0">
        <w:trPr>
          <w:trHeight w:val="380"/>
        </w:trPr>
        <w:tc>
          <w:tcPr>
            <w:tcW w:w="1701" w:type="dxa"/>
            <w:vAlign w:val="center"/>
          </w:tcPr>
          <w:p w:rsidR="00CF2E11" w:rsidRDefault="00CF2E11" w:rsidP="009658F0">
            <w:pPr>
              <w:tabs>
                <w:tab w:val="left" w:pos="0"/>
              </w:tabs>
              <w:ind w:right="-91"/>
              <w:rPr>
                <w:b/>
              </w:rPr>
            </w:pPr>
            <w:r>
              <w:rPr>
                <w:b/>
              </w:rPr>
              <w:t>DECISIÓN</w:t>
            </w:r>
          </w:p>
        </w:tc>
        <w:tc>
          <w:tcPr>
            <w:tcW w:w="4536" w:type="dxa"/>
            <w:vAlign w:val="center"/>
          </w:tcPr>
          <w:p w:rsidR="00CF2E11" w:rsidRDefault="00CF2E11" w:rsidP="009658F0">
            <w:pPr>
              <w:tabs>
                <w:tab w:val="left" w:pos="0"/>
              </w:tabs>
            </w:pPr>
            <w:r>
              <w:t>Revoca y asigna competencia</w:t>
            </w:r>
          </w:p>
        </w:tc>
      </w:tr>
    </w:tbl>
    <w:p w:rsidR="00CF2E11" w:rsidRDefault="00CF2E11" w:rsidP="00CF2E11">
      <w:pPr>
        <w:spacing w:line="360" w:lineRule="auto"/>
        <w:rPr>
          <w:rFonts w:eastAsia="Calibri"/>
          <w:sz w:val="24"/>
          <w:szCs w:val="24"/>
          <w:lang w:eastAsia="es-CO"/>
        </w:rPr>
      </w:pPr>
    </w:p>
    <w:p w:rsidR="00CF2E11" w:rsidRPr="00810598" w:rsidRDefault="00CF2E11" w:rsidP="00CF2E11">
      <w:pPr>
        <w:spacing w:line="360" w:lineRule="auto"/>
        <w:rPr>
          <w:rFonts w:eastAsia="Calibri"/>
          <w:sz w:val="24"/>
          <w:szCs w:val="24"/>
          <w:lang w:eastAsia="es-CO"/>
        </w:rPr>
      </w:pPr>
    </w:p>
    <w:p w:rsidR="00CF2E11" w:rsidRPr="00BE4E66" w:rsidRDefault="00CF2E11" w:rsidP="00CF2E11">
      <w:pPr>
        <w:keepNext/>
        <w:keepLines/>
        <w:numPr>
          <w:ilvl w:val="0"/>
          <w:numId w:val="3"/>
        </w:numPr>
        <w:autoSpaceDE w:val="0"/>
        <w:autoSpaceDN w:val="0"/>
        <w:adjustRightInd w:val="0"/>
        <w:spacing w:line="360" w:lineRule="auto"/>
        <w:jc w:val="center"/>
        <w:outlineLvl w:val="0"/>
        <w:rPr>
          <w:rFonts w:eastAsia="Times New Roman"/>
          <w:b/>
          <w:bCs/>
          <w:sz w:val="24"/>
          <w:szCs w:val="24"/>
          <w:lang w:val="es-ES_tradnl" w:eastAsia="x-none"/>
        </w:rPr>
      </w:pPr>
      <w:r w:rsidRPr="00BE4E66">
        <w:rPr>
          <w:rFonts w:eastAsia="Times New Roman"/>
          <w:b/>
          <w:bCs/>
          <w:sz w:val="24"/>
          <w:szCs w:val="24"/>
          <w:lang w:val="es-ES_tradnl" w:eastAsia="x-none"/>
        </w:rPr>
        <w:t>ASUNTO</w:t>
      </w:r>
    </w:p>
    <w:p w:rsidR="00CF2E11" w:rsidRPr="00BE4E66" w:rsidRDefault="00CF2E11" w:rsidP="00CF2E11">
      <w:pPr>
        <w:jc w:val="left"/>
        <w:rPr>
          <w:rFonts w:eastAsia="Calibri"/>
          <w:sz w:val="24"/>
          <w:szCs w:val="24"/>
          <w:lang w:val="es-ES_tradnl" w:eastAsia="x-none"/>
        </w:rPr>
      </w:pPr>
    </w:p>
    <w:p w:rsidR="00CF2E11" w:rsidRPr="00BE4E66" w:rsidRDefault="00CF2E11" w:rsidP="00CF2E11">
      <w:pPr>
        <w:jc w:val="left"/>
        <w:rPr>
          <w:rFonts w:eastAsia="Calibri"/>
          <w:sz w:val="24"/>
          <w:szCs w:val="24"/>
          <w:lang w:val="es-ES_tradnl" w:eastAsia="x-none"/>
        </w:rPr>
      </w:pPr>
    </w:p>
    <w:p w:rsidR="00CF2E11" w:rsidRPr="00BE4E66" w:rsidRDefault="00CF2E11" w:rsidP="00CF2E11">
      <w:pPr>
        <w:spacing w:line="360" w:lineRule="auto"/>
        <w:rPr>
          <w:sz w:val="24"/>
          <w:szCs w:val="24"/>
          <w:lang w:val="es-ES_tradnl"/>
        </w:rPr>
      </w:pPr>
      <w:r w:rsidRPr="00BE4E66">
        <w:rPr>
          <w:rFonts w:eastAsia="Calibri"/>
          <w:sz w:val="24"/>
          <w:szCs w:val="24"/>
          <w:lang w:val="es-ES_tradnl"/>
        </w:rPr>
        <w:t xml:space="preserve">Aceptados los impedimentos </w:t>
      </w:r>
      <w:r>
        <w:rPr>
          <w:rFonts w:eastAsia="Calibri"/>
          <w:sz w:val="24"/>
          <w:szCs w:val="24"/>
          <w:lang w:val="es-ES_tradnl"/>
        </w:rPr>
        <w:t>presentados</w:t>
      </w:r>
      <w:r w:rsidRPr="00BE4E66">
        <w:rPr>
          <w:rFonts w:eastAsia="Calibri"/>
          <w:sz w:val="24"/>
          <w:szCs w:val="24"/>
          <w:lang w:val="es-ES_tradnl"/>
        </w:rPr>
        <w:t xml:space="preserve"> por los magistrados</w:t>
      </w:r>
      <w:r w:rsidRPr="00BE4E66">
        <w:rPr>
          <w:rFonts w:eastAsia="Calibri"/>
          <w:sz w:val="24"/>
          <w:szCs w:val="24"/>
          <w:lang w:val="es-CO"/>
        </w:rPr>
        <w:t xml:space="preserve"> </w:t>
      </w:r>
      <w:r w:rsidRPr="00BE4E66">
        <w:rPr>
          <w:sz w:val="24"/>
          <w:szCs w:val="24"/>
        </w:rPr>
        <w:t>Julia Emma Garzón de Gómez, Angelino Lizcano Rivera, María Mercedes López Mora, Wilson Ruiz Orejuela, Pedro Alonso Sanabria Buitrago y José Ovidio Claros Polanco</w:t>
      </w:r>
      <w:r w:rsidRPr="00BE4E66">
        <w:rPr>
          <w:rFonts w:eastAsia="Calibri"/>
          <w:sz w:val="24"/>
          <w:szCs w:val="24"/>
          <w:lang w:val="es-ES_tradnl"/>
        </w:rPr>
        <w:t xml:space="preserve">, procede esta Sala a resolver la impugnación presentada por </w:t>
      </w:r>
      <w:r>
        <w:rPr>
          <w:sz w:val="24"/>
          <w:szCs w:val="24"/>
          <w:lang w:val="es-ES_tradnl"/>
        </w:rPr>
        <w:t>Nelly Esther Gesama Tá</w:t>
      </w:r>
      <w:r w:rsidRPr="00BE4E66">
        <w:rPr>
          <w:sz w:val="24"/>
          <w:szCs w:val="24"/>
          <w:lang w:val="es-ES_tradnl"/>
        </w:rPr>
        <w:t>quez</w:t>
      </w:r>
      <w:r>
        <w:rPr>
          <w:sz w:val="24"/>
          <w:szCs w:val="24"/>
          <w:lang w:val="es-ES_tradnl"/>
        </w:rPr>
        <w:t>,</w:t>
      </w:r>
      <w:r w:rsidRPr="00BE4E66">
        <w:rPr>
          <w:sz w:val="24"/>
          <w:szCs w:val="24"/>
          <w:lang w:val="es-ES_tradnl"/>
        </w:rPr>
        <w:t xml:space="preserve"> en su calidad de agente oficiosa de la menor de edad “Bertha”, </w:t>
      </w:r>
      <w:r w:rsidRPr="00BE4E66">
        <w:rPr>
          <w:rFonts w:eastAsia="Calibri"/>
          <w:sz w:val="24"/>
          <w:szCs w:val="24"/>
          <w:lang w:val="es-ES_tradnl"/>
        </w:rPr>
        <w:t xml:space="preserve">contra el fallo de primera instancia del 26 de junio de 2014, proferido por la </w:t>
      </w:r>
      <w:r w:rsidRPr="00BE4E66">
        <w:rPr>
          <w:rFonts w:eastAsia="Calibri"/>
          <w:sz w:val="24"/>
          <w:szCs w:val="24"/>
          <w:lang w:val="es-CO"/>
        </w:rPr>
        <w:t>Sala Jurisdiccional Disciplinaria del Consejo Seccional de la Judicatura de Bogotá</w:t>
      </w:r>
      <w:r w:rsidRPr="00BE4E66">
        <w:rPr>
          <w:rFonts w:eastAsia="Calibri"/>
          <w:sz w:val="24"/>
          <w:szCs w:val="24"/>
          <w:vertAlign w:val="superscript"/>
          <w:lang w:val="es-CO"/>
        </w:rPr>
        <w:footnoteReference w:id="1"/>
      </w:r>
      <w:r w:rsidRPr="00BE4E66">
        <w:rPr>
          <w:rFonts w:eastAsia="Calibri"/>
          <w:sz w:val="24"/>
          <w:szCs w:val="24"/>
          <w:lang w:val="es-CO"/>
        </w:rPr>
        <w:t xml:space="preserve">, el cual decidió negar la solicitud de amparo promovida contra la Sala Jurisdiccional Disciplinaria del Consejo Superior de la Judicatura y el </w:t>
      </w:r>
      <w:r w:rsidRPr="00BE4E66">
        <w:rPr>
          <w:sz w:val="24"/>
          <w:szCs w:val="24"/>
        </w:rPr>
        <w:t>Resguardo Indígena de “San Juan” de Ipiales</w:t>
      </w:r>
      <w:r w:rsidRPr="00BE4E66">
        <w:rPr>
          <w:rFonts w:eastAsia="Calibri"/>
          <w:sz w:val="24"/>
          <w:szCs w:val="24"/>
          <w:lang w:val="es-CO"/>
        </w:rPr>
        <w:t>.</w:t>
      </w:r>
    </w:p>
    <w:p w:rsidR="00CF2E11" w:rsidRPr="00BE4E66" w:rsidRDefault="00CF2E11" w:rsidP="00CF2E11">
      <w:pPr>
        <w:spacing w:line="360" w:lineRule="auto"/>
        <w:rPr>
          <w:rFonts w:eastAsia="Calibri"/>
          <w:color w:val="FF0000"/>
          <w:sz w:val="24"/>
          <w:szCs w:val="24"/>
          <w:lang w:val="es-ES_tradnl"/>
        </w:rPr>
      </w:pPr>
    </w:p>
    <w:p w:rsidR="00CF2E11" w:rsidRPr="00BE4E66" w:rsidRDefault="00CF2E11" w:rsidP="00CF2E11">
      <w:pPr>
        <w:keepNext/>
        <w:keepLines/>
        <w:numPr>
          <w:ilvl w:val="0"/>
          <w:numId w:val="3"/>
        </w:numPr>
        <w:autoSpaceDE w:val="0"/>
        <w:autoSpaceDN w:val="0"/>
        <w:adjustRightInd w:val="0"/>
        <w:spacing w:line="360" w:lineRule="auto"/>
        <w:jc w:val="center"/>
        <w:outlineLvl w:val="0"/>
        <w:rPr>
          <w:rFonts w:eastAsia="Times New Roman"/>
          <w:b/>
          <w:bCs/>
          <w:sz w:val="24"/>
          <w:szCs w:val="24"/>
          <w:lang w:val="es-ES_tradnl" w:eastAsia="x-none"/>
        </w:rPr>
      </w:pPr>
      <w:r w:rsidRPr="00BE4E66">
        <w:rPr>
          <w:rFonts w:eastAsia="Times New Roman"/>
          <w:b/>
          <w:bCs/>
          <w:sz w:val="24"/>
          <w:szCs w:val="24"/>
          <w:lang w:val="es-ES_tradnl" w:eastAsia="x-none"/>
        </w:rPr>
        <w:lastRenderedPageBreak/>
        <w:t>ANTECEDENTES</w:t>
      </w:r>
    </w:p>
    <w:p w:rsidR="00CF2E11" w:rsidRDefault="00CF2E11" w:rsidP="00CF2E11">
      <w:pPr>
        <w:spacing w:line="360" w:lineRule="auto"/>
        <w:rPr>
          <w:rFonts w:eastAsia="Calibri"/>
          <w:sz w:val="24"/>
          <w:szCs w:val="24"/>
          <w:lang w:val="es-ES_tradnl" w:eastAsia="es-CO"/>
        </w:rPr>
      </w:pPr>
    </w:p>
    <w:p w:rsidR="00CF2E11" w:rsidRPr="00BE4E66" w:rsidRDefault="00CF2E11" w:rsidP="00CF2E11">
      <w:pPr>
        <w:spacing w:line="360" w:lineRule="auto"/>
        <w:rPr>
          <w:rFonts w:eastAsia="Calibri"/>
          <w:sz w:val="24"/>
          <w:szCs w:val="24"/>
          <w:lang w:val="es-ES_tradnl" w:eastAsia="es-CO"/>
        </w:rPr>
      </w:pPr>
    </w:p>
    <w:p w:rsidR="00CF2E11" w:rsidRPr="00BE4E66" w:rsidRDefault="00CF2E11" w:rsidP="00CF2E11">
      <w:pPr>
        <w:spacing w:line="360" w:lineRule="auto"/>
        <w:rPr>
          <w:rFonts w:eastAsia="Calibri"/>
          <w:sz w:val="24"/>
          <w:szCs w:val="24"/>
          <w:lang w:val="es-ES_tradnl" w:eastAsia="es-CO"/>
        </w:rPr>
      </w:pPr>
      <w:r w:rsidRPr="00BE4E66">
        <w:rPr>
          <w:rFonts w:eastAsia="Calibri"/>
          <w:sz w:val="24"/>
          <w:szCs w:val="24"/>
          <w:lang w:val="es-ES_tradnl" w:eastAsia="es-CO"/>
        </w:rPr>
        <w:t xml:space="preserve">En escrito radicado el 5 de junio de 2014, </w:t>
      </w:r>
      <w:r w:rsidRPr="00BE4E66">
        <w:rPr>
          <w:sz w:val="24"/>
          <w:szCs w:val="24"/>
          <w:lang w:val="es-ES_tradnl"/>
        </w:rPr>
        <w:t xml:space="preserve">Nelly Esther Gesama </w:t>
      </w:r>
      <w:r w:rsidRPr="00885107">
        <w:rPr>
          <w:sz w:val="24"/>
          <w:szCs w:val="24"/>
          <w:lang w:val="es-ES_tradnl"/>
        </w:rPr>
        <w:t>T</w:t>
      </w:r>
      <w:r>
        <w:rPr>
          <w:sz w:val="24"/>
          <w:szCs w:val="24"/>
          <w:lang w:val="es-ES_tradnl"/>
        </w:rPr>
        <w:t>á</w:t>
      </w:r>
      <w:r w:rsidRPr="00885107">
        <w:rPr>
          <w:sz w:val="24"/>
          <w:szCs w:val="24"/>
          <w:lang w:val="es-ES_tradnl"/>
        </w:rPr>
        <w:t>quez,</w:t>
      </w:r>
      <w:r w:rsidRPr="00BE4E66">
        <w:rPr>
          <w:sz w:val="24"/>
          <w:szCs w:val="24"/>
          <w:lang w:val="es-ES_tradnl"/>
        </w:rPr>
        <w:t xml:space="preserve"> en representación de su nieta, </w:t>
      </w:r>
      <w:r w:rsidRPr="00BE4E66">
        <w:rPr>
          <w:rFonts w:eastAsia="Calibri"/>
          <w:sz w:val="24"/>
          <w:szCs w:val="24"/>
          <w:lang w:val="es-ES_tradnl"/>
        </w:rPr>
        <w:t xml:space="preserve">interpuso acción de tutela contra </w:t>
      </w:r>
      <w:r w:rsidRPr="00BE4E66">
        <w:rPr>
          <w:rFonts w:eastAsia="Calibri"/>
          <w:sz w:val="24"/>
          <w:szCs w:val="24"/>
          <w:lang w:val="es-CO"/>
        </w:rPr>
        <w:t xml:space="preserve">la autoridad mencionada, </w:t>
      </w:r>
      <w:r w:rsidRPr="00BE4E66">
        <w:rPr>
          <w:rFonts w:eastAsia="Calibri"/>
          <w:sz w:val="24"/>
          <w:szCs w:val="24"/>
          <w:lang w:val="es-ES_tradnl"/>
        </w:rPr>
        <w:t xml:space="preserve">por considerar que le vulneró a la menor “Bertha” los derechos fundamentales </w:t>
      </w:r>
      <w:r w:rsidRPr="00BE4E66">
        <w:rPr>
          <w:rFonts w:eastAsia="Calibri"/>
          <w:sz w:val="24"/>
          <w:szCs w:val="24"/>
          <w:lang w:val="es-ES_tradnl" w:eastAsia="es-CO"/>
        </w:rPr>
        <w:t>a la integridad, la intimidad, la honra, el debido proceso, la protección especial al menor y los derechos de los niños al abstenerse de resolver el conflicto de competencia entre la jurisdicción indígena y la jurisdicción penal ordinaria para la investigación y juzgamiento del presunto delito de acceso carnal abusivo con menor de catorce años en perjuicio de la menor de edad “Bertha”.</w:t>
      </w:r>
    </w:p>
    <w:p w:rsidR="00CF2E11" w:rsidRPr="00BE4E66" w:rsidRDefault="00CF2E11" w:rsidP="00CF2E11">
      <w:pPr>
        <w:spacing w:line="360" w:lineRule="auto"/>
        <w:rPr>
          <w:rFonts w:eastAsia="Calibri"/>
          <w:sz w:val="24"/>
          <w:szCs w:val="24"/>
          <w:lang w:val="es-ES_tradnl" w:eastAsia="es-CO"/>
        </w:rPr>
      </w:pPr>
      <w:r w:rsidRPr="00BE4E66">
        <w:rPr>
          <w:rFonts w:eastAsia="Calibri"/>
          <w:sz w:val="24"/>
          <w:szCs w:val="24"/>
          <w:lang w:val="es-ES_tradnl" w:eastAsia="es-CO"/>
        </w:rPr>
        <w:t xml:space="preserve"> </w:t>
      </w:r>
    </w:p>
    <w:p w:rsidR="00CF2E11" w:rsidRPr="00BE4E66" w:rsidRDefault="00CF2E11" w:rsidP="00CF2E11">
      <w:pPr>
        <w:spacing w:line="360" w:lineRule="auto"/>
        <w:rPr>
          <w:sz w:val="24"/>
          <w:szCs w:val="24"/>
        </w:rPr>
      </w:pPr>
      <w:r>
        <w:rPr>
          <w:rFonts w:eastAsia="Calibri"/>
          <w:sz w:val="24"/>
          <w:szCs w:val="24"/>
          <w:lang w:val="es-ES_tradnl" w:eastAsia="es-CO"/>
        </w:rPr>
        <w:t>Ello por cuanto en la providencia</w:t>
      </w:r>
      <w:r w:rsidRPr="00BE4E66">
        <w:rPr>
          <w:rFonts w:eastAsia="Calibri"/>
          <w:sz w:val="24"/>
          <w:szCs w:val="24"/>
          <w:lang w:val="es-ES_tradnl" w:eastAsia="es-CO"/>
        </w:rPr>
        <w:t xml:space="preserve"> del 22 de enero de 2014 (expediente No.</w:t>
      </w:r>
      <w:r w:rsidRPr="00BE4E66">
        <w:rPr>
          <w:sz w:val="24"/>
          <w:szCs w:val="24"/>
        </w:rPr>
        <w:t xml:space="preserve">110010102000201303113 00), la Sala accionada se abstuvo de dirimir el conflicto de competencias tejido entre la jurisdicción especial del Resguardo Indígena de “San Juan” de Ipiales y la Justicia Penal Ordinaria, a propósito del mencionado delito de acceso carnal abusivo con menor de catorce años. </w:t>
      </w:r>
    </w:p>
    <w:p w:rsidR="00CF2E11" w:rsidRPr="00BE4E66" w:rsidRDefault="00CF2E11" w:rsidP="00CF2E11">
      <w:pPr>
        <w:spacing w:line="360" w:lineRule="auto"/>
        <w:rPr>
          <w:sz w:val="24"/>
          <w:szCs w:val="24"/>
        </w:rPr>
      </w:pPr>
    </w:p>
    <w:p w:rsidR="00CF2E11" w:rsidRPr="00BE4E66" w:rsidRDefault="00CF2E11" w:rsidP="00CF2E11">
      <w:pPr>
        <w:spacing w:line="360" w:lineRule="auto"/>
        <w:rPr>
          <w:sz w:val="24"/>
          <w:szCs w:val="24"/>
        </w:rPr>
      </w:pPr>
      <w:r w:rsidRPr="00BE4E66">
        <w:rPr>
          <w:sz w:val="24"/>
          <w:szCs w:val="24"/>
        </w:rPr>
        <w:t xml:space="preserve">En dicha oportunidad, la Sala accionada señaló que frente al hecho que suscitó el conflicto, se había proferido decisión de fondo. Así, estableció que mediante la resolución número 003 del 10 de noviembre de 2013, el </w:t>
      </w:r>
      <w:r>
        <w:rPr>
          <w:sz w:val="24"/>
          <w:szCs w:val="24"/>
        </w:rPr>
        <w:t>Resguardo Indígena de San Juan</w:t>
      </w:r>
      <w:r w:rsidRPr="00BE4E66">
        <w:rPr>
          <w:sz w:val="24"/>
          <w:szCs w:val="24"/>
        </w:rPr>
        <w:t xml:space="preserve"> de Ipiales se pronunció respecto de la “violación sexual” imputada al indígena Jesús Libardo Taquez Ituyan.</w:t>
      </w:r>
    </w:p>
    <w:p w:rsidR="00CF2E11" w:rsidRPr="00BE4E66" w:rsidRDefault="00CF2E11" w:rsidP="00CF2E11">
      <w:pPr>
        <w:spacing w:line="360" w:lineRule="auto"/>
        <w:rPr>
          <w:sz w:val="24"/>
          <w:szCs w:val="24"/>
        </w:rPr>
      </w:pPr>
    </w:p>
    <w:p w:rsidR="00CF2E11" w:rsidRPr="00BE4E66" w:rsidRDefault="00CF2E11" w:rsidP="00CF2E11">
      <w:pPr>
        <w:spacing w:line="360" w:lineRule="auto"/>
        <w:rPr>
          <w:sz w:val="24"/>
          <w:szCs w:val="24"/>
        </w:rPr>
      </w:pPr>
      <w:r w:rsidRPr="00BE4E66">
        <w:rPr>
          <w:sz w:val="24"/>
          <w:szCs w:val="24"/>
        </w:rPr>
        <w:t xml:space="preserve">La Sala accionada señaló que para que se pudiera afirmar que existía un conflicto  de jurisdicciones, debían reunirse los siguientes requisitos: </w:t>
      </w:r>
    </w:p>
    <w:p w:rsidR="00CF2E11" w:rsidRPr="00BE4E66" w:rsidRDefault="00CF2E11" w:rsidP="00CF2E11">
      <w:pPr>
        <w:spacing w:line="360" w:lineRule="auto"/>
        <w:rPr>
          <w:sz w:val="24"/>
          <w:szCs w:val="24"/>
        </w:rPr>
      </w:pPr>
    </w:p>
    <w:p w:rsidR="00CF2E11" w:rsidRPr="00BE4E66" w:rsidRDefault="00CF2E11" w:rsidP="00CF2E11">
      <w:pPr>
        <w:pStyle w:val="Prrafodelista"/>
        <w:numPr>
          <w:ilvl w:val="0"/>
          <w:numId w:val="5"/>
        </w:numPr>
        <w:spacing w:line="360" w:lineRule="auto"/>
        <w:rPr>
          <w:sz w:val="24"/>
          <w:szCs w:val="24"/>
        </w:rPr>
      </w:pPr>
      <w:r w:rsidRPr="00BE4E66">
        <w:rPr>
          <w:sz w:val="24"/>
          <w:szCs w:val="24"/>
        </w:rPr>
        <w:t xml:space="preserve">Que el funcionario judicial esté tramitado un determinado proceso. </w:t>
      </w:r>
    </w:p>
    <w:p w:rsidR="00CF2E11" w:rsidRPr="00BE4E66" w:rsidRDefault="00CF2E11" w:rsidP="00CF2E11">
      <w:pPr>
        <w:pStyle w:val="Prrafodelista"/>
        <w:numPr>
          <w:ilvl w:val="0"/>
          <w:numId w:val="5"/>
        </w:numPr>
        <w:spacing w:line="360" w:lineRule="auto"/>
        <w:rPr>
          <w:sz w:val="24"/>
          <w:szCs w:val="24"/>
        </w:rPr>
      </w:pPr>
      <w:r w:rsidRPr="00BE4E66">
        <w:rPr>
          <w:sz w:val="24"/>
          <w:szCs w:val="24"/>
        </w:rPr>
        <w:t xml:space="preserve">Que surja disputa entre el funcionario que conoce el caso y otro u otros, acerca de quién debe conocerlo. </w:t>
      </w:r>
    </w:p>
    <w:p w:rsidR="00CF2E11" w:rsidRPr="00BE4E66" w:rsidRDefault="00CF2E11" w:rsidP="00CF2E11">
      <w:pPr>
        <w:pStyle w:val="Prrafodelista"/>
        <w:numPr>
          <w:ilvl w:val="0"/>
          <w:numId w:val="5"/>
        </w:numPr>
        <w:spacing w:line="360" w:lineRule="auto"/>
        <w:rPr>
          <w:sz w:val="24"/>
          <w:szCs w:val="24"/>
        </w:rPr>
      </w:pPr>
      <w:r w:rsidRPr="00BE4E66">
        <w:rPr>
          <w:sz w:val="24"/>
          <w:szCs w:val="24"/>
        </w:rPr>
        <w:t xml:space="preserve">Que los funcionarios entre quienes surge el conflicto, pertenezcan a diferentes jurisdicciones. </w:t>
      </w:r>
    </w:p>
    <w:p w:rsidR="00CF2E11" w:rsidRPr="00BE4E66" w:rsidRDefault="00CF2E11" w:rsidP="00CF2E11">
      <w:pPr>
        <w:spacing w:line="360" w:lineRule="auto"/>
        <w:rPr>
          <w:sz w:val="24"/>
          <w:szCs w:val="24"/>
        </w:rPr>
      </w:pPr>
    </w:p>
    <w:p w:rsidR="00CF2E11" w:rsidRPr="00BE4E66" w:rsidRDefault="00CF2E11" w:rsidP="00CF2E11">
      <w:pPr>
        <w:spacing w:line="360" w:lineRule="auto"/>
        <w:rPr>
          <w:sz w:val="24"/>
          <w:szCs w:val="24"/>
        </w:rPr>
      </w:pPr>
      <w:r w:rsidRPr="00BE4E66">
        <w:rPr>
          <w:sz w:val="24"/>
          <w:szCs w:val="24"/>
        </w:rPr>
        <w:t xml:space="preserve">Frente al caso concreto, señaló que no se reunían los anteriores requisitos, por cuanto el asunto no se encontraba en la fase de trámite sino que, por el contrario, </w:t>
      </w:r>
      <w:r w:rsidRPr="00BE4E66">
        <w:rPr>
          <w:sz w:val="24"/>
          <w:szCs w:val="24"/>
        </w:rPr>
        <w:lastRenderedPageBreak/>
        <w:t xml:space="preserve">ya se había proferido decisión de fondo, es decir, se </w:t>
      </w:r>
      <w:r>
        <w:rPr>
          <w:sz w:val="24"/>
          <w:szCs w:val="24"/>
        </w:rPr>
        <w:t>había configurado</w:t>
      </w:r>
      <w:r w:rsidRPr="00BE4E66">
        <w:rPr>
          <w:sz w:val="24"/>
          <w:szCs w:val="24"/>
        </w:rPr>
        <w:t xml:space="preserve"> la figura de cosa juzgada, por lo cual la Sala Jurisdiccional Disciplinaria del Consejo Superior de la Judicatura </w:t>
      </w:r>
      <w:r>
        <w:rPr>
          <w:sz w:val="24"/>
          <w:szCs w:val="24"/>
        </w:rPr>
        <w:t>había perdido</w:t>
      </w:r>
      <w:r w:rsidRPr="00BE4E66">
        <w:rPr>
          <w:sz w:val="24"/>
          <w:szCs w:val="24"/>
        </w:rPr>
        <w:t xml:space="preserve"> la competencia para pronunciarse respecto del  supuesto conflicto de jurisdicciones. </w:t>
      </w:r>
    </w:p>
    <w:p w:rsidR="00CF2E11" w:rsidRPr="00BE4E66" w:rsidRDefault="00CF2E11" w:rsidP="00CF2E11">
      <w:pPr>
        <w:spacing w:line="360" w:lineRule="auto"/>
        <w:rPr>
          <w:sz w:val="24"/>
          <w:szCs w:val="24"/>
        </w:rPr>
      </w:pPr>
    </w:p>
    <w:p w:rsidR="00CF2E11" w:rsidRPr="00BE4E66" w:rsidRDefault="00CF2E11" w:rsidP="00CF2E11">
      <w:pPr>
        <w:spacing w:line="360" w:lineRule="auto"/>
        <w:rPr>
          <w:sz w:val="24"/>
          <w:szCs w:val="24"/>
        </w:rPr>
      </w:pPr>
      <w:r w:rsidRPr="00BE4E66">
        <w:rPr>
          <w:sz w:val="24"/>
          <w:szCs w:val="24"/>
        </w:rPr>
        <w:t>Así las cosas, la Sala Jurisdiccional Disciplinaria del Consejo Superior de la Judicatura resolvió abstenerse de resolver el conflicto de jurisdicciones planteado entre la Jurisdicción Ordinaria en cabeza de la Fiscalía 35 Seccional de Ipiales (Nariño) y la Jurisdicción del Resguardo Indígena de “San Juan” de Ipiales.</w:t>
      </w:r>
    </w:p>
    <w:p w:rsidR="00CF2E11" w:rsidRPr="00BE4E66" w:rsidRDefault="00CF2E11" w:rsidP="00CF2E11">
      <w:pPr>
        <w:spacing w:line="360" w:lineRule="auto"/>
        <w:rPr>
          <w:sz w:val="24"/>
          <w:szCs w:val="24"/>
        </w:rPr>
      </w:pPr>
      <w:r w:rsidRPr="00BE4E66">
        <w:rPr>
          <w:sz w:val="24"/>
          <w:szCs w:val="24"/>
        </w:rPr>
        <w:t xml:space="preserve"> </w:t>
      </w:r>
    </w:p>
    <w:p w:rsidR="00CF2E11" w:rsidRPr="00BE4E66" w:rsidRDefault="00CF2E11" w:rsidP="00CF2E11">
      <w:pPr>
        <w:spacing w:line="360" w:lineRule="auto"/>
        <w:rPr>
          <w:sz w:val="24"/>
          <w:szCs w:val="24"/>
        </w:rPr>
      </w:pPr>
      <w:r w:rsidRPr="00BE4E66">
        <w:rPr>
          <w:rFonts w:eastAsia="Calibri"/>
          <w:sz w:val="24"/>
          <w:szCs w:val="24"/>
          <w:lang w:val="es-CO" w:eastAsia="es-CO"/>
        </w:rPr>
        <w:t xml:space="preserve">Ahora bien, la accionante considera que la anterior decisión desconoció los derechos fundamentales de su nieta “Bertha”, por cuanto inobservó la jurisprudencia constitucional en el tema, la </w:t>
      </w:r>
      <w:r w:rsidRPr="00BE4E66">
        <w:rPr>
          <w:rFonts w:eastAsia="Calibri"/>
          <w:i/>
          <w:sz w:val="24"/>
          <w:szCs w:val="24"/>
          <w:lang w:val="es-CO" w:eastAsia="es-CO"/>
        </w:rPr>
        <w:t>“Convención sobre los Derechos del Niño, La Convención sobre la Eliminación de todas las formas de Discriminación contra la Mujer y la Declaración sobre la Eliminación de la Violencia contra la Mujer”.</w:t>
      </w:r>
    </w:p>
    <w:p w:rsidR="00CF2E11" w:rsidRPr="00BE4E66" w:rsidRDefault="00CF2E11" w:rsidP="00CF2E11">
      <w:pPr>
        <w:spacing w:line="360" w:lineRule="auto"/>
        <w:rPr>
          <w:rFonts w:eastAsia="Calibri"/>
          <w:sz w:val="24"/>
          <w:szCs w:val="24"/>
          <w:lang w:eastAsia="es-CO"/>
        </w:rPr>
      </w:pPr>
    </w:p>
    <w:p w:rsidR="00CF2E11" w:rsidRPr="00BE4E66" w:rsidRDefault="00CF2E11" w:rsidP="00CF2E11">
      <w:pPr>
        <w:spacing w:line="360" w:lineRule="auto"/>
        <w:rPr>
          <w:rFonts w:eastAsia="Calibri"/>
          <w:sz w:val="24"/>
          <w:szCs w:val="24"/>
          <w:lang w:eastAsia="es-CO"/>
        </w:rPr>
      </w:pPr>
      <w:r w:rsidRPr="00BE4E66">
        <w:rPr>
          <w:rFonts w:eastAsia="Calibri"/>
          <w:sz w:val="24"/>
          <w:szCs w:val="24"/>
          <w:lang w:eastAsia="es-CO"/>
        </w:rPr>
        <w:t>En virtud de lo anterior, la accionante solicitó que se revocara la decisión acusada y, por lo tanto, se ordenara que el asunto fuera conocido por la Jurisdicci</w:t>
      </w:r>
      <w:r>
        <w:rPr>
          <w:rFonts w:eastAsia="Calibri"/>
          <w:sz w:val="24"/>
          <w:szCs w:val="24"/>
          <w:lang w:eastAsia="es-CO"/>
        </w:rPr>
        <w:t>ón Penal Ordinaria, representada para el caso</w:t>
      </w:r>
      <w:r w:rsidRPr="00BE4E66">
        <w:rPr>
          <w:rFonts w:eastAsia="Calibri"/>
          <w:sz w:val="24"/>
          <w:szCs w:val="24"/>
          <w:lang w:eastAsia="es-CO"/>
        </w:rPr>
        <w:t xml:space="preserve"> por la Fiscalía 35 Seccional de Ipiales.  </w:t>
      </w:r>
    </w:p>
    <w:p w:rsidR="00CF2E11" w:rsidRDefault="00CF2E11" w:rsidP="00CF2E11">
      <w:pPr>
        <w:spacing w:line="360" w:lineRule="auto"/>
        <w:rPr>
          <w:rFonts w:eastAsia="Calibri"/>
          <w:sz w:val="24"/>
          <w:szCs w:val="24"/>
          <w:lang w:eastAsia="es-CO"/>
        </w:rPr>
      </w:pPr>
    </w:p>
    <w:p w:rsidR="00CF2E11" w:rsidRPr="00BE4E66" w:rsidRDefault="00CF2E11" w:rsidP="00CF2E11">
      <w:pPr>
        <w:spacing w:line="360" w:lineRule="auto"/>
        <w:rPr>
          <w:rFonts w:eastAsia="Calibri"/>
          <w:sz w:val="24"/>
          <w:szCs w:val="24"/>
          <w:lang w:eastAsia="es-CO"/>
        </w:rPr>
      </w:pPr>
    </w:p>
    <w:p w:rsidR="00CF2E11" w:rsidRPr="00BE4E66" w:rsidRDefault="00CF2E11" w:rsidP="00CF2E11">
      <w:pPr>
        <w:keepNext/>
        <w:keepLines/>
        <w:numPr>
          <w:ilvl w:val="0"/>
          <w:numId w:val="3"/>
        </w:numPr>
        <w:autoSpaceDE w:val="0"/>
        <w:autoSpaceDN w:val="0"/>
        <w:adjustRightInd w:val="0"/>
        <w:spacing w:line="360" w:lineRule="auto"/>
        <w:jc w:val="center"/>
        <w:outlineLvl w:val="0"/>
        <w:rPr>
          <w:rFonts w:eastAsia="Times New Roman"/>
          <w:b/>
          <w:bCs/>
          <w:sz w:val="24"/>
          <w:szCs w:val="24"/>
          <w:lang w:val="es-ES_tradnl" w:eastAsia="x-none"/>
        </w:rPr>
      </w:pPr>
      <w:r w:rsidRPr="00BE4E66">
        <w:rPr>
          <w:rFonts w:eastAsia="Times New Roman"/>
          <w:b/>
          <w:bCs/>
          <w:sz w:val="24"/>
          <w:szCs w:val="24"/>
          <w:lang w:val="es-ES_tradnl" w:eastAsia="x-none"/>
        </w:rPr>
        <w:t>TRÁMITE DE PRIMERA INSTANCIA</w:t>
      </w:r>
    </w:p>
    <w:p w:rsidR="00CF2E11" w:rsidRDefault="00CF2E11" w:rsidP="00CF2E11">
      <w:pPr>
        <w:keepNext/>
        <w:keepLines/>
        <w:autoSpaceDE w:val="0"/>
        <w:autoSpaceDN w:val="0"/>
        <w:adjustRightInd w:val="0"/>
        <w:spacing w:line="360" w:lineRule="auto"/>
        <w:ind w:left="1080"/>
        <w:outlineLvl w:val="0"/>
        <w:rPr>
          <w:rFonts w:eastAsia="Times New Roman"/>
          <w:b/>
          <w:bCs/>
          <w:sz w:val="24"/>
          <w:szCs w:val="24"/>
          <w:lang w:val="es-ES_tradnl" w:eastAsia="x-none"/>
        </w:rPr>
      </w:pPr>
    </w:p>
    <w:p w:rsidR="00CF2E11" w:rsidRPr="00BE4E66" w:rsidRDefault="00CF2E11" w:rsidP="00CF2E11">
      <w:pPr>
        <w:keepNext/>
        <w:keepLines/>
        <w:autoSpaceDE w:val="0"/>
        <w:autoSpaceDN w:val="0"/>
        <w:adjustRightInd w:val="0"/>
        <w:spacing w:line="360" w:lineRule="auto"/>
        <w:ind w:left="1080"/>
        <w:outlineLvl w:val="0"/>
        <w:rPr>
          <w:rFonts w:eastAsia="Times New Roman"/>
          <w:b/>
          <w:bCs/>
          <w:sz w:val="24"/>
          <w:szCs w:val="24"/>
          <w:lang w:val="es-ES_tradnl" w:eastAsia="x-none"/>
        </w:rPr>
      </w:pPr>
    </w:p>
    <w:p w:rsidR="00CF2E11" w:rsidRPr="00BE4E66" w:rsidRDefault="00CF2E11" w:rsidP="00CF2E11">
      <w:pPr>
        <w:spacing w:line="360" w:lineRule="auto"/>
        <w:rPr>
          <w:rFonts w:eastAsia="Calibri"/>
          <w:sz w:val="24"/>
          <w:szCs w:val="24"/>
          <w:lang w:val="es-ES_tradnl" w:eastAsia="es-CO"/>
        </w:rPr>
      </w:pPr>
      <w:r w:rsidRPr="00BE4E66">
        <w:rPr>
          <w:rFonts w:eastAsia="Calibri"/>
          <w:sz w:val="24"/>
          <w:szCs w:val="24"/>
          <w:lang w:val="es-ES_tradnl" w:eastAsia="es-CO"/>
        </w:rPr>
        <w:t>Mediante auto del 18 de junio de 2014</w:t>
      </w:r>
      <w:r w:rsidRPr="00BE4E66">
        <w:rPr>
          <w:rFonts w:eastAsia="Calibri"/>
          <w:sz w:val="24"/>
          <w:szCs w:val="24"/>
          <w:vertAlign w:val="superscript"/>
          <w:lang w:val="es-ES_tradnl" w:eastAsia="es-CO"/>
        </w:rPr>
        <w:footnoteReference w:id="2"/>
      </w:r>
      <w:r w:rsidRPr="00BE4E66">
        <w:rPr>
          <w:rFonts w:eastAsia="Calibri"/>
          <w:sz w:val="24"/>
          <w:szCs w:val="24"/>
          <w:lang w:val="es-ES_tradnl" w:eastAsia="es-CO"/>
        </w:rPr>
        <w:t>, la Sala Jurisdiccional Disciplinaria del Consejo Seccional de la Judicatura de Bogotá admitió la demanda de tutela y ordenó correr traslado de la misma a los accionados. Igualmente, ordenó correr traslado a la Fiscalía 35  Seccional de Ipiales, en calidad de tercero con interés.</w:t>
      </w:r>
    </w:p>
    <w:p w:rsidR="00CF2E11" w:rsidRPr="00BE4E66" w:rsidRDefault="00CF2E11" w:rsidP="00CF2E11">
      <w:pPr>
        <w:spacing w:line="360" w:lineRule="auto"/>
        <w:rPr>
          <w:rFonts w:eastAsia="Calibri"/>
          <w:sz w:val="24"/>
          <w:szCs w:val="24"/>
          <w:lang w:val="es-ES_tradnl" w:eastAsia="es-CO"/>
        </w:rPr>
      </w:pPr>
    </w:p>
    <w:p w:rsidR="00CF2E11" w:rsidRPr="00BE4E66" w:rsidRDefault="00CF2E11" w:rsidP="00CF2E11">
      <w:pPr>
        <w:pStyle w:val="Prrafodelista"/>
        <w:numPr>
          <w:ilvl w:val="0"/>
          <w:numId w:val="4"/>
        </w:numPr>
        <w:spacing w:line="360" w:lineRule="auto"/>
        <w:ind w:left="0" w:firstLine="0"/>
        <w:rPr>
          <w:sz w:val="24"/>
          <w:szCs w:val="24"/>
        </w:rPr>
      </w:pPr>
      <w:r w:rsidRPr="00BE4E66">
        <w:rPr>
          <w:rFonts w:eastAsia="Calibri"/>
          <w:sz w:val="24"/>
          <w:szCs w:val="24"/>
          <w:lang w:val="es-ES_tradnl" w:eastAsia="es-CO"/>
        </w:rPr>
        <w:t>Mediante el oficio del 19 de junio de 2014, la Fiscalía 35  Seccional de Ipiales remitió escrito de contestación. En este señaló que el Consejo Superior de la Judicatura, al adoptar la decisión del 22 de enero de 2014, no tuvo en cuenta los siguientes aspectos:</w:t>
      </w:r>
    </w:p>
    <w:p w:rsidR="00CF2E11" w:rsidRPr="00BE4E66" w:rsidRDefault="00CF2E11" w:rsidP="00CF2E11">
      <w:pPr>
        <w:pStyle w:val="Prrafodelista"/>
        <w:numPr>
          <w:ilvl w:val="0"/>
          <w:numId w:val="6"/>
        </w:numPr>
        <w:spacing w:line="360" w:lineRule="auto"/>
        <w:ind w:left="426" w:firstLine="0"/>
        <w:rPr>
          <w:sz w:val="24"/>
          <w:szCs w:val="24"/>
        </w:rPr>
      </w:pPr>
      <w:r w:rsidRPr="00BE4E66">
        <w:rPr>
          <w:rFonts w:eastAsia="Calibri"/>
          <w:sz w:val="24"/>
          <w:szCs w:val="24"/>
          <w:lang w:eastAsia="es-CO"/>
        </w:rPr>
        <w:lastRenderedPageBreak/>
        <w:t xml:space="preserve">No existían las constancias de haberse adelantado un el trámite ante la jurisdicción indígena, con el respeto por las normas constitucionales y en particular las garantías del debido proceso y el derecho a la defensa. </w:t>
      </w:r>
    </w:p>
    <w:p w:rsidR="00CF2E11" w:rsidRPr="00BE4E66" w:rsidRDefault="00CF2E11" w:rsidP="00CF2E11">
      <w:pPr>
        <w:pStyle w:val="Prrafodelista"/>
        <w:numPr>
          <w:ilvl w:val="0"/>
          <w:numId w:val="6"/>
        </w:numPr>
        <w:spacing w:line="360" w:lineRule="auto"/>
        <w:ind w:left="426" w:firstLine="0"/>
        <w:rPr>
          <w:sz w:val="24"/>
          <w:szCs w:val="24"/>
        </w:rPr>
      </w:pPr>
      <w:r w:rsidRPr="00BE4E66">
        <w:rPr>
          <w:rFonts w:eastAsia="Calibri"/>
          <w:sz w:val="24"/>
          <w:szCs w:val="24"/>
          <w:lang w:eastAsia="es-CO"/>
        </w:rPr>
        <w:t>Que no se cumplía el elemento personal, toda vez que la víctima no hacía parte de la comunidad indígena.</w:t>
      </w:r>
    </w:p>
    <w:p w:rsidR="00CF2E11" w:rsidRPr="00BE4E66" w:rsidRDefault="00CF2E11" w:rsidP="00CF2E11">
      <w:pPr>
        <w:pStyle w:val="Prrafodelista"/>
        <w:spacing w:line="360" w:lineRule="auto"/>
        <w:ind w:left="1070"/>
        <w:rPr>
          <w:sz w:val="24"/>
          <w:szCs w:val="24"/>
        </w:rPr>
      </w:pPr>
    </w:p>
    <w:p w:rsidR="00CF2E11" w:rsidRPr="00BE4E66" w:rsidRDefault="00CF2E11" w:rsidP="00CF2E11">
      <w:pPr>
        <w:spacing w:line="360" w:lineRule="auto"/>
        <w:rPr>
          <w:sz w:val="24"/>
          <w:szCs w:val="24"/>
        </w:rPr>
      </w:pPr>
      <w:r w:rsidRPr="00BE4E66">
        <w:rPr>
          <w:sz w:val="24"/>
          <w:szCs w:val="24"/>
        </w:rPr>
        <w:t>Así las cosas, señaló que la Resolución Número</w:t>
      </w:r>
      <w:r>
        <w:rPr>
          <w:sz w:val="24"/>
          <w:szCs w:val="24"/>
        </w:rPr>
        <w:t xml:space="preserve"> 003 del 10 de noviembre de 2013</w:t>
      </w:r>
      <w:r w:rsidRPr="00BE4E66">
        <w:rPr>
          <w:sz w:val="24"/>
          <w:szCs w:val="24"/>
        </w:rPr>
        <w:t xml:space="preserve">, desconoció la constitución y la ley, por lo tanto, no podía hacer tránsito a cosa juzgada. </w:t>
      </w:r>
    </w:p>
    <w:p w:rsidR="00CF2E11" w:rsidRPr="00BE4E66" w:rsidRDefault="00CF2E11" w:rsidP="00CF2E11">
      <w:pPr>
        <w:spacing w:line="360" w:lineRule="auto"/>
        <w:ind w:left="284"/>
        <w:rPr>
          <w:sz w:val="24"/>
          <w:szCs w:val="24"/>
        </w:rPr>
      </w:pPr>
    </w:p>
    <w:p w:rsidR="00CF2E11" w:rsidRPr="00BE4E66" w:rsidRDefault="00CF2E11" w:rsidP="00CF2E11">
      <w:pPr>
        <w:spacing w:line="360" w:lineRule="auto"/>
        <w:rPr>
          <w:sz w:val="24"/>
          <w:szCs w:val="24"/>
        </w:rPr>
      </w:pPr>
      <w:r w:rsidRPr="00BE4E66">
        <w:rPr>
          <w:sz w:val="24"/>
          <w:szCs w:val="24"/>
        </w:rPr>
        <w:t>Agregó que en el proceso segui</w:t>
      </w:r>
      <w:r>
        <w:rPr>
          <w:sz w:val="24"/>
          <w:szCs w:val="24"/>
        </w:rPr>
        <w:t>do por la jurisdicción especial</w:t>
      </w:r>
      <w:r w:rsidRPr="00BE4E66">
        <w:rPr>
          <w:sz w:val="24"/>
          <w:szCs w:val="24"/>
        </w:rPr>
        <w:t xml:space="preserve"> no medió oportunidad de la víctima para intervenir, ser oída o apelar la decisión. Finalmente, señaló que el Resguardo Indígena de “San Juan” de Ipiales indujo en error a la corporación accionada, lo que condujo a la decisión de abstención para pronunciarse frente al conflicto de jurisdicciones. </w:t>
      </w:r>
    </w:p>
    <w:p w:rsidR="00CF2E11" w:rsidRPr="00BE4E66" w:rsidRDefault="00CF2E11" w:rsidP="00CF2E11">
      <w:pPr>
        <w:spacing w:line="360" w:lineRule="auto"/>
        <w:rPr>
          <w:sz w:val="24"/>
          <w:szCs w:val="24"/>
        </w:rPr>
      </w:pPr>
    </w:p>
    <w:p w:rsidR="00CF2E11" w:rsidRPr="00BE4E66" w:rsidRDefault="00CF2E11" w:rsidP="00CF2E11">
      <w:pPr>
        <w:pStyle w:val="Prrafodelista"/>
        <w:numPr>
          <w:ilvl w:val="0"/>
          <w:numId w:val="4"/>
        </w:numPr>
        <w:spacing w:line="360" w:lineRule="auto"/>
        <w:ind w:left="0" w:firstLine="0"/>
        <w:rPr>
          <w:sz w:val="24"/>
          <w:szCs w:val="24"/>
        </w:rPr>
      </w:pPr>
      <w:r w:rsidRPr="00BE4E66">
        <w:rPr>
          <w:sz w:val="24"/>
          <w:szCs w:val="24"/>
        </w:rPr>
        <w:t>El 20 de junio de 2014, la Sala Jurisdiccional Disciplinaria del Consejo Superior de la Judicatura señaló que la decisión de abstenerse de resolver el conflicto de jurisdicciones entre la Jurisdicción Ordinaria y el Resguardo Indígena de “San Juan” de Ipiales surgió a partir de la Resolución Número 003 del 10 de noviembre de 2013, a partir de la cual, la justicia indígena resolvió ab</w:t>
      </w:r>
      <w:r>
        <w:rPr>
          <w:sz w:val="24"/>
          <w:szCs w:val="24"/>
        </w:rPr>
        <w:t>solver al señor Jesús Libardo Tá</w:t>
      </w:r>
      <w:r w:rsidRPr="00BE4E66">
        <w:rPr>
          <w:sz w:val="24"/>
          <w:szCs w:val="24"/>
        </w:rPr>
        <w:t>quez Ituyan frente a la presunta “violación sexual” cometida en contra de la niña “Bertha”.</w:t>
      </w:r>
    </w:p>
    <w:p w:rsidR="00CF2E11" w:rsidRPr="00BE4E66" w:rsidRDefault="00CF2E11" w:rsidP="00CF2E11">
      <w:pPr>
        <w:pStyle w:val="Prrafodelista"/>
        <w:spacing w:line="360" w:lineRule="auto"/>
        <w:ind w:left="0"/>
        <w:rPr>
          <w:sz w:val="24"/>
          <w:szCs w:val="24"/>
        </w:rPr>
      </w:pPr>
    </w:p>
    <w:p w:rsidR="00CF2E11" w:rsidRPr="00BE4E66" w:rsidRDefault="00CF2E11" w:rsidP="00CF2E11">
      <w:pPr>
        <w:pStyle w:val="Prrafodelista"/>
        <w:spacing w:line="360" w:lineRule="auto"/>
        <w:ind w:left="0"/>
        <w:rPr>
          <w:sz w:val="24"/>
          <w:szCs w:val="24"/>
        </w:rPr>
      </w:pPr>
      <w:r w:rsidRPr="00BE4E66">
        <w:rPr>
          <w:sz w:val="24"/>
          <w:szCs w:val="24"/>
        </w:rPr>
        <w:t xml:space="preserve">Así las cosas, señaló que los conflictos de competencia son de carácter procesal y que, por lo tanto, deben resolverse durante el desarrollo del proceso, y no cuando ha culminado, es decir, cuando se está frente al fenómeno de la cosa juzgada. </w:t>
      </w:r>
    </w:p>
    <w:p w:rsidR="00CF2E11" w:rsidRPr="00BE4E66" w:rsidRDefault="00CF2E11" w:rsidP="00CF2E11">
      <w:pPr>
        <w:pStyle w:val="Prrafodelista"/>
        <w:spacing w:line="360" w:lineRule="auto"/>
        <w:ind w:left="0"/>
        <w:rPr>
          <w:sz w:val="24"/>
          <w:szCs w:val="24"/>
        </w:rPr>
      </w:pPr>
    </w:p>
    <w:p w:rsidR="00CF2E11" w:rsidRPr="00BE4E66" w:rsidRDefault="00CF2E11" w:rsidP="00CF2E11">
      <w:pPr>
        <w:pStyle w:val="Prrafodelista"/>
        <w:spacing w:line="360" w:lineRule="auto"/>
        <w:ind w:left="0"/>
        <w:rPr>
          <w:sz w:val="24"/>
          <w:szCs w:val="24"/>
        </w:rPr>
      </w:pPr>
      <w:r w:rsidRPr="00BE4E66">
        <w:rPr>
          <w:sz w:val="24"/>
          <w:szCs w:val="24"/>
        </w:rPr>
        <w:t xml:space="preserve">Adicionalmente, argumentó que la providencia judicial acusada no estaba llamada a prosperar, toda vez que, la misma no adolecía de ninguno de los defectos señalados por la jurisprudencia constitucional. </w:t>
      </w:r>
    </w:p>
    <w:p w:rsidR="00CF2E11" w:rsidRPr="00BE4E66" w:rsidRDefault="00CF2E11" w:rsidP="00CF2E11">
      <w:pPr>
        <w:pStyle w:val="Prrafodelista"/>
        <w:spacing w:line="360" w:lineRule="auto"/>
        <w:ind w:left="0"/>
        <w:rPr>
          <w:sz w:val="24"/>
          <w:szCs w:val="24"/>
        </w:rPr>
      </w:pPr>
    </w:p>
    <w:p w:rsidR="00CF2E11" w:rsidRPr="00BE4E66" w:rsidRDefault="00CF2E11" w:rsidP="00CF2E11">
      <w:pPr>
        <w:pStyle w:val="Prrafodelista"/>
        <w:spacing w:line="360" w:lineRule="auto"/>
        <w:ind w:left="0"/>
        <w:rPr>
          <w:sz w:val="24"/>
          <w:szCs w:val="24"/>
        </w:rPr>
      </w:pPr>
      <w:r w:rsidRPr="00BE4E66">
        <w:rPr>
          <w:sz w:val="24"/>
          <w:szCs w:val="24"/>
        </w:rPr>
        <w:t>Por lo anterior, solicitó que se negara el amparo deprecado por cuanto, no se vulneraron los derechos fundamentales de la menor de edad “Bertha” y la decisión acusada se encuentra amparada por la garantía de autonomía funcional.</w:t>
      </w:r>
    </w:p>
    <w:p w:rsidR="00CF2E11" w:rsidRPr="00BE4E66" w:rsidRDefault="00CF2E11" w:rsidP="00CF2E11">
      <w:pPr>
        <w:keepNext/>
        <w:keepLines/>
        <w:numPr>
          <w:ilvl w:val="0"/>
          <w:numId w:val="3"/>
        </w:numPr>
        <w:autoSpaceDE w:val="0"/>
        <w:autoSpaceDN w:val="0"/>
        <w:adjustRightInd w:val="0"/>
        <w:spacing w:line="360" w:lineRule="auto"/>
        <w:jc w:val="center"/>
        <w:outlineLvl w:val="0"/>
        <w:rPr>
          <w:rFonts w:eastAsia="Times New Roman"/>
          <w:b/>
          <w:bCs/>
          <w:sz w:val="24"/>
          <w:szCs w:val="24"/>
          <w:lang w:val="es-ES_tradnl" w:eastAsia="x-none"/>
        </w:rPr>
      </w:pPr>
      <w:r w:rsidRPr="00BE4E66">
        <w:rPr>
          <w:rFonts w:eastAsia="Times New Roman"/>
          <w:b/>
          <w:bCs/>
          <w:sz w:val="24"/>
          <w:szCs w:val="24"/>
          <w:lang w:val="es-ES_tradnl" w:eastAsia="x-none"/>
        </w:rPr>
        <w:t>SENTENCIA DE PRIMERA INSTANCIA</w:t>
      </w:r>
    </w:p>
    <w:p w:rsidR="00CF2E11" w:rsidRDefault="00CF2E11" w:rsidP="00CF2E11">
      <w:pPr>
        <w:keepNext/>
        <w:keepLines/>
        <w:autoSpaceDE w:val="0"/>
        <w:autoSpaceDN w:val="0"/>
        <w:adjustRightInd w:val="0"/>
        <w:spacing w:line="360" w:lineRule="auto"/>
        <w:ind w:left="1080"/>
        <w:outlineLvl w:val="0"/>
        <w:rPr>
          <w:rFonts w:eastAsia="Times New Roman"/>
          <w:b/>
          <w:bCs/>
          <w:sz w:val="24"/>
          <w:szCs w:val="24"/>
          <w:lang w:val="es-ES_tradnl" w:eastAsia="x-none"/>
        </w:rPr>
      </w:pPr>
    </w:p>
    <w:p w:rsidR="00CF2E11" w:rsidRPr="00BE4E66" w:rsidRDefault="00CF2E11" w:rsidP="00CF2E11">
      <w:pPr>
        <w:keepNext/>
        <w:keepLines/>
        <w:autoSpaceDE w:val="0"/>
        <w:autoSpaceDN w:val="0"/>
        <w:adjustRightInd w:val="0"/>
        <w:spacing w:line="360" w:lineRule="auto"/>
        <w:ind w:left="1080"/>
        <w:outlineLvl w:val="0"/>
        <w:rPr>
          <w:rFonts w:eastAsia="Times New Roman"/>
          <w:b/>
          <w:bCs/>
          <w:sz w:val="24"/>
          <w:szCs w:val="24"/>
          <w:lang w:val="es-ES_tradnl" w:eastAsia="x-none"/>
        </w:rPr>
      </w:pPr>
    </w:p>
    <w:p w:rsidR="00CF2E11" w:rsidRPr="005040B0" w:rsidRDefault="00CF2E11" w:rsidP="00CF2E11">
      <w:pPr>
        <w:spacing w:line="360" w:lineRule="auto"/>
        <w:rPr>
          <w:rFonts w:eastAsia="Calibri"/>
          <w:sz w:val="24"/>
          <w:szCs w:val="24"/>
          <w:lang w:val="es-CO" w:eastAsia="es-CO"/>
        </w:rPr>
      </w:pPr>
      <w:r w:rsidRPr="00BE4E66">
        <w:rPr>
          <w:rFonts w:eastAsia="Calibri"/>
          <w:sz w:val="24"/>
          <w:szCs w:val="24"/>
          <w:lang w:val="es-ES_tradnl" w:eastAsia="es-CO"/>
        </w:rPr>
        <w:t>En sentencia del 26 de junio de 2014</w:t>
      </w:r>
      <w:r w:rsidRPr="00BE4E66">
        <w:rPr>
          <w:rFonts w:eastAsia="Calibri"/>
          <w:sz w:val="24"/>
          <w:szCs w:val="24"/>
          <w:vertAlign w:val="superscript"/>
          <w:lang w:val="es-ES_tradnl" w:eastAsia="es-CO"/>
        </w:rPr>
        <w:footnoteReference w:id="3"/>
      </w:r>
      <w:r w:rsidRPr="00BE4E66">
        <w:rPr>
          <w:rFonts w:eastAsia="Calibri"/>
          <w:sz w:val="24"/>
          <w:szCs w:val="24"/>
          <w:lang w:val="es-ES_tradnl" w:eastAsia="es-CO"/>
        </w:rPr>
        <w:t xml:space="preserve">, el </w:t>
      </w:r>
      <w:r w:rsidRPr="00BE4E66">
        <w:rPr>
          <w:rFonts w:eastAsia="Calibri"/>
          <w:i/>
          <w:sz w:val="24"/>
          <w:szCs w:val="24"/>
          <w:lang w:val="es-ES_tradnl" w:eastAsia="es-CO"/>
        </w:rPr>
        <w:t xml:space="preserve">a quo </w:t>
      </w:r>
      <w:r w:rsidRPr="00BE4E66">
        <w:rPr>
          <w:rFonts w:eastAsia="Calibri"/>
          <w:sz w:val="24"/>
          <w:szCs w:val="24"/>
          <w:lang w:val="es-ES_tradnl" w:eastAsia="es-CO"/>
        </w:rPr>
        <w:t xml:space="preserve">negó la solicitud de tutela elevada por la señora </w:t>
      </w:r>
      <w:r w:rsidRPr="00BE4E66">
        <w:rPr>
          <w:sz w:val="24"/>
          <w:szCs w:val="24"/>
          <w:lang w:val="es-ES_tradnl"/>
        </w:rPr>
        <w:t>Nelly Esther Gesama T</w:t>
      </w:r>
      <w:r>
        <w:rPr>
          <w:sz w:val="24"/>
          <w:szCs w:val="24"/>
          <w:lang w:val="es-ES_tradnl"/>
        </w:rPr>
        <w:t>á</w:t>
      </w:r>
      <w:r w:rsidRPr="00BE4E66">
        <w:rPr>
          <w:sz w:val="24"/>
          <w:szCs w:val="24"/>
          <w:lang w:val="es-ES_tradnl"/>
        </w:rPr>
        <w:t>quez</w:t>
      </w:r>
      <w:r w:rsidRPr="00BE4E66">
        <w:rPr>
          <w:rFonts w:eastAsia="Calibri"/>
          <w:sz w:val="24"/>
          <w:szCs w:val="24"/>
          <w:lang w:val="es-CO" w:eastAsia="es-CO"/>
        </w:rPr>
        <w:t xml:space="preserve"> en calidad de agente oficiosa de la menor “Bertha”.</w:t>
      </w:r>
      <w:r>
        <w:rPr>
          <w:rFonts w:eastAsia="Calibri"/>
          <w:sz w:val="24"/>
          <w:szCs w:val="24"/>
          <w:lang w:val="es-CO" w:eastAsia="es-CO"/>
        </w:rPr>
        <w:t xml:space="preserve"> </w:t>
      </w:r>
      <w:r w:rsidRPr="00BE4E66">
        <w:rPr>
          <w:rFonts w:eastAsia="Calibri"/>
          <w:sz w:val="24"/>
          <w:szCs w:val="24"/>
          <w:lang w:val="es-ES_tradnl" w:eastAsia="es-CO"/>
        </w:rPr>
        <w:t xml:space="preserve">La Sala de primera instancia consideró que no se configuró ningún defecto que hiciera procedente la acción de tutela contra providencia judicial. Argumentó que la accionante pretendía utilizar el amparo constitucional con una tercera instancia, frente a la decisión adoptada por la jurisdicción indígena. </w:t>
      </w:r>
    </w:p>
    <w:p w:rsidR="00CF2E11" w:rsidRPr="00BE4E66" w:rsidRDefault="00CF2E11" w:rsidP="00CF2E11">
      <w:pPr>
        <w:spacing w:line="360" w:lineRule="auto"/>
        <w:rPr>
          <w:rFonts w:eastAsia="Calibri"/>
          <w:sz w:val="24"/>
          <w:szCs w:val="24"/>
          <w:lang w:val="es-ES_tradnl" w:eastAsia="es-CO"/>
        </w:rPr>
      </w:pPr>
    </w:p>
    <w:p w:rsidR="00CF2E11" w:rsidRPr="00BE4E66" w:rsidRDefault="00CF2E11" w:rsidP="00CF2E11">
      <w:pPr>
        <w:spacing w:line="360" w:lineRule="auto"/>
        <w:rPr>
          <w:sz w:val="24"/>
          <w:szCs w:val="24"/>
        </w:rPr>
      </w:pPr>
      <w:r w:rsidRPr="00BE4E66">
        <w:rPr>
          <w:rFonts w:eastAsia="Calibri"/>
          <w:sz w:val="24"/>
          <w:szCs w:val="24"/>
          <w:lang w:val="es-ES_tradnl" w:eastAsia="es-CO"/>
        </w:rPr>
        <w:t xml:space="preserve">Agregó que la labor de interpretación y aplicación del derecho realizada por la </w:t>
      </w:r>
      <w:r w:rsidRPr="00BE4E66">
        <w:rPr>
          <w:sz w:val="24"/>
          <w:szCs w:val="24"/>
        </w:rPr>
        <w:t xml:space="preserve">Sala Jurisdiccional Disciplinaria del Consejo Superior de la Judicatura, se hizo atendiendo las garantías procesales y respetando los principios de imparcialidad, juez natural, autonomía jurisdiccional y diversidad étnica. </w:t>
      </w:r>
    </w:p>
    <w:p w:rsidR="00CF2E11" w:rsidRPr="00BE4E66" w:rsidRDefault="00CF2E11" w:rsidP="00CF2E11">
      <w:pPr>
        <w:spacing w:line="360" w:lineRule="auto"/>
        <w:rPr>
          <w:sz w:val="24"/>
          <w:szCs w:val="24"/>
        </w:rPr>
      </w:pPr>
    </w:p>
    <w:p w:rsidR="00CF2E11" w:rsidRPr="00BE4E66" w:rsidRDefault="00CF2E11" w:rsidP="00CF2E11">
      <w:pPr>
        <w:spacing w:line="360" w:lineRule="auto"/>
        <w:rPr>
          <w:sz w:val="24"/>
          <w:szCs w:val="24"/>
        </w:rPr>
      </w:pPr>
      <w:r w:rsidRPr="00BE4E66">
        <w:rPr>
          <w:sz w:val="24"/>
          <w:szCs w:val="24"/>
        </w:rPr>
        <w:t>Por lo anterior, consideró que los derechos fundamentales alegados por la accionante no fueron vulnerados por la Sala Jurisdiccional Disciplinaria del Consejo Superior de la Judicatura y, en consecuencia, re</w:t>
      </w:r>
      <w:r>
        <w:rPr>
          <w:sz w:val="24"/>
          <w:szCs w:val="24"/>
        </w:rPr>
        <w:t>solvió negar el amparo</w:t>
      </w:r>
      <w:r w:rsidRPr="00BE4E66">
        <w:rPr>
          <w:sz w:val="24"/>
          <w:szCs w:val="24"/>
        </w:rPr>
        <w:t xml:space="preserve">. </w:t>
      </w:r>
    </w:p>
    <w:p w:rsidR="00CF2E11" w:rsidRDefault="00CF2E11" w:rsidP="00CF2E11">
      <w:pPr>
        <w:keepNext/>
        <w:keepLines/>
        <w:autoSpaceDE w:val="0"/>
        <w:autoSpaceDN w:val="0"/>
        <w:adjustRightInd w:val="0"/>
        <w:spacing w:line="360" w:lineRule="auto"/>
        <w:ind w:left="1080"/>
        <w:outlineLvl w:val="0"/>
        <w:rPr>
          <w:rFonts w:eastAsia="Times New Roman"/>
          <w:b/>
          <w:bCs/>
          <w:sz w:val="24"/>
          <w:szCs w:val="24"/>
          <w:lang w:val="es-ES_tradnl" w:eastAsia="x-none"/>
        </w:rPr>
      </w:pPr>
    </w:p>
    <w:p w:rsidR="00CF2E11" w:rsidRDefault="00CF2E11" w:rsidP="00CF2E11">
      <w:pPr>
        <w:keepNext/>
        <w:keepLines/>
        <w:autoSpaceDE w:val="0"/>
        <w:autoSpaceDN w:val="0"/>
        <w:adjustRightInd w:val="0"/>
        <w:spacing w:line="360" w:lineRule="auto"/>
        <w:ind w:left="1080"/>
        <w:outlineLvl w:val="0"/>
        <w:rPr>
          <w:rFonts w:eastAsia="Times New Roman"/>
          <w:b/>
          <w:bCs/>
          <w:sz w:val="24"/>
          <w:szCs w:val="24"/>
          <w:lang w:val="es-ES_tradnl" w:eastAsia="x-none"/>
        </w:rPr>
      </w:pPr>
    </w:p>
    <w:p w:rsidR="00CF2E11" w:rsidRDefault="00CF2E11" w:rsidP="00CF2E11">
      <w:pPr>
        <w:keepNext/>
        <w:keepLines/>
        <w:autoSpaceDE w:val="0"/>
        <w:autoSpaceDN w:val="0"/>
        <w:adjustRightInd w:val="0"/>
        <w:spacing w:line="360" w:lineRule="auto"/>
        <w:ind w:left="1080"/>
        <w:outlineLvl w:val="0"/>
        <w:rPr>
          <w:rFonts w:eastAsia="Times New Roman"/>
          <w:b/>
          <w:bCs/>
          <w:sz w:val="24"/>
          <w:szCs w:val="24"/>
          <w:lang w:val="es-ES_tradnl" w:eastAsia="x-none"/>
        </w:rPr>
      </w:pPr>
    </w:p>
    <w:p w:rsidR="00CF2E11" w:rsidRPr="00BE4E66" w:rsidRDefault="00CF2E11" w:rsidP="00CF2E11">
      <w:pPr>
        <w:keepNext/>
        <w:keepLines/>
        <w:numPr>
          <w:ilvl w:val="0"/>
          <w:numId w:val="3"/>
        </w:numPr>
        <w:autoSpaceDE w:val="0"/>
        <w:autoSpaceDN w:val="0"/>
        <w:adjustRightInd w:val="0"/>
        <w:spacing w:line="360" w:lineRule="auto"/>
        <w:jc w:val="center"/>
        <w:outlineLvl w:val="0"/>
        <w:rPr>
          <w:rFonts w:eastAsia="Times New Roman"/>
          <w:b/>
          <w:bCs/>
          <w:sz w:val="24"/>
          <w:szCs w:val="24"/>
          <w:lang w:val="es-ES_tradnl" w:eastAsia="x-none"/>
        </w:rPr>
      </w:pPr>
      <w:r w:rsidRPr="00BE4E66">
        <w:rPr>
          <w:rFonts w:eastAsia="Times New Roman"/>
          <w:b/>
          <w:bCs/>
          <w:sz w:val="24"/>
          <w:szCs w:val="24"/>
          <w:lang w:val="es-ES_tradnl" w:eastAsia="x-none"/>
        </w:rPr>
        <w:t xml:space="preserve"> IMPUGNACIÓN</w:t>
      </w:r>
    </w:p>
    <w:p w:rsidR="00CF2E11" w:rsidRDefault="00CF2E11" w:rsidP="00CF2E11">
      <w:pPr>
        <w:spacing w:line="360" w:lineRule="auto"/>
        <w:rPr>
          <w:rFonts w:eastAsia="Calibri"/>
          <w:sz w:val="24"/>
          <w:szCs w:val="24"/>
          <w:lang w:val="es-ES_tradnl" w:eastAsia="x-none"/>
        </w:rPr>
      </w:pPr>
    </w:p>
    <w:p w:rsidR="00CF2E11" w:rsidRPr="00BE4E66" w:rsidRDefault="00CF2E11" w:rsidP="00CF2E11">
      <w:pPr>
        <w:spacing w:line="360" w:lineRule="auto"/>
        <w:rPr>
          <w:rFonts w:eastAsia="Calibri"/>
          <w:sz w:val="24"/>
          <w:szCs w:val="24"/>
          <w:lang w:val="es-ES_tradnl" w:eastAsia="x-none"/>
        </w:rPr>
      </w:pPr>
    </w:p>
    <w:p w:rsidR="00CF2E11" w:rsidRPr="00BE4E66" w:rsidRDefault="00CF2E11" w:rsidP="00CF2E11">
      <w:pPr>
        <w:spacing w:line="360" w:lineRule="auto"/>
        <w:rPr>
          <w:rFonts w:eastAsia="Calibri"/>
          <w:sz w:val="24"/>
          <w:szCs w:val="24"/>
          <w:lang w:val="es-CO" w:eastAsia="es-CO"/>
        </w:rPr>
      </w:pPr>
      <w:r w:rsidRPr="00BE4E66">
        <w:rPr>
          <w:rFonts w:eastAsia="Calibri"/>
          <w:sz w:val="24"/>
          <w:szCs w:val="24"/>
          <w:lang w:val="es-ES_tradnl" w:eastAsia="x-none"/>
        </w:rPr>
        <w:t xml:space="preserve">El 15 de julio de 2014, la señora </w:t>
      </w:r>
      <w:r w:rsidRPr="00BE4E66">
        <w:rPr>
          <w:sz w:val="24"/>
          <w:szCs w:val="24"/>
          <w:lang w:val="es-ES_tradnl"/>
        </w:rPr>
        <w:t>Nelly Esther Gesama T</w:t>
      </w:r>
      <w:r>
        <w:rPr>
          <w:sz w:val="24"/>
          <w:szCs w:val="24"/>
          <w:lang w:val="es-ES_tradnl"/>
        </w:rPr>
        <w:t>á</w:t>
      </w:r>
      <w:r w:rsidRPr="00BE4E66">
        <w:rPr>
          <w:sz w:val="24"/>
          <w:szCs w:val="24"/>
          <w:lang w:val="es-ES_tradnl"/>
        </w:rPr>
        <w:t xml:space="preserve">quez </w:t>
      </w:r>
      <w:r w:rsidRPr="00BE4E66">
        <w:rPr>
          <w:rFonts w:eastAsia="Calibri"/>
          <w:sz w:val="24"/>
          <w:szCs w:val="24"/>
          <w:lang w:val="es-CO" w:eastAsia="es-CO"/>
        </w:rPr>
        <w:t xml:space="preserve">interpuso recurso de apelación contra el falló proferido el 26 de junio de 2014. En su escrito manifestó que la decisión de primera instancia no se ajustaba a los hechos y antecedentes que motivaron la tutela, ni al derecho impetrado, toda vez que se negaba a garantizar los derechos de la menor de edad y se fundaba en consideraciones inexactas. </w:t>
      </w:r>
    </w:p>
    <w:p w:rsidR="00CF2E11" w:rsidRDefault="00CF2E11" w:rsidP="00CF2E11">
      <w:pPr>
        <w:spacing w:after="200" w:line="276" w:lineRule="auto"/>
        <w:jc w:val="left"/>
        <w:rPr>
          <w:rFonts w:eastAsia="Calibri"/>
          <w:sz w:val="24"/>
          <w:szCs w:val="24"/>
          <w:lang w:val="es-ES_tradnl" w:eastAsia="x-none"/>
        </w:rPr>
      </w:pPr>
    </w:p>
    <w:p w:rsidR="00CF2E11" w:rsidRPr="00BE4E66" w:rsidRDefault="00CF2E11" w:rsidP="00CF2E11">
      <w:pPr>
        <w:spacing w:after="200" w:line="276" w:lineRule="auto"/>
        <w:jc w:val="left"/>
        <w:rPr>
          <w:rFonts w:eastAsia="Calibri"/>
          <w:sz w:val="24"/>
          <w:szCs w:val="24"/>
          <w:lang w:val="es-ES_tradnl" w:eastAsia="x-none"/>
        </w:rPr>
      </w:pPr>
    </w:p>
    <w:p w:rsidR="00CF2E11" w:rsidRPr="00BE4E66" w:rsidRDefault="00CF2E11" w:rsidP="00CF2E11">
      <w:pPr>
        <w:keepNext/>
        <w:keepLines/>
        <w:numPr>
          <w:ilvl w:val="0"/>
          <w:numId w:val="3"/>
        </w:numPr>
        <w:autoSpaceDE w:val="0"/>
        <w:autoSpaceDN w:val="0"/>
        <w:adjustRightInd w:val="0"/>
        <w:spacing w:line="360" w:lineRule="auto"/>
        <w:jc w:val="center"/>
        <w:outlineLvl w:val="0"/>
        <w:rPr>
          <w:rFonts w:eastAsia="Times New Roman"/>
          <w:b/>
          <w:bCs/>
          <w:sz w:val="24"/>
          <w:szCs w:val="24"/>
          <w:lang w:val="es-ES_tradnl" w:eastAsia="x-none"/>
        </w:rPr>
      </w:pPr>
      <w:r w:rsidRPr="00BE4E66">
        <w:rPr>
          <w:rFonts w:eastAsia="Times New Roman"/>
          <w:b/>
          <w:bCs/>
          <w:sz w:val="24"/>
          <w:szCs w:val="24"/>
          <w:lang w:val="es-ES_tradnl" w:eastAsia="x-none"/>
        </w:rPr>
        <w:t>CONSIDERACIONES</w:t>
      </w:r>
    </w:p>
    <w:p w:rsidR="00CF2E11" w:rsidRPr="00BE4E66" w:rsidRDefault="00CF2E11" w:rsidP="00CF2E11">
      <w:pPr>
        <w:spacing w:line="360" w:lineRule="auto"/>
        <w:rPr>
          <w:rFonts w:eastAsia="Calibri"/>
          <w:b/>
          <w:sz w:val="24"/>
          <w:szCs w:val="24"/>
          <w:lang w:val="es-CO"/>
        </w:rPr>
      </w:pPr>
    </w:p>
    <w:p w:rsidR="00CF2E11" w:rsidRPr="00BE4E66" w:rsidRDefault="00CF2E11" w:rsidP="00CF2E11">
      <w:pPr>
        <w:spacing w:line="360" w:lineRule="auto"/>
        <w:jc w:val="left"/>
        <w:rPr>
          <w:rFonts w:eastAsia="Calibri"/>
          <w:b/>
          <w:sz w:val="24"/>
          <w:szCs w:val="24"/>
          <w:lang w:val="es-CO"/>
        </w:rPr>
      </w:pPr>
      <w:r w:rsidRPr="00BE4E66">
        <w:rPr>
          <w:rFonts w:eastAsia="Calibri"/>
          <w:b/>
          <w:sz w:val="24"/>
          <w:szCs w:val="24"/>
          <w:lang w:val="es-CO"/>
        </w:rPr>
        <w:t>COMPETENCIA</w:t>
      </w:r>
    </w:p>
    <w:p w:rsidR="00CF2E11" w:rsidRPr="00BE4E66" w:rsidRDefault="00CF2E11" w:rsidP="00CF2E11">
      <w:pPr>
        <w:spacing w:line="360" w:lineRule="auto"/>
        <w:rPr>
          <w:rFonts w:eastAsia="Calibri"/>
          <w:sz w:val="24"/>
          <w:szCs w:val="24"/>
          <w:lang w:val="es-CO"/>
        </w:rPr>
      </w:pPr>
    </w:p>
    <w:p w:rsidR="00CF2E11" w:rsidRPr="00BE4E66" w:rsidRDefault="00CF2E11" w:rsidP="00CF2E11">
      <w:pPr>
        <w:spacing w:line="360" w:lineRule="auto"/>
        <w:rPr>
          <w:rFonts w:eastAsia="Calibri"/>
          <w:sz w:val="24"/>
          <w:szCs w:val="24"/>
          <w:lang w:val="es-CO"/>
        </w:rPr>
      </w:pPr>
      <w:r w:rsidRPr="00BE4E66">
        <w:rPr>
          <w:rFonts w:eastAsia="Calibri"/>
          <w:sz w:val="24"/>
          <w:szCs w:val="24"/>
          <w:lang w:val="es-CO"/>
        </w:rPr>
        <w:t>En virtud de lo dispuesto en</w:t>
      </w:r>
      <w:r>
        <w:rPr>
          <w:rFonts w:eastAsia="Calibri"/>
          <w:sz w:val="24"/>
          <w:szCs w:val="24"/>
          <w:lang w:val="es-CO"/>
        </w:rPr>
        <w:t xml:space="preserve"> los artículos </w:t>
      </w:r>
      <w:r w:rsidRPr="00BE4E66">
        <w:rPr>
          <w:rFonts w:eastAsia="Calibri"/>
          <w:sz w:val="24"/>
          <w:szCs w:val="24"/>
          <w:lang w:val="es-CO"/>
        </w:rPr>
        <w:t>86 y 116 de la Constitución, 31 y 32 del Decreto 2591 de 1991, y en el Decreto 1382 de 2000, la Sala Jurisdiccional Disciplinaria del Consejo Superior de la Judicatura es competente para conocer de la segunda instancia de los fallos que resuelven acciones de tutela, proferidos por las Salas Jurisdiccionales Disciplinarias de los Consejos Seccionales de la Judicatura.</w:t>
      </w:r>
    </w:p>
    <w:p w:rsidR="00CF2E11" w:rsidRPr="00BE4E66" w:rsidRDefault="00CF2E11" w:rsidP="00CF2E11">
      <w:pPr>
        <w:spacing w:line="360" w:lineRule="auto"/>
        <w:rPr>
          <w:rFonts w:eastAsia="Calibri"/>
          <w:sz w:val="24"/>
          <w:szCs w:val="24"/>
          <w:lang w:val="es-CO"/>
        </w:rPr>
      </w:pPr>
    </w:p>
    <w:p w:rsidR="00CF2E11" w:rsidRPr="00BE4E66" w:rsidRDefault="00CF2E11" w:rsidP="00CF2E11">
      <w:pPr>
        <w:spacing w:line="360" w:lineRule="auto"/>
        <w:rPr>
          <w:rFonts w:eastAsia="Calibri"/>
          <w:sz w:val="24"/>
          <w:szCs w:val="24"/>
          <w:lang w:val="es-CO"/>
        </w:rPr>
      </w:pPr>
      <w:r w:rsidRPr="00BE4E66">
        <w:rPr>
          <w:rFonts w:eastAsia="Calibri"/>
          <w:sz w:val="24"/>
          <w:szCs w:val="24"/>
          <w:lang w:val="es-CO"/>
        </w:rPr>
        <w:t>Con el fin de resolver el caso concreto, la Sala procederá a reiterar el precedente constitucional en torno a la procedibilidad de la acción de tutela contra providencias judiciales</w:t>
      </w:r>
      <w:r>
        <w:rPr>
          <w:rFonts w:eastAsia="Calibri"/>
          <w:sz w:val="24"/>
          <w:szCs w:val="24"/>
          <w:lang w:val="es-CO"/>
        </w:rPr>
        <w:t>, y luego resolverá el asunto concreto</w:t>
      </w:r>
      <w:r w:rsidRPr="00BE4E66">
        <w:rPr>
          <w:rFonts w:eastAsia="Calibri"/>
          <w:sz w:val="24"/>
          <w:szCs w:val="24"/>
          <w:lang w:val="es-CO"/>
        </w:rPr>
        <w:t xml:space="preserve">. </w:t>
      </w:r>
    </w:p>
    <w:p w:rsidR="00CF2E11" w:rsidRPr="00BE4E66" w:rsidRDefault="00CF2E11" w:rsidP="00CF2E11">
      <w:pPr>
        <w:spacing w:line="360" w:lineRule="auto"/>
        <w:rPr>
          <w:rFonts w:eastAsia="Calibri"/>
          <w:sz w:val="24"/>
          <w:szCs w:val="24"/>
          <w:lang w:val="es-CO"/>
        </w:rPr>
      </w:pPr>
    </w:p>
    <w:p w:rsidR="00CF2E11" w:rsidRPr="00BE4E66" w:rsidRDefault="00CF2E11" w:rsidP="00CF2E11">
      <w:pPr>
        <w:numPr>
          <w:ilvl w:val="0"/>
          <w:numId w:val="1"/>
        </w:numPr>
        <w:spacing w:line="360" w:lineRule="auto"/>
        <w:ind w:left="0" w:firstLine="0"/>
        <w:rPr>
          <w:rFonts w:eastAsia="Calibri"/>
          <w:b/>
          <w:sz w:val="24"/>
          <w:szCs w:val="24"/>
          <w:lang w:val="es-CO"/>
        </w:rPr>
      </w:pPr>
      <w:r w:rsidRPr="00BE4E66">
        <w:rPr>
          <w:rFonts w:eastAsia="Calibri"/>
          <w:b/>
          <w:sz w:val="24"/>
          <w:szCs w:val="24"/>
          <w:lang w:val="es-CO"/>
        </w:rPr>
        <w:t>PROCEDENCIA DE LA ACCIÓN DE TUTELA CONTRA DECISIONES JUDICIALES</w:t>
      </w:r>
    </w:p>
    <w:p w:rsidR="00CF2E11" w:rsidRPr="00BE4E66" w:rsidRDefault="00CF2E11" w:rsidP="00CF2E11">
      <w:pPr>
        <w:spacing w:line="360" w:lineRule="auto"/>
        <w:rPr>
          <w:rFonts w:eastAsia="Calibri"/>
          <w:sz w:val="24"/>
          <w:szCs w:val="24"/>
          <w:lang w:val="es-CO"/>
        </w:rPr>
      </w:pPr>
    </w:p>
    <w:p w:rsidR="00CF2E11" w:rsidRPr="00BE4E66" w:rsidRDefault="00CF2E11" w:rsidP="00CF2E11">
      <w:pPr>
        <w:spacing w:line="360" w:lineRule="auto"/>
        <w:rPr>
          <w:rFonts w:eastAsia="Calibri"/>
          <w:sz w:val="24"/>
          <w:szCs w:val="24"/>
          <w:lang w:val="es-CO"/>
        </w:rPr>
      </w:pPr>
      <w:r w:rsidRPr="00BE4E66">
        <w:rPr>
          <w:rFonts w:eastAsia="Calibri"/>
          <w:sz w:val="24"/>
          <w:szCs w:val="24"/>
          <w:lang w:val="es-CO"/>
        </w:rPr>
        <w:t xml:space="preserve">La acción de tutela es un mecanismo constitucional dispuesto para la protección inmediata de los derechos fundamentales. Si bien la Constitución Política en su artículo 86 previó la posibilidad de utilizarla para controvertir “en todo momento y lugar” cualquier acto u omisión proveniente de una autoridad pública que lesione o ponga en riesgo el disfrute efectivo de derechos de aquella naturaleza, desde su entrada en funcionamiento la Corte Constitucional advirtió que no podría convertirse en un remedio judicial que obrara en detrimento del buen funcionamiento del sistema jurídico al desplazar la utilización de las acciones y los recursos ordinarios. </w:t>
      </w:r>
    </w:p>
    <w:p w:rsidR="00CF2E11" w:rsidRPr="00BE4E66" w:rsidRDefault="00CF2E11" w:rsidP="00CF2E11">
      <w:pPr>
        <w:spacing w:line="360" w:lineRule="auto"/>
        <w:rPr>
          <w:rFonts w:eastAsia="Calibri"/>
          <w:sz w:val="24"/>
          <w:szCs w:val="24"/>
          <w:lang w:val="es-CO"/>
        </w:rPr>
      </w:pPr>
    </w:p>
    <w:p w:rsidR="00CF2E11" w:rsidRPr="00BE4E66" w:rsidRDefault="00CF2E11" w:rsidP="00CF2E11">
      <w:pPr>
        <w:spacing w:line="360" w:lineRule="auto"/>
        <w:rPr>
          <w:rFonts w:eastAsia="Calibri"/>
          <w:sz w:val="24"/>
          <w:szCs w:val="24"/>
          <w:lang w:val="es-CO"/>
        </w:rPr>
      </w:pPr>
      <w:r w:rsidRPr="00BE4E66">
        <w:rPr>
          <w:rFonts w:eastAsia="Calibri"/>
          <w:sz w:val="24"/>
          <w:szCs w:val="24"/>
          <w:lang w:val="es-CO"/>
        </w:rPr>
        <w:t xml:space="preserve">En ese orden de ideas, cuando tuvo la oportunidad de estudiar la compatibilidad del Decreto ley 2591 de 1991, reglamentario de tal acción, con la Constitución, dicho Tribunal declaró inexequible la interpretación de su artículo 11 según la cual la tutela procedía </w:t>
      </w:r>
      <w:r w:rsidRPr="00BE4E66">
        <w:rPr>
          <w:rFonts w:eastAsia="Calibri"/>
          <w:i/>
          <w:sz w:val="24"/>
          <w:szCs w:val="24"/>
          <w:lang w:val="es-CO"/>
        </w:rPr>
        <w:t>en general</w:t>
      </w:r>
      <w:r w:rsidRPr="00BE4E66">
        <w:rPr>
          <w:rFonts w:eastAsia="Calibri"/>
          <w:sz w:val="24"/>
          <w:szCs w:val="24"/>
          <w:lang w:val="es-CO"/>
        </w:rPr>
        <w:t xml:space="preserve"> contra decisiones judiciales. </w:t>
      </w:r>
    </w:p>
    <w:p w:rsidR="00CF2E11" w:rsidRPr="00BE4E66" w:rsidRDefault="00CF2E11" w:rsidP="00CF2E11">
      <w:pPr>
        <w:spacing w:line="360" w:lineRule="auto"/>
        <w:rPr>
          <w:rFonts w:eastAsia="Calibri"/>
          <w:sz w:val="24"/>
          <w:szCs w:val="24"/>
          <w:lang w:val="es-CO"/>
        </w:rPr>
      </w:pPr>
    </w:p>
    <w:p w:rsidR="00CF2E11" w:rsidRPr="00BE4E66" w:rsidRDefault="00CF2E11" w:rsidP="00CF2E11">
      <w:pPr>
        <w:spacing w:line="360" w:lineRule="auto"/>
        <w:rPr>
          <w:rFonts w:eastAsia="Calibri"/>
          <w:sz w:val="24"/>
          <w:szCs w:val="24"/>
          <w:lang w:val="es-CO"/>
        </w:rPr>
      </w:pPr>
      <w:r w:rsidRPr="00BE4E66">
        <w:rPr>
          <w:rFonts w:eastAsia="Calibri"/>
          <w:sz w:val="24"/>
          <w:szCs w:val="24"/>
          <w:lang w:val="es-CO"/>
        </w:rPr>
        <w:t xml:space="preserve">Una lectura de este tipo, según la Corte Constitucional, afectaría el buen funcionamiento del ordenamiento jurídico al introducir instancias de litigo adicionales, teóricamente ilimitadas, en todos los asuntos sometidos a la judicatura. De esta manera, se afectarían los principios de la seguridad jurídica y la cosa juzgada y, en últimas, se convalidarían omisiones e indiligencias de los sujetos procesales que en el desarrollo del trámite ordinario no defendieron sus intereses o lo hicieron de forma deficiente. Así, partiendo del carácter subsidiario o residual de la tutela, la Corte destaca su improcedencia </w:t>
      </w:r>
      <w:r w:rsidRPr="00BE4E66">
        <w:rPr>
          <w:rFonts w:eastAsia="Calibri"/>
          <w:i/>
          <w:sz w:val="24"/>
          <w:szCs w:val="24"/>
          <w:lang w:val="es-CO"/>
        </w:rPr>
        <w:t>prima facie</w:t>
      </w:r>
      <w:r w:rsidRPr="00BE4E66">
        <w:rPr>
          <w:rFonts w:eastAsia="Calibri"/>
          <w:sz w:val="24"/>
          <w:szCs w:val="24"/>
          <w:lang w:val="es-CO"/>
        </w:rPr>
        <w:t xml:space="preserve"> cuando existe una vía de controversia ordinaria al alcance del interesado: </w:t>
      </w:r>
    </w:p>
    <w:p w:rsidR="00CF2E11" w:rsidRPr="00BE4E66" w:rsidRDefault="00CF2E11" w:rsidP="00CF2E11">
      <w:pPr>
        <w:spacing w:line="360" w:lineRule="auto"/>
        <w:ind w:left="708"/>
        <w:rPr>
          <w:rFonts w:eastAsia="Calibri"/>
          <w:sz w:val="24"/>
          <w:szCs w:val="24"/>
          <w:lang w:val="es-CO"/>
        </w:rPr>
      </w:pPr>
    </w:p>
    <w:p w:rsidR="00CF2E11" w:rsidRPr="00BE4E66" w:rsidRDefault="00CF2E11" w:rsidP="00CF2E11">
      <w:pPr>
        <w:spacing w:line="360" w:lineRule="auto"/>
        <w:ind w:left="708"/>
        <w:rPr>
          <w:rFonts w:eastAsia="Calibri"/>
          <w:sz w:val="24"/>
          <w:szCs w:val="24"/>
          <w:lang w:val="es-CO"/>
        </w:rPr>
      </w:pPr>
      <w:r w:rsidRPr="00BE4E66">
        <w:rPr>
          <w:rFonts w:eastAsia="Calibri"/>
          <w:sz w:val="24"/>
          <w:szCs w:val="24"/>
          <w:lang w:val="es-CO"/>
        </w:rPr>
        <w:t>“[C]uando se ha tenido al alcance un medio judicial ordinario y, más aún, cuando ese medio se ha agotado y se ha adelantado un proceso, no puede pretenderse adicionar al trámite ya surtido una acción de tutela, pues al tenor del artículo 86 de la Constitución, dicho mecanismo es improcedente por la sola existencia de otra posibilidad judicial de protección, aún sin que ella haya culminado en un pronunciamiento definitorio del derecho”</w:t>
      </w:r>
      <w:r w:rsidRPr="00BE4E66">
        <w:rPr>
          <w:rFonts w:eastAsia="Calibri"/>
          <w:sz w:val="24"/>
          <w:szCs w:val="24"/>
          <w:vertAlign w:val="superscript"/>
          <w:lang w:val="es-CO"/>
        </w:rPr>
        <w:footnoteReference w:id="4"/>
      </w:r>
      <w:r w:rsidRPr="00BE4E66">
        <w:rPr>
          <w:rFonts w:eastAsia="Calibri"/>
          <w:sz w:val="24"/>
          <w:szCs w:val="24"/>
          <w:lang w:val="es-CO"/>
        </w:rPr>
        <w:t>.</w:t>
      </w:r>
    </w:p>
    <w:p w:rsidR="00CF2E11" w:rsidRPr="00BE4E66" w:rsidRDefault="00CF2E11" w:rsidP="00CF2E11">
      <w:pPr>
        <w:spacing w:line="360" w:lineRule="auto"/>
        <w:rPr>
          <w:rFonts w:eastAsia="Calibri"/>
          <w:sz w:val="24"/>
          <w:szCs w:val="24"/>
          <w:lang w:val="es-CO"/>
        </w:rPr>
      </w:pPr>
      <w:r w:rsidRPr="00BE4E66">
        <w:rPr>
          <w:rFonts w:eastAsia="Calibri"/>
          <w:sz w:val="24"/>
          <w:szCs w:val="24"/>
          <w:lang w:val="es-CO"/>
        </w:rPr>
        <w:tab/>
      </w:r>
    </w:p>
    <w:p w:rsidR="00CF2E11" w:rsidRPr="00BE4E66" w:rsidRDefault="00CF2E11" w:rsidP="00CF2E11">
      <w:pPr>
        <w:spacing w:line="360" w:lineRule="auto"/>
        <w:rPr>
          <w:rFonts w:eastAsia="Calibri"/>
          <w:sz w:val="24"/>
          <w:szCs w:val="24"/>
          <w:lang w:val="es-CO"/>
        </w:rPr>
      </w:pPr>
      <w:r w:rsidRPr="00BE4E66">
        <w:rPr>
          <w:rFonts w:eastAsia="Calibri"/>
          <w:sz w:val="24"/>
          <w:szCs w:val="24"/>
          <w:lang w:val="es-CO"/>
        </w:rPr>
        <w:t xml:space="preserve">Así las cosas, la mera inconformidad del individuo que acude en tutela frente a la decisión ordinaria, proferida con respeto al debido proceso, no habilita la reapertura de un debate cerrado, amparado por la institución de la cosa juzgada y protegido por los principios de autonomía e independencia judicial: </w:t>
      </w:r>
    </w:p>
    <w:p w:rsidR="00CF2E11" w:rsidRPr="00BE4E66" w:rsidRDefault="00CF2E11" w:rsidP="00CF2E11">
      <w:pPr>
        <w:spacing w:line="360" w:lineRule="auto"/>
        <w:rPr>
          <w:rFonts w:eastAsia="Calibri"/>
          <w:sz w:val="24"/>
          <w:szCs w:val="24"/>
          <w:lang w:val="es-CO"/>
        </w:rPr>
      </w:pPr>
    </w:p>
    <w:p w:rsidR="00CF2E11" w:rsidRPr="00BE4E66" w:rsidRDefault="00CF2E11" w:rsidP="00CF2E11">
      <w:pPr>
        <w:spacing w:line="360" w:lineRule="auto"/>
        <w:ind w:left="708"/>
        <w:rPr>
          <w:rFonts w:eastAsia="Calibri"/>
          <w:sz w:val="24"/>
          <w:szCs w:val="24"/>
          <w:lang w:val="es-CO"/>
        </w:rPr>
      </w:pPr>
      <w:r w:rsidRPr="00BE4E66">
        <w:rPr>
          <w:rFonts w:eastAsia="Calibri"/>
          <w:sz w:val="24"/>
          <w:szCs w:val="24"/>
          <w:lang w:val="es-CO"/>
        </w:rPr>
        <w:t xml:space="preserve">“[N]adie puede alegar que careció de medios de defensa si gozó de la oportunidad de un proceso y menos todavía si tomó parte en él hasta su conclusión y ejerció los recursos de que disponía. Pero, claro está, si pese a las ocasiones de defensa dentro del proceso y a las posibilidades de impugnación del fallo que le otorgaba el sistema jurídico en obedecimiento a claros principios constitucionales (artículos 29 y 31 de la Carta), el interesado se abstuvo de utilizar los mecanismos a su disposición, </w:t>
      </w:r>
      <w:r w:rsidRPr="00BE4E66">
        <w:rPr>
          <w:rFonts w:eastAsia="Calibri"/>
          <w:sz w:val="24"/>
          <w:szCs w:val="24"/>
          <w:u w:val="single"/>
          <w:lang w:val="es-CO"/>
        </w:rPr>
        <w:t>tampoco puede acudir a la institución de la tutela como última tabla de salvación de sus pretensiones</w:t>
      </w:r>
      <w:r w:rsidRPr="00BE4E66">
        <w:rPr>
          <w:rFonts w:eastAsia="Calibri"/>
          <w:sz w:val="24"/>
          <w:szCs w:val="24"/>
          <w:lang w:val="es-CO"/>
        </w:rPr>
        <w:t>, por cuanto ello implica el alegato de su propia incuria contra el principio universalmente aceptado y desvirtúa el carácter subsidiario de la acción”</w:t>
      </w:r>
      <w:r w:rsidRPr="00BE4E66">
        <w:rPr>
          <w:rFonts w:eastAsia="Calibri"/>
          <w:sz w:val="24"/>
          <w:szCs w:val="24"/>
          <w:vertAlign w:val="superscript"/>
          <w:lang w:val="es-CO"/>
        </w:rPr>
        <w:footnoteReference w:id="5"/>
      </w:r>
      <w:r w:rsidRPr="00BE4E66">
        <w:rPr>
          <w:rFonts w:eastAsia="Calibri"/>
          <w:sz w:val="24"/>
          <w:szCs w:val="24"/>
          <w:lang w:val="es-CO"/>
        </w:rPr>
        <w:t xml:space="preserve"> (énfasis de la Sala).</w:t>
      </w:r>
    </w:p>
    <w:p w:rsidR="00CF2E11" w:rsidRPr="00BE4E66" w:rsidRDefault="00CF2E11" w:rsidP="00CF2E11">
      <w:pPr>
        <w:spacing w:line="360" w:lineRule="auto"/>
        <w:rPr>
          <w:rFonts w:eastAsia="Calibri"/>
          <w:sz w:val="24"/>
          <w:szCs w:val="24"/>
          <w:lang w:val="es-CO"/>
        </w:rPr>
      </w:pPr>
    </w:p>
    <w:p w:rsidR="00CF2E11" w:rsidRPr="00BE4E66" w:rsidRDefault="00CF2E11" w:rsidP="00CF2E11">
      <w:pPr>
        <w:spacing w:line="360" w:lineRule="auto"/>
        <w:rPr>
          <w:rFonts w:eastAsia="Calibri"/>
          <w:sz w:val="24"/>
          <w:szCs w:val="24"/>
          <w:lang w:val="es-CO"/>
        </w:rPr>
      </w:pPr>
      <w:r w:rsidRPr="00BE4E66">
        <w:rPr>
          <w:rFonts w:eastAsia="Calibri"/>
          <w:sz w:val="24"/>
          <w:szCs w:val="24"/>
          <w:lang w:val="es-CO"/>
        </w:rPr>
        <w:t xml:space="preserve">Con todo, en ocasiones la actuación judicial ordinaria fue adelantada al margen del debido proceso. Eventos en los cuales el trámite surtido por el juez natural adolece de graves irregularidades que impiden atribuirle entidad de cosa juzgada a lo decidido por su conducto. </w:t>
      </w:r>
    </w:p>
    <w:p w:rsidR="00CF2E11" w:rsidRPr="00BE4E66" w:rsidRDefault="00CF2E11" w:rsidP="00CF2E11">
      <w:pPr>
        <w:spacing w:line="360" w:lineRule="auto"/>
        <w:rPr>
          <w:rFonts w:eastAsia="Calibri"/>
          <w:sz w:val="24"/>
          <w:szCs w:val="24"/>
          <w:lang w:val="es-CO"/>
        </w:rPr>
      </w:pPr>
    </w:p>
    <w:p w:rsidR="00CF2E11" w:rsidRPr="00BE4E66" w:rsidRDefault="00CF2E11" w:rsidP="00CF2E11">
      <w:pPr>
        <w:spacing w:line="360" w:lineRule="auto"/>
        <w:rPr>
          <w:rFonts w:eastAsia="Calibri"/>
          <w:sz w:val="24"/>
          <w:szCs w:val="24"/>
          <w:lang w:val="es-CO"/>
        </w:rPr>
      </w:pPr>
      <w:r w:rsidRPr="00BE4E66">
        <w:rPr>
          <w:rFonts w:eastAsia="Calibri"/>
          <w:sz w:val="24"/>
          <w:szCs w:val="24"/>
          <w:lang w:val="es-CO"/>
        </w:rPr>
        <w:t>Según lo establecen los artículos 29 Constitucional y 8º y 25 de la Convención Americana sobre Derechos Humanos, toda persona tiene el derecho fundamental a que sus derechos y obligaciones se definan con apego a las formalidades y las normas sustanciales previstas en la ley. Se trata de una garantía individual encaminada a evitar que el desempeño de la actividad judicial adolezca de falencias con efectos sobre los resultados del proceso. Según la Corte Constitucional, el derecho a un debido proceso reúne una serie de garantías aplicables a toda controversia judicial, orientadas a salvaguardar los derechos e intereses de las partes en un litigio</w:t>
      </w:r>
      <w:r w:rsidRPr="00BE4E66">
        <w:rPr>
          <w:rFonts w:eastAsia="Calibri"/>
          <w:sz w:val="24"/>
          <w:szCs w:val="24"/>
          <w:vertAlign w:val="superscript"/>
          <w:lang w:val="es-CO"/>
        </w:rPr>
        <w:footnoteReference w:id="6"/>
      </w:r>
      <w:r w:rsidRPr="00BE4E66">
        <w:rPr>
          <w:rFonts w:eastAsia="Calibri"/>
          <w:i/>
          <w:sz w:val="24"/>
          <w:szCs w:val="24"/>
          <w:lang w:val="es-CO"/>
        </w:rPr>
        <w:t>.</w:t>
      </w:r>
      <w:r w:rsidRPr="00BE4E66">
        <w:rPr>
          <w:rFonts w:eastAsia="Calibri"/>
          <w:sz w:val="24"/>
          <w:szCs w:val="24"/>
          <w:lang w:val="es-CO"/>
        </w:rPr>
        <w:t xml:space="preserve"> El debido proceso también asegura la justicia material de las decisiones jurisdiccionales y, por esa vía, se vincula con el cumplimiento de las finalidades del Estado consignadas en la Constitución Política, tales como la consecución de un orden social, económico y político “justo” (Preámbulo), el respeto de la dignidad humana (artículo 1º) y la “efectividad de los principios, derechos y deberes” de las personas (artículo 2º)</w:t>
      </w:r>
      <w:r w:rsidRPr="00BE4E66">
        <w:rPr>
          <w:rFonts w:eastAsia="Calibri"/>
          <w:sz w:val="24"/>
          <w:szCs w:val="24"/>
          <w:vertAlign w:val="superscript"/>
          <w:lang w:val="es-CO"/>
        </w:rPr>
        <w:footnoteReference w:id="7"/>
      </w:r>
      <w:r w:rsidRPr="00BE4E66">
        <w:rPr>
          <w:rFonts w:eastAsia="Calibri"/>
          <w:sz w:val="24"/>
          <w:szCs w:val="24"/>
          <w:lang w:val="es-CO"/>
        </w:rPr>
        <w:t xml:space="preserve">. </w:t>
      </w:r>
    </w:p>
    <w:p w:rsidR="00CF2E11" w:rsidRPr="00BE4E66" w:rsidRDefault="00CF2E11" w:rsidP="00CF2E11">
      <w:pPr>
        <w:spacing w:line="360" w:lineRule="auto"/>
        <w:rPr>
          <w:rFonts w:eastAsia="Calibri"/>
          <w:sz w:val="24"/>
          <w:szCs w:val="24"/>
          <w:lang w:val="es-CO"/>
        </w:rPr>
      </w:pPr>
    </w:p>
    <w:p w:rsidR="00CF2E11" w:rsidRPr="00BE4E66" w:rsidRDefault="00CF2E11" w:rsidP="00CF2E11">
      <w:pPr>
        <w:spacing w:line="360" w:lineRule="auto"/>
        <w:rPr>
          <w:rFonts w:eastAsia="Calibri"/>
          <w:sz w:val="24"/>
          <w:szCs w:val="24"/>
          <w:lang w:val="es-CO"/>
        </w:rPr>
      </w:pPr>
      <w:r w:rsidRPr="00BE4E66">
        <w:rPr>
          <w:rFonts w:eastAsia="Calibri"/>
          <w:sz w:val="24"/>
          <w:szCs w:val="24"/>
          <w:lang w:val="es-CO"/>
        </w:rPr>
        <w:t>Corolario de lo anterior es que una decisión emitida en abierto desconocimiento del debido proceso, ostenta la apariencia de providencia judicial pero constituye en realidad una actuación arbitraria y subjetiva de la autoridad emisora. En estos eventos, el juez de conocimiento incurre en una violación del régimen procesal o se aparta del marco legal aplicable y con ello impone su voluntad por encima del derecho. Esta situación genera, de contera, una lesión tanto a los derechos sustanciales en debate como a la expectativa legítima de participar en un trámite encausado según las normas adjetivas preexistentes.</w:t>
      </w:r>
    </w:p>
    <w:p w:rsidR="00CF2E11" w:rsidRPr="00BE4E66" w:rsidRDefault="00CF2E11" w:rsidP="00CF2E11">
      <w:pPr>
        <w:spacing w:line="360" w:lineRule="auto"/>
        <w:rPr>
          <w:rFonts w:eastAsia="Calibri"/>
          <w:sz w:val="24"/>
          <w:szCs w:val="24"/>
          <w:lang w:val="es-CO"/>
        </w:rPr>
      </w:pPr>
    </w:p>
    <w:p w:rsidR="00CF2E11" w:rsidRPr="00BE4E66" w:rsidRDefault="00CF2E11" w:rsidP="00CF2E11">
      <w:pPr>
        <w:spacing w:line="360" w:lineRule="auto"/>
        <w:rPr>
          <w:rFonts w:eastAsia="Calibri"/>
          <w:sz w:val="24"/>
          <w:szCs w:val="24"/>
          <w:lang w:val="es-CO"/>
        </w:rPr>
      </w:pPr>
      <w:r w:rsidRPr="00BE4E66">
        <w:rPr>
          <w:rFonts w:eastAsia="Calibri"/>
          <w:sz w:val="24"/>
          <w:szCs w:val="24"/>
          <w:lang w:val="es-CO"/>
        </w:rPr>
        <w:t>Así las cosas, la intangibilidad general de las providencias judiciales, cede ocasionalmente a favor de la vigencia de un orden justo, cimentado en la prevalencia de la justicia material sobre el principio de seguridad jurídica y el respeto por los derechos fundamentales.</w:t>
      </w:r>
    </w:p>
    <w:p w:rsidR="00CF2E11" w:rsidRPr="00BE4E66" w:rsidRDefault="00CF2E11" w:rsidP="00CF2E11">
      <w:pPr>
        <w:spacing w:line="360" w:lineRule="auto"/>
        <w:rPr>
          <w:rFonts w:eastAsia="Calibri"/>
          <w:sz w:val="24"/>
          <w:szCs w:val="24"/>
          <w:lang w:val="es-CO"/>
        </w:rPr>
      </w:pPr>
    </w:p>
    <w:p w:rsidR="00CF2E11" w:rsidRPr="00BE4E66" w:rsidRDefault="00CF2E11" w:rsidP="00CF2E11">
      <w:pPr>
        <w:spacing w:line="360" w:lineRule="auto"/>
        <w:rPr>
          <w:rFonts w:eastAsia="Calibri"/>
          <w:sz w:val="24"/>
          <w:szCs w:val="24"/>
          <w:lang w:val="es-CO"/>
        </w:rPr>
      </w:pPr>
      <w:r w:rsidRPr="00BE4E66">
        <w:rPr>
          <w:rFonts w:eastAsia="Calibri"/>
          <w:sz w:val="24"/>
          <w:szCs w:val="24"/>
          <w:lang w:val="es-CO"/>
        </w:rPr>
        <w:t xml:space="preserve">En este sentido, el precedente constitucional vigente enseña que la acción de tutela sirve como mecanismo de defensa ante actuaciones judiciales contrarias al debido proceso. Cuando se emplea con tal finalidad, le corresponde al juez de tutela analizar caso por caso, para determinar si realmente se enfrenta a una decisión arbitraria con efectos nocivos en los derechos de su destinatario. Así, en ciertas hipótesis la tutela es el único remedio judicial disponible para las víctimas de violaciones al debido proceso, de allí que su procedibilidad no deba descartarse en abstracto, en aras de favorecer su empleo cuando exista mérito y se observe un flagrante yerro judicial. </w:t>
      </w:r>
    </w:p>
    <w:p w:rsidR="00CF2E11" w:rsidRPr="00BE4E66" w:rsidRDefault="00CF2E11" w:rsidP="00CF2E11">
      <w:pPr>
        <w:spacing w:line="360" w:lineRule="auto"/>
        <w:rPr>
          <w:rFonts w:eastAsia="Calibri"/>
          <w:sz w:val="24"/>
          <w:szCs w:val="24"/>
          <w:lang w:val="es-CO"/>
        </w:rPr>
      </w:pPr>
    </w:p>
    <w:p w:rsidR="00CF2E11" w:rsidRDefault="00CF2E11" w:rsidP="00CF2E11">
      <w:pPr>
        <w:spacing w:line="360" w:lineRule="auto"/>
        <w:rPr>
          <w:rFonts w:eastAsia="Calibri"/>
          <w:sz w:val="24"/>
          <w:szCs w:val="24"/>
          <w:lang w:val="es-CO"/>
        </w:rPr>
      </w:pPr>
      <w:r w:rsidRPr="00BE4E66">
        <w:rPr>
          <w:rFonts w:eastAsia="Calibri"/>
          <w:sz w:val="24"/>
          <w:szCs w:val="24"/>
          <w:lang w:val="es-CO"/>
        </w:rPr>
        <w:t xml:space="preserve">Con todo, la misma jurisprudencia ha establecido una serie de requisitos generales y específicos que facilitan la identificación de aquellos eventos en los cuales resulta legítimo interponer una acción de tutela en contra de una sentencia judicial. A partir de la sentencia C-590 de 2005 especialmente, se fijaron los parámetros mínimos que deben satisfacerse en este sentido. Así, con respecto a los requisitos </w:t>
      </w:r>
      <w:r w:rsidRPr="00BE4E66">
        <w:rPr>
          <w:rFonts w:eastAsia="Calibri"/>
          <w:i/>
          <w:sz w:val="24"/>
          <w:szCs w:val="24"/>
          <w:lang w:val="es-CO"/>
        </w:rPr>
        <w:t>generales</w:t>
      </w:r>
      <w:r w:rsidRPr="00BE4E66">
        <w:rPr>
          <w:rFonts w:eastAsia="Calibri"/>
          <w:sz w:val="24"/>
          <w:szCs w:val="24"/>
          <w:lang w:val="es-CO"/>
        </w:rPr>
        <w:t xml:space="preserve"> se tienen los siguientes: </w:t>
      </w:r>
    </w:p>
    <w:p w:rsidR="00CF2E11" w:rsidRPr="00BE4E66" w:rsidRDefault="00CF2E11" w:rsidP="00CF2E11">
      <w:pPr>
        <w:spacing w:line="360" w:lineRule="auto"/>
        <w:rPr>
          <w:rFonts w:eastAsia="Calibri"/>
          <w:sz w:val="24"/>
          <w:szCs w:val="24"/>
          <w:lang w:val="es-CO"/>
        </w:rPr>
      </w:pPr>
    </w:p>
    <w:p w:rsidR="00CF2E11" w:rsidRPr="00BE4E66" w:rsidRDefault="00CF2E11" w:rsidP="00CF2E11">
      <w:pPr>
        <w:spacing w:line="360" w:lineRule="auto"/>
        <w:rPr>
          <w:rFonts w:eastAsia="Calibri"/>
          <w:sz w:val="24"/>
          <w:szCs w:val="24"/>
          <w:lang w:val="es-CO"/>
        </w:rPr>
      </w:pPr>
    </w:p>
    <w:p w:rsidR="00CF2E11" w:rsidRPr="00BE4E66" w:rsidRDefault="00CF2E11" w:rsidP="00CF2E11">
      <w:pPr>
        <w:spacing w:line="360" w:lineRule="auto"/>
        <w:ind w:left="708"/>
        <w:rPr>
          <w:rFonts w:eastAsia="Calibri"/>
          <w:sz w:val="24"/>
          <w:szCs w:val="24"/>
          <w:lang w:val="es-CO"/>
        </w:rPr>
      </w:pPr>
      <w:r w:rsidRPr="00BE4E66">
        <w:rPr>
          <w:rFonts w:eastAsia="Calibri"/>
          <w:sz w:val="24"/>
          <w:szCs w:val="24"/>
          <w:lang w:val="es-CO"/>
        </w:rPr>
        <w:t>“a. Que la cuestión que se discuta resulte de evidente relevancia constitucional (...)</w:t>
      </w:r>
    </w:p>
    <w:p w:rsidR="00CF2E11" w:rsidRPr="00BE4E66" w:rsidRDefault="00CF2E11" w:rsidP="00CF2E11">
      <w:pPr>
        <w:spacing w:line="360" w:lineRule="auto"/>
        <w:ind w:left="708"/>
        <w:rPr>
          <w:rFonts w:eastAsia="Calibri"/>
          <w:sz w:val="24"/>
          <w:szCs w:val="24"/>
          <w:lang w:val="es-CO"/>
        </w:rPr>
      </w:pPr>
    </w:p>
    <w:p w:rsidR="00CF2E11" w:rsidRPr="00BE4E66" w:rsidRDefault="00CF2E11" w:rsidP="00CF2E11">
      <w:pPr>
        <w:spacing w:line="360" w:lineRule="auto"/>
        <w:ind w:left="708"/>
        <w:rPr>
          <w:rFonts w:eastAsia="Calibri"/>
          <w:sz w:val="24"/>
          <w:szCs w:val="24"/>
          <w:lang w:val="es-CO"/>
        </w:rPr>
      </w:pPr>
      <w:r w:rsidRPr="00BE4E66">
        <w:rPr>
          <w:rFonts w:eastAsia="Calibri"/>
          <w:sz w:val="24"/>
          <w:szCs w:val="24"/>
          <w:lang w:val="es-CO"/>
        </w:rPr>
        <w:t>b. Que se hayan agotado todos los medios -ordinarios y extraordinarios- de defensa judicial al alcance de la persona afectada, salvo que se trate de evitar la consumación de un perjuicio irremediable.</w:t>
      </w:r>
    </w:p>
    <w:p w:rsidR="00CF2E11" w:rsidRPr="00BE4E66" w:rsidRDefault="00CF2E11" w:rsidP="00CF2E11">
      <w:pPr>
        <w:spacing w:line="360" w:lineRule="auto"/>
        <w:ind w:left="708"/>
        <w:rPr>
          <w:rFonts w:eastAsia="Calibri"/>
          <w:sz w:val="24"/>
          <w:szCs w:val="24"/>
          <w:lang w:val="es-CO"/>
        </w:rPr>
      </w:pPr>
    </w:p>
    <w:p w:rsidR="00CF2E11" w:rsidRPr="00BE4E66" w:rsidRDefault="00CF2E11" w:rsidP="00CF2E11">
      <w:pPr>
        <w:spacing w:line="360" w:lineRule="auto"/>
        <w:ind w:left="708"/>
        <w:rPr>
          <w:rFonts w:eastAsia="Calibri"/>
          <w:sz w:val="24"/>
          <w:szCs w:val="24"/>
          <w:lang w:val="es-CO"/>
        </w:rPr>
      </w:pPr>
      <w:r w:rsidRPr="00BE4E66">
        <w:rPr>
          <w:rFonts w:eastAsia="Calibri"/>
          <w:sz w:val="24"/>
          <w:szCs w:val="24"/>
          <w:lang w:val="es-CO"/>
        </w:rPr>
        <w:t>c. Que se cumpla el requisito de la inmediatez, es decir, que la tutela se hubiere interpuesto en un término razonable y proporcionado a partir del hecho que originó la vulneración.</w:t>
      </w:r>
    </w:p>
    <w:p w:rsidR="00CF2E11" w:rsidRPr="00BE4E66" w:rsidRDefault="00CF2E11" w:rsidP="00CF2E11">
      <w:pPr>
        <w:spacing w:line="360" w:lineRule="auto"/>
        <w:ind w:left="708"/>
        <w:rPr>
          <w:rFonts w:eastAsia="Calibri"/>
          <w:sz w:val="24"/>
          <w:szCs w:val="24"/>
          <w:lang w:val="es-CO"/>
        </w:rPr>
      </w:pPr>
    </w:p>
    <w:p w:rsidR="00CF2E11" w:rsidRPr="00BE4E66" w:rsidRDefault="00CF2E11" w:rsidP="00CF2E11">
      <w:pPr>
        <w:spacing w:line="360" w:lineRule="auto"/>
        <w:ind w:left="708"/>
        <w:rPr>
          <w:rFonts w:eastAsia="Calibri"/>
          <w:sz w:val="24"/>
          <w:szCs w:val="24"/>
          <w:lang w:val="es-CO"/>
        </w:rPr>
      </w:pPr>
      <w:r w:rsidRPr="00BE4E66">
        <w:rPr>
          <w:rFonts w:eastAsia="Calibri"/>
          <w:sz w:val="24"/>
          <w:szCs w:val="24"/>
          <w:lang w:val="es-CO"/>
        </w:rPr>
        <w:t>d. Cuando se trate de una irregularidad procesal, debe quedar claro que la misma tiene un efecto decisivo o determinante en la sentencia que se impugna y que afecta los derechos fundamentales de la parte actora.</w:t>
      </w:r>
    </w:p>
    <w:p w:rsidR="00CF2E11" w:rsidRPr="00BE4E66" w:rsidRDefault="00CF2E11" w:rsidP="00CF2E11">
      <w:pPr>
        <w:spacing w:line="360" w:lineRule="auto"/>
        <w:ind w:left="708"/>
        <w:rPr>
          <w:rFonts w:eastAsia="Calibri"/>
          <w:sz w:val="24"/>
          <w:szCs w:val="24"/>
          <w:lang w:val="es-CO"/>
        </w:rPr>
      </w:pPr>
    </w:p>
    <w:p w:rsidR="00CF2E11" w:rsidRPr="00BE4E66" w:rsidRDefault="00CF2E11" w:rsidP="00CF2E11">
      <w:pPr>
        <w:spacing w:line="360" w:lineRule="auto"/>
        <w:ind w:left="708"/>
        <w:rPr>
          <w:rFonts w:eastAsia="Calibri"/>
          <w:sz w:val="24"/>
          <w:szCs w:val="24"/>
          <w:lang w:val="es-CO"/>
        </w:rPr>
      </w:pPr>
      <w:r w:rsidRPr="00BE4E66">
        <w:rPr>
          <w:rFonts w:eastAsia="Calibri"/>
          <w:sz w:val="24"/>
          <w:szCs w:val="24"/>
          <w:lang w:val="es-CO"/>
        </w:rPr>
        <w:t>e. Que la parte actora identifique de manera razonable tanto los hechos que generaron la vulneración como los derechos vulnerados y que hubiere alegado tal vulneración en el proceso judicial siempre que esto hubiere sido posible.</w:t>
      </w:r>
    </w:p>
    <w:p w:rsidR="00CF2E11" w:rsidRPr="00BE4E66" w:rsidRDefault="00CF2E11" w:rsidP="00CF2E11">
      <w:pPr>
        <w:spacing w:line="360" w:lineRule="auto"/>
        <w:ind w:left="708"/>
        <w:rPr>
          <w:rFonts w:eastAsia="Calibri"/>
          <w:sz w:val="24"/>
          <w:szCs w:val="24"/>
          <w:lang w:val="es-CO"/>
        </w:rPr>
      </w:pPr>
      <w:r w:rsidRPr="00BE4E66">
        <w:rPr>
          <w:rFonts w:eastAsia="Calibri"/>
          <w:sz w:val="24"/>
          <w:szCs w:val="24"/>
          <w:lang w:val="es-CO"/>
        </w:rPr>
        <w:t>f. Que no se trate de sentencias de tutela”</w:t>
      </w:r>
      <w:r w:rsidRPr="00BE4E66">
        <w:rPr>
          <w:rFonts w:eastAsia="Calibri"/>
          <w:sz w:val="24"/>
          <w:szCs w:val="24"/>
          <w:vertAlign w:val="superscript"/>
          <w:lang w:val="es-CO"/>
        </w:rPr>
        <w:footnoteReference w:id="8"/>
      </w:r>
      <w:r w:rsidRPr="00BE4E66">
        <w:rPr>
          <w:rFonts w:eastAsia="Calibri"/>
          <w:sz w:val="24"/>
          <w:szCs w:val="24"/>
          <w:lang w:val="es-CO"/>
        </w:rPr>
        <w:t>.</w:t>
      </w:r>
    </w:p>
    <w:p w:rsidR="00CF2E11" w:rsidRPr="00BE4E66" w:rsidRDefault="00CF2E11" w:rsidP="00CF2E11">
      <w:pPr>
        <w:spacing w:line="360" w:lineRule="auto"/>
        <w:rPr>
          <w:rFonts w:eastAsia="Calibri"/>
          <w:sz w:val="24"/>
          <w:szCs w:val="24"/>
          <w:lang w:val="es-CO"/>
        </w:rPr>
      </w:pPr>
    </w:p>
    <w:p w:rsidR="00CF2E11" w:rsidRPr="00BE4E66" w:rsidRDefault="00CF2E11" w:rsidP="00CF2E11">
      <w:pPr>
        <w:spacing w:line="360" w:lineRule="auto"/>
        <w:rPr>
          <w:rFonts w:eastAsia="Calibri"/>
          <w:sz w:val="24"/>
          <w:szCs w:val="24"/>
          <w:lang w:val="es-CO"/>
        </w:rPr>
      </w:pPr>
      <w:r w:rsidRPr="00BE4E66">
        <w:rPr>
          <w:rFonts w:eastAsia="Calibri"/>
          <w:sz w:val="24"/>
          <w:szCs w:val="24"/>
          <w:lang w:val="es-CO"/>
        </w:rPr>
        <w:t xml:space="preserve">Por su parte, las causales </w:t>
      </w:r>
      <w:r w:rsidRPr="00BE4E66">
        <w:rPr>
          <w:rFonts w:eastAsia="Calibri"/>
          <w:i/>
          <w:sz w:val="24"/>
          <w:szCs w:val="24"/>
          <w:lang w:val="es-CO"/>
        </w:rPr>
        <w:t>específicas</w:t>
      </w:r>
      <w:r w:rsidRPr="00BE4E66">
        <w:rPr>
          <w:rFonts w:eastAsia="Calibri"/>
          <w:sz w:val="24"/>
          <w:szCs w:val="24"/>
          <w:lang w:val="es-CO"/>
        </w:rPr>
        <w:t xml:space="preserve"> de procedibilidad de la tutela contra providencias judiciales, que aluden a los vicios concretos de la decisión, fueron agrupadas bajo las siguientes categorías: </w:t>
      </w:r>
    </w:p>
    <w:p w:rsidR="00CF2E11" w:rsidRPr="00BE4E66" w:rsidRDefault="00CF2E11" w:rsidP="00CF2E11">
      <w:pPr>
        <w:spacing w:line="360" w:lineRule="auto"/>
        <w:ind w:left="708"/>
        <w:rPr>
          <w:rFonts w:eastAsia="Calibri"/>
          <w:sz w:val="24"/>
          <w:szCs w:val="24"/>
          <w:lang w:val="es-CO"/>
        </w:rPr>
      </w:pPr>
    </w:p>
    <w:p w:rsidR="00CF2E11" w:rsidRPr="00BE4E66" w:rsidRDefault="00CF2E11" w:rsidP="00CF2E11">
      <w:pPr>
        <w:spacing w:line="360" w:lineRule="auto"/>
        <w:ind w:left="708"/>
        <w:rPr>
          <w:rFonts w:eastAsia="Calibri"/>
          <w:sz w:val="24"/>
          <w:szCs w:val="24"/>
          <w:lang w:val="es-CO"/>
        </w:rPr>
      </w:pPr>
      <w:r w:rsidRPr="00BE4E66">
        <w:rPr>
          <w:rFonts w:eastAsia="Calibri"/>
          <w:sz w:val="24"/>
          <w:szCs w:val="24"/>
          <w:lang w:val="es-CO"/>
        </w:rPr>
        <w:t>“(i) defecto orgánico</w:t>
      </w:r>
      <w:r w:rsidRPr="00BE4E66">
        <w:rPr>
          <w:rFonts w:eastAsia="Calibri"/>
          <w:sz w:val="24"/>
          <w:szCs w:val="24"/>
          <w:vertAlign w:val="superscript"/>
          <w:lang w:val="es-CO"/>
        </w:rPr>
        <w:footnoteReference w:id="9"/>
      </w:r>
      <w:r w:rsidRPr="00BE4E66">
        <w:rPr>
          <w:rFonts w:eastAsia="Calibri"/>
          <w:sz w:val="24"/>
          <w:szCs w:val="24"/>
          <w:lang w:val="es-CO"/>
        </w:rPr>
        <w:t>, (ii) sustantivo</w:t>
      </w:r>
      <w:r w:rsidRPr="00BE4E66">
        <w:rPr>
          <w:rFonts w:eastAsia="Calibri"/>
          <w:sz w:val="24"/>
          <w:szCs w:val="24"/>
          <w:vertAlign w:val="superscript"/>
          <w:lang w:val="es-CO"/>
        </w:rPr>
        <w:footnoteReference w:id="10"/>
      </w:r>
      <w:r w:rsidRPr="00BE4E66">
        <w:rPr>
          <w:rFonts w:eastAsia="Calibri"/>
          <w:sz w:val="24"/>
          <w:szCs w:val="24"/>
          <w:lang w:val="es-CO"/>
        </w:rPr>
        <w:t>, (iii) procedimental</w:t>
      </w:r>
      <w:r w:rsidRPr="00BE4E66">
        <w:rPr>
          <w:rFonts w:eastAsia="Calibri"/>
          <w:sz w:val="24"/>
          <w:szCs w:val="24"/>
          <w:vertAlign w:val="superscript"/>
          <w:lang w:val="es-CO"/>
        </w:rPr>
        <w:footnoteReference w:id="11"/>
      </w:r>
      <w:r w:rsidRPr="00BE4E66">
        <w:rPr>
          <w:rFonts w:eastAsia="Calibri"/>
          <w:sz w:val="24"/>
          <w:szCs w:val="24"/>
          <w:lang w:val="es-CO"/>
        </w:rPr>
        <w:t>, (iv) fáctico</w:t>
      </w:r>
      <w:r w:rsidRPr="00BE4E66">
        <w:rPr>
          <w:rFonts w:eastAsia="Calibri"/>
          <w:sz w:val="24"/>
          <w:szCs w:val="24"/>
          <w:vertAlign w:val="superscript"/>
          <w:lang w:val="es-CO"/>
        </w:rPr>
        <w:footnoteReference w:id="12"/>
      </w:r>
      <w:r w:rsidRPr="00BE4E66">
        <w:rPr>
          <w:rFonts w:eastAsia="Calibri"/>
          <w:sz w:val="24"/>
          <w:szCs w:val="24"/>
          <w:lang w:val="es-CO"/>
        </w:rPr>
        <w:t>; (v) error inducido</w:t>
      </w:r>
      <w:r w:rsidRPr="00BE4E66">
        <w:rPr>
          <w:rFonts w:eastAsia="Calibri"/>
          <w:sz w:val="24"/>
          <w:szCs w:val="24"/>
          <w:vertAlign w:val="superscript"/>
          <w:lang w:val="es-CO"/>
        </w:rPr>
        <w:footnoteReference w:id="13"/>
      </w:r>
      <w:r w:rsidRPr="00BE4E66">
        <w:rPr>
          <w:rFonts w:eastAsia="Calibri"/>
          <w:sz w:val="24"/>
          <w:szCs w:val="24"/>
          <w:lang w:val="es-CO"/>
        </w:rPr>
        <w:t>; (vi) decisión sin motivación</w:t>
      </w:r>
      <w:r w:rsidRPr="00BE4E66">
        <w:rPr>
          <w:rFonts w:eastAsia="Calibri"/>
          <w:sz w:val="24"/>
          <w:szCs w:val="24"/>
          <w:vertAlign w:val="superscript"/>
          <w:lang w:val="es-CO"/>
        </w:rPr>
        <w:footnoteReference w:id="14"/>
      </w:r>
      <w:r w:rsidRPr="00BE4E66">
        <w:rPr>
          <w:rFonts w:eastAsia="Calibri"/>
          <w:sz w:val="24"/>
          <w:szCs w:val="24"/>
          <w:lang w:val="es-CO"/>
        </w:rPr>
        <w:t>; (vii) desconocimiento del precedente constitucional</w:t>
      </w:r>
      <w:r w:rsidRPr="00BE4E66">
        <w:rPr>
          <w:rFonts w:eastAsia="Calibri"/>
          <w:sz w:val="24"/>
          <w:szCs w:val="24"/>
          <w:vertAlign w:val="superscript"/>
          <w:lang w:val="es-CO"/>
        </w:rPr>
        <w:footnoteReference w:id="15"/>
      </w:r>
      <w:r w:rsidRPr="00BE4E66">
        <w:rPr>
          <w:rFonts w:eastAsia="Calibri"/>
          <w:sz w:val="24"/>
          <w:szCs w:val="24"/>
          <w:lang w:val="es-CO"/>
        </w:rPr>
        <w:t>; y, (viii) violación directa de la Constitución</w:t>
      </w:r>
      <w:r w:rsidRPr="00BE4E66">
        <w:rPr>
          <w:rFonts w:eastAsia="Calibri"/>
          <w:sz w:val="24"/>
          <w:szCs w:val="24"/>
          <w:vertAlign w:val="superscript"/>
          <w:lang w:val="es-CO"/>
        </w:rPr>
        <w:footnoteReference w:id="16"/>
      </w:r>
      <w:r w:rsidRPr="00BE4E66">
        <w:rPr>
          <w:rFonts w:eastAsia="Calibri"/>
          <w:sz w:val="24"/>
          <w:szCs w:val="24"/>
          <w:lang w:val="es-CO"/>
        </w:rPr>
        <w:t>.”</w:t>
      </w:r>
      <w:r w:rsidRPr="00BE4E66">
        <w:rPr>
          <w:rFonts w:eastAsia="Calibri"/>
          <w:sz w:val="24"/>
          <w:szCs w:val="24"/>
          <w:vertAlign w:val="superscript"/>
          <w:lang w:val="es-CO"/>
        </w:rPr>
        <w:footnoteReference w:id="17"/>
      </w:r>
      <w:r w:rsidRPr="00BE4E66">
        <w:rPr>
          <w:rFonts w:eastAsia="Calibri"/>
          <w:sz w:val="24"/>
          <w:szCs w:val="24"/>
          <w:lang w:val="es-CO"/>
        </w:rPr>
        <w:t>.</w:t>
      </w:r>
    </w:p>
    <w:p w:rsidR="00CF2E11" w:rsidRDefault="00CF2E11" w:rsidP="00CF2E11">
      <w:pPr>
        <w:spacing w:line="360" w:lineRule="auto"/>
        <w:rPr>
          <w:rFonts w:eastAsia="Calibri"/>
          <w:sz w:val="24"/>
          <w:szCs w:val="24"/>
          <w:lang w:val="es-CO"/>
        </w:rPr>
      </w:pPr>
    </w:p>
    <w:p w:rsidR="00CF2E11" w:rsidRPr="00BE4E66" w:rsidRDefault="00CF2E11" w:rsidP="00CF2E11">
      <w:pPr>
        <w:spacing w:line="360" w:lineRule="auto"/>
        <w:rPr>
          <w:rFonts w:eastAsia="Calibri"/>
          <w:sz w:val="24"/>
          <w:szCs w:val="24"/>
          <w:lang w:val="es-CO"/>
        </w:rPr>
      </w:pPr>
    </w:p>
    <w:p w:rsidR="00CF2E11" w:rsidRPr="00BE4E66" w:rsidRDefault="00CF2E11" w:rsidP="00CF2E11">
      <w:pPr>
        <w:spacing w:line="360" w:lineRule="auto"/>
        <w:rPr>
          <w:rFonts w:eastAsia="Calibri"/>
          <w:sz w:val="24"/>
          <w:szCs w:val="24"/>
          <w:lang w:val="es-CO"/>
        </w:rPr>
      </w:pPr>
      <w:r w:rsidRPr="00BE4E66">
        <w:rPr>
          <w:rFonts w:eastAsia="Calibri"/>
          <w:sz w:val="24"/>
          <w:szCs w:val="24"/>
          <w:lang w:val="es-CO"/>
        </w:rPr>
        <w:t xml:space="preserve">Los anteriores criterios jurisprudenciales orientan la labor del juez de tutela y contribuyen a lograr cierta previsibilidad en torno a los eventos en los cuales aquel es competente para estudiar las posibles irregularidades en las cuales incurrió el juez de conocimiento. </w:t>
      </w:r>
    </w:p>
    <w:p w:rsidR="00CF2E11" w:rsidRDefault="00CF2E11" w:rsidP="00CF2E11">
      <w:pPr>
        <w:spacing w:line="360" w:lineRule="auto"/>
        <w:rPr>
          <w:rFonts w:eastAsia="Calibri"/>
          <w:sz w:val="24"/>
          <w:szCs w:val="24"/>
          <w:lang w:val="es-CO"/>
        </w:rPr>
      </w:pPr>
    </w:p>
    <w:p w:rsidR="00CF2E11" w:rsidRPr="00BE4E66" w:rsidRDefault="00CF2E11" w:rsidP="00CF2E11">
      <w:pPr>
        <w:spacing w:line="360" w:lineRule="auto"/>
        <w:rPr>
          <w:rFonts w:eastAsia="Calibri"/>
          <w:sz w:val="24"/>
          <w:szCs w:val="24"/>
          <w:lang w:val="es-CO"/>
        </w:rPr>
      </w:pPr>
    </w:p>
    <w:p w:rsidR="00CF2E11" w:rsidRDefault="00CF2E11" w:rsidP="00CF2E11">
      <w:pPr>
        <w:spacing w:line="360" w:lineRule="auto"/>
        <w:rPr>
          <w:rFonts w:eastAsia="Calibri"/>
          <w:sz w:val="24"/>
          <w:szCs w:val="24"/>
          <w:lang w:val="es-CO"/>
        </w:rPr>
      </w:pPr>
      <w:r w:rsidRPr="00BE4E66">
        <w:rPr>
          <w:rFonts w:eastAsia="Calibri"/>
          <w:sz w:val="24"/>
          <w:szCs w:val="24"/>
          <w:lang w:val="es-CO"/>
        </w:rPr>
        <w:t>Por lo demás, se trata de subreglas constitucionales elaboradas por el órgano judicial encargado de velar por la eficacia de la Carta Política, acogidas en su integridad por esta Sala Jurisdiccional Disciplinaria en múltiples oportunidades</w:t>
      </w:r>
      <w:r w:rsidRPr="00BE4E66">
        <w:rPr>
          <w:rFonts w:eastAsia="Calibri"/>
          <w:sz w:val="24"/>
          <w:szCs w:val="24"/>
          <w:vertAlign w:val="superscript"/>
          <w:lang w:val="es-CO"/>
        </w:rPr>
        <w:footnoteReference w:id="18"/>
      </w:r>
      <w:r w:rsidRPr="00BE4E66">
        <w:rPr>
          <w:rFonts w:eastAsia="Calibri"/>
          <w:sz w:val="24"/>
          <w:szCs w:val="24"/>
          <w:lang w:val="es-CO"/>
        </w:rPr>
        <w:t xml:space="preserve">. </w:t>
      </w:r>
    </w:p>
    <w:p w:rsidR="00CF2E11" w:rsidRDefault="00CF2E11" w:rsidP="00CF2E11">
      <w:pPr>
        <w:spacing w:line="360" w:lineRule="auto"/>
        <w:rPr>
          <w:rFonts w:eastAsia="Calibri"/>
          <w:sz w:val="24"/>
          <w:szCs w:val="24"/>
          <w:lang w:val="es-CO"/>
        </w:rPr>
      </w:pPr>
    </w:p>
    <w:p w:rsidR="00CF2E11" w:rsidRPr="00BE4E66" w:rsidRDefault="00CF2E11" w:rsidP="00CF2E11">
      <w:pPr>
        <w:numPr>
          <w:ilvl w:val="0"/>
          <w:numId w:val="1"/>
        </w:numPr>
        <w:spacing w:line="360" w:lineRule="auto"/>
        <w:ind w:left="0" w:firstLine="0"/>
        <w:jc w:val="left"/>
        <w:rPr>
          <w:rFonts w:eastAsia="Calibri"/>
          <w:b/>
          <w:sz w:val="24"/>
          <w:szCs w:val="24"/>
          <w:lang w:val="es-CO"/>
        </w:rPr>
      </w:pPr>
      <w:r w:rsidRPr="00BE4E66">
        <w:rPr>
          <w:rFonts w:eastAsia="Calibri"/>
          <w:b/>
          <w:sz w:val="24"/>
          <w:szCs w:val="24"/>
          <w:lang w:val="es-CO"/>
        </w:rPr>
        <w:t xml:space="preserve">CASO CONCRETO </w:t>
      </w:r>
    </w:p>
    <w:p w:rsidR="00CF2E11" w:rsidRPr="00BE4E66" w:rsidRDefault="00CF2E11" w:rsidP="00CF2E11">
      <w:pPr>
        <w:spacing w:line="360" w:lineRule="auto"/>
        <w:rPr>
          <w:rFonts w:eastAsia="Calibri"/>
          <w:sz w:val="24"/>
          <w:szCs w:val="24"/>
          <w:lang w:val="es-CO"/>
        </w:rPr>
      </w:pPr>
    </w:p>
    <w:p w:rsidR="00CF2E11" w:rsidRPr="00BE4E66" w:rsidRDefault="00CF2E11" w:rsidP="00CF2E11">
      <w:pPr>
        <w:spacing w:line="360" w:lineRule="auto"/>
        <w:rPr>
          <w:rFonts w:eastAsia="Calibri"/>
          <w:b/>
          <w:i/>
          <w:sz w:val="24"/>
          <w:szCs w:val="24"/>
          <w:lang w:val="es-CO"/>
        </w:rPr>
      </w:pPr>
      <w:r w:rsidRPr="00BE4E66">
        <w:rPr>
          <w:rFonts w:eastAsia="Calibri"/>
          <w:b/>
          <w:i/>
          <w:sz w:val="24"/>
          <w:szCs w:val="24"/>
          <w:lang w:val="es-CO"/>
        </w:rPr>
        <w:t xml:space="preserve">Satisfacción de los requisitos generales de procedibilidad </w:t>
      </w:r>
    </w:p>
    <w:p w:rsidR="00CF2E11" w:rsidRPr="00BE4E66" w:rsidRDefault="00CF2E11" w:rsidP="00CF2E11">
      <w:pPr>
        <w:spacing w:line="360" w:lineRule="auto"/>
        <w:rPr>
          <w:rFonts w:eastAsia="Calibri"/>
          <w:sz w:val="24"/>
          <w:szCs w:val="24"/>
          <w:lang w:val="es-CO"/>
        </w:rPr>
      </w:pPr>
    </w:p>
    <w:p w:rsidR="00CF2E11" w:rsidRPr="00BE4E66" w:rsidRDefault="00CF2E11" w:rsidP="00CF2E11">
      <w:pPr>
        <w:spacing w:line="360" w:lineRule="auto"/>
        <w:rPr>
          <w:rFonts w:eastAsia="Calibri"/>
          <w:sz w:val="24"/>
          <w:szCs w:val="24"/>
          <w:lang w:val="es-CO"/>
        </w:rPr>
      </w:pPr>
      <w:r w:rsidRPr="00BE4E66">
        <w:rPr>
          <w:rFonts w:eastAsia="Calibri"/>
          <w:sz w:val="24"/>
          <w:szCs w:val="24"/>
          <w:lang w:val="es-CO"/>
        </w:rPr>
        <w:t xml:space="preserve">Expuestos de la anterior manera los requisitos necesarios para que la acción de tutela pueda promoverse en contra de una sentencia judicial, procede la Sala a verificar su </w:t>
      </w:r>
      <w:r>
        <w:rPr>
          <w:rFonts w:eastAsia="Calibri"/>
          <w:sz w:val="24"/>
          <w:szCs w:val="24"/>
          <w:lang w:val="es-CO"/>
        </w:rPr>
        <w:t>concurrencia</w:t>
      </w:r>
      <w:r w:rsidRPr="00BE4E66">
        <w:rPr>
          <w:rFonts w:eastAsia="Calibri"/>
          <w:sz w:val="24"/>
          <w:szCs w:val="24"/>
          <w:lang w:val="es-CO"/>
        </w:rPr>
        <w:t xml:space="preserve"> en el asunto bajo estudio: </w:t>
      </w:r>
    </w:p>
    <w:p w:rsidR="00CF2E11" w:rsidRPr="00BE4E66" w:rsidRDefault="00CF2E11" w:rsidP="00CF2E11">
      <w:pPr>
        <w:spacing w:line="360" w:lineRule="auto"/>
        <w:rPr>
          <w:rFonts w:eastAsia="Calibri"/>
          <w:sz w:val="24"/>
          <w:szCs w:val="24"/>
          <w:lang w:val="es-CO"/>
        </w:rPr>
      </w:pPr>
    </w:p>
    <w:p w:rsidR="00CF2E11" w:rsidRPr="00BE4E66" w:rsidRDefault="00CF2E11" w:rsidP="00CF2E11">
      <w:pPr>
        <w:numPr>
          <w:ilvl w:val="0"/>
          <w:numId w:val="2"/>
        </w:numPr>
        <w:autoSpaceDE w:val="0"/>
        <w:autoSpaceDN w:val="0"/>
        <w:adjustRightInd w:val="0"/>
        <w:spacing w:line="360" w:lineRule="auto"/>
        <w:rPr>
          <w:rFonts w:eastAsia="Times New Roman"/>
          <w:bCs/>
          <w:sz w:val="24"/>
          <w:szCs w:val="24"/>
          <w:lang w:eastAsia="es-ES"/>
        </w:rPr>
      </w:pPr>
      <w:r w:rsidRPr="00BE4E66">
        <w:rPr>
          <w:rFonts w:eastAsia="Times New Roman"/>
          <w:bCs/>
          <w:i/>
          <w:sz w:val="24"/>
          <w:szCs w:val="24"/>
          <w:lang w:eastAsia="es-ES"/>
        </w:rPr>
        <w:t xml:space="preserve">Que la cuestión que se discuta resulte de evidente relevancia constitucional: </w:t>
      </w:r>
      <w:r w:rsidRPr="00BE4E66">
        <w:rPr>
          <w:rFonts w:eastAsia="Times New Roman"/>
          <w:bCs/>
          <w:sz w:val="24"/>
          <w:szCs w:val="24"/>
          <w:lang w:eastAsia="es-ES"/>
        </w:rPr>
        <w:t xml:space="preserve">los alegatos del actor aluden a la supuesta vulneración de los derechos fundamentales a la </w:t>
      </w:r>
      <w:r w:rsidRPr="00BE4E66">
        <w:rPr>
          <w:rFonts w:eastAsia="Calibri"/>
          <w:sz w:val="24"/>
          <w:szCs w:val="24"/>
          <w:lang w:val="es-ES_tradnl" w:eastAsia="es-CO"/>
        </w:rPr>
        <w:t>integridad, la intimidad, la honra, el debido proceso, la protección especial al menor y los derechos de los niños,</w:t>
      </w:r>
      <w:r w:rsidRPr="00BE4E66">
        <w:rPr>
          <w:rFonts w:eastAsia="Times New Roman"/>
          <w:bCs/>
          <w:sz w:val="24"/>
          <w:szCs w:val="24"/>
          <w:lang w:eastAsia="es-ES"/>
        </w:rPr>
        <w:t xml:space="preserve"> entre otros, los cuales representan intereses de evidente relevancia constitucional, que tornan procedente el análisis de la </w:t>
      </w:r>
      <w:r>
        <w:rPr>
          <w:rFonts w:eastAsia="Times New Roman"/>
          <w:bCs/>
          <w:sz w:val="24"/>
          <w:szCs w:val="24"/>
          <w:lang w:eastAsia="es-ES"/>
        </w:rPr>
        <w:t>decisión</w:t>
      </w:r>
      <w:r w:rsidRPr="00BE4E66">
        <w:rPr>
          <w:rFonts w:eastAsia="Times New Roman"/>
          <w:bCs/>
          <w:sz w:val="24"/>
          <w:szCs w:val="24"/>
          <w:lang w:eastAsia="es-ES"/>
        </w:rPr>
        <w:t xml:space="preserve"> objetada en sede de tutela. </w:t>
      </w:r>
    </w:p>
    <w:p w:rsidR="00CF2E11" w:rsidRPr="00BE4E66" w:rsidRDefault="00CF2E11" w:rsidP="00CF2E11">
      <w:pPr>
        <w:autoSpaceDE w:val="0"/>
        <w:autoSpaceDN w:val="0"/>
        <w:adjustRightInd w:val="0"/>
        <w:spacing w:line="360" w:lineRule="auto"/>
        <w:rPr>
          <w:rFonts w:eastAsia="Times New Roman"/>
          <w:bCs/>
          <w:sz w:val="24"/>
          <w:szCs w:val="24"/>
          <w:lang w:eastAsia="es-ES"/>
        </w:rPr>
      </w:pPr>
    </w:p>
    <w:p w:rsidR="00CF2E11" w:rsidRPr="00BE4E66" w:rsidRDefault="00CF2E11" w:rsidP="00CF2E11">
      <w:pPr>
        <w:numPr>
          <w:ilvl w:val="0"/>
          <w:numId w:val="2"/>
        </w:numPr>
        <w:autoSpaceDE w:val="0"/>
        <w:autoSpaceDN w:val="0"/>
        <w:adjustRightInd w:val="0"/>
        <w:spacing w:line="360" w:lineRule="auto"/>
        <w:rPr>
          <w:rFonts w:eastAsia="Times New Roman"/>
          <w:bCs/>
          <w:sz w:val="24"/>
          <w:szCs w:val="24"/>
          <w:lang w:eastAsia="es-ES"/>
        </w:rPr>
      </w:pPr>
      <w:r w:rsidRPr="00BE4E66">
        <w:rPr>
          <w:rFonts w:eastAsia="Calibri"/>
          <w:i/>
          <w:sz w:val="24"/>
          <w:szCs w:val="24"/>
          <w:lang w:val="es-CO"/>
        </w:rPr>
        <w:t xml:space="preserve">Que se hayan agotado todos los medios -ordinarios y extraordinarios- de defensa judicial al alcance de la persona afectada, salvo que se trate </w:t>
      </w:r>
      <w:r w:rsidRPr="00BE4E66">
        <w:rPr>
          <w:rFonts w:eastAsia="Calibri"/>
          <w:i/>
          <w:color w:val="000000"/>
          <w:sz w:val="24"/>
          <w:szCs w:val="24"/>
          <w:lang w:val="es-CO"/>
        </w:rPr>
        <w:t xml:space="preserve">de evitar la consumación de un perjuicio irremediable: </w:t>
      </w:r>
      <w:r w:rsidRPr="00BE4E66">
        <w:rPr>
          <w:rFonts w:eastAsia="Calibri"/>
          <w:color w:val="000000"/>
          <w:sz w:val="24"/>
          <w:szCs w:val="24"/>
          <w:lang w:val="es-CO"/>
        </w:rPr>
        <w:t xml:space="preserve">en el presente caso, no procede recurso alguno contra la decisión del </w:t>
      </w:r>
      <w:r w:rsidRPr="00BE4E66">
        <w:rPr>
          <w:sz w:val="24"/>
          <w:szCs w:val="24"/>
        </w:rPr>
        <w:t>22 de enero de 2014</w:t>
      </w:r>
      <w:r w:rsidRPr="00BE4E66">
        <w:rPr>
          <w:rFonts w:eastAsia="Calibri"/>
          <w:color w:val="000000"/>
          <w:sz w:val="24"/>
          <w:szCs w:val="24"/>
          <w:lang w:val="es-CO"/>
        </w:rPr>
        <w:t>, proferida por la Sala Jurisdiccional Disciplinaria del Consejo Superior de la Judicatura. De esta manera, se encuentra satisfecho el requisito de agotar los medios judiciales de defensa al alcance del accionante.</w:t>
      </w:r>
    </w:p>
    <w:p w:rsidR="00CF2E11" w:rsidRPr="00BE4E66" w:rsidRDefault="00CF2E11" w:rsidP="00CF2E11">
      <w:pPr>
        <w:autoSpaceDE w:val="0"/>
        <w:autoSpaceDN w:val="0"/>
        <w:adjustRightInd w:val="0"/>
        <w:spacing w:line="360" w:lineRule="auto"/>
        <w:rPr>
          <w:rFonts w:eastAsia="Times New Roman"/>
          <w:bCs/>
          <w:sz w:val="24"/>
          <w:szCs w:val="24"/>
          <w:lang w:eastAsia="es-ES"/>
        </w:rPr>
      </w:pPr>
    </w:p>
    <w:p w:rsidR="00CF2E11" w:rsidRPr="00BE4E66" w:rsidRDefault="00CF2E11" w:rsidP="00CF2E11">
      <w:pPr>
        <w:numPr>
          <w:ilvl w:val="0"/>
          <w:numId w:val="2"/>
        </w:numPr>
        <w:autoSpaceDE w:val="0"/>
        <w:autoSpaceDN w:val="0"/>
        <w:adjustRightInd w:val="0"/>
        <w:spacing w:line="360" w:lineRule="auto"/>
        <w:rPr>
          <w:rFonts w:eastAsia="Calibri"/>
          <w:sz w:val="24"/>
          <w:szCs w:val="24"/>
          <w:lang w:val="es-CO"/>
        </w:rPr>
      </w:pPr>
      <w:r w:rsidRPr="00BE4E66">
        <w:rPr>
          <w:rFonts w:eastAsia="Times New Roman"/>
          <w:bCs/>
          <w:i/>
          <w:sz w:val="24"/>
          <w:szCs w:val="24"/>
          <w:lang w:eastAsia="es-ES"/>
        </w:rPr>
        <w:t xml:space="preserve">Que se cumpla el requisito de la inmediatez, es decir, que la tutela se hubiere interpuesto en un término razonable y proporcionado a partir del hecho que originó la vulneración: </w:t>
      </w:r>
      <w:r w:rsidRPr="00BE4E66">
        <w:rPr>
          <w:rFonts w:eastAsia="Times New Roman"/>
          <w:bCs/>
          <w:sz w:val="24"/>
          <w:szCs w:val="24"/>
          <w:lang w:eastAsia="es-ES"/>
        </w:rPr>
        <w:t xml:space="preserve">la presente acción de tutela se interpuso el 5 de junio de 2014, mientras </w:t>
      </w:r>
      <w:r>
        <w:rPr>
          <w:rFonts w:eastAsia="Times New Roman"/>
          <w:bCs/>
          <w:sz w:val="24"/>
          <w:szCs w:val="24"/>
          <w:lang w:eastAsia="es-ES"/>
        </w:rPr>
        <w:t xml:space="preserve">que el auto objetado </w:t>
      </w:r>
      <w:r w:rsidRPr="00BE4E66">
        <w:rPr>
          <w:rFonts w:eastAsia="Times New Roman"/>
          <w:bCs/>
          <w:sz w:val="24"/>
          <w:szCs w:val="24"/>
          <w:lang w:eastAsia="es-ES"/>
        </w:rPr>
        <w:t xml:space="preserve">se emitió el </w:t>
      </w:r>
      <w:r w:rsidRPr="00BE4E66">
        <w:rPr>
          <w:sz w:val="24"/>
          <w:szCs w:val="24"/>
        </w:rPr>
        <w:t>22 de enero del mismo año, es decir, transcurrieron casi 5 meses</w:t>
      </w:r>
      <w:r w:rsidRPr="00BE4E66">
        <w:rPr>
          <w:rFonts w:eastAsia="Times New Roman"/>
          <w:bCs/>
          <w:sz w:val="24"/>
          <w:szCs w:val="24"/>
          <w:lang w:eastAsia="es-ES"/>
        </w:rPr>
        <w:t xml:space="preserve"> desde la adopción de la decisión supuestamente irregular y la interposición del amparo. </w:t>
      </w:r>
    </w:p>
    <w:p w:rsidR="00CF2E11" w:rsidRPr="00BE4E66" w:rsidRDefault="00CF2E11" w:rsidP="00CF2E11">
      <w:pPr>
        <w:autoSpaceDE w:val="0"/>
        <w:autoSpaceDN w:val="0"/>
        <w:adjustRightInd w:val="0"/>
        <w:spacing w:line="360" w:lineRule="auto"/>
        <w:ind w:left="360"/>
        <w:rPr>
          <w:rFonts w:eastAsia="Times New Roman"/>
          <w:bCs/>
          <w:i/>
          <w:sz w:val="24"/>
          <w:szCs w:val="24"/>
          <w:lang w:val="es-CO" w:eastAsia="es-ES"/>
        </w:rPr>
      </w:pPr>
    </w:p>
    <w:p w:rsidR="00CF2E11" w:rsidRPr="00BE4E66" w:rsidRDefault="00CF2E11" w:rsidP="00CF2E11">
      <w:pPr>
        <w:autoSpaceDE w:val="0"/>
        <w:autoSpaceDN w:val="0"/>
        <w:adjustRightInd w:val="0"/>
        <w:spacing w:line="360" w:lineRule="auto"/>
        <w:ind w:left="360"/>
        <w:rPr>
          <w:sz w:val="24"/>
          <w:szCs w:val="24"/>
          <w:lang w:val="es-ES_tradnl"/>
        </w:rPr>
      </w:pPr>
      <w:r>
        <w:rPr>
          <w:sz w:val="24"/>
          <w:szCs w:val="24"/>
          <w:lang w:val="es-ES_tradnl"/>
        </w:rPr>
        <w:t xml:space="preserve">En general, esta corporación ha entendido que cuatro meses de plazo son suficientes para interponer una acción de tutela contra providencias judiciales. </w:t>
      </w:r>
      <w:r>
        <w:rPr>
          <w:sz w:val="24"/>
          <w:szCs w:val="24"/>
          <w:lang w:val="es-ES_tradnl"/>
        </w:rPr>
        <w:br/>
        <w:t xml:space="preserve">Vencido ese plazo, dejaría de concurrir el requisito de inmediatez y la acción de tutela sería improcedente. </w:t>
      </w:r>
      <w:r w:rsidRPr="00BE4E66">
        <w:rPr>
          <w:sz w:val="24"/>
          <w:szCs w:val="24"/>
          <w:lang w:val="es-ES_tradnl"/>
        </w:rPr>
        <w:t>Ahora bien, la Corte Constitucional ha reconocido el carácter de sujetos de especial protección a las comunidades indígenas y la imposibilidad de establecer plazos inflexibles con el fin de valorar el respeto de los accionantes por el principio de inmediatez. Conforme a lo anterior, esta Superioridad considera que la presente acción cumple con el requisito de procedibilidad</w:t>
      </w:r>
      <w:r>
        <w:rPr>
          <w:sz w:val="24"/>
          <w:szCs w:val="24"/>
          <w:lang w:val="es-ES_tradnl"/>
        </w:rPr>
        <w:t xml:space="preserve"> de inmediatez</w:t>
      </w:r>
      <w:r w:rsidRPr="00BE4E66">
        <w:rPr>
          <w:sz w:val="24"/>
          <w:szCs w:val="24"/>
          <w:lang w:val="es-ES_tradnl"/>
        </w:rPr>
        <w:t xml:space="preserve">. </w:t>
      </w:r>
    </w:p>
    <w:p w:rsidR="00CF2E11" w:rsidRPr="00BE4E66" w:rsidRDefault="00CF2E11" w:rsidP="00CF2E11">
      <w:pPr>
        <w:autoSpaceDE w:val="0"/>
        <w:autoSpaceDN w:val="0"/>
        <w:adjustRightInd w:val="0"/>
        <w:spacing w:line="360" w:lineRule="auto"/>
        <w:ind w:left="360"/>
        <w:rPr>
          <w:sz w:val="24"/>
          <w:szCs w:val="24"/>
          <w:lang w:val="es-ES_tradnl"/>
        </w:rPr>
      </w:pPr>
    </w:p>
    <w:p w:rsidR="00CF2E11" w:rsidRPr="00BE4E66" w:rsidRDefault="00CF2E11" w:rsidP="00CF2E11">
      <w:pPr>
        <w:pStyle w:val="Prrafodelista"/>
        <w:numPr>
          <w:ilvl w:val="0"/>
          <w:numId w:val="2"/>
        </w:numPr>
        <w:autoSpaceDE w:val="0"/>
        <w:autoSpaceDN w:val="0"/>
        <w:adjustRightInd w:val="0"/>
        <w:spacing w:line="360" w:lineRule="auto"/>
        <w:rPr>
          <w:sz w:val="24"/>
          <w:szCs w:val="24"/>
          <w:lang w:val="es-CO"/>
        </w:rPr>
      </w:pPr>
      <w:r w:rsidRPr="00BE4E66">
        <w:rPr>
          <w:i/>
          <w:sz w:val="24"/>
          <w:szCs w:val="24"/>
          <w:lang w:val="es-CO"/>
        </w:rPr>
        <w:t>Cuando se trate de una irregularidad procesal, debe quedar claro que la misma tiene un efecto decisivo o determinante en la sentencia que se impugna y que afecta los derechos fundamentales de la parte actora</w:t>
      </w:r>
      <w:r w:rsidRPr="00BE4E66">
        <w:rPr>
          <w:sz w:val="24"/>
          <w:szCs w:val="24"/>
          <w:lang w:val="es-CO"/>
        </w:rPr>
        <w:t>: la posible carencia absoluta de competencia de la justicia indígena para conocer del delito de acceso carnal abusivo, supuestamente cometido por el señor</w:t>
      </w:r>
      <w:r w:rsidRPr="00BE4E66">
        <w:rPr>
          <w:sz w:val="24"/>
          <w:szCs w:val="24"/>
        </w:rPr>
        <w:t>Jesús Libardo Taquez Ituyan</w:t>
      </w:r>
      <w:r w:rsidRPr="00BE4E66">
        <w:rPr>
          <w:sz w:val="24"/>
          <w:szCs w:val="24"/>
          <w:lang w:val="es-CO"/>
        </w:rPr>
        <w:t xml:space="preserve">, podría constituir un error superlativo, que desconoce los derechos de las víctimas, por lo cual frente a dicha irregularidad procesal, no es menester argumentar o demostrar su trascendencia o efecto decisivo en las resultas del procedimiento. </w:t>
      </w:r>
    </w:p>
    <w:p w:rsidR="00CF2E11" w:rsidRPr="00BE4E66" w:rsidRDefault="00CF2E11" w:rsidP="00CF2E11">
      <w:pPr>
        <w:autoSpaceDE w:val="0"/>
        <w:autoSpaceDN w:val="0"/>
        <w:adjustRightInd w:val="0"/>
        <w:spacing w:line="360" w:lineRule="auto"/>
        <w:rPr>
          <w:sz w:val="24"/>
          <w:szCs w:val="24"/>
          <w:lang w:val="es-CO"/>
        </w:rPr>
      </w:pPr>
    </w:p>
    <w:p w:rsidR="00CF2E11" w:rsidRPr="00BE4E66" w:rsidRDefault="00CF2E11" w:rsidP="00CF2E11">
      <w:pPr>
        <w:pStyle w:val="Prrafodelista"/>
        <w:numPr>
          <w:ilvl w:val="0"/>
          <w:numId w:val="2"/>
        </w:numPr>
        <w:autoSpaceDE w:val="0"/>
        <w:autoSpaceDN w:val="0"/>
        <w:adjustRightInd w:val="0"/>
        <w:spacing w:line="360" w:lineRule="auto"/>
        <w:rPr>
          <w:sz w:val="24"/>
          <w:szCs w:val="24"/>
          <w:lang w:val="es-CO"/>
        </w:rPr>
      </w:pPr>
      <w:r w:rsidRPr="00BE4E66">
        <w:rPr>
          <w:i/>
          <w:sz w:val="24"/>
          <w:szCs w:val="24"/>
          <w:lang w:val="es-CO"/>
        </w:rPr>
        <w:t xml:space="preserve">Que la parte actora identifique de manera razonable tanto los hechos que generaron la vulneración como los derechos vulnerados y que hubiere alegado tal vulneración en el proceso judicial siempre que esto hubiere sido posible: </w:t>
      </w:r>
      <w:r w:rsidRPr="00BE4E66">
        <w:rPr>
          <w:sz w:val="24"/>
          <w:szCs w:val="24"/>
          <w:lang w:val="es-CO"/>
        </w:rPr>
        <w:t>La accionante alegó que la providencia acusada desconoció la jurisprudencia constitucional y de esta corporación al abstenerse de resolver el conflicto de competencia entre la Jurisdicción Indígena y la Jurisdicción Penal Ordinara.</w:t>
      </w:r>
      <w:r w:rsidRPr="00BE4E66">
        <w:rPr>
          <w:sz w:val="24"/>
          <w:szCs w:val="24"/>
        </w:rPr>
        <w:t xml:space="preserve"> Así, la Sala considera que la parte actora identifica los hechos que generaron la supuesta vulneración a los derechos fundamentales de la menor de edad “Bertha”. </w:t>
      </w:r>
    </w:p>
    <w:p w:rsidR="00CF2E11" w:rsidRPr="00BE4E66" w:rsidRDefault="00CF2E11" w:rsidP="00CF2E11">
      <w:pPr>
        <w:pStyle w:val="Prrafodelista"/>
        <w:autoSpaceDE w:val="0"/>
        <w:autoSpaceDN w:val="0"/>
        <w:adjustRightInd w:val="0"/>
        <w:spacing w:line="360" w:lineRule="auto"/>
        <w:ind w:left="360"/>
        <w:rPr>
          <w:sz w:val="24"/>
          <w:szCs w:val="24"/>
          <w:lang w:val="es-CO"/>
        </w:rPr>
      </w:pPr>
    </w:p>
    <w:p w:rsidR="00CF2E11" w:rsidRPr="00BE4E66" w:rsidRDefault="00CF2E11" w:rsidP="00CF2E11">
      <w:pPr>
        <w:pStyle w:val="Prrafodelista"/>
        <w:numPr>
          <w:ilvl w:val="0"/>
          <w:numId w:val="2"/>
        </w:numPr>
        <w:autoSpaceDE w:val="0"/>
        <w:autoSpaceDN w:val="0"/>
        <w:adjustRightInd w:val="0"/>
        <w:spacing w:line="360" w:lineRule="auto"/>
        <w:rPr>
          <w:sz w:val="24"/>
          <w:szCs w:val="24"/>
          <w:lang w:val="es-CO"/>
        </w:rPr>
      </w:pPr>
      <w:r w:rsidRPr="00BE4E66">
        <w:rPr>
          <w:i/>
          <w:sz w:val="24"/>
          <w:szCs w:val="24"/>
          <w:lang w:val="es-CO"/>
        </w:rPr>
        <w:t>Que no se trate de sentencias de tutela</w:t>
      </w:r>
      <w:r w:rsidRPr="00BE4E66">
        <w:rPr>
          <w:sz w:val="24"/>
          <w:szCs w:val="24"/>
          <w:lang w:val="es-CO"/>
        </w:rPr>
        <w:t xml:space="preserve">: en el presente caso, se discute la constitucionalidad de una </w:t>
      </w:r>
      <w:r>
        <w:rPr>
          <w:sz w:val="24"/>
          <w:szCs w:val="24"/>
          <w:lang w:val="es-CO"/>
        </w:rPr>
        <w:t>decisión, mediante la cual la entidad accionada</w:t>
      </w:r>
      <w:r w:rsidRPr="00BE4E66">
        <w:rPr>
          <w:sz w:val="24"/>
          <w:szCs w:val="24"/>
          <w:lang w:val="es-CO"/>
        </w:rPr>
        <w:t xml:space="preserve"> se abstuvo de resolver una solicitud de definición de competencias entre la jurisdicción ordinaria y la jurisdicción indígena. </w:t>
      </w:r>
    </w:p>
    <w:p w:rsidR="00CF2E11" w:rsidRPr="00BE4E66" w:rsidRDefault="00CF2E11" w:rsidP="00CF2E11">
      <w:pPr>
        <w:autoSpaceDE w:val="0"/>
        <w:autoSpaceDN w:val="0"/>
        <w:adjustRightInd w:val="0"/>
        <w:spacing w:line="360" w:lineRule="auto"/>
        <w:rPr>
          <w:sz w:val="24"/>
          <w:szCs w:val="24"/>
          <w:lang w:val="es-CO"/>
        </w:rPr>
      </w:pPr>
    </w:p>
    <w:p w:rsidR="00CF2E11" w:rsidRPr="00BE4E66" w:rsidRDefault="00CF2E11" w:rsidP="00CF2E11">
      <w:pPr>
        <w:autoSpaceDE w:val="0"/>
        <w:autoSpaceDN w:val="0"/>
        <w:adjustRightInd w:val="0"/>
        <w:spacing w:line="360" w:lineRule="auto"/>
        <w:rPr>
          <w:sz w:val="24"/>
          <w:szCs w:val="24"/>
          <w:lang w:val="es-CO"/>
        </w:rPr>
      </w:pPr>
      <w:r w:rsidRPr="00BE4E66">
        <w:rPr>
          <w:sz w:val="24"/>
          <w:szCs w:val="24"/>
          <w:lang w:val="es-CO"/>
        </w:rPr>
        <w:t>Por las anteriores razones, la Sala considera que la presente acción reúne los requisitos generales de procedibilidad de la tutela contra providencias judiciales. En consecuencia, se delimitará el marco fáctico que subyace al presente litigio y se estudiara el contenido de la decisión controvertida</w:t>
      </w:r>
    </w:p>
    <w:p w:rsidR="00CF2E11" w:rsidRPr="00BE4E66" w:rsidRDefault="00CF2E11" w:rsidP="00CF2E11">
      <w:pPr>
        <w:autoSpaceDE w:val="0"/>
        <w:autoSpaceDN w:val="0"/>
        <w:adjustRightInd w:val="0"/>
        <w:spacing w:line="360" w:lineRule="auto"/>
        <w:rPr>
          <w:sz w:val="24"/>
          <w:szCs w:val="24"/>
          <w:lang w:val="es-CO"/>
        </w:rPr>
      </w:pPr>
    </w:p>
    <w:p w:rsidR="00CF2E11" w:rsidRPr="00BE4E66" w:rsidRDefault="00CF2E11" w:rsidP="00CF2E11">
      <w:pPr>
        <w:autoSpaceDE w:val="0"/>
        <w:autoSpaceDN w:val="0"/>
        <w:adjustRightInd w:val="0"/>
        <w:spacing w:line="360" w:lineRule="auto"/>
        <w:rPr>
          <w:sz w:val="24"/>
          <w:szCs w:val="24"/>
          <w:lang w:val="es-CO"/>
        </w:rPr>
      </w:pPr>
      <w:r w:rsidRPr="00BE4E66">
        <w:rPr>
          <w:sz w:val="24"/>
          <w:szCs w:val="24"/>
          <w:lang w:val="es-CO"/>
        </w:rPr>
        <w:t>El accionante considera que la decisión adoptada el 22 de enero de 2014 por la Sala Jurisdiccional Disciplinaria del Consejo Superior de la Judicatura, desconoció los derechos fundamentales de la menor de edad “Bertha”</w:t>
      </w:r>
      <w:r w:rsidRPr="00BE4E66">
        <w:rPr>
          <w:sz w:val="24"/>
          <w:szCs w:val="24"/>
        </w:rPr>
        <w:t xml:space="preserve"> al no asignar la investigación y juzgamiento del delito de acceso carnal abusivo que se le imputa al</w:t>
      </w:r>
      <w:r w:rsidRPr="00BE4E66">
        <w:rPr>
          <w:sz w:val="24"/>
          <w:szCs w:val="24"/>
          <w:lang w:val="es-CO"/>
        </w:rPr>
        <w:t xml:space="preserve"> señor</w:t>
      </w:r>
      <w:r w:rsidRPr="00BE4E66">
        <w:rPr>
          <w:sz w:val="24"/>
          <w:szCs w:val="24"/>
        </w:rPr>
        <w:t xml:space="preserve">Jesús Libardo Taquez Ituyan, a la </w:t>
      </w:r>
      <w:r w:rsidRPr="00BE4E66">
        <w:rPr>
          <w:sz w:val="24"/>
          <w:szCs w:val="24"/>
          <w:lang w:val="es-ES_tradnl"/>
        </w:rPr>
        <w:t>jurisdicción ordinaria.</w:t>
      </w:r>
    </w:p>
    <w:p w:rsidR="00CF2E11" w:rsidRPr="00BE4E66" w:rsidRDefault="00CF2E11" w:rsidP="00CF2E11">
      <w:pPr>
        <w:autoSpaceDE w:val="0"/>
        <w:autoSpaceDN w:val="0"/>
        <w:adjustRightInd w:val="0"/>
        <w:spacing w:line="360" w:lineRule="auto"/>
        <w:rPr>
          <w:sz w:val="24"/>
          <w:szCs w:val="24"/>
          <w:lang w:val="es-ES_tradnl"/>
        </w:rPr>
      </w:pPr>
    </w:p>
    <w:p w:rsidR="00CF2E11" w:rsidRPr="00BE4E66" w:rsidRDefault="00CF2E11" w:rsidP="00CF2E11">
      <w:pPr>
        <w:spacing w:line="360" w:lineRule="auto"/>
        <w:rPr>
          <w:sz w:val="24"/>
          <w:szCs w:val="24"/>
        </w:rPr>
      </w:pPr>
      <w:r w:rsidRPr="00BE4E66">
        <w:rPr>
          <w:sz w:val="24"/>
          <w:szCs w:val="24"/>
        </w:rPr>
        <w:t>En dicha oportunidad, la Sala accionada señaló que frente al hecho que suscitó el conflicto, se había proferido decisión de fondo. Así, estableció que mediante la resolución número 003 del 10 de noviembre de 2013, el Resguardo Indígena de “San Juan” de Ipiales se pronunció respecto de la “violación sexual” imputada al indígena Jesús Libardo Taquez Ituyan.</w:t>
      </w:r>
    </w:p>
    <w:p w:rsidR="00CF2E11" w:rsidRPr="00BE4E66" w:rsidRDefault="00CF2E11" w:rsidP="00CF2E11">
      <w:pPr>
        <w:spacing w:line="360" w:lineRule="auto"/>
        <w:rPr>
          <w:sz w:val="24"/>
          <w:szCs w:val="24"/>
        </w:rPr>
      </w:pPr>
    </w:p>
    <w:p w:rsidR="00CF2E11" w:rsidRPr="00BE4E66" w:rsidRDefault="00CF2E11" w:rsidP="00CF2E11">
      <w:pPr>
        <w:spacing w:line="360" w:lineRule="auto"/>
        <w:rPr>
          <w:sz w:val="24"/>
          <w:szCs w:val="24"/>
        </w:rPr>
      </w:pPr>
      <w:r w:rsidRPr="00BE4E66">
        <w:rPr>
          <w:sz w:val="24"/>
          <w:szCs w:val="24"/>
        </w:rPr>
        <w:t xml:space="preserve">Con base en lo anterior, determinó que había operado la figura de la cosa juzgada y, por lo tanto, dicha superioridad carecía de competencia frente al conflicto de competencias planteado. </w:t>
      </w:r>
    </w:p>
    <w:p w:rsidR="00CF2E11" w:rsidRPr="00BE4E66" w:rsidRDefault="00CF2E11" w:rsidP="00CF2E11">
      <w:pPr>
        <w:spacing w:line="360" w:lineRule="auto"/>
        <w:rPr>
          <w:sz w:val="24"/>
          <w:szCs w:val="24"/>
        </w:rPr>
      </w:pPr>
    </w:p>
    <w:p w:rsidR="00CF2E11" w:rsidRPr="00BE4E66" w:rsidRDefault="00CF2E11" w:rsidP="00CF2E11">
      <w:pPr>
        <w:spacing w:line="360" w:lineRule="auto"/>
        <w:rPr>
          <w:sz w:val="24"/>
          <w:szCs w:val="24"/>
        </w:rPr>
      </w:pPr>
      <w:r w:rsidRPr="00BE4E66">
        <w:rPr>
          <w:sz w:val="24"/>
          <w:szCs w:val="24"/>
        </w:rPr>
        <w:t xml:space="preserve">Ahora bien, para resolver el presente asunto, en </w:t>
      </w:r>
      <w:r w:rsidRPr="00BE4E66">
        <w:rPr>
          <w:rFonts w:eastAsia="Calibri"/>
          <w:iCs/>
          <w:spacing w:val="-3"/>
          <w:sz w:val="24"/>
          <w:szCs w:val="24"/>
        </w:rPr>
        <w:t xml:space="preserve">primer lugar, se expondrán algunos rasgos característicos del marco normativo constitucional e internacional aplicable a la jurisdicción indígena en Colombia, en segundo lugar, se explicará la improcedencia </w:t>
      </w:r>
      <w:r w:rsidRPr="00BE4E66">
        <w:rPr>
          <w:rFonts w:eastAsia="Calibri"/>
          <w:i/>
          <w:iCs/>
          <w:spacing w:val="-3"/>
          <w:sz w:val="24"/>
          <w:szCs w:val="24"/>
        </w:rPr>
        <w:t>cuasi-absoluta</w:t>
      </w:r>
      <w:r w:rsidRPr="00BE4E66">
        <w:rPr>
          <w:rFonts w:eastAsia="Calibri"/>
          <w:iCs/>
          <w:spacing w:val="-3"/>
          <w:sz w:val="24"/>
          <w:szCs w:val="24"/>
        </w:rPr>
        <w:t xml:space="preserve"> del juicio de asignación de jurisdicción frente a la cosa juzgada y finalmente, se </w:t>
      </w:r>
      <w:r>
        <w:rPr>
          <w:rFonts w:eastAsia="Calibri"/>
          <w:iCs/>
          <w:spacing w:val="-3"/>
          <w:sz w:val="24"/>
          <w:szCs w:val="24"/>
        </w:rPr>
        <w:t>resolverá el</w:t>
      </w:r>
      <w:r w:rsidRPr="00BE4E66">
        <w:rPr>
          <w:rFonts w:eastAsia="Calibri"/>
          <w:iCs/>
          <w:spacing w:val="-3"/>
          <w:sz w:val="24"/>
          <w:szCs w:val="24"/>
        </w:rPr>
        <w:t xml:space="preserve"> caso concreto.</w:t>
      </w:r>
    </w:p>
    <w:p w:rsidR="00CF2E11" w:rsidRPr="00BE4E66" w:rsidRDefault="00CF2E11" w:rsidP="00CF2E11">
      <w:pPr>
        <w:spacing w:line="360" w:lineRule="auto"/>
        <w:rPr>
          <w:sz w:val="24"/>
          <w:szCs w:val="24"/>
        </w:rPr>
      </w:pPr>
    </w:p>
    <w:p w:rsidR="00CF2E11" w:rsidRPr="00BE4E66" w:rsidRDefault="00CF2E11" w:rsidP="00CF2E11">
      <w:pPr>
        <w:autoSpaceDE w:val="0"/>
        <w:autoSpaceDN w:val="0"/>
        <w:adjustRightInd w:val="0"/>
        <w:spacing w:line="360" w:lineRule="auto"/>
        <w:rPr>
          <w:b/>
          <w:sz w:val="24"/>
          <w:szCs w:val="24"/>
        </w:rPr>
      </w:pPr>
      <w:r>
        <w:rPr>
          <w:b/>
          <w:sz w:val="24"/>
          <w:szCs w:val="24"/>
        </w:rPr>
        <w:t>i)</w:t>
      </w:r>
      <w:r w:rsidRPr="00BE4E66">
        <w:rPr>
          <w:b/>
          <w:sz w:val="24"/>
          <w:szCs w:val="24"/>
        </w:rPr>
        <w:t xml:space="preserve"> Marco normativo</w:t>
      </w:r>
    </w:p>
    <w:p w:rsidR="00CF2E11" w:rsidRPr="00BE4E66" w:rsidRDefault="00CF2E11" w:rsidP="00CF2E11">
      <w:pPr>
        <w:autoSpaceDE w:val="0"/>
        <w:autoSpaceDN w:val="0"/>
        <w:adjustRightInd w:val="0"/>
        <w:spacing w:line="360" w:lineRule="auto"/>
        <w:rPr>
          <w:sz w:val="24"/>
          <w:szCs w:val="24"/>
        </w:rPr>
      </w:pPr>
    </w:p>
    <w:p w:rsidR="00CF2E11" w:rsidRPr="00BE4E66" w:rsidRDefault="00CF2E11" w:rsidP="00CF2E11">
      <w:pPr>
        <w:autoSpaceDE w:val="0"/>
        <w:autoSpaceDN w:val="0"/>
        <w:adjustRightInd w:val="0"/>
        <w:spacing w:line="360" w:lineRule="auto"/>
        <w:rPr>
          <w:iCs/>
          <w:color w:val="000000"/>
          <w:sz w:val="24"/>
          <w:szCs w:val="24"/>
          <w:shd w:val="clear" w:color="auto" w:fill="FFFFFF"/>
          <w:lang w:val="es-CO"/>
        </w:rPr>
      </w:pPr>
      <w:r>
        <w:rPr>
          <w:sz w:val="24"/>
          <w:szCs w:val="24"/>
        </w:rPr>
        <w:t xml:space="preserve">El artículo 246 de la constitución estableció la jurisdicción indígena con amplio reconocimiento para su ejercicio por las autoridades ancestrales, pero también dentro de unos límites determinables, en los siguientes términos: </w:t>
      </w:r>
    </w:p>
    <w:p w:rsidR="00CF2E11" w:rsidRPr="00BE4E66" w:rsidRDefault="00CF2E11" w:rsidP="00CF2E11">
      <w:pPr>
        <w:rPr>
          <w:iCs/>
          <w:color w:val="000000"/>
          <w:sz w:val="24"/>
          <w:szCs w:val="24"/>
          <w:shd w:val="clear" w:color="auto" w:fill="FFFFFF"/>
          <w:lang w:val="es-CO"/>
        </w:rPr>
      </w:pPr>
    </w:p>
    <w:p w:rsidR="00CF2E11" w:rsidRPr="00BE4E66" w:rsidRDefault="00CF2E11" w:rsidP="00CF2E11">
      <w:pPr>
        <w:ind w:left="720"/>
        <w:rPr>
          <w:iCs/>
          <w:color w:val="000000"/>
          <w:sz w:val="24"/>
          <w:szCs w:val="24"/>
          <w:shd w:val="clear" w:color="auto" w:fill="FFFFFF"/>
          <w:lang w:val="es-CO"/>
        </w:rPr>
      </w:pPr>
      <w:r w:rsidRPr="00BE4E66">
        <w:rPr>
          <w:iCs/>
          <w:color w:val="000000"/>
          <w:sz w:val="24"/>
          <w:szCs w:val="24"/>
          <w:shd w:val="clear" w:color="auto" w:fill="FFFFFF"/>
          <w:lang w:val="es-CO"/>
        </w:rPr>
        <w:t xml:space="preserve">“Las autoridades de los pueblos indígenas podrán ejercer funciones jurisdiccionales dentro de su ámbito territorial, de conformidad con sus propias normas y procedimientos, </w:t>
      </w:r>
      <w:r w:rsidRPr="00BE4E66">
        <w:rPr>
          <w:iCs/>
          <w:color w:val="000000"/>
          <w:sz w:val="24"/>
          <w:szCs w:val="24"/>
          <w:u w:val="single"/>
          <w:shd w:val="clear" w:color="auto" w:fill="FFFFFF"/>
          <w:lang w:val="es-CO"/>
        </w:rPr>
        <w:t>siempre que no sean contrarios a la Constitución y leyes de la República</w:t>
      </w:r>
      <w:r w:rsidRPr="00BE4E66">
        <w:rPr>
          <w:iCs/>
          <w:color w:val="000000"/>
          <w:sz w:val="24"/>
          <w:szCs w:val="24"/>
          <w:shd w:val="clear" w:color="auto" w:fill="FFFFFF"/>
          <w:lang w:val="es-CO"/>
        </w:rPr>
        <w:t>. La ley establecerá las formas de coordinación de esta jurisdicción especial con el sistema judicial nacional” (subraya fuera del texto original).</w:t>
      </w:r>
    </w:p>
    <w:p w:rsidR="00CF2E11" w:rsidRPr="00BE4E66" w:rsidRDefault="00CF2E11" w:rsidP="00CF2E11">
      <w:pPr>
        <w:rPr>
          <w:iCs/>
          <w:color w:val="000000"/>
          <w:sz w:val="24"/>
          <w:szCs w:val="24"/>
          <w:shd w:val="clear" w:color="auto" w:fill="FFFFFF"/>
          <w:lang w:val="es-CO"/>
        </w:rPr>
      </w:pPr>
    </w:p>
    <w:p w:rsidR="00CF2E11" w:rsidRPr="00BE4E66" w:rsidRDefault="00CF2E11" w:rsidP="00CF2E11">
      <w:pPr>
        <w:rPr>
          <w:iCs/>
          <w:color w:val="000000"/>
          <w:sz w:val="24"/>
          <w:szCs w:val="24"/>
          <w:shd w:val="clear" w:color="auto" w:fill="FFFFFF"/>
          <w:lang w:val="es-CO"/>
        </w:rPr>
      </w:pPr>
    </w:p>
    <w:p w:rsidR="00CF2E11" w:rsidRPr="00BE4E66" w:rsidRDefault="00CF2E11" w:rsidP="00CF2E11">
      <w:pPr>
        <w:spacing w:line="360" w:lineRule="auto"/>
        <w:rPr>
          <w:iCs/>
          <w:color w:val="000000"/>
          <w:sz w:val="24"/>
          <w:szCs w:val="24"/>
          <w:shd w:val="clear" w:color="auto" w:fill="FFFFFF"/>
          <w:lang w:val="es-CO"/>
        </w:rPr>
      </w:pPr>
      <w:r w:rsidRPr="00BE4E66">
        <w:rPr>
          <w:iCs/>
          <w:color w:val="000000"/>
          <w:sz w:val="24"/>
          <w:szCs w:val="24"/>
          <w:shd w:val="clear" w:color="auto" w:fill="FFFFFF"/>
          <w:lang w:val="es-CO"/>
        </w:rPr>
        <w:t xml:space="preserve">Al igual que el artículo 246, los compromisos </w:t>
      </w:r>
      <w:r>
        <w:rPr>
          <w:iCs/>
          <w:color w:val="000000"/>
          <w:sz w:val="24"/>
          <w:szCs w:val="24"/>
          <w:shd w:val="clear" w:color="auto" w:fill="FFFFFF"/>
          <w:lang w:val="es-CO"/>
        </w:rPr>
        <w:t xml:space="preserve">internacionales </w:t>
      </w:r>
      <w:r w:rsidRPr="00BE4E66">
        <w:rPr>
          <w:iCs/>
          <w:color w:val="000000"/>
          <w:sz w:val="24"/>
          <w:szCs w:val="24"/>
          <w:shd w:val="clear" w:color="auto" w:fill="FFFFFF"/>
          <w:lang w:val="es-CO"/>
        </w:rPr>
        <w:t>adquiridos por el Estado colombiano en materia de respeto y protección de los grupos indígenas condicionan la aplicación de la justicia propia a su correspondencia con las normas superiores internas. En especial, los inmersos en el Convenio No. 169 de la Organización Internacional del Trabajo (OIT)</w:t>
      </w:r>
      <w:r w:rsidRPr="00BE4E66">
        <w:rPr>
          <w:iCs/>
          <w:color w:val="000000"/>
          <w:sz w:val="24"/>
          <w:szCs w:val="24"/>
          <w:shd w:val="clear" w:color="auto" w:fill="FFFFFF"/>
          <w:vertAlign w:val="superscript"/>
          <w:lang w:val="es-CO"/>
        </w:rPr>
        <w:footnoteReference w:id="19"/>
      </w:r>
      <w:r w:rsidRPr="00BE4E66">
        <w:rPr>
          <w:iCs/>
          <w:color w:val="000000"/>
          <w:sz w:val="24"/>
          <w:szCs w:val="24"/>
          <w:shd w:val="clear" w:color="auto" w:fill="FFFFFF"/>
          <w:lang w:val="es-CO"/>
        </w:rPr>
        <w:t xml:space="preserve">, el cual le ordena a los Estados parte asegurar la conservación de las instituciones y costumbres propias de los pueblos indígenas, junto con la aplicación de su derecho consuetudinario (artículo 8), siempre y cuando no contradigan el ordenamiento jurídico nacional. </w:t>
      </w:r>
    </w:p>
    <w:p w:rsidR="00CF2E11" w:rsidRPr="00BE4E66" w:rsidRDefault="00CF2E11" w:rsidP="00CF2E11">
      <w:pPr>
        <w:spacing w:line="360" w:lineRule="auto"/>
        <w:rPr>
          <w:iCs/>
          <w:color w:val="000000"/>
          <w:sz w:val="24"/>
          <w:szCs w:val="24"/>
          <w:shd w:val="clear" w:color="auto" w:fill="FFFFFF"/>
          <w:lang w:val="es-CO"/>
        </w:rPr>
      </w:pPr>
    </w:p>
    <w:p w:rsidR="00CF2E11" w:rsidRPr="00BE4E66" w:rsidRDefault="00CF2E11" w:rsidP="00CF2E11">
      <w:pPr>
        <w:spacing w:line="360" w:lineRule="auto"/>
        <w:rPr>
          <w:iCs/>
          <w:color w:val="000000"/>
          <w:sz w:val="24"/>
          <w:szCs w:val="24"/>
          <w:shd w:val="clear" w:color="auto" w:fill="FFFFFF"/>
          <w:lang w:val="es-CO"/>
        </w:rPr>
      </w:pPr>
      <w:r w:rsidRPr="00BE4E66">
        <w:rPr>
          <w:iCs/>
          <w:color w:val="000000"/>
          <w:sz w:val="24"/>
          <w:szCs w:val="24"/>
          <w:shd w:val="clear" w:color="auto" w:fill="FFFFFF"/>
          <w:lang w:val="es-CO"/>
        </w:rPr>
        <w:t xml:space="preserve">Así, con respecto al ámbito jurídico penal, el artículo 9 de aquel instrumento ordena respetar sus sistemas tradicionales de control social: “En la medida en que ello sea compatible con el sistema jurídico nacional y con los derechos humanos internacionalmente reconocidos […]”. </w:t>
      </w:r>
    </w:p>
    <w:p w:rsidR="00CF2E11" w:rsidRPr="00BE4E66" w:rsidRDefault="00CF2E11" w:rsidP="00CF2E11">
      <w:pPr>
        <w:jc w:val="left"/>
        <w:rPr>
          <w:iCs/>
          <w:color w:val="000000"/>
          <w:sz w:val="24"/>
          <w:szCs w:val="24"/>
          <w:shd w:val="clear" w:color="auto" w:fill="FFFFFF"/>
          <w:lang w:val="es-CO"/>
        </w:rPr>
      </w:pPr>
    </w:p>
    <w:p w:rsidR="00CF2E11" w:rsidRPr="00BE4E66" w:rsidRDefault="00CF2E11" w:rsidP="00CF2E11">
      <w:pPr>
        <w:spacing w:line="360" w:lineRule="auto"/>
        <w:rPr>
          <w:iCs/>
          <w:color w:val="000000"/>
          <w:sz w:val="24"/>
          <w:szCs w:val="24"/>
          <w:shd w:val="clear" w:color="auto" w:fill="FFFFFF"/>
          <w:lang w:val="es-CO"/>
        </w:rPr>
      </w:pPr>
      <w:r w:rsidRPr="00BE4E66">
        <w:rPr>
          <w:iCs/>
          <w:color w:val="000000"/>
          <w:sz w:val="24"/>
          <w:szCs w:val="24"/>
          <w:shd w:val="clear" w:color="auto" w:fill="FFFFFF"/>
          <w:lang w:val="es-CO"/>
        </w:rPr>
        <w:t>Otro instrumento internacional que ordena proteger las prácticas jurídicas tradicionales es la Declaración de las Naciones Unidas sobre los derechos de los pueblos indígenas, adoptada el 10 de septiembre de 2007 por la Asamblea General de esta organización</w:t>
      </w:r>
      <w:r w:rsidRPr="00BE4E66">
        <w:rPr>
          <w:iCs/>
          <w:color w:val="000000"/>
          <w:sz w:val="24"/>
          <w:szCs w:val="24"/>
          <w:shd w:val="clear" w:color="auto" w:fill="FFFFFF"/>
          <w:vertAlign w:val="superscript"/>
          <w:lang w:val="es-CO"/>
        </w:rPr>
        <w:footnoteReference w:id="20"/>
      </w:r>
      <w:r w:rsidRPr="00BE4E66">
        <w:rPr>
          <w:iCs/>
          <w:color w:val="000000"/>
          <w:sz w:val="24"/>
          <w:szCs w:val="24"/>
          <w:shd w:val="clear" w:color="auto" w:fill="FFFFFF"/>
          <w:lang w:val="es-CO"/>
        </w:rPr>
        <w:t xml:space="preserve">. Su artículo 5º reconoce el derecho colectivo a conservar y reforzar las instituciones jurídicas de tipo ancestral; y el artículo 34 contiene el derecho de “promover, desarrollar y mantener sus estructuras institucionales y sus propias costumbres […] o sistemas jurídicos, </w:t>
      </w:r>
      <w:r w:rsidRPr="00BE4E66">
        <w:rPr>
          <w:iCs/>
          <w:color w:val="000000"/>
          <w:sz w:val="24"/>
          <w:szCs w:val="24"/>
          <w:u w:val="single"/>
          <w:shd w:val="clear" w:color="auto" w:fill="FFFFFF"/>
          <w:lang w:val="es-CO"/>
        </w:rPr>
        <w:t>de conformidad con las normas internacionales de derechos humanos</w:t>
      </w:r>
      <w:r w:rsidRPr="00BE4E66">
        <w:rPr>
          <w:iCs/>
          <w:color w:val="000000"/>
          <w:sz w:val="24"/>
          <w:szCs w:val="24"/>
          <w:shd w:val="clear" w:color="auto" w:fill="FFFFFF"/>
          <w:lang w:val="es-CO"/>
        </w:rPr>
        <w:t xml:space="preserve">” (énfasis agregado). </w:t>
      </w:r>
    </w:p>
    <w:p w:rsidR="00CF2E11" w:rsidRPr="00BE4E66" w:rsidRDefault="00CF2E11" w:rsidP="00CF2E11">
      <w:pPr>
        <w:rPr>
          <w:iCs/>
          <w:color w:val="000000"/>
          <w:sz w:val="24"/>
          <w:szCs w:val="24"/>
          <w:shd w:val="clear" w:color="auto" w:fill="FFFFFF"/>
          <w:lang w:val="es-CO"/>
        </w:rPr>
      </w:pPr>
    </w:p>
    <w:p w:rsidR="00CF2E11" w:rsidRPr="00BE4E66" w:rsidRDefault="00CF2E11" w:rsidP="00CF2E11">
      <w:pPr>
        <w:spacing w:line="360" w:lineRule="auto"/>
        <w:rPr>
          <w:iCs/>
          <w:color w:val="000000"/>
          <w:sz w:val="24"/>
          <w:szCs w:val="24"/>
          <w:shd w:val="clear" w:color="auto" w:fill="FFFFFF"/>
          <w:lang w:val="es-CO"/>
        </w:rPr>
      </w:pPr>
      <w:r w:rsidRPr="00BE4E66">
        <w:rPr>
          <w:iCs/>
          <w:color w:val="000000"/>
          <w:sz w:val="24"/>
          <w:szCs w:val="24"/>
          <w:shd w:val="clear" w:color="auto" w:fill="FFFFFF"/>
          <w:lang w:val="es-CO"/>
        </w:rPr>
        <w:t xml:space="preserve">Como se observa, tanto el artículo 246 superior como las disposiciones internacionales citadas defienden la aplicación y preservación de las tradiciones jurídicas indígenas, siempre y cuando se sujeten a las normas constitucionales y al marco internacional de los derechos humanos. En consecuencia, no autorizan la existencia y el funcionamiento de cualquier tipo de sistema judicial con raíces etno-culturales diversas al derecho “mayoritario”, ni habilitan de manera indeterminada a la impartición de todo tipo de justicia por parte de estos pueblos. Tan sólo amparan aquellos que compartan los valores y principios característicos del sistema internacional de los derechos humanos y el derecho interno constitucional. </w:t>
      </w:r>
    </w:p>
    <w:p w:rsidR="00CF2E11" w:rsidRPr="00BE4E66" w:rsidRDefault="00CF2E11" w:rsidP="00CF2E11">
      <w:pPr>
        <w:spacing w:line="360" w:lineRule="auto"/>
        <w:rPr>
          <w:iCs/>
          <w:color w:val="000000"/>
          <w:sz w:val="24"/>
          <w:szCs w:val="24"/>
          <w:shd w:val="clear" w:color="auto" w:fill="FFFFFF"/>
          <w:lang w:val="es-CO"/>
        </w:rPr>
      </w:pPr>
    </w:p>
    <w:p w:rsidR="00CF2E11" w:rsidRPr="00BE4E66" w:rsidRDefault="00CF2E11" w:rsidP="00CF2E11">
      <w:pPr>
        <w:spacing w:line="360" w:lineRule="auto"/>
        <w:rPr>
          <w:sz w:val="24"/>
          <w:szCs w:val="28"/>
          <w:lang w:val="es-CO"/>
        </w:rPr>
      </w:pPr>
      <w:r>
        <w:rPr>
          <w:iCs/>
          <w:color w:val="000000"/>
          <w:sz w:val="24"/>
          <w:szCs w:val="24"/>
          <w:shd w:val="clear" w:color="auto" w:fill="FFFFFF"/>
          <w:lang w:val="es-CO"/>
        </w:rPr>
        <w:t>Ahora bien</w:t>
      </w:r>
      <w:r w:rsidRPr="00BE4E66">
        <w:rPr>
          <w:iCs/>
          <w:color w:val="000000"/>
          <w:sz w:val="24"/>
          <w:szCs w:val="24"/>
          <w:shd w:val="clear" w:color="auto" w:fill="FFFFFF"/>
          <w:lang w:val="es-CO"/>
        </w:rPr>
        <w:t xml:space="preserve">, la Corte Constitucional ha establecido que no todas las normas sobre derechos humanos y derechos fundamentales son </w:t>
      </w:r>
      <w:r w:rsidRPr="00BE4E66">
        <w:rPr>
          <w:i/>
          <w:iCs/>
          <w:color w:val="000000"/>
          <w:sz w:val="24"/>
          <w:szCs w:val="24"/>
          <w:shd w:val="clear" w:color="auto" w:fill="FFFFFF"/>
          <w:lang w:val="es-CO"/>
        </w:rPr>
        <w:t>“parámetros de restricción”</w:t>
      </w:r>
      <w:r w:rsidRPr="00BE4E66">
        <w:rPr>
          <w:iCs/>
          <w:color w:val="000000"/>
          <w:sz w:val="24"/>
          <w:szCs w:val="24"/>
          <w:shd w:val="clear" w:color="auto" w:fill="FFFFFF"/>
          <w:vertAlign w:val="superscript"/>
          <w:lang w:val="es-CO"/>
        </w:rPr>
        <w:footnoteReference w:id="21"/>
      </w:r>
      <w:r w:rsidRPr="00BE4E66">
        <w:rPr>
          <w:iCs/>
          <w:color w:val="000000"/>
          <w:sz w:val="24"/>
          <w:szCs w:val="24"/>
          <w:shd w:val="clear" w:color="auto" w:fill="FFFFFF"/>
          <w:lang w:val="es-CO"/>
        </w:rPr>
        <w:t xml:space="preserve"> de la jurisdicción indígena. Pensar de esta manera vaciaría de contenido práctico </w:t>
      </w:r>
      <w:r>
        <w:rPr>
          <w:iCs/>
          <w:color w:val="000000"/>
          <w:sz w:val="24"/>
          <w:szCs w:val="24"/>
          <w:shd w:val="clear" w:color="auto" w:fill="FFFFFF"/>
          <w:lang w:val="es-CO"/>
        </w:rPr>
        <w:t xml:space="preserve">su </w:t>
      </w:r>
      <w:r w:rsidRPr="00BE4E66">
        <w:rPr>
          <w:iCs/>
          <w:color w:val="000000"/>
          <w:sz w:val="24"/>
          <w:szCs w:val="24"/>
          <w:shd w:val="clear" w:color="auto" w:fill="FFFFFF"/>
          <w:lang w:val="es-CO"/>
        </w:rPr>
        <w:t>campo de acción. Solamente limitan su ámbito de aplicación material, aquellas que reflejen consensos interculturales amplios</w:t>
      </w:r>
      <w:r w:rsidRPr="00BE4E66">
        <w:rPr>
          <w:iCs/>
          <w:color w:val="000000"/>
          <w:sz w:val="24"/>
          <w:szCs w:val="24"/>
          <w:shd w:val="clear" w:color="auto" w:fill="FFFFFF"/>
          <w:vertAlign w:val="superscript"/>
          <w:lang w:val="es-CO"/>
        </w:rPr>
        <w:footnoteReference w:id="22"/>
      </w:r>
      <w:r w:rsidRPr="00BE4E66">
        <w:rPr>
          <w:iCs/>
          <w:color w:val="000000"/>
          <w:sz w:val="24"/>
          <w:szCs w:val="24"/>
          <w:shd w:val="clear" w:color="auto" w:fill="FFFFFF"/>
          <w:lang w:val="es-CO"/>
        </w:rPr>
        <w:t xml:space="preserve">, </w:t>
      </w:r>
      <w:r w:rsidRPr="00BE4E66">
        <w:rPr>
          <w:sz w:val="24"/>
          <w:szCs w:val="28"/>
          <w:lang w:val="es-CO"/>
        </w:rPr>
        <w:t>sobre los mínimos de convivencia necesarios para disfrutar de una vida digna</w:t>
      </w:r>
      <w:r w:rsidRPr="00BE4E66">
        <w:rPr>
          <w:sz w:val="24"/>
          <w:szCs w:val="28"/>
          <w:vertAlign w:val="superscript"/>
          <w:lang w:val="es-CO"/>
        </w:rPr>
        <w:footnoteReference w:id="23"/>
      </w:r>
      <w:r w:rsidRPr="00BE4E66">
        <w:rPr>
          <w:sz w:val="24"/>
          <w:szCs w:val="28"/>
          <w:lang w:val="es-CO"/>
        </w:rPr>
        <w:t>. En palabras de la Corte, estas restricciones solo tienen cabida:</w:t>
      </w:r>
    </w:p>
    <w:p w:rsidR="00CF2E11" w:rsidRPr="00BE4E66" w:rsidRDefault="00CF2E11" w:rsidP="00CF2E11">
      <w:pPr>
        <w:spacing w:line="360" w:lineRule="auto"/>
        <w:rPr>
          <w:sz w:val="24"/>
          <w:szCs w:val="28"/>
          <w:lang w:val="es-CO"/>
        </w:rPr>
      </w:pPr>
    </w:p>
    <w:p w:rsidR="00CF2E11" w:rsidRPr="00BE4E66" w:rsidRDefault="00CF2E11" w:rsidP="00CF2E11">
      <w:pPr>
        <w:ind w:left="720"/>
        <w:rPr>
          <w:iCs/>
          <w:color w:val="000000"/>
          <w:sz w:val="24"/>
          <w:szCs w:val="24"/>
          <w:shd w:val="clear" w:color="auto" w:fill="FFFFFF"/>
          <w:lang w:val="es-CO"/>
        </w:rPr>
      </w:pPr>
      <w:r w:rsidRPr="00BE4E66">
        <w:rPr>
          <w:sz w:val="24"/>
          <w:szCs w:val="28"/>
          <w:lang w:val="es-CO"/>
        </w:rPr>
        <w:t xml:space="preserve"> “[S]obre la base de un consenso en torno a lo verdaderamente inaceptable desde la óptica de los derechos humanos, tratando siempre de que el mencionado consenso sea lo más incluyente posible respecto de todas las culturas existentes en el territorio</w:t>
      </w:r>
      <w:r w:rsidRPr="00BE4E66">
        <w:rPr>
          <w:sz w:val="24"/>
          <w:szCs w:val="28"/>
          <w:vertAlign w:val="superscript"/>
          <w:lang w:val="es-CO"/>
        </w:rPr>
        <w:footnoteReference w:id="24"/>
      </w:r>
      <w:r w:rsidRPr="00BE4E66">
        <w:rPr>
          <w:sz w:val="24"/>
          <w:szCs w:val="28"/>
          <w:lang w:val="es-CO"/>
        </w:rPr>
        <w:t>”</w:t>
      </w:r>
      <w:r w:rsidRPr="00BE4E66">
        <w:rPr>
          <w:sz w:val="24"/>
          <w:szCs w:val="28"/>
          <w:vertAlign w:val="superscript"/>
          <w:lang w:val="es-CO"/>
        </w:rPr>
        <w:footnoteReference w:id="25"/>
      </w:r>
      <w:r w:rsidRPr="00BE4E66">
        <w:rPr>
          <w:sz w:val="24"/>
          <w:szCs w:val="28"/>
          <w:lang w:val="es-CO"/>
        </w:rPr>
        <w:t xml:space="preserve">. </w:t>
      </w:r>
    </w:p>
    <w:p w:rsidR="00CF2E11" w:rsidRPr="00BE4E66" w:rsidRDefault="00CF2E11" w:rsidP="00CF2E11">
      <w:pPr>
        <w:spacing w:line="360" w:lineRule="auto"/>
        <w:rPr>
          <w:iCs/>
          <w:color w:val="000000"/>
          <w:sz w:val="24"/>
          <w:szCs w:val="24"/>
          <w:shd w:val="clear" w:color="auto" w:fill="FFFFFF"/>
          <w:lang w:val="es-CO"/>
        </w:rPr>
      </w:pPr>
    </w:p>
    <w:p w:rsidR="00CF2E11" w:rsidRPr="00BE4E66" w:rsidRDefault="00CF2E11" w:rsidP="00CF2E11">
      <w:pPr>
        <w:spacing w:line="360" w:lineRule="auto"/>
        <w:rPr>
          <w:iCs/>
          <w:color w:val="000000"/>
          <w:sz w:val="24"/>
          <w:szCs w:val="24"/>
          <w:shd w:val="clear" w:color="auto" w:fill="FFFFFF"/>
          <w:lang w:val="es-CO"/>
        </w:rPr>
      </w:pPr>
      <w:r w:rsidRPr="00BE4E66">
        <w:rPr>
          <w:iCs/>
          <w:color w:val="000000"/>
          <w:sz w:val="24"/>
          <w:szCs w:val="24"/>
          <w:shd w:val="clear" w:color="auto" w:fill="FFFFFF"/>
          <w:lang w:val="es-CO"/>
        </w:rPr>
        <w:t xml:space="preserve">En consonancia con esta situación, la Corte Constitucional en la sentencia T-349 de 1996 estableció un conjunto de “derechos intangibles”, como </w:t>
      </w:r>
      <w:r w:rsidRPr="00BE4E66">
        <w:rPr>
          <w:i/>
          <w:iCs/>
          <w:color w:val="000000"/>
          <w:sz w:val="24"/>
          <w:szCs w:val="24"/>
          <w:shd w:val="clear" w:color="auto" w:fill="FFFFFF"/>
          <w:lang w:val="es-CO"/>
        </w:rPr>
        <w:t>la vida</w:t>
      </w:r>
      <w:r w:rsidRPr="00BE4E66">
        <w:rPr>
          <w:iCs/>
          <w:color w:val="000000"/>
          <w:sz w:val="24"/>
          <w:szCs w:val="24"/>
          <w:shd w:val="clear" w:color="auto" w:fill="FFFFFF"/>
          <w:lang w:val="es-CO"/>
        </w:rPr>
        <w:t xml:space="preserve">, la prohibición de la esclavitud, la prohibición de la tortura y el debido proceso, </w:t>
      </w:r>
      <w:r w:rsidRPr="00BE4E66">
        <w:rPr>
          <w:i/>
          <w:iCs/>
          <w:color w:val="000000"/>
          <w:sz w:val="24"/>
          <w:szCs w:val="24"/>
          <w:shd w:val="clear" w:color="auto" w:fill="FFFFFF"/>
          <w:lang w:val="es-CO"/>
        </w:rPr>
        <w:t>cuyo disfrute debe garantizarse incluso por encima de la protección a la potestad de autogobierno reconocida por el constituyente a los puebles indígenas y tribales</w:t>
      </w:r>
      <w:r w:rsidRPr="00BE4E66">
        <w:rPr>
          <w:iCs/>
          <w:color w:val="000000"/>
          <w:sz w:val="24"/>
          <w:szCs w:val="24"/>
          <w:shd w:val="clear" w:color="auto" w:fill="FFFFFF"/>
          <w:lang w:val="es-CO"/>
        </w:rPr>
        <w:t>. Al respecto indicó lo siguiente:</w:t>
      </w:r>
    </w:p>
    <w:p w:rsidR="00CF2E11" w:rsidRPr="00BE4E66" w:rsidRDefault="00CF2E11" w:rsidP="00CF2E11">
      <w:pPr>
        <w:rPr>
          <w:iCs/>
          <w:color w:val="000000"/>
          <w:sz w:val="24"/>
          <w:szCs w:val="24"/>
          <w:shd w:val="clear" w:color="auto" w:fill="FFFFFF"/>
          <w:lang w:val="es-CO"/>
        </w:rPr>
      </w:pPr>
    </w:p>
    <w:p w:rsidR="00CF2E11" w:rsidRPr="00BE4E66" w:rsidRDefault="00CF2E11" w:rsidP="00CF2E11">
      <w:pPr>
        <w:ind w:left="720"/>
        <w:rPr>
          <w:iCs/>
          <w:color w:val="000000"/>
          <w:sz w:val="24"/>
          <w:szCs w:val="24"/>
          <w:shd w:val="clear" w:color="auto" w:fill="FFFFFF"/>
          <w:lang w:val="es-CO"/>
        </w:rPr>
      </w:pPr>
      <w:r w:rsidRPr="00BE4E66">
        <w:rPr>
          <w:iCs/>
          <w:color w:val="000000"/>
          <w:sz w:val="24"/>
          <w:szCs w:val="24"/>
          <w:shd w:val="clear" w:color="auto" w:fill="FFFFFF"/>
          <w:lang w:val="es-CO"/>
        </w:rPr>
        <w:t>“</w:t>
      </w:r>
      <w:r w:rsidRPr="00BE4E66">
        <w:rPr>
          <w:iCs/>
          <w:color w:val="000000"/>
          <w:sz w:val="24"/>
          <w:szCs w:val="24"/>
          <w:u w:val="single"/>
          <w:shd w:val="clear" w:color="auto" w:fill="FFFFFF"/>
          <w:lang w:val="es-CO"/>
        </w:rPr>
        <w:t>La plena vigencia de los derechos fundamentales constitucionales en los territorios indígenas como límite al principio de diversidad étnica y constitucional</w:t>
      </w:r>
      <w:r w:rsidRPr="00BE4E66">
        <w:rPr>
          <w:iCs/>
          <w:color w:val="000000"/>
          <w:sz w:val="24"/>
          <w:szCs w:val="24"/>
          <w:shd w:val="clear" w:color="auto" w:fill="FFFFFF"/>
          <w:lang w:val="es-CO"/>
        </w:rPr>
        <w:t xml:space="preserve"> es acogido en el plano del derecho internacional, particularmente en lo que tiene que ver con los derechos humanos como código universal de convivencia y diálogo entre las culturas y naciones, presupuesto de la paz, de la justicia, de la libertad y de la prosperidad de todos los pueblos”</w:t>
      </w:r>
      <w:r w:rsidRPr="00BE4E66">
        <w:rPr>
          <w:iCs/>
          <w:color w:val="000000"/>
          <w:sz w:val="24"/>
          <w:szCs w:val="24"/>
          <w:shd w:val="clear" w:color="auto" w:fill="FFFFFF"/>
          <w:vertAlign w:val="superscript"/>
          <w:lang w:val="es-CO"/>
        </w:rPr>
        <w:footnoteReference w:id="26"/>
      </w:r>
      <w:r w:rsidRPr="00BE4E66">
        <w:rPr>
          <w:iCs/>
          <w:color w:val="000000"/>
          <w:sz w:val="24"/>
          <w:szCs w:val="24"/>
          <w:shd w:val="clear" w:color="auto" w:fill="FFFFFF"/>
          <w:lang w:val="es-CO"/>
        </w:rPr>
        <w:t xml:space="preserve"> (Destaca la Sala).</w:t>
      </w:r>
    </w:p>
    <w:p w:rsidR="00CF2E11" w:rsidRPr="00BE4E66" w:rsidRDefault="00CF2E11" w:rsidP="00CF2E11">
      <w:pPr>
        <w:ind w:left="720"/>
        <w:rPr>
          <w:iCs/>
          <w:color w:val="000000"/>
          <w:sz w:val="24"/>
          <w:szCs w:val="24"/>
          <w:shd w:val="clear" w:color="auto" w:fill="FFFFFF"/>
          <w:lang w:val="es-CO"/>
        </w:rPr>
      </w:pPr>
    </w:p>
    <w:p w:rsidR="00CF2E11" w:rsidRPr="00BE4E66" w:rsidRDefault="00CF2E11" w:rsidP="00CF2E11">
      <w:pPr>
        <w:rPr>
          <w:iCs/>
          <w:color w:val="000000"/>
          <w:sz w:val="24"/>
          <w:szCs w:val="24"/>
          <w:shd w:val="clear" w:color="auto" w:fill="FFFFFF"/>
          <w:lang w:val="es-CO"/>
        </w:rPr>
      </w:pPr>
    </w:p>
    <w:p w:rsidR="00CF2E11" w:rsidRPr="00BE4E66" w:rsidRDefault="00CF2E11" w:rsidP="00CF2E11">
      <w:pPr>
        <w:spacing w:line="360" w:lineRule="auto"/>
        <w:rPr>
          <w:iCs/>
          <w:color w:val="000000"/>
          <w:sz w:val="24"/>
          <w:szCs w:val="24"/>
          <w:shd w:val="clear" w:color="auto" w:fill="FFFFFF"/>
          <w:lang w:val="es-CO"/>
        </w:rPr>
      </w:pPr>
      <w:r w:rsidRPr="00BE4E66">
        <w:rPr>
          <w:iCs/>
          <w:color w:val="000000"/>
          <w:sz w:val="24"/>
          <w:szCs w:val="24"/>
          <w:shd w:val="clear" w:color="auto" w:fill="FFFFFF"/>
          <w:lang w:val="es-CO"/>
        </w:rPr>
        <w:t>Esto significa que la autonomía y la jurisdicción indígena se encuentran sometidas o limitadas por el respeto de aquellos derechos fundamentales.</w:t>
      </w:r>
    </w:p>
    <w:p w:rsidR="00CF2E11" w:rsidRPr="00BE4E66" w:rsidRDefault="00CF2E11" w:rsidP="00CF2E11">
      <w:pPr>
        <w:spacing w:line="360" w:lineRule="auto"/>
        <w:rPr>
          <w:iCs/>
          <w:color w:val="000000"/>
          <w:sz w:val="24"/>
          <w:szCs w:val="24"/>
          <w:shd w:val="clear" w:color="auto" w:fill="FFFFFF"/>
          <w:lang w:val="es-CO"/>
        </w:rPr>
      </w:pPr>
    </w:p>
    <w:p w:rsidR="00CF2E11" w:rsidRPr="00BE4E66" w:rsidRDefault="00CF2E11" w:rsidP="00CF2E11">
      <w:pPr>
        <w:spacing w:line="360" w:lineRule="auto"/>
        <w:rPr>
          <w:rFonts w:eastAsia="Calibri"/>
          <w:iCs/>
          <w:color w:val="000000"/>
          <w:sz w:val="24"/>
          <w:szCs w:val="24"/>
          <w:shd w:val="clear" w:color="auto" w:fill="FFFFFF"/>
          <w:lang w:val="es-CO"/>
        </w:rPr>
      </w:pPr>
      <w:r w:rsidRPr="00BE4E66">
        <w:rPr>
          <w:rFonts w:eastAsia="Calibri"/>
          <w:iCs/>
          <w:color w:val="000000"/>
          <w:sz w:val="24"/>
          <w:szCs w:val="24"/>
          <w:shd w:val="clear" w:color="auto" w:fill="FFFFFF"/>
          <w:lang w:val="es-CO"/>
        </w:rPr>
        <w:t xml:space="preserve">Por otra parte, numerosas decisiones de la Corte Constitucional y de </w:t>
      </w:r>
      <w:r>
        <w:rPr>
          <w:rFonts w:eastAsia="Calibri"/>
          <w:iCs/>
          <w:color w:val="000000"/>
          <w:sz w:val="24"/>
          <w:szCs w:val="24"/>
          <w:shd w:val="clear" w:color="auto" w:fill="FFFFFF"/>
          <w:lang w:val="es-CO"/>
        </w:rPr>
        <w:t>la</w:t>
      </w:r>
      <w:r w:rsidRPr="00BE4E66">
        <w:rPr>
          <w:rFonts w:eastAsia="Calibri"/>
          <w:iCs/>
          <w:color w:val="000000"/>
          <w:sz w:val="24"/>
          <w:szCs w:val="24"/>
          <w:shd w:val="clear" w:color="auto" w:fill="FFFFFF"/>
          <w:lang w:val="es-CO"/>
        </w:rPr>
        <w:t xml:space="preserve"> Sala </w:t>
      </w:r>
      <w:r>
        <w:rPr>
          <w:rFonts w:eastAsia="Calibri"/>
          <w:iCs/>
          <w:color w:val="000000"/>
          <w:sz w:val="24"/>
          <w:szCs w:val="24"/>
          <w:shd w:val="clear" w:color="auto" w:fill="FFFFFF"/>
          <w:lang w:val="es-CO"/>
        </w:rPr>
        <w:t xml:space="preserve">Jurisdiccional Disciplinaria del Consejo Superior de la Judicatura </w:t>
      </w:r>
      <w:r w:rsidRPr="00BE4E66">
        <w:rPr>
          <w:rFonts w:eastAsia="Calibri"/>
          <w:iCs/>
          <w:color w:val="000000"/>
          <w:sz w:val="24"/>
          <w:szCs w:val="24"/>
          <w:shd w:val="clear" w:color="auto" w:fill="FFFFFF"/>
          <w:lang w:val="es-CO"/>
        </w:rPr>
        <w:t>han desarrollado pautas útiles para resolver conflictos de competencia entre la justicia penal ordinaria y la justicia indígena. En general, ambas corporaciones coinciden en la existencia de al menos cuatro elementos o factores que configuran la jurisdicción especial indígena</w:t>
      </w:r>
      <w:r w:rsidRPr="00BE4E66">
        <w:rPr>
          <w:rFonts w:eastAsia="Calibri"/>
          <w:iCs/>
          <w:color w:val="000000"/>
          <w:sz w:val="24"/>
          <w:szCs w:val="24"/>
          <w:shd w:val="clear" w:color="auto" w:fill="FFFFFF"/>
          <w:vertAlign w:val="superscript"/>
          <w:lang w:val="es-CO"/>
        </w:rPr>
        <w:footnoteReference w:id="27"/>
      </w:r>
      <w:r w:rsidRPr="00BE4E66">
        <w:rPr>
          <w:rFonts w:eastAsia="Calibri"/>
          <w:iCs/>
          <w:color w:val="000000"/>
          <w:sz w:val="24"/>
          <w:szCs w:val="24"/>
          <w:shd w:val="clear" w:color="auto" w:fill="FFFFFF"/>
          <w:lang w:val="es-CO"/>
        </w:rPr>
        <w:t>: personal, territorial, objetivo e institucional.</w:t>
      </w:r>
    </w:p>
    <w:p w:rsidR="00CF2E11" w:rsidRPr="00BE4E66" w:rsidRDefault="00CF2E11" w:rsidP="00CF2E11">
      <w:pPr>
        <w:rPr>
          <w:rFonts w:eastAsia="Calibri"/>
          <w:iCs/>
          <w:color w:val="000000"/>
          <w:sz w:val="24"/>
          <w:szCs w:val="24"/>
          <w:shd w:val="clear" w:color="auto" w:fill="FFFFFF"/>
          <w:lang w:val="es-CO"/>
        </w:rPr>
      </w:pPr>
    </w:p>
    <w:p w:rsidR="00CF2E11" w:rsidRPr="00BE4E66" w:rsidRDefault="00CF2E11" w:rsidP="00CF2E11">
      <w:pPr>
        <w:spacing w:line="360" w:lineRule="auto"/>
        <w:rPr>
          <w:rFonts w:eastAsia="Calibri"/>
          <w:iCs/>
          <w:color w:val="000000"/>
          <w:sz w:val="24"/>
          <w:szCs w:val="24"/>
          <w:shd w:val="clear" w:color="auto" w:fill="FFFFFF"/>
          <w:lang w:val="es-CO"/>
        </w:rPr>
      </w:pPr>
      <w:r w:rsidRPr="00BE4E66">
        <w:rPr>
          <w:rFonts w:eastAsia="Calibri"/>
          <w:iCs/>
          <w:color w:val="000000"/>
          <w:sz w:val="24"/>
          <w:szCs w:val="24"/>
          <w:shd w:val="clear" w:color="auto" w:fill="FFFFFF"/>
          <w:lang w:val="es-CO"/>
        </w:rPr>
        <w:t>El primero de ellos alude a la pertenencia del sujeto sindicado a una comunidad indígena y las repercusiones individuales y sociales que de ello se derivan (p. ej., su identidad étnica y consecuente falta de comprensión de la ilicitud de la conducta castigada por el derecho penal nacional</w:t>
      </w:r>
      <w:r w:rsidRPr="00BE4E66">
        <w:rPr>
          <w:rFonts w:eastAsia="Calibri"/>
          <w:iCs/>
          <w:color w:val="000000"/>
          <w:sz w:val="24"/>
          <w:szCs w:val="24"/>
          <w:shd w:val="clear" w:color="auto" w:fill="FFFFFF"/>
          <w:vertAlign w:val="superscript"/>
          <w:lang w:val="es-CO"/>
        </w:rPr>
        <w:footnoteReference w:id="28"/>
      </w:r>
      <w:r w:rsidRPr="00BE4E66">
        <w:rPr>
          <w:rFonts w:eastAsia="Calibri"/>
          <w:iCs/>
          <w:color w:val="000000"/>
          <w:sz w:val="24"/>
          <w:szCs w:val="24"/>
          <w:shd w:val="clear" w:color="auto" w:fill="FFFFFF"/>
          <w:lang w:val="es-CO"/>
        </w:rPr>
        <w:t>). El segundo elemento se refiere a la ocurrencia de los hechos dentro del “ámbito territorial” de la comunidad indígena, el cual no necesariamente coincide con el espacio geográfico del respectivo cabildo o resguardo</w:t>
      </w:r>
      <w:r w:rsidRPr="00BE4E66">
        <w:rPr>
          <w:rFonts w:eastAsia="Calibri"/>
          <w:iCs/>
          <w:color w:val="000000"/>
          <w:sz w:val="24"/>
          <w:szCs w:val="24"/>
          <w:shd w:val="clear" w:color="auto" w:fill="FFFFFF"/>
          <w:vertAlign w:val="superscript"/>
          <w:lang w:val="es-CO"/>
        </w:rPr>
        <w:footnoteReference w:id="29"/>
      </w:r>
      <w:r w:rsidRPr="00BE4E66">
        <w:rPr>
          <w:rFonts w:eastAsia="Calibri"/>
          <w:iCs/>
          <w:color w:val="000000"/>
          <w:sz w:val="24"/>
          <w:szCs w:val="24"/>
          <w:shd w:val="clear" w:color="auto" w:fill="FFFFFF"/>
          <w:lang w:val="es-CO"/>
        </w:rPr>
        <w:t xml:space="preserve">. </w:t>
      </w:r>
    </w:p>
    <w:p w:rsidR="00CF2E11" w:rsidRPr="00BE4E66" w:rsidRDefault="00CF2E11" w:rsidP="00CF2E11">
      <w:pPr>
        <w:rPr>
          <w:rFonts w:eastAsia="Calibri"/>
          <w:iCs/>
          <w:color w:val="000000"/>
          <w:sz w:val="24"/>
          <w:szCs w:val="24"/>
          <w:shd w:val="clear" w:color="auto" w:fill="FFFFFF"/>
          <w:lang w:val="es-CO"/>
        </w:rPr>
      </w:pPr>
    </w:p>
    <w:p w:rsidR="00CF2E11" w:rsidRPr="00BE4E66" w:rsidRDefault="00CF2E11" w:rsidP="00CF2E11">
      <w:pPr>
        <w:spacing w:line="360" w:lineRule="auto"/>
        <w:rPr>
          <w:rFonts w:eastAsia="Calibri"/>
          <w:sz w:val="24"/>
          <w:szCs w:val="24"/>
          <w:lang w:eastAsia="es-ES"/>
        </w:rPr>
      </w:pPr>
      <w:r w:rsidRPr="00BE4E66">
        <w:rPr>
          <w:rFonts w:eastAsia="Calibri"/>
          <w:iCs/>
          <w:color w:val="000000"/>
          <w:sz w:val="24"/>
          <w:szCs w:val="24"/>
          <w:shd w:val="clear" w:color="auto" w:fill="FFFFFF"/>
          <w:lang w:val="es-CO"/>
        </w:rPr>
        <w:t xml:space="preserve">El tercer elemento, a su vez, aborda el tipo de bien jurídico lesionado en el caso concreto, es decir, si se trata de un interés exclusivo ya sea para la comunidad indígena o para la llamada “sociedad mayoritaria”, o si en ambas es apreciado como un valor digno de protección. La regla prevista alrededor de este elemento puede sintetizarse en la siguiente máxima: </w:t>
      </w:r>
      <w:r w:rsidRPr="00BE4E66">
        <w:rPr>
          <w:rFonts w:eastAsia="Calibri"/>
          <w:i/>
          <w:iCs/>
          <w:color w:val="000000"/>
          <w:sz w:val="24"/>
          <w:szCs w:val="24"/>
          <w:shd w:val="clear" w:color="auto" w:fill="FFFFFF"/>
          <w:lang w:val="es-CO"/>
        </w:rPr>
        <w:t>a mayor impacto social y consenso intercultural alrededor de la gravedad de la conducta delictiva, menor probabilidad de delegarse su investigación y castigo en la justicia tradicional indígena</w:t>
      </w:r>
      <w:r w:rsidRPr="00BE4E66">
        <w:rPr>
          <w:rFonts w:eastAsia="Calibri"/>
          <w:iCs/>
          <w:color w:val="000000"/>
          <w:sz w:val="24"/>
          <w:szCs w:val="24"/>
          <w:shd w:val="clear" w:color="auto" w:fill="FFFFFF"/>
          <w:vertAlign w:val="superscript"/>
          <w:lang w:val="es-CO"/>
        </w:rPr>
        <w:footnoteReference w:id="30"/>
      </w:r>
      <w:r w:rsidRPr="00BE4E66">
        <w:rPr>
          <w:rFonts w:eastAsia="Calibri"/>
          <w:iCs/>
          <w:color w:val="000000"/>
          <w:sz w:val="24"/>
          <w:szCs w:val="24"/>
          <w:shd w:val="clear" w:color="auto" w:fill="FFFFFF"/>
          <w:lang w:val="es-CO"/>
        </w:rPr>
        <w:t xml:space="preserve">. </w:t>
      </w:r>
    </w:p>
    <w:p w:rsidR="00CF2E11" w:rsidRPr="00BE4E66" w:rsidRDefault="00CF2E11" w:rsidP="00CF2E11">
      <w:pPr>
        <w:spacing w:line="360" w:lineRule="auto"/>
        <w:rPr>
          <w:iCs/>
          <w:color w:val="000000"/>
          <w:sz w:val="24"/>
          <w:szCs w:val="24"/>
          <w:shd w:val="clear" w:color="auto" w:fill="FFFFFF"/>
          <w:lang w:val="es-CO"/>
        </w:rPr>
      </w:pPr>
    </w:p>
    <w:p w:rsidR="00CF2E11" w:rsidRPr="00BE4E66" w:rsidRDefault="00CF2E11" w:rsidP="00CF2E11">
      <w:pPr>
        <w:spacing w:line="360" w:lineRule="auto"/>
        <w:rPr>
          <w:iCs/>
          <w:color w:val="000000"/>
          <w:sz w:val="24"/>
          <w:szCs w:val="24"/>
          <w:shd w:val="clear" w:color="auto" w:fill="FFFFFF"/>
          <w:lang w:val="es-CO"/>
        </w:rPr>
      </w:pPr>
      <w:r w:rsidRPr="00BE4E66">
        <w:rPr>
          <w:iCs/>
          <w:color w:val="000000"/>
          <w:sz w:val="24"/>
          <w:szCs w:val="24"/>
          <w:shd w:val="clear" w:color="auto" w:fill="FFFFFF"/>
          <w:lang w:val="es-CO"/>
        </w:rPr>
        <w:t xml:space="preserve">Por último, el aspecto institucional busca dotar de mayor autonomía a las comunidades ancestrales que: (i) ostenten altos grados formalización en sus instituciones judiciales, (ii) demuestren razonable nivel de coerción sobre sus integrantes, (iii) respeten el debido proceso y el principio de legalidad, o de “previsibilidad”, de los delitos y las penas; y (iv) garanticen los derechos de las víctimas. </w:t>
      </w:r>
    </w:p>
    <w:p w:rsidR="00CF2E11" w:rsidRPr="00BE4E66" w:rsidRDefault="00CF2E11" w:rsidP="00CF2E11">
      <w:pPr>
        <w:spacing w:line="360" w:lineRule="auto"/>
        <w:rPr>
          <w:iCs/>
          <w:color w:val="000000"/>
          <w:sz w:val="24"/>
          <w:szCs w:val="24"/>
          <w:shd w:val="clear" w:color="auto" w:fill="FFFFFF"/>
          <w:lang w:val="es-CO"/>
        </w:rPr>
      </w:pPr>
    </w:p>
    <w:p w:rsidR="00CF2E11" w:rsidRPr="00BE4E66" w:rsidRDefault="00CF2E11" w:rsidP="00CF2E11">
      <w:pPr>
        <w:spacing w:line="360" w:lineRule="auto"/>
        <w:rPr>
          <w:iCs/>
          <w:color w:val="000000"/>
          <w:sz w:val="24"/>
          <w:szCs w:val="24"/>
          <w:shd w:val="clear" w:color="auto" w:fill="FFFFFF"/>
          <w:lang w:val="es-CO"/>
        </w:rPr>
      </w:pPr>
      <w:r w:rsidRPr="00BE4E66">
        <w:rPr>
          <w:iCs/>
          <w:color w:val="000000"/>
          <w:sz w:val="24"/>
          <w:szCs w:val="24"/>
          <w:shd w:val="clear" w:color="auto" w:fill="FFFFFF"/>
          <w:lang w:val="es-CO"/>
        </w:rPr>
        <w:t xml:space="preserve">En aplicación de estos criterios, la Corte Constitucional ha descartado la aplicación de la justicia indígena en algunos casos, cuando observa que puede desconocer </w:t>
      </w:r>
      <w:r w:rsidRPr="00BE4E66">
        <w:rPr>
          <w:sz w:val="24"/>
          <w:szCs w:val="28"/>
          <w:lang w:val="es-CO"/>
        </w:rPr>
        <w:t xml:space="preserve">mínimos de convivencia necesarios en la sociedad, cuya protección es prevalente a </w:t>
      </w:r>
      <w:r w:rsidRPr="00BE4E66">
        <w:rPr>
          <w:iCs/>
          <w:color w:val="000000"/>
          <w:sz w:val="24"/>
          <w:szCs w:val="24"/>
          <w:shd w:val="clear" w:color="auto" w:fill="FFFFFF"/>
          <w:lang w:val="es-CO"/>
        </w:rPr>
        <w:t xml:space="preserve">la garantía de autogobierno reconocida a los pueblos indígenas, o al observar que el </w:t>
      </w:r>
      <w:r w:rsidRPr="00BE4E66">
        <w:rPr>
          <w:rFonts w:eastAsia="Calibri"/>
          <w:iCs/>
          <w:color w:val="000000"/>
          <w:sz w:val="24"/>
          <w:szCs w:val="24"/>
          <w:shd w:val="clear" w:color="auto" w:fill="FFFFFF"/>
          <w:lang w:val="es-CO"/>
        </w:rPr>
        <w:t xml:space="preserve">bien jurídico lesionado en el caso concreto reviste la mayor importancia social. </w:t>
      </w:r>
    </w:p>
    <w:p w:rsidR="00CF2E11" w:rsidRPr="00BE4E66" w:rsidRDefault="00CF2E11" w:rsidP="00CF2E11">
      <w:pPr>
        <w:spacing w:line="360" w:lineRule="auto"/>
        <w:rPr>
          <w:iCs/>
          <w:color w:val="000000"/>
          <w:sz w:val="24"/>
          <w:szCs w:val="24"/>
          <w:shd w:val="clear" w:color="auto" w:fill="FFFFFF"/>
          <w:lang w:val="es-CO"/>
        </w:rPr>
      </w:pPr>
    </w:p>
    <w:p w:rsidR="00CF2E11" w:rsidRPr="00BE4E66" w:rsidRDefault="00CF2E11" w:rsidP="00CF2E11">
      <w:pPr>
        <w:spacing w:line="360" w:lineRule="auto"/>
        <w:rPr>
          <w:iCs/>
          <w:color w:val="000000"/>
          <w:sz w:val="24"/>
          <w:szCs w:val="24"/>
          <w:shd w:val="clear" w:color="auto" w:fill="FFFFFF"/>
          <w:lang w:val="es-CO"/>
        </w:rPr>
      </w:pPr>
      <w:r w:rsidRPr="00BE4E66">
        <w:rPr>
          <w:iCs/>
          <w:color w:val="000000"/>
          <w:sz w:val="24"/>
          <w:szCs w:val="24"/>
          <w:shd w:val="clear" w:color="auto" w:fill="FFFFFF"/>
          <w:lang w:val="es-CO"/>
        </w:rPr>
        <w:t xml:space="preserve">Por ejemplo, en la sentencia T-254 de 1994, con ocasión del análisis de un caso en el cual un indígena había sido condenado por las autoridades del cabildo El Tambo (Coyaima - Tolima) a la expulsión de su comunidad, la Corte advirtió que la protección a la diversidad cultural y a sus manifestaciones jurisdiccionales solo tiene cabida en el ámbito de lo permitido o lo lícito a la luz del texto constitucional. Con ello se busca asegurar un principio de </w:t>
      </w:r>
      <w:r w:rsidRPr="00BE4E66">
        <w:rPr>
          <w:i/>
          <w:iCs/>
          <w:color w:val="000000"/>
          <w:sz w:val="24"/>
          <w:szCs w:val="24"/>
          <w:shd w:val="clear" w:color="auto" w:fill="FFFFFF"/>
          <w:lang w:val="es-CO"/>
        </w:rPr>
        <w:t>coherencia</w:t>
      </w:r>
      <w:r w:rsidRPr="00BE4E66">
        <w:rPr>
          <w:iCs/>
          <w:color w:val="000000"/>
          <w:sz w:val="24"/>
          <w:szCs w:val="24"/>
          <w:shd w:val="clear" w:color="auto" w:fill="FFFFFF"/>
          <w:lang w:val="es-CO"/>
        </w:rPr>
        <w:t xml:space="preserve"> entre los sistemas jurídicos locales y las normas de la República. En palabras de la Corte: </w:t>
      </w:r>
    </w:p>
    <w:p w:rsidR="00CF2E11" w:rsidRPr="00BE4E66" w:rsidRDefault="00CF2E11" w:rsidP="00CF2E11">
      <w:pPr>
        <w:rPr>
          <w:iCs/>
          <w:color w:val="000000"/>
          <w:sz w:val="24"/>
          <w:szCs w:val="24"/>
          <w:shd w:val="clear" w:color="auto" w:fill="FFFFFF"/>
          <w:lang w:val="es-CO"/>
        </w:rPr>
      </w:pPr>
    </w:p>
    <w:p w:rsidR="00CF2E11" w:rsidRPr="00BE4E66" w:rsidRDefault="00CF2E11" w:rsidP="00CF2E11">
      <w:pPr>
        <w:ind w:left="720"/>
        <w:rPr>
          <w:iCs/>
          <w:color w:val="000000"/>
          <w:sz w:val="24"/>
          <w:szCs w:val="24"/>
          <w:shd w:val="clear" w:color="auto" w:fill="FFFFFF"/>
          <w:lang w:val="es-CO"/>
        </w:rPr>
      </w:pPr>
      <w:r w:rsidRPr="00BE4E66">
        <w:rPr>
          <w:iCs/>
          <w:color w:val="000000"/>
          <w:sz w:val="24"/>
          <w:szCs w:val="24"/>
          <w:shd w:val="clear" w:color="auto" w:fill="FFFFFF"/>
          <w:lang w:val="es-CO"/>
        </w:rPr>
        <w:t>“La autonomía política y jurídica reconocida a las comunidades indígenas por el constituyente, por su parte, debe ejercerse dentro de los estrictos parámetros señalados por el mismo texto constitucional: </w:t>
      </w:r>
      <w:r w:rsidRPr="00BE4E66">
        <w:rPr>
          <w:b/>
          <w:bCs/>
          <w:iCs/>
          <w:color w:val="000000"/>
          <w:sz w:val="24"/>
          <w:szCs w:val="24"/>
          <w:shd w:val="clear" w:color="auto" w:fill="FFFFFF"/>
          <w:lang w:val="es-CO"/>
        </w:rPr>
        <w:t>de conformidad con sus usos y costumbres, siempre y cuando no sean contrarios a la Constitución y a la ley</w:t>
      </w:r>
      <w:r w:rsidRPr="00BE4E66">
        <w:rPr>
          <w:iCs/>
          <w:color w:val="000000"/>
          <w:sz w:val="24"/>
          <w:szCs w:val="24"/>
          <w:shd w:val="clear" w:color="auto" w:fill="FFFFFF"/>
          <w:lang w:val="es-CO"/>
        </w:rPr>
        <w:t xml:space="preserve"> (CP arts. 246, 330) de forma que se asegure la unidad nacional” (negrilla del original). </w:t>
      </w:r>
    </w:p>
    <w:p w:rsidR="00CF2E11" w:rsidRPr="00BE4E66" w:rsidRDefault="00CF2E11" w:rsidP="00CF2E11">
      <w:pPr>
        <w:rPr>
          <w:iCs/>
          <w:color w:val="000000"/>
          <w:sz w:val="24"/>
          <w:szCs w:val="24"/>
          <w:shd w:val="clear" w:color="auto" w:fill="FFFFFF"/>
          <w:lang w:val="es-CO"/>
        </w:rPr>
      </w:pPr>
    </w:p>
    <w:p w:rsidR="00CF2E11" w:rsidRPr="00BE4E66" w:rsidRDefault="00CF2E11" w:rsidP="00CF2E11">
      <w:pPr>
        <w:spacing w:line="360" w:lineRule="auto"/>
        <w:rPr>
          <w:iCs/>
          <w:color w:val="000000"/>
          <w:sz w:val="24"/>
          <w:szCs w:val="24"/>
          <w:shd w:val="clear" w:color="auto" w:fill="FFFFFF"/>
          <w:lang w:val="es-CO"/>
        </w:rPr>
      </w:pPr>
      <w:r w:rsidRPr="00BE4E66">
        <w:rPr>
          <w:iCs/>
          <w:color w:val="000000"/>
          <w:sz w:val="24"/>
          <w:szCs w:val="24"/>
          <w:shd w:val="clear" w:color="auto" w:fill="FFFFFF"/>
          <w:lang w:val="es-CO"/>
        </w:rPr>
        <w:t xml:space="preserve">De lo anterior se colige el carácter </w:t>
      </w:r>
      <w:r w:rsidRPr="00BE4E66">
        <w:rPr>
          <w:i/>
          <w:iCs/>
          <w:color w:val="000000"/>
          <w:sz w:val="24"/>
          <w:szCs w:val="24"/>
          <w:shd w:val="clear" w:color="auto" w:fill="FFFFFF"/>
          <w:lang w:val="es-CO"/>
        </w:rPr>
        <w:t>restrictivo</w:t>
      </w:r>
      <w:r w:rsidRPr="00BE4E66">
        <w:rPr>
          <w:iCs/>
          <w:color w:val="000000"/>
          <w:sz w:val="24"/>
          <w:szCs w:val="24"/>
          <w:shd w:val="clear" w:color="auto" w:fill="FFFFFF"/>
          <w:lang w:val="es-CO"/>
        </w:rPr>
        <w:t xml:space="preserve"> de la interpretación que debe dársele a la jurisdicción indígena. Según la Corte, la autonomía jurídica deberá ejercerse “</w:t>
      </w:r>
      <w:r w:rsidRPr="00BE4E66">
        <w:rPr>
          <w:i/>
          <w:iCs/>
          <w:color w:val="000000"/>
          <w:sz w:val="24"/>
          <w:szCs w:val="24"/>
          <w:shd w:val="clear" w:color="auto" w:fill="FFFFFF"/>
          <w:lang w:val="es-CO"/>
        </w:rPr>
        <w:t>dentro de los estrictos parámetros del texto constitucional</w:t>
      </w:r>
      <w:r w:rsidRPr="00BE4E66">
        <w:rPr>
          <w:iCs/>
          <w:color w:val="000000"/>
          <w:sz w:val="24"/>
          <w:szCs w:val="24"/>
          <w:shd w:val="clear" w:color="auto" w:fill="FFFFFF"/>
          <w:lang w:val="es-CO"/>
        </w:rPr>
        <w:t xml:space="preserve">” de lo cual se infiere su carácter </w:t>
      </w:r>
      <w:r w:rsidRPr="00BE4E66">
        <w:rPr>
          <w:i/>
          <w:iCs/>
          <w:color w:val="000000"/>
          <w:sz w:val="24"/>
          <w:szCs w:val="24"/>
          <w:shd w:val="clear" w:color="auto" w:fill="FFFFFF"/>
          <w:lang w:val="es-CO"/>
        </w:rPr>
        <w:t>excepcional</w:t>
      </w:r>
      <w:r w:rsidRPr="00BE4E66">
        <w:rPr>
          <w:iCs/>
          <w:color w:val="000000"/>
          <w:sz w:val="24"/>
          <w:szCs w:val="24"/>
          <w:shd w:val="clear" w:color="auto" w:fill="FFFFFF"/>
          <w:vertAlign w:val="superscript"/>
          <w:lang w:val="es-CO"/>
        </w:rPr>
        <w:footnoteReference w:id="31"/>
      </w:r>
      <w:r w:rsidRPr="00BE4E66">
        <w:rPr>
          <w:iCs/>
          <w:color w:val="000000"/>
          <w:sz w:val="24"/>
          <w:szCs w:val="24"/>
          <w:shd w:val="clear" w:color="auto" w:fill="FFFFFF"/>
          <w:lang w:val="es-CO"/>
        </w:rPr>
        <w:t xml:space="preserve"> y el deber de armonizar sus alcances con los demás mandatos superiores. </w:t>
      </w:r>
    </w:p>
    <w:p w:rsidR="00CF2E11" w:rsidRPr="00BE4E66" w:rsidRDefault="00CF2E11" w:rsidP="00CF2E11">
      <w:pPr>
        <w:rPr>
          <w:iCs/>
          <w:color w:val="000000"/>
          <w:sz w:val="24"/>
          <w:szCs w:val="24"/>
          <w:shd w:val="clear" w:color="auto" w:fill="FFFFFF"/>
          <w:lang w:val="es-CO"/>
        </w:rPr>
      </w:pPr>
    </w:p>
    <w:p w:rsidR="00CF2E11" w:rsidRPr="00BE4E66" w:rsidRDefault="00CF2E11" w:rsidP="00CF2E11">
      <w:pPr>
        <w:spacing w:line="360" w:lineRule="auto"/>
        <w:rPr>
          <w:iCs/>
          <w:color w:val="000000"/>
          <w:sz w:val="24"/>
          <w:szCs w:val="24"/>
          <w:shd w:val="clear" w:color="auto" w:fill="FFFFFF"/>
          <w:lang w:val="es-CO"/>
        </w:rPr>
      </w:pPr>
      <w:r w:rsidRPr="00BE4E66">
        <w:rPr>
          <w:iCs/>
          <w:color w:val="000000"/>
          <w:sz w:val="24"/>
          <w:szCs w:val="24"/>
          <w:shd w:val="clear" w:color="auto" w:fill="FFFFFF"/>
          <w:lang w:val="es-CO"/>
        </w:rPr>
        <w:t>Adicionalmente, aquel Alto Tribunal estableció algunos parámetros útiles para resolver los conflictos entre la justicia ordinaria y la indígena, a saber:</w:t>
      </w:r>
    </w:p>
    <w:p w:rsidR="00CF2E11" w:rsidRPr="00BE4E66" w:rsidRDefault="00CF2E11" w:rsidP="00CF2E11">
      <w:pPr>
        <w:rPr>
          <w:iCs/>
          <w:color w:val="000000"/>
          <w:sz w:val="24"/>
          <w:szCs w:val="24"/>
          <w:shd w:val="clear" w:color="auto" w:fill="FFFFFF"/>
          <w:lang w:val="es-CO"/>
        </w:rPr>
      </w:pPr>
    </w:p>
    <w:p w:rsidR="00CF2E11" w:rsidRPr="00BE4E66" w:rsidRDefault="00CF2E11" w:rsidP="00CF2E11">
      <w:pPr>
        <w:spacing w:line="360" w:lineRule="auto"/>
        <w:ind w:left="708"/>
        <w:rPr>
          <w:iCs/>
          <w:color w:val="000000"/>
          <w:sz w:val="24"/>
          <w:szCs w:val="24"/>
          <w:shd w:val="clear" w:color="auto" w:fill="FFFFFF"/>
          <w:lang w:val="es-CO"/>
        </w:rPr>
      </w:pPr>
      <w:r w:rsidRPr="00BE4E66">
        <w:rPr>
          <w:i/>
          <w:iCs/>
          <w:color w:val="000000"/>
          <w:sz w:val="24"/>
          <w:szCs w:val="24"/>
          <w:shd w:val="clear" w:color="auto" w:fill="FFFFFF"/>
          <w:lang w:val="es-CO"/>
        </w:rPr>
        <w:t>i)</w:t>
      </w:r>
      <w:r w:rsidRPr="00BE4E66">
        <w:rPr>
          <w:iCs/>
          <w:color w:val="000000"/>
          <w:sz w:val="24"/>
          <w:szCs w:val="24"/>
          <w:shd w:val="clear" w:color="auto" w:fill="FFFFFF"/>
          <w:lang w:val="es-CO"/>
        </w:rPr>
        <w:t xml:space="preserve"> La comunidad indígena deberá gozar de mayor autonomía para juzgar a sus integrantes si exhibe un alto grado de conservación de sus usos y costumbres ancestrales.</w:t>
      </w:r>
    </w:p>
    <w:p w:rsidR="00CF2E11" w:rsidRPr="00BE4E66" w:rsidRDefault="00CF2E11" w:rsidP="00CF2E11">
      <w:pPr>
        <w:spacing w:line="360" w:lineRule="auto"/>
        <w:rPr>
          <w:iCs/>
          <w:color w:val="000000"/>
          <w:sz w:val="24"/>
          <w:szCs w:val="24"/>
          <w:shd w:val="clear" w:color="auto" w:fill="FFFFFF"/>
          <w:lang w:val="es-CO"/>
        </w:rPr>
      </w:pPr>
      <w:r w:rsidRPr="00BE4E66">
        <w:rPr>
          <w:iCs/>
          <w:color w:val="000000"/>
          <w:sz w:val="24"/>
          <w:szCs w:val="24"/>
          <w:shd w:val="clear" w:color="auto" w:fill="FFFFFF"/>
          <w:lang w:val="es-CO"/>
        </w:rPr>
        <w:t xml:space="preserve"> </w:t>
      </w:r>
    </w:p>
    <w:p w:rsidR="00CF2E11" w:rsidRDefault="00CF2E11" w:rsidP="00CF2E11">
      <w:pPr>
        <w:spacing w:line="360" w:lineRule="auto"/>
        <w:ind w:left="708"/>
        <w:rPr>
          <w:iCs/>
          <w:color w:val="000000"/>
          <w:sz w:val="24"/>
          <w:szCs w:val="24"/>
          <w:shd w:val="clear" w:color="auto" w:fill="FFFFFF"/>
          <w:lang w:val="es-CO"/>
        </w:rPr>
      </w:pPr>
      <w:r w:rsidRPr="00BE4E66">
        <w:rPr>
          <w:i/>
          <w:iCs/>
          <w:color w:val="000000"/>
          <w:sz w:val="24"/>
          <w:szCs w:val="24"/>
          <w:shd w:val="clear" w:color="auto" w:fill="FFFFFF"/>
          <w:lang w:val="es-CO"/>
        </w:rPr>
        <w:t>ii)</w:t>
      </w:r>
      <w:r w:rsidRPr="00BE4E66">
        <w:rPr>
          <w:iCs/>
          <w:color w:val="000000"/>
          <w:sz w:val="24"/>
          <w:szCs w:val="24"/>
          <w:shd w:val="clear" w:color="auto" w:fill="FFFFFF"/>
          <w:lang w:val="es-CO"/>
        </w:rPr>
        <w:t xml:space="preserve"> En ningún caso la aplicación de la jurisdicción indígena justifica violaciones a los derechos fundamentales. En palabras de la Corte, el sistema de derechos contenido en la norma superior constituye “un </w:t>
      </w:r>
      <w:r w:rsidRPr="00BE4E66">
        <w:rPr>
          <w:i/>
          <w:iCs/>
          <w:color w:val="000000"/>
          <w:sz w:val="24"/>
          <w:szCs w:val="24"/>
          <w:shd w:val="clear" w:color="auto" w:fill="FFFFFF"/>
          <w:lang w:val="es-CO"/>
        </w:rPr>
        <w:t>límite material</w:t>
      </w:r>
      <w:r w:rsidRPr="00BE4E66">
        <w:rPr>
          <w:iCs/>
          <w:color w:val="000000"/>
          <w:sz w:val="24"/>
          <w:szCs w:val="24"/>
          <w:shd w:val="clear" w:color="auto" w:fill="FFFFFF"/>
          <w:lang w:val="es-CO"/>
        </w:rPr>
        <w:t xml:space="preserve"> al principio de diversidad étnica y cultural y a los códigos de valores propios de las diversas comunidades indígenas que habitan el territorio nacional”</w:t>
      </w:r>
      <w:r w:rsidRPr="00BE4E66">
        <w:rPr>
          <w:iCs/>
          <w:color w:val="000000"/>
          <w:sz w:val="24"/>
          <w:szCs w:val="24"/>
          <w:shd w:val="clear" w:color="auto" w:fill="FFFFFF"/>
          <w:vertAlign w:val="superscript"/>
          <w:lang w:val="es-CO"/>
        </w:rPr>
        <w:footnoteReference w:id="32"/>
      </w:r>
      <w:r w:rsidRPr="00BE4E66">
        <w:rPr>
          <w:iCs/>
          <w:color w:val="000000"/>
          <w:sz w:val="24"/>
          <w:szCs w:val="24"/>
          <w:shd w:val="clear" w:color="auto" w:fill="FFFFFF"/>
          <w:lang w:val="es-CO"/>
        </w:rPr>
        <w:t xml:space="preserve">. </w:t>
      </w:r>
    </w:p>
    <w:p w:rsidR="00CF2E11" w:rsidRPr="00BE4E66" w:rsidRDefault="00CF2E11" w:rsidP="00CF2E11">
      <w:pPr>
        <w:spacing w:line="360" w:lineRule="auto"/>
        <w:ind w:left="708"/>
        <w:rPr>
          <w:iCs/>
          <w:color w:val="000000"/>
          <w:sz w:val="24"/>
          <w:szCs w:val="24"/>
          <w:shd w:val="clear" w:color="auto" w:fill="FFFFFF"/>
          <w:lang w:val="es-CO"/>
        </w:rPr>
      </w:pPr>
    </w:p>
    <w:p w:rsidR="00CF2E11" w:rsidRPr="00BE4E66" w:rsidRDefault="00CF2E11" w:rsidP="00CF2E11">
      <w:pPr>
        <w:spacing w:line="360" w:lineRule="auto"/>
        <w:ind w:left="708"/>
        <w:rPr>
          <w:iCs/>
          <w:color w:val="000000"/>
          <w:sz w:val="24"/>
          <w:szCs w:val="24"/>
          <w:shd w:val="clear" w:color="auto" w:fill="FFFFFF"/>
          <w:lang w:val="es-CO"/>
        </w:rPr>
      </w:pPr>
      <w:r w:rsidRPr="00BE4E66">
        <w:rPr>
          <w:i/>
          <w:iCs/>
          <w:color w:val="000000"/>
          <w:sz w:val="24"/>
          <w:szCs w:val="24"/>
          <w:shd w:val="clear" w:color="auto" w:fill="FFFFFF"/>
          <w:lang w:val="es-CO"/>
        </w:rPr>
        <w:t>iii)</w:t>
      </w:r>
      <w:r w:rsidRPr="00BE4E66">
        <w:rPr>
          <w:iCs/>
          <w:color w:val="000000"/>
          <w:sz w:val="24"/>
          <w:szCs w:val="24"/>
          <w:shd w:val="clear" w:color="auto" w:fill="FFFFFF"/>
          <w:lang w:val="es-CO"/>
        </w:rPr>
        <w:t xml:space="preserve"> El derecho de orden público prima sobre el derecho propio de las comunidades indígenas, “siempre y cuando [proteja] un valor constitucional superior al principio de diversidad étnica y cultural”</w:t>
      </w:r>
      <w:r w:rsidRPr="00BE4E66">
        <w:rPr>
          <w:iCs/>
          <w:color w:val="000000"/>
          <w:sz w:val="24"/>
          <w:szCs w:val="24"/>
          <w:shd w:val="clear" w:color="auto" w:fill="FFFFFF"/>
          <w:vertAlign w:val="superscript"/>
          <w:lang w:val="es-CO"/>
        </w:rPr>
        <w:footnoteReference w:id="33"/>
      </w:r>
      <w:r w:rsidRPr="00BE4E66">
        <w:rPr>
          <w:iCs/>
          <w:color w:val="000000"/>
          <w:sz w:val="24"/>
          <w:szCs w:val="24"/>
          <w:shd w:val="clear" w:color="auto" w:fill="FFFFFF"/>
          <w:lang w:val="es-CO"/>
        </w:rPr>
        <w:t>; y,</w:t>
      </w:r>
    </w:p>
    <w:p w:rsidR="00CF2E11" w:rsidRPr="00BE4E66" w:rsidRDefault="00CF2E11" w:rsidP="00CF2E11">
      <w:pPr>
        <w:rPr>
          <w:iCs/>
          <w:color w:val="000000"/>
          <w:sz w:val="24"/>
          <w:szCs w:val="24"/>
          <w:shd w:val="clear" w:color="auto" w:fill="FFFFFF"/>
          <w:lang w:val="es-CO"/>
        </w:rPr>
      </w:pPr>
    </w:p>
    <w:p w:rsidR="00CF2E11" w:rsidRPr="00BE4E66" w:rsidRDefault="00CF2E11" w:rsidP="00CF2E11">
      <w:pPr>
        <w:spacing w:line="360" w:lineRule="auto"/>
        <w:ind w:left="708"/>
        <w:rPr>
          <w:iCs/>
          <w:color w:val="000000"/>
          <w:sz w:val="24"/>
          <w:szCs w:val="24"/>
          <w:shd w:val="clear" w:color="auto" w:fill="FFFFFF"/>
          <w:lang w:val="es-CO"/>
        </w:rPr>
      </w:pPr>
      <w:r w:rsidRPr="00BE4E66">
        <w:rPr>
          <w:i/>
          <w:iCs/>
          <w:color w:val="000000"/>
          <w:sz w:val="24"/>
          <w:szCs w:val="24"/>
          <w:shd w:val="clear" w:color="auto" w:fill="FFFFFF"/>
          <w:lang w:val="es-CO"/>
        </w:rPr>
        <w:t>iv)</w:t>
      </w:r>
      <w:r w:rsidRPr="00BE4E66">
        <w:rPr>
          <w:iCs/>
          <w:color w:val="000000"/>
          <w:sz w:val="24"/>
          <w:szCs w:val="24"/>
          <w:shd w:val="clear" w:color="auto" w:fill="FFFFFF"/>
          <w:lang w:val="es-CO"/>
        </w:rPr>
        <w:t xml:space="preserve"> El derecho indígena prevalece sobre las normas con naturaleza dispositiva del ordenamiento jurídico nacional (p. ej., las regulaciones comerciales privadas). </w:t>
      </w:r>
    </w:p>
    <w:p w:rsidR="00CF2E11" w:rsidRPr="00BE4E66" w:rsidRDefault="00CF2E11" w:rsidP="00CF2E11">
      <w:pPr>
        <w:jc w:val="left"/>
        <w:rPr>
          <w:iCs/>
          <w:color w:val="000000"/>
          <w:sz w:val="24"/>
          <w:szCs w:val="24"/>
          <w:shd w:val="clear" w:color="auto" w:fill="FFFFFF"/>
          <w:lang w:val="es-CO"/>
        </w:rPr>
      </w:pPr>
    </w:p>
    <w:p w:rsidR="00CF2E11" w:rsidRPr="00BE4E66" w:rsidRDefault="00CF2E11" w:rsidP="00CF2E11">
      <w:pPr>
        <w:spacing w:line="360" w:lineRule="auto"/>
        <w:rPr>
          <w:iCs/>
          <w:color w:val="000000"/>
          <w:sz w:val="24"/>
          <w:szCs w:val="24"/>
          <w:shd w:val="clear" w:color="auto" w:fill="FFFFFF"/>
          <w:lang w:val="es-CO"/>
        </w:rPr>
      </w:pPr>
      <w:r w:rsidRPr="00BE4E66">
        <w:rPr>
          <w:iCs/>
          <w:color w:val="000000"/>
          <w:sz w:val="24"/>
          <w:szCs w:val="24"/>
          <w:shd w:val="clear" w:color="auto" w:fill="FFFFFF"/>
          <w:lang w:val="es-CO"/>
        </w:rPr>
        <w:t xml:space="preserve">Así las cosas, existen límites materiales para la actuación de la justicia indígena, como el derecho de orden público y los derechos fundamentales, y necesario restringir su campo de acción cuando repercute negativamente en valores, principios y derechos de estirpe superior al respeto por la diversidad cultural. </w:t>
      </w:r>
    </w:p>
    <w:p w:rsidR="00CF2E11" w:rsidRPr="00BE4E66" w:rsidRDefault="00CF2E11" w:rsidP="00CF2E11">
      <w:pPr>
        <w:rPr>
          <w:iCs/>
          <w:color w:val="000000"/>
          <w:sz w:val="24"/>
          <w:szCs w:val="24"/>
          <w:shd w:val="clear" w:color="auto" w:fill="FFFFFF"/>
          <w:lang w:val="es-CO"/>
        </w:rPr>
      </w:pPr>
    </w:p>
    <w:p w:rsidR="00CF2E11" w:rsidRPr="00BE4E66" w:rsidRDefault="00CF2E11" w:rsidP="00CF2E11">
      <w:pPr>
        <w:spacing w:line="360" w:lineRule="auto"/>
        <w:rPr>
          <w:iCs/>
          <w:color w:val="000000"/>
          <w:sz w:val="24"/>
          <w:szCs w:val="24"/>
          <w:shd w:val="clear" w:color="auto" w:fill="FFFFFF"/>
          <w:lang w:val="es-CO"/>
        </w:rPr>
      </w:pPr>
      <w:r w:rsidRPr="00BE4E66">
        <w:rPr>
          <w:iCs/>
          <w:color w:val="000000"/>
          <w:sz w:val="24"/>
          <w:szCs w:val="24"/>
          <w:shd w:val="clear" w:color="auto" w:fill="FFFFFF"/>
          <w:lang w:val="es-CO"/>
        </w:rPr>
        <w:t>Por ejemplo, en la misma providencia T-254 de 1994 la Corte Constitucional dejó sin efectos la pena de destierro impuesta al indígena demandante por las autoridades de su cabildo, al encontrar que desconocía ostensiblemente la prohibición del artículo 34 superior. De igual forma, en la sentencia T-349 de 1996 revocó un castigo de prisión impuesto por la Asamblea General de Cabildos de la Región Embera-Chamí tras declarar que representó un “</w:t>
      </w:r>
      <w:r w:rsidRPr="00BE4E66">
        <w:rPr>
          <w:i/>
          <w:iCs/>
          <w:color w:val="000000"/>
          <w:sz w:val="24"/>
          <w:szCs w:val="24"/>
          <w:shd w:val="clear" w:color="auto" w:fill="FFFFFF"/>
          <w:lang w:val="es-CO"/>
        </w:rPr>
        <w:t>exceso en el ejercicio de las facultades jurisdiccionales</w:t>
      </w:r>
      <w:r w:rsidRPr="00BE4E66">
        <w:rPr>
          <w:iCs/>
          <w:color w:val="000000"/>
          <w:sz w:val="24"/>
          <w:szCs w:val="24"/>
          <w:shd w:val="clear" w:color="auto" w:fill="FFFFFF"/>
          <w:lang w:val="es-CO"/>
        </w:rPr>
        <w:t xml:space="preserve">” de las comunidades indígenas, pues se adoptó en abierta contradicción del derecho fundamental a un debido proceso (artículo 29 de la Constitución). </w:t>
      </w:r>
    </w:p>
    <w:p w:rsidR="00CF2E11" w:rsidRPr="00BE4E66" w:rsidRDefault="00CF2E11" w:rsidP="00CF2E11">
      <w:pPr>
        <w:rPr>
          <w:iCs/>
          <w:color w:val="000000"/>
          <w:sz w:val="24"/>
          <w:szCs w:val="24"/>
          <w:shd w:val="clear" w:color="auto" w:fill="FFFFFF"/>
          <w:lang w:val="es-CO"/>
        </w:rPr>
      </w:pPr>
    </w:p>
    <w:p w:rsidR="00CF2E11" w:rsidRPr="00BE4E66" w:rsidRDefault="00CF2E11" w:rsidP="00CF2E11">
      <w:pPr>
        <w:spacing w:line="360" w:lineRule="auto"/>
        <w:rPr>
          <w:iCs/>
          <w:color w:val="000000"/>
          <w:sz w:val="24"/>
          <w:szCs w:val="24"/>
          <w:shd w:val="clear" w:color="auto" w:fill="FFFFFF"/>
          <w:lang w:val="es-CO"/>
        </w:rPr>
      </w:pPr>
      <w:r w:rsidRPr="00BE4E66">
        <w:rPr>
          <w:iCs/>
          <w:color w:val="000000"/>
          <w:sz w:val="24"/>
          <w:szCs w:val="24"/>
          <w:shd w:val="clear" w:color="auto" w:fill="FFFFFF"/>
          <w:lang w:val="es-CO"/>
        </w:rPr>
        <w:t xml:space="preserve">Posteriormente, en la sentencia T-811 de 2004 anuló una sanción decretada por el Resguardo Indígena de Quizgó en contra de uno de sus comuneros, al haberse fundado en una responsabilidad de carácter objetivo, proscrita en el derecho penal contemporáneo. Y, en la sentencia T-1294 de 2005 la Corte confirmó una sanción de privación de la libertad durante 40 años, impuesta por la Asamblea General de los Cabildos de Pioyá y la Aguada de Caldono, al considerar que era </w:t>
      </w:r>
      <w:r w:rsidRPr="00BE4E66">
        <w:rPr>
          <w:i/>
          <w:iCs/>
          <w:color w:val="000000"/>
          <w:sz w:val="24"/>
          <w:szCs w:val="24"/>
          <w:shd w:val="clear" w:color="auto" w:fill="FFFFFF"/>
          <w:lang w:val="es-CO"/>
        </w:rPr>
        <w:t>coherente</w:t>
      </w:r>
      <w:r w:rsidRPr="00BE4E66">
        <w:rPr>
          <w:iCs/>
          <w:color w:val="000000"/>
          <w:sz w:val="24"/>
          <w:szCs w:val="24"/>
          <w:shd w:val="clear" w:color="auto" w:fill="FFFFFF"/>
          <w:lang w:val="es-CO"/>
        </w:rPr>
        <w:t xml:space="preserve"> con la legislación criminal ordinaria que establece </w:t>
      </w:r>
      <w:r w:rsidRPr="00BE4E66">
        <w:rPr>
          <w:i/>
          <w:iCs/>
          <w:color w:val="000000"/>
          <w:sz w:val="24"/>
          <w:szCs w:val="24"/>
          <w:shd w:val="clear" w:color="auto" w:fill="FFFFFF"/>
          <w:lang w:val="es-CO"/>
        </w:rPr>
        <w:t>“una pena máxima de la misma cuantía”</w:t>
      </w:r>
      <w:r w:rsidRPr="00BE4E66">
        <w:rPr>
          <w:iCs/>
          <w:color w:val="000000"/>
          <w:sz w:val="24"/>
          <w:szCs w:val="24"/>
          <w:shd w:val="clear" w:color="auto" w:fill="FFFFFF"/>
          <w:lang w:val="es-CO"/>
        </w:rPr>
        <w:t xml:space="preserve"> para el mismo tipo de delito (en este caso, el homicidio agravado). </w:t>
      </w:r>
    </w:p>
    <w:p w:rsidR="00CF2E11" w:rsidRPr="00BE4E66" w:rsidRDefault="00CF2E11" w:rsidP="00CF2E11">
      <w:pPr>
        <w:rPr>
          <w:iCs/>
          <w:color w:val="000000"/>
          <w:sz w:val="24"/>
          <w:szCs w:val="24"/>
          <w:shd w:val="clear" w:color="auto" w:fill="FFFFFF"/>
          <w:lang w:val="es-CO"/>
        </w:rPr>
      </w:pPr>
    </w:p>
    <w:p w:rsidR="00CF2E11" w:rsidRPr="00BE4E66" w:rsidRDefault="00CF2E11" w:rsidP="00CF2E11">
      <w:pPr>
        <w:spacing w:line="360" w:lineRule="auto"/>
        <w:rPr>
          <w:iCs/>
          <w:color w:val="000000"/>
          <w:sz w:val="24"/>
          <w:szCs w:val="24"/>
          <w:shd w:val="clear" w:color="auto" w:fill="FFFFFF"/>
          <w:lang w:val="es-CO"/>
        </w:rPr>
      </w:pPr>
      <w:r w:rsidRPr="00BE4E66">
        <w:rPr>
          <w:iCs/>
          <w:color w:val="000000"/>
          <w:sz w:val="24"/>
          <w:szCs w:val="24"/>
          <w:shd w:val="clear" w:color="auto" w:fill="FFFFFF"/>
          <w:lang w:val="es-CO"/>
        </w:rPr>
        <w:t xml:space="preserve">Estos ejemplos demuestran que la jurisdicción especial indígena no significa la coexistencia de múltiples sistemas judiciales desarticulados al interior del Estado colombiano. Por el contrario, comprueban la vigencia de un solo orden constitucional que opera como punto de encuentro entre las diferentes modalidades de justicia, y ratifican la existencia de normas mínimas de convivencia que permean por completo a los estatutos étnicos locales (a saber, los derechos fundamentales). </w:t>
      </w:r>
    </w:p>
    <w:p w:rsidR="00CF2E11" w:rsidRPr="00BE4E66" w:rsidRDefault="00CF2E11" w:rsidP="00CF2E11">
      <w:pPr>
        <w:rPr>
          <w:iCs/>
          <w:color w:val="000000"/>
          <w:sz w:val="24"/>
          <w:szCs w:val="24"/>
          <w:shd w:val="clear" w:color="auto" w:fill="FFFFFF"/>
          <w:lang w:val="es-CO"/>
        </w:rPr>
      </w:pPr>
    </w:p>
    <w:p w:rsidR="00CF2E11" w:rsidRPr="00BE4E66" w:rsidRDefault="00CF2E11" w:rsidP="00CF2E11">
      <w:pPr>
        <w:spacing w:line="360" w:lineRule="auto"/>
        <w:rPr>
          <w:iCs/>
          <w:color w:val="000000"/>
          <w:sz w:val="24"/>
          <w:szCs w:val="24"/>
          <w:shd w:val="clear" w:color="auto" w:fill="FFFFFF"/>
          <w:lang w:val="es-CO"/>
        </w:rPr>
      </w:pPr>
      <w:r w:rsidRPr="00BE4E66">
        <w:rPr>
          <w:iCs/>
          <w:color w:val="000000"/>
          <w:sz w:val="24"/>
          <w:szCs w:val="24"/>
          <w:shd w:val="clear" w:color="auto" w:fill="FFFFFF"/>
          <w:lang w:val="es-CO"/>
        </w:rPr>
        <w:t xml:space="preserve">Este carácter restringido de la justicia y el fuero indígena favorece el diálogo intercultural, pues obliga a la compresión y al respeto recíproco entre los diferentes valores y racionalidades presentes en una sociedad. Así mismo, evita que el disfrute de los derechos fundamentales se libre por completo a las tradiciones y convicciones de cada comunidad, como ocurre en los llamados sistemas “multijurídicos”, ejemplos extremos del Estado pluralista. </w:t>
      </w:r>
    </w:p>
    <w:p w:rsidR="00CF2E11" w:rsidRPr="00BE4E66" w:rsidRDefault="00CF2E11" w:rsidP="00CF2E11">
      <w:pPr>
        <w:rPr>
          <w:iCs/>
          <w:color w:val="000000"/>
          <w:sz w:val="24"/>
          <w:szCs w:val="24"/>
          <w:shd w:val="clear" w:color="auto" w:fill="FFFFFF"/>
          <w:lang w:val="es-CO"/>
        </w:rPr>
      </w:pPr>
    </w:p>
    <w:p w:rsidR="00CF2E11" w:rsidRPr="00BE4E66" w:rsidRDefault="00CF2E11" w:rsidP="00CF2E11">
      <w:pPr>
        <w:spacing w:line="360" w:lineRule="auto"/>
        <w:rPr>
          <w:iCs/>
          <w:color w:val="000000"/>
          <w:sz w:val="24"/>
          <w:szCs w:val="24"/>
          <w:shd w:val="clear" w:color="auto" w:fill="FFFFFF"/>
          <w:lang w:val="es-CO"/>
        </w:rPr>
      </w:pPr>
      <w:r w:rsidRPr="00BE4E66">
        <w:rPr>
          <w:iCs/>
          <w:color w:val="000000"/>
          <w:sz w:val="24"/>
          <w:szCs w:val="24"/>
          <w:shd w:val="clear" w:color="auto" w:fill="FFFFFF"/>
          <w:lang w:val="es-CO"/>
        </w:rPr>
        <w:t>Según la Corte Europea de Derechos Humanos</w:t>
      </w:r>
      <w:r w:rsidRPr="00BE4E66">
        <w:rPr>
          <w:iCs/>
          <w:color w:val="000000"/>
          <w:sz w:val="24"/>
          <w:szCs w:val="24"/>
          <w:shd w:val="clear" w:color="auto" w:fill="FFFFFF"/>
          <w:vertAlign w:val="superscript"/>
          <w:lang w:val="es-CO"/>
        </w:rPr>
        <w:footnoteReference w:id="34"/>
      </w:r>
      <w:r w:rsidRPr="00BE4E66">
        <w:rPr>
          <w:iCs/>
          <w:color w:val="000000"/>
          <w:sz w:val="24"/>
          <w:szCs w:val="24"/>
          <w:shd w:val="clear" w:color="auto" w:fill="FFFFFF"/>
          <w:lang w:val="es-CO"/>
        </w:rPr>
        <w:t xml:space="preserve">, un sistema de aquel tipo conlleva riesgos para los derechos y las libertades individuales, pues, por un lado, suprime el papel del Estado como garante y </w:t>
      </w:r>
      <w:r w:rsidRPr="00BE4E66">
        <w:rPr>
          <w:i/>
          <w:iCs/>
          <w:color w:val="000000"/>
          <w:sz w:val="24"/>
          <w:szCs w:val="24"/>
          <w:shd w:val="clear" w:color="auto" w:fill="FFFFFF"/>
          <w:lang w:val="es-CO"/>
        </w:rPr>
        <w:t>“organizador imparcial del ejercicio de las diversas convicciones”</w:t>
      </w:r>
      <w:r w:rsidRPr="00BE4E66">
        <w:rPr>
          <w:iCs/>
          <w:color w:val="000000"/>
          <w:sz w:val="24"/>
          <w:szCs w:val="24"/>
          <w:shd w:val="clear" w:color="auto" w:fill="FFFFFF"/>
          <w:lang w:val="es-CO"/>
        </w:rPr>
        <w:t xml:space="preserve"> y las tradiciones presentes en su territorio, y, por otro, vulnera el principio de no discriminación en el goce de los derechos fundamentales, ya que el ejercicio de los mismos dependerá de la comunidad o la agrupación en la cual se nació o habita. </w:t>
      </w:r>
    </w:p>
    <w:p w:rsidR="00CF2E11" w:rsidRPr="00BE4E66" w:rsidRDefault="00CF2E11" w:rsidP="00CF2E11">
      <w:pPr>
        <w:rPr>
          <w:iCs/>
          <w:color w:val="000000"/>
          <w:sz w:val="24"/>
          <w:szCs w:val="24"/>
          <w:shd w:val="clear" w:color="auto" w:fill="FFFFFF"/>
          <w:lang w:val="es-CO"/>
        </w:rPr>
      </w:pPr>
    </w:p>
    <w:p w:rsidR="00CF2E11" w:rsidRPr="00BE4E66" w:rsidRDefault="00CF2E11" w:rsidP="00CF2E11">
      <w:pPr>
        <w:spacing w:line="360" w:lineRule="auto"/>
        <w:rPr>
          <w:iCs/>
          <w:color w:val="000000"/>
          <w:sz w:val="24"/>
          <w:szCs w:val="24"/>
          <w:shd w:val="clear" w:color="auto" w:fill="FFFFFF"/>
          <w:lang w:val="es-CO"/>
        </w:rPr>
      </w:pPr>
      <w:r w:rsidRPr="00BE4E66">
        <w:rPr>
          <w:iCs/>
          <w:color w:val="000000"/>
          <w:sz w:val="24"/>
          <w:szCs w:val="24"/>
          <w:shd w:val="clear" w:color="auto" w:fill="FFFFFF"/>
          <w:lang w:val="es-CO"/>
        </w:rPr>
        <w:t>Al respecto, la Carta Política de 1991 optó por una postura intermedia entre el “relativismo cultural incondicional” y el “universalismo extremo”</w:t>
      </w:r>
      <w:r w:rsidRPr="00BE4E66">
        <w:rPr>
          <w:iCs/>
          <w:color w:val="000000"/>
          <w:sz w:val="24"/>
          <w:szCs w:val="24"/>
          <w:shd w:val="clear" w:color="auto" w:fill="FFFFFF"/>
          <w:vertAlign w:val="superscript"/>
          <w:lang w:val="es-CO"/>
        </w:rPr>
        <w:footnoteReference w:id="35"/>
      </w:r>
      <w:r w:rsidRPr="00BE4E66">
        <w:rPr>
          <w:iCs/>
          <w:color w:val="000000"/>
          <w:sz w:val="24"/>
          <w:szCs w:val="24"/>
          <w:shd w:val="clear" w:color="auto" w:fill="FFFFFF"/>
          <w:lang w:val="es-CO"/>
        </w:rPr>
        <w:t xml:space="preserve">, en virtud de la cual no avala cualquier clase de regulación autonómica con raíces culturales, ni impone un marco normativo general o </w:t>
      </w:r>
      <w:r w:rsidRPr="00BE4E66">
        <w:rPr>
          <w:i/>
          <w:iCs/>
          <w:color w:val="000000"/>
          <w:sz w:val="24"/>
          <w:szCs w:val="24"/>
          <w:shd w:val="clear" w:color="auto" w:fill="FFFFFF"/>
          <w:lang w:val="es-CO"/>
        </w:rPr>
        <w:t>indiferente a la diferencia</w:t>
      </w:r>
      <w:r w:rsidRPr="00BE4E66">
        <w:rPr>
          <w:iCs/>
          <w:color w:val="000000"/>
          <w:sz w:val="24"/>
          <w:szCs w:val="24"/>
          <w:shd w:val="clear" w:color="auto" w:fill="FFFFFF"/>
          <w:lang w:val="es-CO"/>
        </w:rPr>
        <w:t xml:space="preserve">. Por el contrario, defiende un grupo mínimo de valores y principios que facilitan la convivencia entre diversos grupos étnicos, razas, religiones, clases sociales, partidos políticos, entre otras colectividades, el cual coincide con el catálogo vigente de derechos fundamentales. </w:t>
      </w:r>
    </w:p>
    <w:p w:rsidR="00CF2E11" w:rsidRPr="00BE4E66" w:rsidRDefault="00CF2E11" w:rsidP="00CF2E11">
      <w:pPr>
        <w:rPr>
          <w:iCs/>
          <w:color w:val="000000"/>
          <w:sz w:val="24"/>
          <w:szCs w:val="24"/>
          <w:shd w:val="clear" w:color="auto" w:fill="FFFFFF"/>
          <w:lang w:val="es-CO"/>
        </w:rPr>
      </w:pPr>
    </w:p>
    <w:p w:rsidR="00CF2E11" w:rsidRPr="00BE4E66" w:rsidRDefault="00CF2E11" w:rsidP="00CF2E11">
      <w:pPr>
        <w:spacing w:line="360" w:lineRule="auto"/>
        <w:rPr>
          <w:iCs/>
          <w:color w:val="000000"/>
          <w:sz w:val="24"/>
          <w:szCs w:val="24"/>
          <w:shd w:val="clear" w:color="auto" w:fill="FFFFFF"/>
          <w:lang w:val="es-CO"/>
        </w:rPr>
      </w:pPr>
      <w:r w:rsidRPr="00BE4E66">
        <w:rPr>
          <w:iCs/>
          <w:color w:val="000000"/>
          <w:sz w:val="24"/>
          <w:szCs w:val="24"/>
          <w:shd w:val="clear" w:color="auto" w:fill="FFFFFF"/>
          <w:lang w:val="es-CO"/>
        </w:rPr>
        <w:t xml:space="preserve">En suma, el carácter excepcional y restringido de la jurisdicción indígena o la certeza de límites materiales en su aplicación, </w:t>
      </w:r>
      <w:r w:rsidRPr="00BE4E66">
        <w:rPr>
          <w:i/>
          <w:iCs/>
          <w:color w:val="000000"/>
          <w:sz w:val="24"/>
          <w:szCs w:val="24"/>
          <w:shd w:val="clear" w:color="auto" w:fill="FFFFFF"/>
          <w:lang w:val="es-CO"/>
        </w:rPr>
        <w:t>evita espacios vedados a los derechos fundamentales dentro del territorio colombiano</w:t>
      </w:r>
      <w:r w:rsidRPr="00BE4E66">
        <w:rPr>
          <w:iCs/>
          <w:color w:val="000000"/>
          <w:sz w:val="24"/>
          <w:szCs w:val="24"/>
          <w:shd w:val="clear" w:color="auto" w:fill="FFFFFF"/>
          <w:lang w:val="es-CO"/>
        </w:rPr>
        <w:t xml:space="preserve">. </w:t>
      </w:r>
    </w:p>
    <w:p w:rsidR="00CF2E11" w:rsidRPr="00BE4E66" w:rsidRDefault="00CF2E11" w:rsidP="00CF2E11">
      <w:pPr>
        <w:spacing w:line="360" w:lineRule="auto"/>
        <w:rPr>
          <w:iCs/>
          <w:color w:val="000000"/>
          <w:sz w:val="24"/>
          <w:szCs w:val="24"/>
          <w:shd w:val="clear" w:color="auto" w:fill="FFFFFF"/>
          <w:lang w:val="es-CO"/>
        </w:rPr>
      </w:pPr>
    </w:p>
    <w:p w:rsidR="00CF2E11" w:rsidRPr="00BE4E66" w:rsidRDefault="00CF2E11" w:rsidP="00CF2E11">
      <w:pPr>
        <w:spacing w:line="360" w:lineRule="auto"/>
        <w:rPr>
          <w:rFonts w:eastAsia="Calibri"/>
          <w:iCs/>
          <w:color w:val="000000"/>
          <w:sz w:val="24"/>
          <w:szCs w:val="24"/>
          <w:shd w:val="clear" w:color="auto" w:fill="FFFFFF"/>
        </w:rPr>
      </w:pPr>
      <w:r w:rsidRPr="00BE4E66">
        <w:rPr>
          <w:rFonts w:eastAsia="Calibri"/>
          <w:iCs/>
          <w:color w:val="000000"/>
          <w:sz w:val="24"/>
          <w:szCs w:val="24"/>
          <w:shd w:val="clear" w:color="auto" w:fill="FFFFFF"/>
        </w:rPr>
        <w:t xml:space="preserve">Por otro lado, a primera vista la estipulación simultánea del derecho colectivo a la diversidad étnica y cultural y los demás derechos fundamentales en la </w:t>
      </w:r>
      <w:r w:rsidRPr="00BE4E66">
        <w:rPr>
          <w:rFonts w:eastAsia="Calibri"/>
          <w:iCs/>
          <w:color w:val="000000"/>
          <w:sz w:val="24"/>
          <w:szCs w:val="24"/>
          <w:shd w:val="clear" w:color="auto" w:fill="FFFFFF"/>
        </w:rPr>
        <w:br/>
        <w:t>Constitución, genera tensiones difíciles de resolver en casos concretos. Para responder a estos dilemas y, por en lo pertinente, definir la jurisdicción competente para investigar los delitos cometido por indígenas, la Corte Constitucional ha recurrido en ocasiones al juicio de ponderación entre los derechos en contienda</w:t>
      </w:r>
      <w:r w:rsidRPr="00BE4E66">
        <w:rPr>
          <w:rFonts w:eastAsia="Calibri"/>
          <w:iCs/>
          <w:color w:val="000000"/>
          <w:sz w:val="24"/>
          <w:szCs w:val="24"/>
          <w:shd w:val="clear" w:color="auto" w:fill="FFFFFF"/>
          <w:vertAlign w:val="superscript"/>
        </w:rPr>
        <w:footnoteReference w:id="36"/>
      </w:r>
      <w:r w:rsidRPr="00BE4E66">
        <w:rPr>
          <w:rFonts w:eastAsia="Calibri"/>
          <w:iCs/>
          <w:color w:val="000000"/>
          <w:sz w:val="24"/>
          <w:szCs w:val="24"/>
          <w:shd w:val="clear" w:color="auto" w:fill="FFFFFF"/>
        </w:rPr>
        <w:t xml:space="preserve">. </w:t>
      </w:r>
    </w:p>
    <w:p w:rsidR="00CF2E11" w:rsidRPr="00BE4E66" w:rsidRDefault="00CF2E11" w:rsidP="00CF2E11">
      <w:pPr>
        <w:rPr>
          <w:rFonts w:eastAsia="Calibri"/>
          <w:iCs/>
          <w:color w:val="000000"/>
          <w:sz w:val="24"/>
          <w:szCs w:val="24"/>
          <w:shd w:val="clear" w:color="auto" w:fill="FFFFFF"/>
        </w:rPr>
      </w:pPr>
    </w:p>
    <w:p w:rsidR="00CF2E11" w:rsidRPr="00BE4E66" w:rsidRDefault="00CF2E11" w:rsidP="00CF2E11">
      <w:pPr>
        <w:spacing w:line="360" w:lineRule="auto"/>
        <w:rPr>
          <w:rFonts w:eastAsia="Calibri"/>
          <w:iCs/>
          <w:color w:val="000000"/>
          <w:sz w:val="24"/>
          <w:szCs w:val="24"/>
          <w:shd w:val="clear" w:color="auto" w:fill="FFFFFF"/>
        </w:rPr>
      </w:pPr>
      <w:r w:rsidRPr="00BE4E66">
        <w:rPr>
          <w:rFonts w:eastAsia="Calibri"/>
          <w:iCs/>
          <w:color w:val="000000"/>
          <w:sz w:val="24"/>
          <w:szCs w:val="24"/>
          <w:shd w:val="clear" w:color="auto" w:fill="FFFFFF"/>
        </w:rPr>
        <w:t xml:space="preserve">Sin embargo, esta manera de proceder, a juicio de esta Sala, se funda en un supuesto discutible desde el punto de vista del derecho constitucional e internacional en vigor: que el derecho colectivo de las comunidades indígenas a ejercer su jurisdicción se encuentra </w:t>
      </w:r>
      <w:r w:rsidRPr="00BE4E66">
        <w:rPr>
          <w:rFonts w:eastAsia="Calibri"/>
          <w:i/>
          <w:iCs/>
          <w:color w:val="000000"/>
          <w:sz w:val="24"/>
          <w:szCs w:val="24"/>
          <w:shd w:val="clear" w:color="auto" w:fill="FFFFFF"/>
        </w:rPr>
        <w:t>siempre</w:t>
      </w:r>
      <w:r w:rsidRPr="00BE4E66">
        <w:rPr>
          <w:rFonts w:eastAsia="Calibri"/>
          <w:iCs/>
          <w:color w:val="000000"/>
          <w:sz w:val="24"/>
          <w:szCs w:val="24"/>
          <w:shd w:val="clear" w:color="auto" w:fill="FFFFFF"/>
        </w:rPr>
        <w:t xml:space="preserve"> en un plano de igualdad jurídica con respecto de los principios y derechos constitucionales ubicados en el otro extremo de la balanza. </w:t>
      </w:r>
    </w:p>
    <w:p w:rsidR="00CF2E11" w:rsidRPr="00BE4E66" w:rsidRDefault="00CF2E11" w:rsidP="00CF2E11">
      <w:pPr>
        <w:rPr>
          <w:rFonts w:eastAsia="Calibri"/>
          <w:iCs/>
          <w:color w:val="000000"/>
          <w:sz w:val="24"/>
          <w:szCs w:val="24"/>
          <w:shd w:val="clear" w:color="auto" w:fill="FFFFFF"/>
        </w:rPr>
      </w:pPr>
    </w:p>
    <w:p w:rsidR="00CF2E11" w:rsidRPr="00BE4E66" w:rsidRDefault="00CF2E11" w:rsidP="00CF2E11">
      <w:pPr>
        <w:spacing w:line="360" w:lineRule="auto"/>
        <w:rPr>
          <w:rFonts w:eastAsia="Calibri"/>
          <w:iCs/>
          <w:color w:val="000000"/>
          <w:sz w:val="24"/>
          <w:szCs w:val="24"/>
          <w:shd w:val="clear" w:color="auto" w:fill="FFFFFF"/>
        </w:rPr>
      </w:pPr>
      <w:r w:rsidRPr="00BE4E66">
        <w:rPr>
          <w:rFonts w:eastAsia="Calibri"/>
          <w:iCs/>
          <w:color w:val="000000"/>
          <w:sz w:val="24"/>
          <w:szCs w:val="24"/>
          <w:shd w:val="clear" w:color="auto" w:fill="FFFFFF"/>
        </w:rPr>
        <w:t xml:space="preserve">No obstante, como lo ha reconocido la propia jurisprudencia constitucional, algunos derechos fundamentales e intereses colectivos poseen entidad superior o jerarquía mayor que el derecho a la jurisdicción indígena y, por consiguiente, podrían eliminar </w:t>
      </w:r>
      <w:r w:rsidRPr="00BE4E66">
        <w:rPr>
          <w:rFonts w:eastAsia="Calibri"/>
          <w:i/>
          <w:iCs/>
          <w:color w:val="000000"/>
          <w:sz w:val="24"/>
          <w:szCs w:val="24"/>
          <w:shd w:val="clear" w:color="auto" w:fill="FFFFFF"/>
        </w:rPr>
        <w:t>a priori</w:t>
      </w:r>
      <w:r w:rsidRPr="00BE4E66">
        <w:rPr>
          <w:rFonts w:eastAsia="Calibri"/>
          <w:iCs/>
          <w:color w:val="000000"/>
          <w:sz w:val="24"/>
          <w:szCs w:val="24"/>
          <w:shd w:val="clear" w:color="auto" w:fill="FFFFFF"/>
        </w:rPr>
        <w:t xml:space="preserve"> la necesidad de realizar ejercicios de ponderación y estudios específicos sobre el individuo indígena y su comunidad (de índole antropológica, etnográfica o psicosociales, por citar ejemplos recurrentes en la materia), como requisitos para definir la autoridad judicial competente en la investigación de un determinado hecho delictivo. </w:t>
      </w:r>
    </w:p>
    <w:p w:rsidR="00CF2E11" w:rsidRPr="00BE4E66" w:rsidRDefault="00CF2E11" w:rsidP="00CF2E11">
      <w:pPr>
        <w:spacing w:line="360" w:lineRule="auto"/>
        <w:rPr>
          <w:rFonts w:eastAsia="Calibri"/>
          <w:iCs/>
          <w:color w:val="000000"/>
          <w:sz w:val="24"/>
          <w:szCs w:val="24"/>
          <w:shd w:val="clear" w:color="auto" w:fill="FFFFFF"/>
        </w:rPr>
      </w:pPr>
    </w:p>
    <w:p w:rsidR="00CF2E11" w:rsidRPr="00BE4E66" w:rsidRDefault="00CF2E11" w:rsidP="00CF2E11">
      <w:pPr>
        <w:spacing w:line="360" w:lineRule="auto"/>
        <w:rPr>
          <w:rFonts w:eastAsia="Calibri"/>
          <w:iCs/>
          <w:color w:val="000000"/>
          <w:sz w:val="24"/>
          <w:szCs w:val="24"/>
          <w:shd w:val="clear" w:color="auto" w:fill="FFFFFF"/>
        </w:rPr>
      </w:pPr>
      <w:r w:rsidRPr="00BE4E66">
        <w:rPr>
          <w:rFonts w:eastAsia="Calibri"/>
          <w:iCs/>
          <w:color w:val="000000"/>
          <w:sz w:val="24"/>
          <w:szCs w:val="24"/>
          <w:shd w:val="clear" w:color="auto" w:fill="FFFFFF"/>
        </w:rPr>
        <w:t>Como se mencionó en el acápite anterior, el grupo mínimo de derechos fundamentales que limitan la jurisdicción indígena, según la jurisprudencia constitucional vigente, son: el debido proceso, la vida, la prohibición de la esclavitud y la prohibición de la tortura. Adicionalmente, el prece</w:t>
      </w:r>
      <w:r>
        <w:rPr>
          <w:rFonts w:eastAsia="Calibri"/>
          <w:iCs/>
          <w:color w:val="000000"/>
          <w:sz w:val="24"/>
          <w:szCs w:val="24"/>
          <w:shd w:val="clear" w:color="auto" w:fill="FFFFFF"/>
        </w:rPr>
        <w:t>dente constitucional reconoce la</w:t>
      </w:r>
      <w:r w:rsidRPr="00BE4E66">
        <w:rPr>
          <w:rFonts w:eastAsia="Calibri"/>
          <w:iCs/>
          <w:color w:val="000000"/>
          <w:sz w:val="24"/>
          <w:szCs w:val="24"/>
          <w:shd w:val="clear" w:color="auto" w:fill="FFFFFF"/>
        </w:rPr>
        <w:t xml:space="preserve"> “seguridad interna”, como un interés colectivo de “superior jerarquía” que la jurisdicción indígena</w:t>
      </w:r>
      <w:r w:rsidRPr="00BE4E66">
        <w:rPr>
          <w:rFonts w:eastAsia="Calibri"/>
          <w:iCs/>
          <w:color w:val="000000"/>
          <w:sz w:val="24"/>
          <w:szCs w:val="24"/>
          <w:shd w:val="clear" w:color="auto" w:fill="FFFFFF"/>
          <w:vertAlign w:val="superscript"/>
        </w:rPr>
        <w:footnoteReference w:id="37"/>
      </w:r>
      <w:r w:rsidRPr="00BE4E66">
        <w:rPr>
          <w:rFonts w:eastAsia="Calibri"/>
          <w:iCs/>
          <w:color w:val="000000"/>
          <w:sz w:val="24"/>
          <w:szCs w:val="24"/>
          <w:shd w:val="clear" w:color="auto" w:fill="FFFFFF"/>
        </w:rPr>
        <w:t>.</w:t>
      </w:r>
    </w:p>
    <w:p w:rsidR="00CF2E11" w:rsidRPr="00BE4E66" w:rsidRDefault="00CF2E11" w:rsidP="00CF2E11">
      <w:pPr>
        <w:spacing w:line="360" w:lineRule="auto"/>
        <w:rPr>
          <w:rFonts w:eastAsia="Calibri"/>
          <w:iCs/>
          <w:color w:val="000000"/>
          <w:sz w:val="24"/>
          <w:szCs w:val="24"/>
          <w:shd w:val="clear" w:color="auto" w:fill="FFFFFF"/>
        </w:rPr>
      </w:pPr>
    </w:p>
    <w:p w:rsidR="00CF2E11" w:rsidRPr="00BE4E66" w:rsidRDefault="00CF2E11" w:rsidP="00CF2E11">
      <w:pPr>
        <w:spacing w:line="360" w:lineRule="auto"/>
        <w:rPr>
          <w:rFonts w:eastAsia="Calibri"/>
          <w:iCs/>
          <w:color w:val="000000"/>
          <w:sz w:val="24"/>
          <w:szCs w:val="24"/>
          <w:shd w:val="clear" w:color="auto" w:fill="FFFFFF"/>
        </w:rPr>
      </w:pPr>
      <w:r w:rsidRPr="00BE4E66">
        <w:rPr>
          <w:rFonts w:eastAsia="Calibri"/>
          <w:iCs/>
          <w:color w:val="000000"/>
          <w:sz w:val="24"/>
          <w:szCs w:val="24"/>
          <w:shd w:val="clear" w:color="auto" w:fill="FFFFFF"/>
        </w:rPr>
        <w:t>Con todo, la definición de este “núcleo duro”</w:t>
      </w:r>
      <w:r w:rsidRPr="00BE4E66">
        <w:rPr>
          <w:rFonts w:eastAsia="Calibri"/>
          <w:iCs/>
          <w:color w:val="000000"/>
          <w:sz w:val="24"/>
          <w:szCs w:val="24"/>
          <w:shd w:val="clear" w:color="auto" w:fill="FFFFFF"/>
          <w:vertAlign w:val="superscript"/>
        </w:rPr>
        <w:footnoteReference w:id="38"/>
      </w:r>
      <w:r w:rsidRPr="00BE4E66">
        <w:rPr>
          <w:rFonts w:eastAsia="Calibri"/>
          <w:iCs/>
          <w:color w:val="000000"/>
          <w:sz w:val="24"/>
          <w:szCs w:val="24"/>
          <w:shd w:val="clear" w:color="auto" w:fill="FFFFFF"/>
        </w:rPr>
        <w:t xml:space="preserve"> de derechos humanos e interés colectivo con mayor peso que la jurisdicción indígena, se efectuó en los años 1994 y 1996</w:t>
      </w:r>
      <w:r w:rsidRPr="00BE4E66">
        <w:rPr>
          <w:rFonts w:eastAsia="Calibri"/>
          <w:iCs/>
          <w:color w:val="000000"/>
          <w:sz w:val="24"/>
          <w:szCs w:val="24"/>
          <w:shd w:val="clear" w:color="auto" w:fill="FFFFFF"/>
          <w:vertAlign w:val="superscript"/>
        </w:rPr>
        <w:footnoteReference w:id="39"/>
      </w:r>
      <w:r w:rsidRPr="00BE4E66">
        <w:rPr>
          <w:rFonts w:eastAsia="Calibri"/>
          <w:iCs/>
          <w:color w:val="000000"/>
          <w:sz w:val="24"/>
          <w:szCs w:val="24"/>
          <w:shd w:val="clear" w:color="auto" w:fill="FFFFFF"/>
        </w:rPr>
        <w:t xml:space="preserve">, y permanece </w:t>
      </w:r>
      <w:r w:rsidRPr="00BE4E66">
        <w:rPr>
          <w:rFonts w:eastAsia="Calibri"/>
          <w:i/>
          <w:iCs/>
          <w:color w:val="000000"/>
          <w:sz w:val="24"/>
          <w:szCs w:val="24"/>
          <w:shd w:val="clear" w:color="auto" w:fill="FFFFFF"/>
        </w:rPr>
        <w:t>inmutable</w:t>
      </w:r>
      <w:r w:rsidRPr="00BE4E66">
        <w:rPr>
          <w:rFonts w:eastAsia="Calibri"/>
          <w:iCs/>
          <w:color w:val="000000"/>
          <w:sz w:val="24"/>
          <w:szCs w:val="24"/>
          <w:shd w:val="clear" w:color="auto" w:fill="FFFFFF"/>
        </w:rPr>
        <w:t xml:space="preserve"> hasta la actualidad</w:t>
      </w:r>
      <w:r w:rsidRPr="00BE4E66">
        <w:rPr>
          <w:rFonts w:eastAsia="Calibri"/>
          <w:iCs/>
          <w:color w:val="000000"/>
          <w:sz w:val="24"/>
          <w:szCs w:val="24"/>
          <w:shd w:val="clear" w:color="auto" w:fill="FFFFFF"/>
          <w:vertAlign w:val="superscript"/>
        </w:rPr>
        <w:footnoteReference w:id="40"/>
      </w:r>
      <w:r w:rsidRPr="00BE4E66">
        <w:rPr>
          <w:rFonts w:eastAsia="Calibri"/>
          <w:iCs/>
          <w:color w:val="000000"/>
          <w:sz w:val="24"/>
          <w:szCs w:val="24"/>
          <w:shd w:val="clear" w:color="auto" w:fill="FFFFFF"/>
        </w:rPr>
        <w:t>. En esa época, los fundamentos dados por la Corte para atribuirles calidad de límites a la jurisdicción indígena fueron</w:t>
      </w:r>
      <w:r>
        <w:rPr>
          <w:rFonts w:eastAsia="Calibri"/>
          <w:iCs/>
          <w:color w:val="000000"/>
          <w:sz w:val="24"/>
          <w:szCs w:val="24"/>
          <w:shd w:val="clear" w:color="auto" w:fill="FFFFFF"/>
        </w:rPr>
        <w:t xml:space="preserve"> los siguientes</w:t>
      </w:r>
      <w:r w:rsidRPr="00BE4E66">
        <w:rPr>
          <w:rFonts w:eastAsia="Calibri"/>
          <w:iCs/>
          <w:color w:val="000000"/>
          <w:sz w:val="24"/>
          <w:szCs w:val="24"/>
          <w:shd w:val="clear" w:color="auto" w:fill="FFFFFF"/>
        </w:rPr>
        <w:t xml:space="preserve">: </w:t>
      </w:r>
    </w:p>
    <w:p w:rsidR="00CF2E11" w:rsidRPr="00BE4E66" w:rsidRDefault="00CF2E11" w:rsidP="00CF2E11">
      <w:pPr>
        <w:spacing w:line="360" w:lineRule="auto"/>
        <w:rPr>
          <w:rFonts w:eastAsia="Calibri"/>
          <w:iCs/>
          <w:color w:val="000000"/>
          <w:sz w:val="24"/>
          <w:szCs w:val="24"/>
          <w:shd w:val="clear" w:color="auto" w:fill="FFFFFF"/>
        </w:rPr>
      </w:pPr>
    </w:p>
    <w:p w:rsidR="00CF2E11" w:rsidRPr="00BE4E66" w:rsidRDefault="00CF2E11" w:rsidP="00CF2E11">
      <w:pPr>
        <w:spacing w:line="360" w:lineRule="auto"/>
        <w:ind w:left="708"/>
        <w:rPr>
          <w:rFonts w:eastAsia="Calibri"/>
          <w:iCs/>
          <w:color w:val="000000"/>
          <w:sz w:val="24"/>
          <w:szCs w:val="24"/>
          <w:shd w:val="clear" w:color="auto" w:fill="FFFFFF"/>
        </w:rPr>
      </w:pPr>
      <w:r w:rsidRPr="00BE4E66">
        <w:rPr>
          <w:rFonts w:eastAsia="Calibri"/>
          <w:iCs/>
          <w:color w:val="000000"/>
          <w:sz w:val="24"/>
          <w:szCs w:val="24"/>
          <w:shd w:val="clear" w:color="auto" w:fill="FFFFFF"/>
        </w:rPr>
        <w:t>- Doctrina externa y nacional que coincidía en sostener la existencia de ciertas conductas reprochables tanto a nivel global como al interior de algunas comunidades indígenas colombianas</w:t>
      </w:r>
      <w:r w:rsidRPr="00BE4E66">
        <w:rPr>
          <w:rFonts w:eastAsia="Calibri"/>
          <w:iCs/>
          <w:color w:val="000000"/>
          <w:sz w:val="24"/>
          <w:szCs w:val="24"/>
          <w:shd w:val="clear" w:color="auto" w:fill="FFFFFF"/>
          <w:vertAlign w:val="superscript"/>
        </w:rPr>
        <w:footnoteReference w:id="41"/>
      </w:r>
      <w:r w:rsidRPr="00BE4E66">
        <w:rPr>
          <w:rFonts w:eastAsia="Calibri"/>
          <w:iCs/>
          <w:color w:val="000000"/>
          <w:sz w:val="24"/>
          <w:szCs w:val="24"/>
          <w:shd w:val="clear" w:color="auto" w:fill="FFFFFF"/>
        </w:rPr>
        <w:t xml:space="preserve">, y, </w:t>
      </w:r>
    </w:p>
    <w:p w:rsidR="00CF2E11" w:rsidRPr="00BE4E66" w:rsidRDefault="00CF2E11" w:rsidP="00CF2E11">
      <w:pPr>
        <w:spacing w:line="360" w:lineRule="auto"/>
        <w:ind w:left="708"/>
        <w:rPr>
          <w:rFonts w:eastAsia="Calibri"/>
          <w:iCs/>
          <w:color w:val="000000"/>
          <w:sz w:val="24"/>
          <w:szCs w:val="24"/>
          <w:shd w:val="clear" w:color="auto" w:fill="FFFFFF"/>
        </w:rPr>
      </w:pPr>
    </w:p>
    <w:p w:rsidR="00CF2E11" w:rsidRPr="00BE4E66" w:rsidRDefault="00CF2E11" w:rsidP="00CF2E11">
      <w:pPr>
        <w:spacing w:line="360" w:lineRule="auto"/>
        <w:ind w:left="708"/>
        <w:rPr>
          <w:rFonts w:eastAsia="Calibri"/>
          <w:iCs/>
          <w:color w:val="000000"/>
          <w:sz w:val="24"/>
          <w:szCs w:val="24"/>
          <w:shd w:val="clear" w:color="auto" w:fill="FFFFFF"/>
        </w:rPr>
      </w:pPr>
      <w:r w:rsidRPr="00BE4E66">
        <w:rPr>
          <w:rFonts w:eastAsia="Calibri"/>
          <w:iCs/>
          <w:color w:val="000000"/>
          <w:sz w:val="24"/>
          <w:szCs w:val="24"/>
          <w:shd w:val="clear" w:color="auto" w:fill="FFFFFF"/>
        </w:rPr>
        <w:t>- Un elemento común en cinco tratados internacionales sobre derechos humanos: la prohibición de limitar o suspender el ejercicio de ciertos derechos aún en situaciones excepcionales</w:t>
      </w:r>
      <w:r w:rsidRPr="00BE4E66">
        <w:rPr>
          <w:rFonts w:eastAsia="Calibri"/>
          <w:iCs/>
          <w:color w:val="000000"/>
          <w:sz w:val="24"/>
          <w:szCs w:val="24"/>
          <w:shd w:val="clear" w:color="auto" w:fill="FFFFFF"/>
          <w:vertAlign w:val="superscript"/>
        </w:rPr>
        <w:footnoteReference w:id="42"/>
      </w:r>
      <w:r w:rsidRPr="00BE4E66">
        <w:rPr>
          <w:rFonts w:eastAsia="Calibri"/>
          <w:iCs/>
          <w:color w:val="000000"/>
          <w:sz w:val="24"/>
          <w:szCs w:val="24"/>
          <w:shd w:val="clear" w:color="auto" w:fill="FFFFFF"/>
        </w:rPr>
        <w:t xml:space="preserve"> como la guerra</w:t>
      </w:r>
      <w:r w:rsidRPr="00BE4E66">
        <w:rPr>
          <w:rFonts w:eastAsia="Calibri"/>
          <w:iCs/>
          <w:color w:val="000000"/>
          <w:sz w:val="24"/>
          <w:szCs w:val="24"/>
          <w:shd w:val="clear" w:color="auto" w:fill="FFFFFF"/>
          <w:vertAlign w:val="superscript"/>
        </w:rPr>
        <w:footnoteReference w:id="43"/>
      </w:r>
      <w:r w:rsidRPr="00BE4E66">
        <w:rPr>
          <w:rFonts w:eastAsia="Calibri"/>
          <w:iCs/>
          <w:color w:val="000000"/>
          <w:sz w:val="24"/>
          <w:szCs w:val="24"/>
          <w:shd w:val="clear" w:color="auto" w:fill="FFFFFF"/>
        </w:rPr>
        <w:t>, o el conflicto interno, que ocasionen inestabilidad política interna , graves alteraciones del orden público o que amenacen la seguridad o independencia del Estado</w:t>
      </w:r>
      <w:r w:rsidRPr="00BE4E66">
        <w:rPr>
          <w:rFonts w:eastAsia="Calibri"/>
          <w:iCs/>
          <w:color w:val="000000"/>
          <w:sz w:val="24"/>
          <w:szCs w:val="24"/>
          <w:shd w:val="clear" w:color="auto" w:fill="FFFFFF"/>
          <w:vertAlign w:val="superscript"/>
        </w:rPr>
        <w:footnoteReference w:id="44"/>
      </w:r>
      <w:r w:rsidRPr="00BE4E66">
        <w:rPr>
          <w:rFonts w:eastAsia="Calibri"/>
          <w:iCs/>
          <w:color w:val="000000"/>
          <w:sz w:val="24"/>
          <w:szCs w:val="24"/>
          <w:shd w:val="clear" w:color="auto" w:fill="FFFFFF"/>
        </w:rPr>
        <w:t xml:space="preserve">.  </w:t>
      </w:r>
    </w:p>
    <w:p w:rsidR="00CF2E11" w:rsidRPr="00BE4E66" w:rsidRDefault="00CF2E11" w:rsidP="00CF2E11">
      <w:pPr>
        <w:spacing w:line="360" w:lineRule="auto"/>
        <w:rPr>
          <w:rFonts w:eastAsia="Calibri"/>
          <w:iCs/>
          <w:color w:val="000000"/>
          <w:sz w:val="24"/>
          <w:szCs w:val="24"/>
          <w:shd w:val="clear" w:color="auto" w:fill="FFFFFF"/>
        </w:rPr>
      </w:pPr>
    </w:p>
    <w:p w:rsidR="00CF2E11" w:rsidRPr="00BE4E66" w:rsidRDefault="00CF2E11" w:rsidP="00CF2E11">
      <w:pPr>
        <w:spacing w:line="360" w:lineRule="auto"/>
        <w:rPr>
          <w:rFonts w:eastAsia="Calibri"/>
          <w:iCs/>
          <w:color w:val="000000"/>
          <w:sz w:val="24"/>
          <w:szCs w:val="24"/>
          <w:shd w:val="clear" w:color="auto" w:fill="FFFFFF"/>
        </w:rPr>
      </w:pPr>
      <w:r w:rsidRPr="00BE4E66">
        <w:rPr>
          <w:rFonts w:eastAsia="Calibri"/>
          <w:iCs/>
          <w:color w:val="000000"/>
          <w:sz w:val="24"/>
          <w:szCs w:val="24"/>
          <w:shd w:val="clear" w:color="auto" w:fill="FFFFFF"/>
        </w:rPr>
        <w:t xml:space="preserve">Ahora bien, el derecho tanto interno como internacional de los derechos humanos ha </w:t>
      </w:r>
      <w:r>
        <w:rPr>
          <w:rFonts w:eastAsia="Calibri"/>
          <w:iCs/>
          <w:color w:val="000000"/>
          <w:sz w:val="24"/>
          <w:szCs w:val="24"/>
          <w:shd w:val="clear" w:color="auto" w:fill="FFFFFF"/>
        </w:rPr>
        <w:t>evolucionado</w:t>
      </w:r>
      <w:r w:rsidRPr="00BE4E66">
        <w:rPr>
          <w:rFonts w:eastAsia="Calibri"/>
          <w:iCs/>
          <w:color w:val="000000"/>
          <w:sz w:val="24"/>
          <w:szCs w:val="24"/>
          <w:shd w:val="clear" w:color="auto" w:fill="FFFFFF"/>
        </w:rPr>
        <w:t xml:space="preserve"> desde los años noventa</w:t>
      </w:r>
      <w:r>
        <w:rPr>
          <w:rFonts w:eastAsia="Calibri"/>
          <w:iCs/>
          <w:color w:val="000000"/>
          <w:sz w:val="24"/>
          <w:szCs w:val="24"/>
          <w:shd w:val="clear" w:color="auto" w:fill="FFFFFF"/>
        </w:rPr>
        <w:t xml:space="preserve"> del siglo pasado</w:t>
      </w:r>
      <w:r w:rsidRPr="00BE4E66">
        <w:rPr>
          <w:rFonts w:eastAsia="Calibri"/>
          <w:iCs/>
          <w:color w:val="000000"/>
          <w:sz w:val="24"/>
          <w:szCs w:val="24"/>
          <w:shd w:val="clear" w:color="auto" w:fill="FFFFFF"/>
        </w:rPr>
        <w:t xml:space="preserve">, y su comprensión sobre la existencia de mínimos de conducta exigibles a todas las naciones bajo cualquier circunstancia ha </w:t>
      </w:r>
      <w:r>
        <w:rPr>
          <w:rFonts w:eastAsia="Calibri"/>
          <w:iCs/>
          <w:color w:val="000000"/>
          <w:sz w:val="24"/>
          <w:szCs w:val="24"/>
          <w:shd w:val="clear" w:color="auto" w:fill="FFFFFF"/>
        </w:rPr>
        <w:t>progresado</w:t>
      </w:r>
      <w:r w:rsidRPr="00BE4E66">
        <w:rPr>
          <w:rFonts w:eastAsia="Calibri"/>
          <w:iCs/>
          <w:color w:val="000000"/>
          <w:sz w:val="24"/>
          <w:szCs w:val="24"/>
          <w:shd w:val="clear" w:color="auto" w:fill="FFFFFF"/>
        </w:rPr>
        <w:t xml:space="preserve"> a favor de la persona. El consenso jurídico supranacional en torno a los límites de la conducta humana se ha actualizado para hacerlo comprender un mayor número de situaciones que lesionan los bienes más preciados del individuo. </w:t>
      </w:r>
    </w:p>
    <w:p w:rsidR="00CF2E11" w:rsidRPr="00BE4E66" w:rsidRDefault="00CF2E11" w:rsidP="00CF2E11">
      <w:pPr>
        <w:rPr>
          <w:rFonts w:eastAsia="Calibri"/>
          <w:iCs/>
          <w:color w:val="000000"/>
          <w:sz w:val="24"/>
          <w:szCs w:val="24"/>
          <w:shd w:val="clear" w:color="auto" w:fill="FFFFFF"/>
        </w:rPr>
      </w:pPr>
    </w:p>
    <w:p w:rsidR="00CF2E11" w:rsidRPr="00BE4E66" w:rsidRDefault="00CF2E11" w:rsidP="00CF2E11">
      <w:pPr>
        <w:spacing w:line="360" w:lineRule="auto"/>
        <w:rPr>
          <w:rFonts w:eastAsia="Calibri"/>
          <w:iCs/>
          <w:color w:val="000000"/>
          <w:sz w:val="24"/>
          <w:szCs w:val="24"/>
          <w:shd w:val="clear" w:color="auto" w:fill="FFFFFF"/>
        </w:rPr>
      </w:pPr>
      <w:r w:rsidRPr="00BE4E66">
        <w:rPr>
          <w:rFonts w:eastAsia="Calibri"/>
          <w:iCs/>
          <w:color w:val="000000"/>
          <w:sz w:val="24"/>
          <w:szCs w:val="24"/>
          <w:shd w:val="clear" w:color="auto" w:fill="FFFFFF"/>
        </w:rPr>
        <w:t>Así, al igual que sucede en el ámbito local, el derecho internacional evoluciona constantemente</w:t>
      </w:r>
      <w:r w:rsidRPr="00BE4E66">
        <w:rPr>
          <w:rFonts w:eastAsia="Calibri"/>
          <w:iCs/>
          <w:color w:val="000000"/>
          <w:sz w:val="24"/>
          <w:szCs w:val="24"/>
          <w:shd w:val="clear" w:color="auto" w:fill="FFFFFF"/>
          <w:vertAlign w:val="superscript"/>
        </w:rPr>
        <w:footnoteReference w:id="45"/>
      </w:r>
      <w:r w:rsidRPr="00BE4E66">
        <w:rPr>
          <w:rFonts w:eastAsia="Calibri"/>
          <w:iCs/>
          <w:color w:val="000000"/>
          <w:sz w:val="24"/>
          <w:szCs w:val="24"/>
          <w:shd w:val="clear" w:color="auto" w:fill="FFFFFF"/>
        </w:rPr>
        <w:t>. De este modo, en línea con el avance de la “conciencia jurídica universal”</w:t>
      </w:r>
      <w:r w:rsidRPr="00BE4E66">
        <w:rPr>
          <w:rFonts w:eastAsia="Calibri"/>
          <w:iCs/>
          <w:color w:val="000000"/>
          <w:sz w:val="24"/>
          <w:szCs w:val="24"/>
          <w:shd w:val="clear" w:color="auto" w:fill="FFFFFF"/>
          <w:vertAlign w:val="superscript"/>
        </w:rPr>
        <w:footnoteReference w:id="46"/>
      </w:r>
      <w:r w:rsidRPr="00BE4E66">
        <w:rPr>
          <w:rFonts w:eastAsia="Calibri"/>
          <w:iCs/>
          <w:color w:val="000000"/>
          <w:sz w:val="24"/>
          <w:szCs w:val="24"/>
          <w:shd w:val="clear" w:color="auto" w:fill="FFFFFF"/>
        </w:rPr>
        <w:t xml:space="preserve"> y el desarrollo del derecho internacional de los derechos humanos, cada vez son más las libertades y los derechos que imponen obligaciones </w:t>
      </w:r>
      <w:r w:rsidRPr="00BE4E66">
        <w:rPr>
          <w:rFonts w:eastAsia="Calibri"/>
          <w:i/>
          <w:iCs/>
          <w:color w:val="000000"/>
          <w:sz w:val="24"/>
          <w:szCs w:val="24"/>
          <w:shd w:val="clear" w:color="auto" w:fill="FFFFFF"/>
        </w:rPr>
        <w:t>erga omnes</w:t>
      </w:r>
      <w:r w:rsidRPr="00BE4E66">
        <w:rPr>
          <w:rFonts w:eastAsia="Calibri"/>
          <w:iCs/>
          <w:color w:val="000000"/>
          <w:sz w:val="24"/>
          <w:szCs w:val="24"/>
          <w:shd w:val="clear" w:color="auto" w:fill="FFFFFF"/>
        </w:rPr>
        <w:t xml:space="preserve"> de respeto, protección y garantía a los Estados y a favor de sus habitantes. </w:t>
      </w:r>
    </w:p>
    <w:p w:rsidR="00CF2E11" w:rsidRPr="00BE4E66" w:rsidRDefault="00CF2E11" w:rsidP="00CF2E11">
      <w:pPr>
        <w:spacing w:line="360" w:lineRule="auto"/>
        <w:rPr>
          <w:rFonts w:eastAsia="Calibri"/>
          <w:iCs/>
          <w:color w:val="000000"/>
          <w:sz w:val="24"/>
          <w:szCs w:val="24"/>
          <w:shd w:val="clear" w:color="auto" w:fill="FFFFFF"/>
        </w:rPr>
      </w:pPr>
    </w:p>
    <w:p w:rsidR="00CF2E11" w:rsidRPr="00BE4E66" w:rsidRDefault="00CF2E11" w:rsidP="00CF2E11">
      <w:pPr>
        <w:spacing w:line="360" w:lineRule="auto"/>
        <w:rPr>
          <w:rFonts w:eastAsia="Calibri"/>
          <w:iCs/>
          <w:color w:val="000000"/>
          <w:sz w:val="24"/>
          <w:szCs w:val="24"/>
          <w:shd w:val="clear" w:color="auto" w:fill="FFFFFF"/>
        </w:rPr>
      </w:pPr>
      <w:r w:rsidRPr="00BE4E66">
        <w:rPr>
          <w:rFonts w:eastAsia="Calibri"/>
          <w:iCs/>
          <w:color w:val="000000"/>
          <w:sz w:val="24"/>
          <w:szCs w:val="24"/>
          <w:shd w:val="clear" w:color="auto" w:fill="FFFFFF"/>
        </w:rPr>
        <w:t xml:space="preserve">Algunos nuevos integrantes de este núcleo duro de derechos fundamentales e intereses colectivos, superiores </w:t>
      </w:r>
      <w:r w:rsidRPr="00BE4E66">
        <w:rPr>
          <w:rFonts w:eastAsia="Calibri"/>
          <w:i/>
          <w:iCs/>
          <w:color w:val="000000"/>
          <w:sz w:val="24"/>
          <w:szCs w:val="24"/>
          <w:shd w:val="clear" w:color="auto" w:fill="FFFFFF"/>
        </w:rPr>
        <w:t>prima facie</w:t>
      </w:r>
      <w:r w:rsidRPr="00BE4E66">
        <w:rPr>
          <w:rFonts w:eastAsia="Calibri"/>
          <w:iCs/>
          <w:color w:val="000000"/>
          <w:sz w:val="24"/>
          <w:szCs w:val="24"/>
          <w:shd w:val="clear" w:color="auto" w:fill="FFFFFF"/>
        </w:rPr>
        <w:t xml:space="preserve"> al derecho colectivo de la jurisdicción indígena, son: </w:t>
      </w:r>
    </w:p>
    <w:p w:rsidR="00CF2E11" w:rsidRPr="00BE4E66" w:rsidRDefault="00CF2E11" w:rsidP="00CF2E11">
      <w:pPr>
        <w:spacing w:line="360" w:lineRule="auto"/>
        <w:rPr>
          <w:rFonts w:eastAsia="Calibri"/>
          <w:iCs/>
          <w:color w:val="000000"/>
          <w:sz w:val="24"/>
          <w:szCs w:val="24"/>
          <w:shd w:val="clear" w:color="auto" w:fill="FFFFFF"/>
        </w:rPr>
      </w:pPr>
    </w:p>
    <w:p w:rsidR="00CF2E11" w:rsidRPr="00BE4E66" w:rsidRDefault="00CF2E11" w:rsidP="00CF2E11">
      <w:pPr>
        <w:spacing w:line="360" w:lineRule="auto"/>
        <w:rPr>
          <w:rFonts w:eastAsia="Calibri"/>
          <w:iCs/>
          <w:color w:val="000000"/>
          <w:sz w:val="24"/>
          <w:szCs w:val="24"/>
          <w:shd w:val="clear" w:color="auto" w:fill="FFFFFF"/>
        </w:rPr>
      </w:pPr>
      <w:r w:rsidRPr="00BE4E66">
        <w:rPr>
          <w:rFonts w:eastAsia="Calibri"/>
          <w:b/>
          <w:iCs/>
          <w:color w:val="000000"/>
          <w:sz w:val="24"/>
          <w:szCs w:val="24"/>
          <w:shd w:val="clear" w:color="auto" w:fill="FFFFFF"/>
        </w:rPr>
        <w:t xml:space="preserve">i. </w:t>
      </w:r>
      <w:r w:rsidRPr="00BE4E66">
        <w:rPr>
          <w:rFonts w:eastAsia="Calibri"/>
          <w:b/>
          <w:i/>
          <w:iCs/>
          <w:color w:val="000000"/>
          <w:sz w:val="24"/>
          <w:szCs w:val="24"/>
          <w:shd w:val="clear" w:color="auto" w:fill="FFFFFF"/>
        </w:rPr>
        <w:t>Los derechos de los niños, las niñas y los adolescentes</w:t>
      </w:r>
      <w:r w:rsidRPr="00BE4E66">
        <w:rPr>
          <w:rFonts w:eastAsia="Calibri"/>
          <w:b/>
          <w:iCs/>
          <w:color w:val="000000"/>
          <w:sz w:val="24"/>
          <w:szCs w:val="24"/>
          <w:shd w:val="clear" w:color="auto" w:fill="FFFFFF"/>
        </w:rPr>
        <w:t>.</w:t>
      </w:r>
      <w:r w:rsidRPr="00BE4E66">
        <w:rPr>
          <w:rFonts w:eastAsia="Calibri"/>
          <w:iCs/>
          <w:color w:val="000000"/>
          <w:sz w:val="24"/>
          <w:szCs w:val="24"/>
          <w:shd w:val="clear" w:color="auto" w:fill="FFFFFF"/>
        </w:rPr>
        <w:t xml:space="preserve"> Tanto la Convención de los Derechos de los Niños de 1989</w:t>
      </w:r>
      <w:r w:rsidRPr="00BE4E66">
        <w:rPr>
          <w:rFonts w:eastAsia="Calibri"/>
          <w:iCs/>
          <w:color w:val="000000"/>
          <w:sz w:val="24"/>
          <w:szCs w:val="24"/>
          <w:shd w:val="clear" w:color="auto" w:fill="FFFFFF"/>
          <w:vertAlign w:val="superscript"/>
        </w:rPr>
        <w:footnoteReference w:id="47"/>
      </w:r>
      <w:r w:rsidRPr="00BE4E66">
        <w:rPr>
          <w:rFonts w:eastAsia="Calibri"/>
          <w:iCs/>
          <w:color w:val="000000"/>
          <w:sz w:val="24"/>
          <w:szCs w:val="24"/>
          <w:shd w:val="clear" w:color="auto" w:fill="FFFFFF"/>
        </w:rPr>
        <w:t>, “</w:t>
      </w:r>
      <w:r w:rsidRPr="00BE4E66">
        <w:rPr>
          <w:rFonts w:eastAsia="Calibri"/>
          <w:i/>
          <w:iCs/>
          <w:color w:val="000000"/>
          <w:sz w:val="24"/>
          <w:szCs w:val="24"/>
          <w:shd w:val="clear" w:color="auto" w:fill="FFFFFF"/>
        </w:rPr>
        <w:t>la más amplia y rápidamente ratificada en la historia</w:t>
      </w:r>
      <w:r w:rsidRPr="00BE4E66">
        <w:rPr>
          <w:rFonts w:eastAsia="Calibri"/>
          <w:iCs/>
          <w:color w:val="000000"/>
          <w:sz w:val="24"/>
          <w:szCs w:val="24"/>
          <w:shd w:val="clear" w:color="auto" w:fill="FFFFFF"/>
        </w:rPr>
        <w:t>”</w:t>
      </w:r>
      <w:r w:rsidRPr="00BE4E66">
        <w:rPr>
          <w:rFonts w:eastAsia="Calibri"/>
          <w:iCs/>
          <w:color w:val="000000"/>
          <w:sz w:val="24"/>
          <w:szCs w:val="24"/>
          <w:shd w:val="clear" w:color="auto" w:fill="FFFFFF"/>
          <w:vertAlign w:val="superscript"/>
          <w:lang w:val="en-US"/>
        </w:rPr>
        <w:footnoteReference w:id="48"/>
      </w:r>
      <w:r w:rsidRPr="00BE4E66">
        <w:rPr>
          <w:rFonts w:eastAsia="Calibri"/>
          <w:iCs/>
          <w:color w:val="000000"/>
          <w:sz w:val="24"/>
          <w:szCs w:val="24"/>
          <w:shd w:val="clear" w:color="auto" w:fill="FFFFFF"/>
        </w:rPr>
        <w:t>, como la jurisprudencia de la Corte Interamericana de Derechos Humanos</w:t>
      </w:r>
      <w:r w:rsidRPr="00BE4E66">
        <w:rPr>
          <w:rFonts w:eastAsia="Calibri"/>
          <w:iCs/>
          <w:color w:val="000000"/>
          <w:sz w:val="24"/>
          <w:szCs w:val="24"/>
          <w:shd w:val="clear" w:color="auto" w:fill="FFFFFF"/>
          <w:vertAlign w:val="superscript"/>
          <w:lang w:val="en-US"/>
        </w:rPr>
        <w:footnoteReference w:id="49"/>
      </w:r>
      <w:r w:rsidRPr="00BE4E66">
        <w:rPr>
          <w:rFonts w:eastAsia="Calibri"/>
          <w:iCs/>
          <w:color w:val="000000"/>
          <w:sz w:val="24"/>
          <w:szCs w:val="24"/>
          <w:shd w:val="clear" w:color="auto" w:fill="FFFFFF"/>
        </w:rPr>
        <w:t xml:space="preserve"> y, </w:t>
      </w:r>
      <w:r>
        <w:rPr>
          <w:rFonts w:eastAsia="Calibri"/>
          <w:iCs/>
          <w:color w:val="000000"/>
          <w:sz w:val="24"/>
          <w:szCs w:val="24"/>
          <w:shd w:val="clear" w:color="auto" w:fill="FFFFFF"/>
        </w:rPr>
        <w:t>en el ámbito doméstico,</w:t>
      </w:r>
      <w:r w:rsidRPr="00BE4E66">
        <w:rPr>
          <w:rFonts w:eastAsia="Calibri"/>
          <w:iCs/>
          <w:color w:val="000000"/>
          <w:sz w:val="24"/>
          <w:szCs w:val="24"/>
          <w:shd w:val="clear" w:color="auto" w:fill="FFFFFF"/>
        </w:rPr>
        <w:t xml:space="preserve"> el artículo 44 de nuestra Constitución, establecen la prevalencia de los </w:t>
      </w:r>
      <w:r>
        <w:rPr>
          <w:rFonts w:eastAsia="Calibri"/>
          <w:iCs/>
          <w:color w:val="000000"/>
          <w:sz w:val="24"/>
          <w:szCs w:val="24"/>
          <w:shd w:val="clear" w:color="auto" w:fill="FFFFFF"/>
        </w:rPr>
        <w:t>derechos de los niños</w:t>
      </w:r>
      <w:r w:rsidRPr="00BE4E66">
        <w:rPr>
          <w:rFonts w:eastAsia="Calibri"/>
          <w:iCs/>
          <w:color w:val="000000"/>
          <w:sz w:val="24"/>
          <w:szCs w:val="24"/>
          <w:shd w:val="clear" w:color="auto" w:fill="FFFFFF"/>
        </w:rPr>
        <w:t>, con respecto de otros</w:t>
      </w:r>
      <w:r>
        <w:rPr>
          <w:rFonts w:eastAsia="Calibri"/>
          <w:iCs/>
          <w:color w:val="000000"/>
          <w:sz w:val="24"/>
          <w:szCs w:val="24"/>
          <w:shd w:val="clear" w:color="auto" w:fill="FFFFFF"/>
        </w:rPr>
        <w:t xml:space="preserve"> derechos,</w:t>
      </w:r>
      <w:r w:rsidRPr="00BE4E66">
        <w:rPr>
          <w:rFonts w:eastAsia="Calibri"/>
          <w:iCs/>
          <w:color w:val="000000"/>
          <w:sz w:val="24"/>
          <w:szCs w:val="24"/>
          <w:shd w:val="clear" w:color="auto" w:fill="FFFFFF"/>
        </w:rPr>
        <w:t xml:space="preserve"> intereses o bienes</w:t>
      </w:r>
      <w:r>
        <w:rPr>
          <w:rFonts w:eastAsia="Calibri"/>
          <w:iCs/>
          <w:color w:val="000000"/>
          <w:sz w:val="24"/>
          <w:szCs w:val="24"/>
          <w:shd w:val="clear" w:color="auto" w:fill="FFFFFF"/>
        </w:rPr>
        <w:t xml:space="preserve"> jurídicos</w:t>
      </w:r>
      <w:r w:rsidRPr="00BE4E66">
        <w:rPr>
          <w:rFonts w:eastAsia="Calibri"/>
          <w:iCs/>
          <w:color w:val="000000"/>
          <w:sz w:val="24"/>
          <w:szCs w:val="24"/>
          <w:shd w:val="clear" w:color="auto" w:fill="FFFFFF"/>
        </w:rPr>
        <w:t xml:space="preserve"> tutelados por el ordenamiento jurídico. </w:t>
      </w:r>
    </w:p>
    <w:p w:rsidR="00CF2E11" w:rsidRPr="00BE4E66" w:rsidRDefault="00CF2E11" w:rsidP="00CF2E11">
      <w:pPr>
        <w:spacing w:line="360" w:lineRule="auto"/>
        <w:rPr>
          <w:rFonts w:eastAsia="Calibri"/>
          <w:iCs/>
          <w:color w:val="000000"/>
          <w:sz w:val="24"/>
          <w:szCs w:val="24"/>
          <w:shd w:val="clear" w:color="auto" w:fill="FFFFFF"/>
        </w:rPr>
      </w:pPr>
    </w:p>
    <w:p w:rsidR="00CF2E11" w:rsidRPr="00BE4E66" w:rsidRDefault="00CF2E11" w:rsidP="00CF2E11">
      <w:pPr>
        <w:spacing w:line="360" w:lineRule="auto"/>
        <w:rPr>
          <w:rFonts w:eastAsia="Calibri"/>
          <w:iCs/>
          <w:color w:val="000000"/>
          <w:sz w:val="24"/>
          <w:szCs w:val="24"/>
          <w:shd w:val="clear" w:color="auto" w:fill="FFFFFF"/>
        </w:rPr>
      </w:pPr>
      <w:r w:rsidRPr="00BE4E66">
        <w:rPr>
          <w:rFonts w:eastAsia="Calibri"/>
          <w:b/>
          <w:iCs/>
          <w:color w:val="000000"/>
          <w:sz w:val="24"/>
          <w:szCs w:val="24"/>
          <w:shd w:val="clear" w:color="auto" w:fill="FFFFFF"/>
        </w:rPr>
        <w:t xml:space="preserve">ii. </w:t>
      </w:r>
      <w:r w:rsidRPr="00BE4E66">
        <w:rPr>
          <w:rFonts w:eastAsia="Calibri"/>
          <w:b/>
          <w:i/>
          <w:iCs/>
          <w:color w:val="000000"/>
          <w:sz w:val="24"/>
          <w:szCs w:val="24"/>
          <w:shd w:val="clear" w:color="auto" w:fill="FFFFFF"/>
        </w:rPr>
        <w:t>La autonomía reproductiva e integridad sexual de las mujeres</w:t>
      </w:r>
      <w:r w:rsidRPr="00BE4E66">
        <w:rPr>
          <w:rFonts w:eastAsia="Calibri"/>
          <w:b/>
          <w:iCs/>
          <w:color w:val="000000"/>
          <w:sz w:val="24"/>
          <w:szCs w:val="24"/>
          <w:shd w:val="clear" w:color="auto" w:fill="FFFFFF"/>
        </w:rPr>
        <w:t xml:space="preserve">. </w:t>
      </w:r>
      <w:r w:rsidRPr="00BE4E66">
        <w:rPr>
          <w:rFonts w:eastAsia="Calibri"/>
          <w:iCs/>
          <w:color w:val="000000"/>
          <w:sz w:val="24"/>
          <w:szCs w:val="24"/>
          <w:shd w:val="clear" w:color="auto" w:fill="FFFFFF"/>
        </w:rPr>
        <w:t>La inclusión en 1998 de los crímenes sexuales contra las mujeres como parte de las conductas más atroces que puedan cometerse en contra de la humanidad</w:t>
      </w:r>
      <w:r w:rsidRPr="00BE4E66">
        <w:rPr>
          <w:rFonts w:eastAsia="Calibri"/>
          <w:iCs/>
          <w:color w:val="000000"/>
          <w:sz w:val="24"/>
          <w:szCs w:val="24"/>
          <w:shd w:val="clear" w:color="auto" w:fill="FFFFFF"/>
          <w:vertAlign w:val="superscript"/>
        </w:rPr>
        <w:footnoteReference w:id="50"/>
      </w:r>
      <w:r w:rsidRPr="00BE4E66">
        <w:rPr>
          <w:rFonts w:eastAsia="Calibri"/>
          <w:iCs/>
          <w:color w:val="000000"/>
          <w:sz w:val="24"/>
          <w:szCs w:val="24"/>
          <w:shd w:val="clear" w:color="auto" w:fill="FFFFFF"/>
        </w:rPr>
        <w:t xml:space="preserve">, según lo dispone el Estatuto de Roma de la Corte Penal Internacional, constituye un indicio confiable de su rechazo </w:t>
      </w:r>
      <w:r w:rsidRPr="00BE4E66">
        <w:rPr>
          <w:rFonts w:eastAsia="Calibri"/>
          <w:i/>
          <w:iCs/>
          <w:color w:val="000000"/>
          <w:sz w:val="24"/>
          <w:szCs w:val="24"/>
          <w:shd w:val="clear" w:color="auto" w:fill="FFFFFF"/>
        </w:rPr>
        <w:t>unánime</w:t>
      </w:r>
      <w:r w:rsidRPr="00BE4E66">
        <w:rPr>
          <w:rFonts w:eastAsia="Calibri"/>
          <w:iCs/>
          <w:color w:val="000000"/>
          <w:sz w:val="24"/>
          <w:szCs w:val="24"/>
          <w:shd w:val="clear" w:color="auto" w:fill="FFFFFF"/>
        </w:rPr>
        <w:t xml:space="preserve"> por parte de la comunidad internacional, así como de la existencia de </w:t>
      </w:r>
      <w:r w:rsidRPr="00BE4E66">
        <w:rPr>
          <w:rFonts w:eastAsia="Calibri"/>
          <w:b/>
          <w:iCs/>
          <w:color w:val="000000"/>
          <w:sz w:val="24"/>
          <w:szCs w:val="24"/>
          <w:shd w:val="clear" w:color="auto" w:fill="FFFFFF"/>
        </w:rPr>
        <w:t>un deber general e inaplazable, de combatir, investigar, castigar y reparar la ocurrencia de los mismos al interior de su territorio con la mayor severidad y compromiso posible</w:t>
      </w:r>
      <w:r w:rsidRPr="00BE4E66">
        <w:rPr>
          <w:rFonts w:eastAsia="Calibri"/>
          <w:b/>
          <w:iCs/>
          <w:color w:val="000000"/>
          <w:sz w:val="24"/>
          <w:szCs w:val="24"/>
          <w:shd w:val="clear" w:color="auto" w:fill="FFFFFF"/>
          <w:vertAlign w:val="superscript"/>
        </w:rPr>
        <w:footnoteReference w:id="51"/>
      </w:r>
      <w:r w:rsidRPr="00BE4E66">
        <w:rPr>
          <w:rFonts w:eastAsia="Calibri"/>
          <w:b/>
          <w:iCs/>
          <w:color w:val="000000"/>
          <w:sz w:val="24"/>
          <w:szCs w:val="24"/>
          <w:shd w:val="clear" w:color="auto" w:fill="FFFFFF"/>
        </w:rPr>
        <w:t>.</w:t>
      </w:r>
      <w:r w:rsidRPr="00BE4E66">
        <w:rPr>
          <w:rFonts w:eastAsia="Calibri"/>
          <w:iCs/>
          <w:color w:val="000000"/>
          <w:sz w:val="24"/>
          <w:szCs w:val="24"/>
          <w:shd w:val="clear" w:color="auto" w:fill="FFFFFF"/>
        </w:rPr>
        <w:t xml:space="preserve"> </w:t>
      </w:r>
    </w:p>
    <w:p w:rsidR="00CF2E11" w:rsidRPr="00BE4E66" w:rsidRDefault="00CF2E11" w:rsidP="00CF2E11">
      <w:pPr>
        <w:spacing w:line="360" w:lineRule="auto"/>
        <w:rPr>
          <w:rFonts w:eastAsia="Calibri"/>
          <w:iCs/>
          <w:color w:val="000000"/>
          <w:sz w:val="24"/>
          <w:szCs w:val="24"/>
          <w:shd w:val="clear" w:color="auto" w:fill="FFFFFF"/>
        </w:rPr>
      </w:pPr>
    </w:p>
    <w:p w:rsidR="00CF2E11" w:rsidRPr="00BE4E66" w:rsidRDefault="00CF2E11" w:rsidP="00CF2E11">
      <w:pPr>
        <w:spacing w:line="360" w:lineRule="auto"/>
        <w:rPr>
          <w:rFonts w:eastAsia="Calibri"/>
          <w:iCs/>
          <w:color w:val="000000"/>
          <w:sz w:val="24"/>
          <w:szCs w:val="24"/>
          <w:shd w:val="clear" w:color="auto" w:fill="FFFFFF"/>
        </w:rPr>
      </w:pPr>
      <w:r w:rsidRPr="00BE4E66">
        <w:rPr>
          <w:rFonts w:eastAsia="Calibri"/>
          <w:b/>
          <w:iCs/>
          <w:color w:val="000000"/>
          <w:sz w:val="24"/>
          <w:szCs w:val="24"/>
          <w:shd w:val="clear" w:color="auto" w:fill="FFFFFF"/>
        </w:rPr>
        <w:t xml:space="preserve">iii. </w:t>
      </w:r>
      <w:r w:rsidRPr="00BE4E66">
        <w:rPr>
          <w:rFonts w:eastAsia="Calibri"/>
          <w:b/>
          <w:i/>
          <w:iCs/>
          <w:color w:val="000000"/>
          <w:sz w:val="24"/>
          <w:szCs w:val="24"/>
          <w:shd w:val="clear" w:color="auto" w:fill="FFFFFF"/>
        </w:rPr>
        <w:t>El derecho a la igualdad y la prohibición de discriminación</w:t>
      </w:r>
      <w:r w:rsidRPr="00BE4E66">
        <w:rPr>
          <w:rFonts w:eastAsia="Calibri"/>
          <w:b/>
          <w:iCs/>
          <w:color w:val="000000"/>
          <w:sz w:val="24"/>
          <w:szCs w:val="24"/>
          <w:shd w:val="clear" w:color="auto" w:fill="FFFFFF"/>
        </w:rPr>
        <w:t>.</w:t>
      </w:r>
      <w:r w:rsidRPr="00BE4E66">
        <w:rPr>
          <w:rFonts w:eastAsia="Calibri"/>
          <w:iCs/>
          <w:color w:val="000000"/>
          <w:sz w:val="24"/>
          <w:szCs w:val="24"/>
          <w:shd w:val="clear" w:color="auto" w:fill="FFFFFF"/>
        </w:rPr>
        <w:t xml:space="preserve"> Los artículos 13 constitucional y 24 de la Convención Americana sobre Derechos Humanos, entre otros, consagran el principio de igualdad como un límite infranqueable a la conducta del Estado y de los particulares, al punto de atribuirle entidad de norma de “ius cogens” o perteneciente al ámbito del derecho imperativo internacional</w:t>
      </w:r>
      <w:r w:rsidRPr="00BE4E66">
        <w:rPr>
          <w:rFonts w:eastAsia="Calibri"/>
          <w:iCs/>
          <w:color w:val="000000"/>
          <w:sz w:val="24"/>
          <w:szCs w:val="24"/>
          <w:shd w:val="clear" w:color="auto" w:fill="FFFFFF"/>
          <w:vertAlign w:val="superscript"/>
        </w:rPr>
        <w:footnoteReference w:id="52"/>
      </w:r>
      <w:r w:rsidRPr="00BE4E66">
        <w:rPr>
          <w:rFonts w:eastAsia="Calibri"/>
          <w:iCs/>
          <w:color w:val="000000"/>
          <w:sz w:val="24"/>
          <w:szCs w:val="24"/>
          <w:shd w:val="clear" w:color="auto" w:fill="FFFFFF"/>
        </w:rPr>
        <w:t xml:space="preserve">. Los pueblos indígenas también son titulares de este derecho y no pueden ser objeto de “ningún tipo de discriminación en el ejercicio de sus derechos, en particular la fundada en su origen o identidad indígenas”, según lo prevé el artículo 2º de la Declaración de las Naciones Unidas sobre los derechos de los pueblos indígenas de 2007. La Corte Constitucional colombiana también ha reconocido que la prohibición de discriminación “parece evidenciarse no sólo como propia al discurso constitucional de algunos Estados, sino poco a poco, como norma del </w:t>
      </w:r>
      <w:r w:rsidRPr="00BE4E66">
        <w:rPr>
          <w:rFonts w:eastAsia="Calibri"/>
          <w:i/>
          <w:iCs/>
          <w:color w:val="000000"/>
          <w:sz w:val="24"/>
          <w:szCs w:val="24"/>
          <w:shd w:val="clear" w:color="auto" w:fill="FFFFFF"/>
        </w:rPr>
        <w:t>ius cogens</w:t>
      </w:r>
      <w:r w:rsidRPr="00BE4E66">
        <w:rPr>
          <w:rFonts w:eastAsia="Calibri"/>
          <w:iCs/>
          <w:color w:val="000000"/>
          <w:sz w:val="24"/>
          <w:szCs w:val="24"/>
          <w:shd w:val="clear" w:color="auto" w:fill="FFFFFF"/>
        </w:rPr>
        <w:t>, [es decir] aceptada y reconocida por la comunidad internacional como un todo en tanto normas perentorias o imperativas respecto de las que no se permiten derogaciones”</w:t>
      </w:r>
      <w:r w:rsidRPr="00BE4E66">
        <w:rPr>
          <w:rFonts w:eastAsia="Calibri"/>
          <w:iCs/>
          <w:color w:val="000000"/>
          <w:sz w:val="24"/>
          <w:szCs w:val="24"/>
          <w:shd w:val="clear" w:color="auto" w:fill="FFFFFF"/>
          <w:vertAlign w:val="superscript"/>
        </w:rPr>
        <w:footnoteReference w:id="53"/>
      </w:r>
      <w:r w:rsidRPr="00BE4E66">
        <w:rPr>
          <w:rFonts w:eastAsia="Calibri"/>
          <w:iCs/>
          <w:color w:val="000000"/>
          <w:sz w:val="24"/>
          <w:szCs w:val="24"/>
          <w:shd w:val="clear" w:color="auto" w:fill="FFFFFF"/>
        </w:rPr>
        <w:t xml:space="preserve">. </w:t>
      </w:r>
    </w:p>
    <w:p w:rsidR="00CF2E11" w:rsidRPr="00BE4E66" w:rsidRDefault="00CF2E11" w:rsidP="00CF2E11">
      <w:pPr>
        <w:spacing w:line="360" w:lineRule="auto"/>
        <w:rPr>
          <w:rFonts w:eastAsia="Calibri"/>
          <w:iCs/>
          <w:color w:val="000000"/>
          <w:sz w:val="24"/>
          <w:szCs w:val="24"/>
          <w:shd w:val="clear" w:color="auto" w:fill="FFFFFF"/>
        </w:rPr>
      </w:pPr>
    </w:p>
    <w:p w:rsidR="00CF2E11" w:rsidRPr="00BE4E66" w:rsidRDefault="00CF2E11" w:rsidP="00CF2E11">
      <w:pPr>
        <w:spacing w:line="360" w:lineRule="auto"/>
        <w:rPr>
          <w:rFonts w:eastAsia="Calibri"/>
          <w:iCs/>
          <w:color w:val="000000"/>
          <w:sz w:val="24"/>
          <w:szCs w:val="24"/>
          <w:shd w:val="clear" w:color="auto" w:fill="FFFFFF"/>
        </w:rPr>
      </w:pPr>
      <w:r w:rsidRPr="00BE4E66">
        <w:rPr>
          <w:rFonts w:eastAsia="Calibri"/>
          <w:b/>
          <w:iCs/>
          <w:color w:val="000000"/>
          <w:sz w:val="24"/>
          <w:szCs w:val="24"/>
          <w:shd w:val="clear" w:color="auto" w:fill="FFFFFF"/>
        </w:rPr>
        <w:t xml:space="preserve">iv. </w:t>
      </w:r>
      <w:r w:rsidRPr="00BE4E66">
        <w:rPr>
          <w:rFonts w:eastAsia="Calibri"/>
          <w:b/>
          <w:i/>
          <w:iCs/>
          <w:color w:val="000000"/>
          <w:sz w:val="24"/>
          <w:szCs w:val="24"/>
          <w:shd w:val="clear" w:color="auto" w:fill="FFFFFF"/>
        </w:rPr>
        <w:t>La seguridad, la paz y la vigencia de un orden constitucional y democrático</w:t>
      </w:r>
      <w:r w:rsidRPr="00BE4E66">
        <w:rPr>
          <w:rFonts w:eastAsia="Calibri"/>
          <w:b/>
          <w:iCs/>
          <w:color w:val="000000"/>
          <w:sz w:val="24"/>
          <w:szCs w:val="24"/>
          <w:shd w:val="clear" w:color="auto" w:fill="FFFFFF"/>
        </w:rPr>
        <w:t>.</w:t>
      </w:r>
      <w:r w:rsidRPr="00BE4E66">
        <w:rPr>
          <w:rFonts w:eastAsia="Calibri"/>
          <w:iCs/>
          <w:color w:val="000000"/>
          <w:sz w:val="24"/>
          <w:szCs w:val="24"/>
          <w:shd w:val="clear" w:color="auto" w:fill="FFFFFF"/>
        </w:rPr>
        <w:t xml:space="preserve"> La población colombiana, al igual que la mayoría naciones del mundo, es titular de los intereses colectivos a la seguridad, la paz, democracia y el disfrute de un orden social democrático y constitucional. Así se infiere de las normas sobre naturaleza y finalidades del Estado colombiano (por ejemplo, los artículos 1º y 2º de la Constitución Política), y de esa forma lo reconocen los principales instrumentos normativos que estructuran el sistema jurídico internacional, como la Carta de las Naciones Unidas de 1945</w:t>
      </w:r>
      <w:r w:rsidRPr="00BE4E66">
        <w:rPr>
          <w:rFonts w:eastAsia="Calibri"/>
          <w:iCs/>
          <w:color w:val="000000"/>
          <w:sz w:val="24"/>
          <w:szCs w:val="24"/>
          <w:shd w:val="clear" w:color="auto" w:fill="FFFFFF"/>
          <w:vertAlign w:val="superscript"/>
        </w:rPr>
        <w:footnoteReference w:id="54"/>
      </w:r>
      <w:r w:rsidRPr="00BE4E66">
        <w:rPr>
          <w:rFonts w:eastAsia="Calibri"/>
          <w:iCs/>
          <w:color w:val="000000"/>
          <w:sz w:val="24"/>
          <w:szCs w:val="24"/>
          <w:shd w:val="clear" w:color="auto" w:fill="FFFFFF"/>
        </w:rPr>
        <w:t>, la Carta de la Organización de los Estados Americanos de 1948 y, más recientemente la Carta Democrática Interamericana de 2001, según la cual, “los pueblos de América tienen derecho a la democracia y sus gobiernos la obligación de promoverla y defenderla”. Corolario de lo anterior, es el deber de asegurar “el mantenimiento de la paz y la seguridad”</w:t>
      </w:r>
      <w:r w:rsidRPr="00BE4E66">
        <w:rPr>
          <w:rFonts w:eastAsia="Calibri"/>
          <w:iCs/>
          <w:color w:val="000000"/>
          <w:sz w:val="24"/>
          <w:szCs w:val="24"/>
          <w:shd w:val="clear" w:color="auto" w:fill="FFFFFF"/>
          <w:vertAlign w:val="superscript"/>
        </w:rPr>
        <w:footnoteReference w:id="55"/>
      </w:r>
      <w:r w:rsidRPr="00BE4E66">
        <w:rPr>
          <w:rFonts w:eastAsia="Calibri"/>
          <w:iCs/>
          <w:color w:val="000000"/>
          <w:sz w:val="24"/>
          <w:szCs w:val="24"/>
          <w:shd w:val="clear" w:color="auto" w:fill="FFFFFF"/>
        </w:rPr>
        <w:t>, mediante la represión de todas aquellas conductas criminales con la aptitud para destruir, desestabilizar o lesionar la convivencia pacífica de la sociedad. Ahora bien, atendiendo el contexto actual y los desarrollos normativos recientes, parece razonable incluir preliminarmente dentro de este catálogo de de delitos, aquellos relacionados con el terrorismo</w:t>
      </w:r>
      <w:r w:rsidRPr="00BE4E66">
        <w:rPr>
          <w:rFonts w:eastAsia="Calibri"/>
          <w:iCs/>
          <w:color w:val="000000"/>
          <w:sz w:val="24"/>
          <w:szCs w:val="24"/>
          <w:shd w:val="clear" w:color="auto" w:fill="FFFFFF"/>
          <w:vertAlign w:val="superscript"/>
        </w:rPr>
        <w:footnoteReference w:id="56"/>
      </w:r>
      <w:r w:rsidRPr="00BE4E66">
        <w:rPr>
          <w:rFonts w:eastAsia="Calibri"/>
          <w:iCs/>
          <w:color w:val="000000"/>
          <w:sz w:val="24"/>
          <w:szCs w:val="24"/>
          <w:shd w:val="clear" w:color="auto" w:fill="FFFFFF"/>
        </w:rPr>
        <w:t>; las violaciones graves a los derechos humanos, los crímenes de lesa humanidad y las infracciones al Derecho Internacional Humanitario</w:t>
      </w:r>
      <w:r w:rsidRPr="00BE4E66">
        <w:rPr>
          <w:rFonts w:eastAsia="Calibri"/>
          <w:iCs/>
          <w:color w:val="000000"/>
          <w:sz w:val="24"/>
          <w:szCs w:val="24"/>
          <w:shd w:val="clear" w:color="auto" w:fill="FFFFFF"/>
          <w:vertAlign w:val="superscript"/>
        </w:rPr>
        <w:footnoteReference w:id="57"/>
      </w:r>
      <w:r w:rsidRPr="00BE4E66">
        <w:rPr>
          <w:rFonts w:eastAsia="Calibri"/>
          <w:iCs/>
          <w:color w:val="000000"/>
          <w:sz w:val="24"/>
          <w:szCs w:val="24"/>
          <w:shd w:val="clear" w:color="auto" w:fill="FFFFFF"/>
        </w:rPr>
        <w:t>; el tráfico de estupefacientes</w:t>
      </w:r>
      <w:r w:rsidRPr="00BE4E66">
        <w:rPr>
          <w:rFonts w:eastAsia="Calibri"/>
          <w:iCs/>
          <w:color w:val="000000"/>
          <w:sz w:val="24"/>
          <w:szCs w:val="24"/>
          <w:shd w:val="clear" w:color="auto" w:fill="FFFFFF"/>
          <w:vertAlign w:val="superscript"/>
        </w:rPr>
        <w:footnoteReference w:id="58"/>
      </w:r>
      <w:r w:rsidRPr="00BE4E66">
        <w:rPr>
          <w:rFonts w:eastAsia="Calibri"/>
          <w:iCs/>
          <w:color w:val="000000"/>
          <w:sz w:val="24"/>
          <w:szCs w:val="24"/>
          <w:shd w:val="clear" w:color="auto" w:fill="FFFFFF"/>
        </w:rPr>
        <w:t xml:space="preserve"> y las afrentas contra el orden social, económico y financiero</w:t>
      </w:r>
      <w:r w:rsidRPr="00BE4E66">
        <w:rPr>
          <w:rFonts w:eastAsia="Calibri"/>
          <w:iCs/>
          <w:color w:val="000000"/>
          <w:sz w:val="24"/>
          <w:szCs w:val="24"/>
          <w:shd w:val="clear" w:color="auto" w:fill="FFFFFF"/>
          <w:vertAlign w:val="superscript"/>
        </w:rPr>
        <w:footnoteReference w:id="59"/>
      </w:r>
      <w:r w:rsidRPr="00BE4E66">
        <w:rPr>
          <w:rFonts w:eastAsia="Calibri"/>
          <w:iCs/>
          <w:color w:val="000000"/>
          <w:sz w:val="24"/>
          <w:szCs w:val="24"/>
          <w:shd w:val="clear" w:color="auto" w:fill="FFFFFF"/>
        </w:rPr>
        <w:t xml:space="preserve">. Todas estas conductas, por su gravedad intrínseca, la pluralidad de sujetos que afectan y la entidad y número de bienes jurídicos que lesionan, representan ejemplos claros de delitos contrarios a la paz, la estabilidad y el orden político democrático de cualquier país. </w:t>
      </w:r>
    </w:p>
    <w:p w:rsidR="00CF2E11" w:rsidRPr="00BE4E66" w:rsidRDefault="00CF2E11" w:rsidP="00CF2E11">
      <w:pPr>
        <w:spacing w:line="360" w:lineRule="auto"/>
        <w:rPr>
          <w:rFonts w:eastAsia="Calibri"/>
          <w:iCs/>
          <w:color w:val="000000"/>
          <w:sz w:val="24"/>
          <w:szCs w:val="24"/>
          <w:shd w:val="clear" w:color="auto" w:fill="FFFFFF"/>
        </w:rPr>
      </w:pPr>
    </w:p>
    <w:p w:rsidR="00CF2E11" w:rsidRPr="00BE4E66" w:rsidRDefault="00CF2E11" w:rsidP="00CF2E11">
      <w:pPr>
        <w:spacing w:line="360" w:lineRule="auto"/>
        <w:rPr>
          <w:rFonts w:eastAsia="Calibri"/>
          <w:iCs/>
          <w:color w:val="000000"/>
          <w:sz w:val="24"/>
          <w:szCs w:val="24"/>
          <w:shd w:val="clear" w:color="auto" w:fill="FFFFFF"/>
        </w:rPr>
      </w:pPr>
      <w:r w:rsidRPr="00BE4E66">
        <w:rPr>
          <w:rFonts w:eastAsia="Calibri"/>
          <w:b/>
          <w:iCs/>
          <w:color w:val="000000"/>
          <w:sz w:val="24"/>
          <w:szCs w:val="24"/>
          <w:shd w:val="clear" w:color="auto" w:fill="FFFFFF"/>
        </w:rPr>
        <w:t xml:space="preserve">v. </w:t>
      </w:r>
      <w:r w:rsidRPr="00BE4E66">
        <w:rPr>
          <w:rFonts w:eastAsia="Calibri"/>
          <w:b/>
          <w:i/>
          <w:iCs/>
          <w:color w:val="000000"/>
          <w:sz w:val="24"/>
          <w:szCs w:val="24"/>
          <w:shd w:val="clear" w:color="auto" w:fill="FFFFFF"/>
        </w:rPr>
        <w:t>Los derechos de las víctimas a la verdad, la justicia, la reparación y la no repetición</w:t>
      </w:r>
      <w:r w:rsidRPr="00BE4E66">
        <w:rPr>
          <w:rFonts w:eastAsia="Calibri"/>
          <w:b/>
          <w:iCs/>
          <w:color w:val="000000"/>
          <w:sz w:val="24"/>
          <w:szCs w:val="24"/>
          <w:shd w:val="clear" w:color="auto" w:fill="FFFFFF"/>
        </w:rPr>
        <w:t>.</w:t>
      </w:r>
      <w:r w:rsidRPr="00BE4E66">
        <w:rPr>
          <w:rFonts w:eastAsia="Calibri"/>
          <w:iCs/>
          <w:color w:val="000000"/>
          <w:sz w:val="24"/>
          <w:szCs w:val="24"/>
          <w:shd w:val="clear" w:color="auto" w:fill="FFFFFF"/>
        </w:rPr>
        <w:t xml:space="preserve"> Instrumentos internacionales y mandatos constitucionales establecen derechos intangibles a favor de las víctimas de violaciones a los derechos humanos</w:t>
      </w:r>
      <w:r w:rsidRPr="00BE4E66">
        <w:rPr>
          <w:rFonts w:eastAsia="Calibri"/>
          <w:iCs/>
          <w:color w:val="000000"/>
          <w:sz w:val="24"/>
          <w:szCs w:val="24"/>
          <w:shd w:val="clear" w:color="auto" w:fill="FFFFFF"/>
          <w:vertAlign w:val="superscript"/>
        </w:rPr>
        <w:footnoteReference w:id="60"/>
      </w:r>
      <w:r w:rsidRPr="00BE4E66">
        <w:rPr>
          <w:rFonts w:eastAsia="Calibri"/>
          <w:iCs/>
          <w:color w:val="000000"/>
          <w:sz w:val="24"/>
          <w:szCs w:val="24"/>
          <w:shd w:val="clear" w:color="auto" w:fill="FFFFFF"/>
        </w:rPr>
        <w:t xml:space="preserve">. Su prevalencia, </w:t>
      </w:r>
      <w:r w:rsidRPr="00BE4E66">
        <w:rPr>
          <w:rFonts w:eastAsia="Calibri"/>
          <w:i/>
          <w:iCs/>
          <w:color w:val="000000"/>
          <w:sz w:val="24"/>
          <w:szCs w:val="24"/>
          <w:shd w:val="clear" w:color="auto" w:fill="FFFFFF"/>
        </w:rPr>
        <w:t>prima facie</w:t>
      </w:r>
      <w:r w:rsidRPr="00BE4E66">
        <w:rPr>
          <w:rFonts w:eastAsia="Calibri"/>
          <w:iCs/>
          <w:color w:val="000000"/>
          <w:sz w:val="24"/>
          <w:szCs w:val="24"/>
          <w:shd w:val="clear" w:color="auto" w:fill="FFFFFF"/>
        </w:rPr>
        <w:t>, sobre el conjunto de derechos, individuales y colectivos, pareciera haberse consumado en nuestro sistema jurídico en virtud de precedentes tales como los fijados por la Corte Constitucional en la sentencia C-579 de 2013 y la Corte Interamericana de Derechos Humanos en la sentencia Caso Gelman contra Uruguay (2011). En efecto, mientras la primera corporación calificó como “pilar esencial” del Estado colombiano, entre otras cosas, la garantía del derecho de las víctimas a disfrutar de una investigación penal “seria, imparcial, efectiva, cumplida en un plazo razonable y con su participación”</w:t>
      </w:r>
      <w:r w:rsidRPr="00BE4E66">
        <w:rPr>
          <w:rFonts w:eastAsia="Calibri"/>
          <w:iCs/>
          <w:color w:val="000000"/>
          <w:sz w:val="24"/>
          <w:szCs w:val="24"/>
          <w:shd w:val="clear" w:color="auto" w:fill="FFFFFF"/>
          <w:vertAlign w:val="superscript"/>
        </w:rPr>
        <w:footnoteReference w:id="61"/>
      </w:r>
      <w:r w:rsidRPr="00BE4E66">
        <w:rPr>
          <w:rFonts w:eastAsia="Calibri"/>
          <w:iCs/>
          <w:color w:val="000000"/>
          <w:sz w:val="24"/>
          <w:szCs w:val="24"/>
          <w:shd w:val="clear" w:color="auto" w:fill="FFFFFF"/>
        </w:rPr>
        <w:t>; la segunda aseguró que “la existencia de un verdadero régimen democrático”</w:t>
      </w:r>
      <w:r w:rsidRPr="00BE4E66">
        <w:rPr>
          <w:rFonts w:eastAsia="Calibri"/>
          <w:iCs/>
          <w:color w:val="000000"/>
          <w:sz w:val="24"/>
          <w:szCs w:val="24"/>
          <w:shd w:val="clear" w:color="auto" w:fill="FFFFFF"/>
          <w:vertAlign w:val="superscript"/>
        </w:rPr>
        <w:footnoteReference w:id="62"/>
      </w:r>
      <w:r w:rsidRPr="00BE4E66">
        <w:rPr>
          <w:rFonts w:eastAsia="Calibri"/>
          <w:iCs/>
          <w:color w:val="000000"/>
          <w:sz w:val="24"/>
          <w:szCs w:val="24"/>
          <w:shd w:val="clear" w:color="auto" w:fill="FFFFFF"/>
        </w:rPr>
        <w:t xml:space="preserve"> supone la garantía de los derechos de las víctimas a la investigación, sanción y reparación de los agravios que debieron soportar.</w:t>
      </w:r>
    </w:p>
    <w:p w:rsidR="00CF2E11" w:rsidRPr="00BE4E66" w:rsidRDefault="00CF2E11" w:rsidP="00CF2E11">
      <w:pPr>
        <w:spacing w:line="360" w:lineRule="auto"/>
        <w:rPr>
          <w:rFonts w:eastAsia="Calibri"/>
          <w:iCs/>
          <w:color w:val="000000"/>
          <w:sz w:val="24"/>
          <w:szCs w:val="24"/>
          <w:shd w:val="clear" w:color="auto" w:fill="FFFFFF"/>
        </w:rPr>
      </w:pPr>
    </w:p>
    <w:p w:rsidR="00CF2E11" w:rsidRPr="00BE4E66" w:rsidRDefault="00CF2E11" w:rsidP="00CF2E11">
      <w:pPr>
        <w:spacing w:line="360" w:lineRule="auto"/>
        <w:rPr>
          <w:rFonts w:eastAsia="Calibri"/>
          <w:iCs/>
          <w:color w:val="000000"/>
          <w:sz w:val="24"/>
          <w:szCs w:val="24"/>
          <w:shd w:val="clear" w:color="auto" w:fill="FFFFFF"/>
        </w:rPr>
      </w:pPr>
      <w:r w:rsidRPr="00BE4E66">
        <w:rPr>
          <w:rFonts w:eastAsia="Calibri"/>
          <w:iCs/>
          <w:color w:val="000000"/>
          <w:sz w:val="24"/>
          <w:szCs w:val="24"/>
          <w:shd w:val="clear" w:color="auto" w:fill="FFFFFF"/>
        </w:rPr>
        <w:t xml:space="preserve">Como se aprecia, este conjunto de derechos e intereses jurídicos tutelados con normas penales de alcance internacional, constituyen límites sustanciales a la soberanía de los Estados y, por ese camino, restringen su discrecionalidad en lo relativo al </w:t>
      </w:r>
      <w:r w:rsidRPr="00BE4E66">
        <w:rPr>
          <w:rFonts w:eastAsia="Calibri"/>
          <w:i/>
          <w:iCs/>
          <w:color w:val="000000"/>
          <w:sz w:val="24"/>
          <w:szCs w:val="24"/>
          <w:shd w:val="clear" w:color="auto" w:fill="FFFFFF"/>
        </w:rPr>
        <w:t>sí</w:t>
      </w:r>
      <w:r w:rsidRPr="00BE4E66">
        <w:rPr>
          <w:rFonts w:eastAsia="Calibri"/>
          <w:iCs/>
          <w:color w:val="000000"/>
          <w:sz w:val="24"/>
          <w:szCs w:val="24"/>
          <w:shd w:val="clear" w:color="auto" w:fill="FFFFFF"/>
        </w:rPr>
        <w:t xml:space="preserve"> y al </w:t>
      </w:r>
      <w:r w:rsidRPr="00BE4E66">
        <w:rPr>
          <w:rFonts w:eastAsia="Calibri"/>
          <w:i/>
          <w:iCs/>
          <w:color w:val="000000"/>
          <w:sz w:val="24"/>
          <w:szCs w:val="24"/>
          <w:shd w:val="clear" w:color="auto" w:fill="FFFFFF"/>
        </w:rPr>
        <w:t>cómo</w:t>
      </w:r>
      <w:r w:rsidRPr="00BE4E66">
        <w:rPr>
          <w:rFonts w:eastAsia="Calibri"/>
          <w:iCs/>
          <w:color w:val="000000"/>
          <w:sz w:val="24"/>
          <w:szCs w:val="24"/>
          <w:shd w:val="clear" w:color="auto" w:fill="FFFFFF"/>
        </w:rPr>
        <w:t xml:space="preserve"> de la persecución penal. Ante su ocurrencia, las autoridades públicas siempre deberán efectuar una investigación coherente con los estándares nacionales e internacionales aplicables a cada una de esas modalidades delictivas. </w:t>
      </w:r>
    </w:p>
    <w:p w:rsidR="00CF2E11" w:rsidRPr="00BE4E66" w:rsidRDefault="00CF2E11" w:rsidP="00CF2E11">
      <w:pPr>
        <w:spacing w:line="360" w:lineRule="auto"/>
        <w:rPr>
          <w:rFonts w:eastAsia="Calibri"/>
          <w:iCs/>
          <w:color w:val="000000"/>
          <w:sz w:val="24"/>
          <w:szCs w:val="24"/>
          <w:shd w:val="clear" w:color="auto" w:fill="FFFFFF"/>
        </w:rPr>
      </w:pPr>
    </w:p>
    <w:p w:rsidR="00CF2E11" w:rsidRPr="00BE4E66" w:rsidRDefault="00CF2E11" w:rsidP="00CF2E11">
      <w:pPr>
        <w:spacing w:line="360" w:lineRule="auto"/>
        <w:rPr>
          <w:rFonts w:eastAsia="Calibri"/>
          <w:iCs/>
          <w:color w:val="000000"/>
          <w:sz w:val="24"/>
          <w:szCs w:val="24"/>
          <w:shd w:val="clear" w:color="auto" w:fill="FFFFFF"/>
        </w:rPr>
      </w:pPr>
      <w:r w:rsidRPr="00BE4E66">
        <w:rPr>
          <w:rFonts w:eastAsia="Calibri"/>
          <w:iCs/>
          <w:color w:val="000000"/>
          <w:sz w:val="24"/>
          <w:szCs w:val="24"/>
          <w:shd w:val="clear" w:color="auto" w:fill="FFFFFF"/>
        </w:rPr>
        <w:t xml:space="preserve">Así, los derechos e intereses mencionados demandan acciones específicas de protección por parte de los Estados que disminuyen las posibilidades de que sus afrentas puedan investigarse y juzgarse por la jurisdicción indígena. </w:t>
      </w:r>
    </w:p>
    <w:p w:rsidR="00CF2E11" w:rsidRPr="00BE4E66" w:rsidRDefault="00CF2E11" w:rsidP="00CF2E11">
      <w:pPr>
        <w:spacing w:line="360" w:lineRule="auto"/>
        <w:rPr>
          <w:iCs/>
          <w:color w:val="000000"/>
          <w:sz w:val="24"/>
          <w:szCs w:val="24"/>
          <w:shd w:val="clear" w:color="auto" w:fill="FFFFFF"/>
        </w:rPr>
      </w:pPr>
    </w:p>
    <w:p w:rsidR="00CF2E11" w:rsidRPr="00BE4E66" w:rsidRDefault="00CF2E11" w:rsidP="00CF2E11">
      <w:pPr>
        <w:spacing w:line="360" w:lineRule="auto"/>
        <w:rPr>
          <w:rFonts w:eastAsia="Calibri"/>
          <w:iCs/>
          <w:color w:val="000000"/>
          <w:sz w:val="24"/>
          <w:szCs w:val="24"/>
          <w:shd w:val="clear" w:color="auto" w:fill="FFFFFF"/>
        </w:rPr>
      </w:pPr>
      <w:r w:rsidRPr="00BE4E66">
        <w:rPr>
          <w:rFonts w:eastAsia="Calibri"/>
          <w:iCs/>
          <w:color w:val="000000"/>
          <w:sz w:val="24"/>
          <w:szCs w:val="24"/>
          <w:shd w:val="clear" w:color="auto" w:fill="FFFFFF"/>
        </w:rPr>
        <w:t xml:space="preserve">En lo anteriores términos, esta corporación reconoce la ampliación del repertorio mínimo de derechos humanos e intereses colectivos no susceptibles de limitación por la jurisdicción indígena y, por consiguiente, reitera la prevalencia </w:t>
      </w:r>
      <w:r w:rsidRPr="00BE4E66">
        <w:rPr>
          <w:rFonts w:eastAsia="Calibri"/>
          <w:i/>
          <w:iCs/>
          <w:color w:val="000000"/>
          <w:sz w:val="24"/>
          <w:szCs w:val="24"/>
          <w:shd w:val="clear" w:color="auto" w:fill="FFFFFF"/>
        </w:rPr>
        <w:t>prima facie</w:t>
      </w:r>
      <w:r w:rsidRPr="00BE4E66">
        <w:rPr>
          <w:rFonts w:eastAsia="Calibri"/>
          <w:iCs/>
          <w:color w:val="000000"/>
          <w:sz w:val="24"/>
          <w:szCs w:val="24"/>
          <w:shd w:val="clear" w:color="auto" w:fill="FFFFFF"/>
        </w:rPr>
        <w:t xml:space="preserve"> del elemento objetivo de la misma, en lo referido a la definición de la jurisdicción competente para investigar y juzgar delitos contrarios a los derechos y principios mencionados. </w:t>
      </w:r>
    </w:p>
    <w:p w:rsidR="00CF2E11" w:rsidRPr="00BE4E66" w:rsidRDefault="00CF2E11" w:rsidP="00CF2E11">
      <w:pPr>
        <w:rPr>
          <w:rFonts w:eastAsia="Calibri"/>
          <w:iCs/>
          <w:color w:val="000000"/>
          <w:sz w:val="24"/>
          <w:szCs w:val="24"/>
          <w:shd w:val="clear" w:color="auto" w:fill="FFFFFF"/>
        </w:rPr>
      </w:pPr>
    </w:p>
    <w:p w:rsidR="00CF2E11" w:rsidRPr="00BE4E66" w:rsidRDefault="00CF2E11" w:rsidP="00CF2E11">
      <w:pPr>
        <w:spacing w:line="360" w:lineRule="auto"/>
        <w:rPr>
          <w:rFonts w:eastAsia="Calibri"/>
          <w:iCs/>
          <w:sz w:val="24"/>
          <w:szCs w:val="24"/>
          <w:shd w:val="clear" w:color="auto" w:fill="FFFFFF"/>
        </w:rPr>
      </w:pPr>
      <w:r w:rsidRPr="00BE4E66">
        <w:rPr>
          <w:rFonts w:eastAsia="Calibri"/>
          <w:iCs/>
          <w:sz w:val="24"/>
          <w:szCs w:val="24"/>
          <w:shd w:val="clear" w:color="auto" w:fill="FFFFFF"/>
        </w:rPr>
        <w:t xml:space="preserve">Esta tesis parece haber sido acogida ya por la Corte Constitucional en sentencias como la T-449 de 2013, en donde conoció una acción de tutela promovida en contra de esta Sala por dirimir un conflicto entre las jurisdicciones penal ordinaria y la indígena, a favor de la primera. En tal ocasión, los hechos delictivos objeto de controversia aludían a la posible </w:t>
      </w:r>
      <w:r w:rsidRPr="00BE4E66">
        <w:rPr>
          <w:rFonts w:eastAsia="Calibri"/>
          <w:i/>
          <w:iCs/>
          <w:sz w:val="24"/>
          <w:szCs w:val="24"/>
          <w:shd w:val="clear" w:color="auto" w:fill="FFFFFF"/>
        </w:rPr>
        <w:t>desaparición forzada</w:t>
      </w:r>
      <w:r w:rsidRPr="00BE4E66">
        <w:rPr>
          <w:rFonts w:eastAsia="Calibri"/>
          <w:iCs/>
          <w:sz w:val="24"/>
          <w:szCs w:val="24"/>
          <w:shd w:val="clear" w:color="auto" w:fill="FFFFFF"/>
        </w:rPr>
        <w:t xml:space="preserve"> cometida por indígenas, dentro del territorio ancestral y en contra de otros miembros de la comunidad. Ante la gravedad inusitada de este delito y la prohibición internacional de evadir la aplicación de justicia formal y Estatal en esta clase de eventos, </w:t>
      </w:r>
      <w:r w:rsidRPr="00BE4E66">
        <w:rPr>
          <w:rFonts w:eastAsia="Calibri"/>
          <w:b/>
          <w:iCs/>
          <w:sz w:val="24"/>
          <w:szCs w:val="24"/>
          <w:shd w:val="clear" w:color="auto" w:fill="FFFFFF"/>
        </w:rPr>
        <w:t>la Corte Constitucional avaló la interpretación adoptada por esta Sala en el sentido de que ese tipo de atentados graves contra los derechos humanos bajo ninguna hipótesis son susceptibles de investigarse y juzgarse por la justicia especial indígena.</w:t>
      </w:r>
      <w:r w:rsidRPr="00BE4E66">
        <w:rPr>
          <w:rFonts w:eastAsia="Calibri"/>
          <w:iCs/>
          <w:sz w:val="24"/>
          <w:szCs w:val="24"/>
          <w:shd w:val="clear" w:color="auto" w:fill="FFFFFF"/>
        </w:rPr>
        <w:t xml:space="preserve"> En palabras del Alto Tribunal: </w:t>
      </w:r>
    </w:p>
    <w:p w:rsidR="00CF2E11" w:rsidRPr="00BE4E66" w:rsidRDefault="00CF2E11" w:rsidP="00CF2E11">
      <w:pPr>
        <w:spacing w:line="360" w:lineRule="auto"/>
        <w:rPr>
          <w:rFonts w:eastAsia="Calibri"/>
          <w:iCs/>
          <w:sz w:val="24"/>
          <w:szCs w:val="24"/>
          <w:shd w:val="clear" w:color="auto" w:fill="FFFFFF"/>
        </w:rPr>
      </w:pPr>
    </w:p>
    <w:p w:rsidR="00CF2E11" w:rsidRPr="00BE4E66" w:rsidRDefault="00CF2E11" w:rsidP="00CF2E11">
      <w:pPr>
        <w:ind w:left="708"/>
        <w:rPr>
          <w:rFonts w:eastAsia="Calibri"/>
          <w:iCs/>
          <w:sz w:val="24"/>
          <w:szCs w:val="24"/>
          <w:shd w:val="clear" w:color="auto" w:fill="FFFFFF"/>
        </w:rPr>
      </w:pPr>
      <w:r w:rsidRPr="00BE4E66">
        <w:rPr>
          <w:rFonts w:eastAsia="Calibri"/>
          <w:iCs/>
          <w:sz w:val="24"/>
          <w:szCs w:val="24"/>
          <w:shd w:val="clear" w:color="auto" w:fill="FFFFFF"/>
        </w:rPr>
        <w:t>“No es necesario ahondar en el análisis de la circunstancia de que la víctima no sea indígena, pues incluso en el evento de serlo, si se trata de juzgar hechos constitutivos de desaparición forzada de personas, el asunto corresponde de manera exclusiva a la jurisdicción ordinaria, con exclusión de la jurisdicción especial indígena.</w:t>
      </w:r>
    </w:p>
    <w:p w:rsidR="00CF2E11" w:rsidRPr="00BE4E66" w:rsidRDefault="00CF2E11" w:rsidP="00CF2E11">
      <w:pPr>
        <w:ind w:left="708"/>
        <w:rPr>
          <w:rFonts w:eastAsia="Calibri"/>
          <w:iCs/>
          <w:sz w:val="24"/>
          <w:szCs w:val="24"/>
          <w:shd w:val="clear" w:color="auto" w:fill="FFFFFF"/>
        </w:rPr>
      </w:pPr>
    </w:p>
    <w:p w:rsidR="00CF2E11" w:rsidRPr="00BE4E66" w:rsidRDefault="00CF2E11" w:rsidP="00CF2E11">
      <w:pPr>
        <w:ind w:left="708"/>
        <w:rPr>
          <w:rFonts w:eastAsia="Calibri"/>
          <w:iCs/>
          <w:sz w:val="24"/>
          <w:szCs w:val="24"/>
          <w:shd w:val="clear" w:color="auto" w:fill="FFFFFF"/>
        </w:rPr>
      </w:pPr>
      <w:r w:rsidRPr="00BE4E66">
        <w:rPr>
          <w:rFonts w:eastAsia="Calibri"/>
          <w:iCs/>
          <w:sz w:val="24"/>
          <w:szCs w:val="24"/>
          <w:shd w:val="clear" w:color="auto" w:fill="FFFFFF"/>
        </w:rPr>
        <w:t xml:space="preserve">[…] </w:t>
      </w:r>
      <w:r w:rsidRPr="00BE4E66">
        <w:rPr>
          <w:rFonts w:eastAsia="Calibri"/>
          <w:iCs/>
          <w:sz w:val="24"/>
          <w:szCs w:val="24"/>
          <w:u w:val="single"/>
          <w:shd w:val="clear" w:color="auto" w:fill="FFFFFF"/>
        </w:rPr>
        <w:t>Solamente la jurisdicción ordinaria puede juzgar a los presuntos responsables de hechos constitutivos de desaparición forzada, con exclusión de cualquier jurisdicción especial, sea la jurisdicción penal militar o sea la jurisdicción indígena</w:t>
      </w:r>
      <w:r w:rsidRPr="00BE4E66">
        <w:rPr>
          <w:rFonts w:eastAsia="Calibri"/>
          <w:iCs/>
          <w:sz w:val="24"/>
          <w:szCs w:val="24"/>
          <w:shd w:val="clear" w:color="auto" w:fill="FFFFFF"/>
        </w:rPr>
        <w:t>” (Destaca la Sala).</w:t>
      </w:r>
    </w:p>
    <w:p w:rsidR="00CF2E11" w:rsidRPr="00BE4E66" w:rsidRDefault="00CF2E11" w:rsidP="00CF2E11">
      <w:pPr>
        <w:ind w:left="708"/>
        <w:rPr>
          <w:rFonts w:eastAsia="Calibri"/>
          <w:iCs/>
          <w:sz w:val="24"/>
          <w:szCs w:val="24"/>
          <w:shd w:val="clear" w:color="auto" w:fill="FFFFFF"/>
        </w:rPr>
      </w:pPr>
    </w:p>
    <w:p w:rsidR="00CF2E11" w:rsidRPr="00BE4E66" w:rsidRDefault="00CF2E11" w:rsidP="00CF2E11">
      <w:pPr>
        <w:rPr>
          <w:rFonts w:eastAsia="Calibri"/>
          <w:iCs/>
          <w:sz w:val="24"/>
          <w:szCs w:val="24"/>
          <w:shd w:val="clear" w:color="auto" w:fill="FFFFFF"/>
          <w:lang w:val="es-CO"/>
        </w:rPr>
      </w:pPr>
    </w:p>
    <w:p w:rsidR="00CF2E11" w:rsidRPr="00BE4E66" w:rsidRDefault="00CF2E11" w:rsidP="00CF2E11">
      <w:pPr>
        <w:spacing w:line="360" w:lineRule="auto"/>
        <w:rPr>
          <w:rFonts w:eastAsia="Calibri"/>
          <w:iCs/>
          <w:sz w:val="24"/>
          <w:szCs w:val="24"/>
          <w:shd w:val="clear" w:color="auto" w:fill="FFFFFF"/>
        </w:rPr>
      </w:pPr>
      <w:r w:rsidRPr="00BE4E66">
        <w:rPr>
          <w:rFonts w:eastAsia="Calibri"/>
          <w:iCs/>
          <w:sz w:val="24"/>
          <w:szCs w:val="24"/>
          <w:shd w:val="clear" w:color="auto" w:fill="FFFFFF"/>
        </w:rPr>
        <w:t xml:space="preserve">Como se observa, la tesis de la </w:t>
      </w:r>
      <w:r w:rsidRPr="00BE4E66">
        <w:rPr>
          <w:rFonts w:eastAsia="Calibri"/>
          <w:b/>
          <w:iCs/>
          <w:sz w:val="24"/>
          <w:szCs w:val="24"/>
          <w:shd w:val="clear" w:color="auto" w:fill="FFFFFF"/>
        </w:rPr>
        <w:t>prevalencia general del elemento objetivo ante casos de violaciones graves a los derechos humanos pareciera encontrar respaldo en la jurisprudencia reciente el máximo intérprete de la Constitución Política.</w:t>
      </w:r>
    </w:p>
    <w:p w:rsidR="00CF2E11" w:rsidRPr="00BE4E66" w:rsidRDefault="00CF2E11" w:rsidP="00CF2E11"/>
    <w:p w:rsidR="00CF2E11" w:rsidRPr="00BE4E66" w:rsidRDefault="00CF2E11" w:rsidP="00CF2E11"/>
    <w:p w:rsidR="00CF2E11" w:rsidRPr="00BE4E66" w:rsidRDefault="00CF2E11" w:rsidP="00CF2E11">
      <w:pPr>
        <w:spacing w:line="360" w:lineRule="auto"/>
        <w:rPr>
          <w:sz w:val="24"/>
          <w:szCs w:val="24"/>
        </w:rPr>
      </w:pPr>
      <w:r w:rsidRPr="00BE4E66">
        <w:rPr>
          <w:sz w:val="24"/>
          <w:szCs w:val="24"/>
        </w:rPr>
        <w:t>Ahora bien, así como el Estado colombiano se ha comprometido internacionalmente a investigar y sancionar el delito de desaparición forzada, igualmente ha adquirido la obligación de investigar y juzgar la violencia contra la mujer.</w:t>
      </w:r>
    </w:p>
    <w:p w:rsidR="00CF2E11" w:rsidRPr="00BE4E66" w:rsidRDefault="00CF2E11" w:rsidP="00CF2E11">
      <w:pPr>
        <w:spacing w:line="360" w:lineRule="auto"/>
        <w:rPr>
          <w:sz w:val="24"/>
          <w:szCs w:val="24"/>
        </w:rPr>
      </w:pPr>
    </w:p>
    <w:p w:rsidR="00CF2E11" w:rsidRPr="00BE4E66" w:rsidRDefault="00CF2E11" w:rsidP="00CF2E11">
      <w:pPr>
        <w:spacing w:line="360" w:lineRule="auto"/>
        <w:rPr>
          <w:i/>
          <w:sz w:val="24"/>
          <w:szCs w:val="24"/>
        </w:rPr>
      </w:pPr>
      <w:r w:rsidRPr="00BE4E66">
        <w:rPr>
          <w:sz w:val="24"/>
          <w:szCs w:val="24"/>
        </w:rPr>
        <w:t xml:space="preserve">Al respecto, la Convención Interamericana para Prevenir, Sancionar y Erradicar la Violencia contra la Mujer </w:t>
      </w:r>
      <w:r w:rsidRPr="00BE4E66">
        <w:rPr>
          <w:i/>
          <w:sz w:val="24"/>
          <w:szCs w:val="24"/>
        </w:rPr>
        <w:t>"Convención de Belem do Para"</w:t>
      </w:r>
      <w:r w:rsidRPr="00BE4E66">
        <w:rPr>
          <w:sz w:val="24"/>
          <w:szCs w:val="24"/>
        </w:rPr>
        <w:t xml:space="preserve">, adoptada por Colombia mediante la Ley 51 de 1981, establece en su artículo 7° que </w:t>
      </w:r>
      <w:r w:rsidRPr="00BE4E66">
        <w:rPr>
          <w:i/>
          <w:sz w:val="24"/>
          <w:szCs w:val="24"/>
        </w:rPr>
        <w:t xml:space="preserve">“los Estados Partes condenan todas las formas de violencia contra la mujer y convienen en adoptar, por todos los medios apropiados y sin dilaciones, políticas orientadas a prevenir, sancionar y erradicar dicha violencia y en llevar a cabo lo siguiente: b. actuar con la debida diligencia para prevenir, </w:t>
      </w:r>
      <w:r w:rsidRPr="00BE4E66">
        <w:rPr>
          <w:i/>
          <w:sz w:val="24"/>
          <w:szCs w:val="24"/>
          <w:u w:val="single"/>
        </w:rPr>
        <w:t>investigar y sancionar</w:t>
      </w:r>
      <w:r w:rsidRPr="00BE4E66">
        <w:rPr>
          <w:i/>
          <w:sz w:val="24"/>
          <w:szCs w:val="24"/>
        </w:rPr>
        <w:t xml:space="preserve"> la violencia contra la mujer” </w:t>
      </w:r>
      <w:r w:rsidRPr="00BE4E66">
        <w:rPr>
          <w:sz w:val="24"/>
          <w:szCs w:val="24"/>
        </w:rPr>
        <w:t>(énfasis agregado)</w:t>
      </w:r>
      <w:r w:rsidRPr="00BE4E66">
        <w:rPr>
          <w:i/>
          <w:sz w:val="24"/>
          <w:szCs w:val="24"/>
        </w:rPr>
        <w:t>.</w:t>
      </w:r>
    </w:p>
    <w:p w:rsidR="00CF2E11" w:rsidRPr="00BE4E66" w:rsidRDefault="00CF2E11" w:rsidP="00CF2E11">
      <w:pPr>
        <w:spacing w:line="360" w:lineRule="auto"/>
        <w:rPr>
          <w:i/>
          <w:sz w:val="24"/>
          <w:szCs w:val="24"/>
        </w:rPr>
      </w:pPr>
    </w:p>
    <w:p w:rsidR="00CF2E11" w:rsidRPr="00BE4E66" w:rsidRDefault="00CF2E11" w:rsidP="00CF2E11">
      <w:pPr>
        <w:widowControl w:val="0"/>
        <w:tabs>
          <w:tab w:val="left" w:pos="709"/>
        </w:tabs>
        <w:spacing w:line="360" w:lineRule="auto"/>
        <w:rPr>
          <w:sz w:val="24"/>
          <w:szCs w:val="24"/>
        </w:rPr>
      </w:pPr>
      <w:r w:rsidRPr="00BE4E66">
        <w:rPr>
          <w:sz w:val="24"/>
          <w:szCs w:val="24"/>
        </w:rPr>
        <w:t xml:space="preserve">En aplicación de dicha convención, la Corte Interamericana de Derechos Humanos declaró internacionalmente responsable al Estado mexicano en el caso Rosendo Cantú y otra (2010). Como fundamento de su decisión, dicho tribunal señaló que el Estado fue indiligente en la investigación y sanción de los responsables de la violación sexual y tortura en perjuicio de la señora Rosendo Cantú, quien era una mujer indígena, menor de edad, perteneciente a la comunidad indígena Me´phaa. </w:t>
      </w:r>
    </w:p>
    <w:p w:rsidR="00CF2E11" w:rsidRPr="00BE4E66" w:rsidRDefault="00CF2E11" w:rsidP="00CF2E11">
      <w:pPr>
        <w:widowControl w:val="0"/>
        <w:tabs>
          <w:tab w:val="left" w:pos="709"/>
        </w:tabs>
        <w:spacing w:line="360" w:lineRule="auto"/>
        <w:rPr>
          <w:sz w:val="24"/>
          <w:szCs w:val="24"/>
        </w:rPr>
      </w:pPr>
    </w:p>
    <w:p w:rsidR="00CF2E11" w:rsidRPr="00BE4E66" w:rsidRDefault="00CF2E11" w:rsidP="00CF2E11">
      <w:pPr>
        <w:widowControl w:val="0"/>
        <w:tabs>
          <w:tab w:val="left" w:pos="709"/>
        </w:tabs>
        <w:spacing w:line="360" w:lineRule="auto"/>
        <w:rPr>
          <w:sz w:val="24"/>
          <w:szCs w:val="24"/>
        </w:rPr>
      </w:pPr>
      <w:r w:rsidRPr="00BE4E66">
        <w:rPr>
          <w:sz w:val="24"/>
          <w:szCs w:val="24"/>
        </w:rPr>
        <w:t xml:space="preserve">En dicha oportunidad, la Corte Interamericana estableció que la violencia contra la mujer </w:t>
      </w:r>
      <w:r w:rsidRPr="00BE4E66">
        <w:rPr>
          <w:i/>
          <w:sz w:val="24"/>
          <w:szCs w:val="24"/>
        </w:rPr>
        <w:t xml:space="preserve">“no solo constituye una violación de los derechos humanos, sino que es ‘una ofensa a la dignidad humana y una manifestación de las relaciones de poder históricamente desiguales entre mujeres y hombres’, que </w:t>
      </w:r>
      <w:r w:rsidRPr="00BE4E66">
        <w:rPr>
          <w:i/>
          <w:sz w:val="24"/>
          <w:szCs w:val="24"/>
          <w:u w:val="single"/>
        </w:rPr>
        <w:t>trasciende todos los sectores de la sociedad independientemente de su clase, raza o grupo étnico</w:t>
      </w:r>
      <w:r w:rsidRPr="00BE4E66">
        <w:rPr>
          <w:i/>
          <w:sz w:val="24"/>
          <w:szCs w:val="24"/>
        </w:rPr>
        <w:t>, nivel de ingresos, cultura, nivel educacional, edad o religión y afecta negativamente sus propias bases’”</w:t>
      </w:r>
      <w:r w:rsidRPr="00BE4E66">
        <w:rPr>
          <w:rStyle w:val="Refdenotaalpie"/>
          <w:sz w:val="24"/>
          <w:szCs w:val="24"/>
        </w:rPr>
        <w:footnoteReference w:id="63"/>
      </w:r>
      <w:r w:rsidRPr="00BE4E66">
        <w:rPr>
          <w:sz w:val="24"/>
          <w:szCs w:val="24"/>
        </w:rPr>
        <w:t xml:space="preserve">(énfasis agregado). </w:t>
      </w:r>
    </w:p>
    <w:p w:rsidR="00CF2E11" w:rsidRPr="00BE4E66" w:rsidRDefault="00CF2E11" w:rsidP="00CF2E11">
      <w:pPr>
        <w:tabs>
          <w:tab w:val="left" w:pos="709"/>
        </w:tabs>
        <w:spacing w:line="360" w:lineRule="auto"/>
        <w:rPr>
          <w:sz w:val="24"/>
          <w:szCs w:val="24"/>
        </w:rPr>
      </w:pPr>
    </w:p>
    <w:p w:rsidR="00CF2E11" w:rsidRPr="00BE4E66" w:rsidRDefault="00CF2E11" w:rsidP="00CF2E11">
      <w:pPr>
        <w:spacing w:line="360" w:lineRule="auto"/>
        <w:ind w:right="20"/>
        <w:rPr>
          <w:rFonts w:eastAsia="ヒラギノ角ゴ Pro W3"/>
          <w:sz w:val="24"/>
          <w:szCs w:val="24"/>
          <w:lang w:val="es-ES_tradnl"/>
        </w:rPr>
      </w:pPr>
      <w:r w:rsidRPr="00BE4E66">
        <w:rPr>
          <w:rFonts w:eastAsia="ヒラギノ角ゴ Pro W3"/>
          <w:sz w:val="24"/>
          <w:szCs w:val="24"/>
          <w:lang w:val="es-EC"/>
        </w:rPr>
        <w:t>Igualmente, argumentó que e</w:t>
      </w:r>
      <w:r w:rsidRPr="00BE4E66">
        <w:rPr>
          <w:rFonts w:eastAsia="ヒラギノ角ゴ Pro W3"/>
          <w:sz w:val="24"/>
          <w:szCs w:val="24"/>
          <w:lang w:val="es-ES_tradnl"/>
        </w:rPr>
        <w:t xml:space="preserve">n casos de violencia contra la mujer las obligaciones genéricas establecidas en los artículos 8 y 25 de la Convención Americana se complementan y refuerzan, para aquellos Estados que son parte, con las obligaciones derivadas del tratado interamericano específico, la Convención de Belém do Pará (artículo 7.b). </w:t>
      </w:r>
    </w:p>
    <w:p w:rsidR="00CF2E11" w:rsidRPr="00BE4E66" w:rsidRDefault="00CF2E11" w:rsidP="00CF2E11">
      <w:pPr>
        <w:spacing w:line="360" w:lineRule="auto"/>
        <w:ind w:right="20"/>
        <w:rPr>
          <w:rFonts w:eastAsia="ヒラギノ角ゴ Pro W3"/>
          <w:sz w:val="24"/>
          <w:szCs w:val="24"/>
          <w:lang w:val="es-ES_tradnl"/>
        </w:rPr>
      </w:pPr>
    </w:p>
    <w:p w:rsidR="00CF2E11" w:rsidRPr="00BE4E66" w:rsidRDefault="00CF2E11" w:rsidP="00CF2E11">
      <w:pPr>
        <w:spacing w:line="360" w:lineRule="auto"/>
        <w:ind w:right="20"/>
        <w:rPr>
          <w:rFonts w:eastAsia="ヒラギノ角ゴ Pro W3"/>
          <w:sz w:val="24"/>
          <w:szCs w:val="24"/>
          <w:lang w:val="es-EC"/>
        </w:rPr>
      </w:pPr>
      <w:r w:rsidRPr="00BE4E66">
        <w:rPr>
          <w:rFonts w:eastAsia="ヒラギノ角ゴ Pro W3"/>
          <w:sz w:val="24"/>
          <w:szCs w:val="24"/>
          <w:lang w:val="es-ES_tradnl"/>
        </w:rPr>
        <w:t xml:space="preserve">De tal modo que, ante un acto de violencia contra una mujer, resulta particularmente importante que las autoridades a cargo de la investigación la lleven adelante con determinación y eficacia, teniendo en cuenta el deber de toda la sociedad (con independencia de su raza o grupo étnico) de rechazar la violencia contra las mujeres y las obligaciones del Estado de erradicarla y de brindar confianza a las víctimas en las instituciones estatales para su protección. </w:t>
      </w:r>
    </w:p>
    <w:p w:rsidR="00CF2E11" w:rsidRPr="00BE4E66" w:rsidRDefault="00CF2E11" w:rsidP="00CF2E11">
      <w:pPr>
        <w:spacing w:line="360" w:lineRule="auto"/>
        <w:rPr>
          <w:sz w:val="24"/>
          <w:szCs w:val="24"/>
          <w:lang w:val="es-ES_tradnl"/>
        </w:rPr>
      </w:pPr>
    </w:p>
    <w:p w:rsidR="00CF2E11" w:rsidRPr="00572B2E" w:rsidRDefault="00CF2E11" w:rsidP="00CF2E11">
      <w:pPr>
        <w:spacing w:line="360" w:lineRule="auto"/>
        <w:rPr>
          <w:rFonts w:eastAsia="Calibri"/>
          <w:b/>
          <w:sz w:val="24"/>
          <w:szCs w:val="22"/>
          <w:lang w:val="es-CO"/>
        </w:rPr>
      </w:pPr>
      <w:r>
        <w:rPr>
          <w:rFonts w:eastAsia="Calibri"/>
          <w:b/>
          <w:sz w:val="24"/>
          <w:szCs w:val="22"/>
          <w:lang w:val="es-ES_tradnl"/>
        </w:rPr>
        <w:t>ii) Los conflictos de competencia</w:t>
      </w:r>
      <w:r w:rsidRPr="00572B2E">
        <w:rPr>
          <w:rFonts w:eastAsia="Calibri"/>
          <w:b/>
          <w:sz w:val="24"/>
          <w:szCs w:val="22"/>
          <w:lang w:val="es-CO"/>
        </w:rPr>
        <w:t xml:space="preserve"> frente a la cosa juzgada</w:t>
      </w:r>
    </w:p>
    <w:p w:rsidR="00CF2E11" w:rsidRPr="00BE4E66" w:rsidRDefault="00CF2E11" w:rsidP="00CF2E11">
      <w:pPr>
        <w:spacing w:line="360" w:lineRule="auto"/>
        <w:rPr>
          <w:rFonts w:eastAsia="Calibri"/>
          <w:sz w:val="24"/>
          <w:szCs w:val="22"/>
          <w:lang w:val="es-CO"/>
        </w:rPr>
      </w:pPr>
    </w:p>
    <w:p w:rsidR="00CF2E11" w:rsidRPr="00BE4E66" w:rsidRDefault="00CF2E11" w:rsidP="00CF2E11">
      <w:pPr>
        <w:spacing w:line="360" w:lineRule="auto"/>
        <w:rPr>
          <w:rFonts w:eastAsia="Calibri"/>
          <w:sz w:val="24"/>
          <w:szCs w:val="22"/>
          <w:lang w:val="es-CO"/>
        </w:rPr>
      </w:pPr>
      <w:r w:rsidRPr="00BE4E66">
        <w:rPr>
          <w:rFonts w:eastAsia="Calibri"/>
          <w:sz w:val="24"/>
          <w:szCs w:val="22"/>
          <w:lang w:val="es-CO"/>
        </w:rPr>
        <w:t xml:space="preserve">Con el fin de determinar en mayor grado lo relativo a la regla general de la imposibilidad procesal de adelantar un juicio de asignación de jurisdicción en presencia del fenómeno de la cosa juzgada, tal como ocurre en </w:t>
      </w:r>
      <w:r>
        <w:rPr>
          <w:rFonts w:eastAsia="Calibri"/>
          <w:sz w:val="24"/>
          <w:szCs w:val="22"/>
          <w:lang w:val="es-CO"/>
        </w:rPr>
        <w:t>este caso</w:t>
      </w:r>
      <w:r w:rsidRPr="00BE4E66">
        <w:rPr>
          <w:rFonts w:eastAsia="Calibri"/>
          <w:sz w:val="24"/>
          <w:szCs w:val="22"/>
          <w:lang w:val="es-CO"/>
        </w:rPr>
        <w:t xml:space="preserve">, esta Sala </w:t>
      </w:r>
      <w:r>
        <w:rPr>
          <w:rFonts w:eastAsia="Calibri"/>
          <w:sz w:val="24"/>
          <w:szCs w:val="22"/>
          <w:lang w:val="es-CO"/>
        </w:rPr>
        <w:t>considera</w:t>
      </w:r>
      <w:r w:rsidRPr="00BE4E66">
        <w:rPr>
          <w:rFonts w:eastAsia="Calibri"/>
          <w:sz w:val="24"/>
          <w:szCs w:val="22"/>
          <w:lang w:val="es-CO"/>
        </w:rPr>
        <w:t xml:space="preserve"> que la única excepción a dicha regla se aprecia en aquellos casos donde deban juzgarse las violaciones más graves en materia de derechos humanos.</w:t>
      </w:r>
    </w:p>
    <w:p w:rsidR="00CF2E11" w:rsidRPr="00BE4E66" w:rsidRDefault="00CF2E11" w:rsidP="00CF2E11">
      <w:pPr>
        <w:spacing w:line="360" w:lineRule="auto"/>
        <w:rPr>
          <w:rFonts w:eastAsia="Calibri"/>
          <w:sz w:val="24"/>
          <w:szCs w:val="22"/>
          <w:lang w:val="es-CO"/>
        </w:rPr>
      </w:pPr>
    </w:p>
    <w:p w:rsidR="00CF2E11" w:rsidRPr="00BE4E66" w:rsidRDefault="00CF2E11" w:rsidP="00CF2E11">
      <w:pPr>
        <w:spacing w:line="360" w:lineRule="auto"/>
        <w:rPr>
          <w:rFonts w:eastAsia="Calibri"/>
          <w:sz w:val="24"/>
          <w:szCs w:val="22"/>
          <w:lang w:val="es-CO"/>
        </w:rPr>
      </w:pPr>
      <w:r w:rsidRPr="00BE4E66">
        <w:rPr>
          <w:rFonts w:eastAsia="Calibri"/>
          <w:sz w:val="24"/>
          <w:szCs w:val="22"/>
          <w:lang w:val="es-CO"/>
        </w:rPr>
        <w:t>Se trata, en efecto, de una excepción a la institución de la cosa juzgada proveniente del derecho convencional de los derechos humanos. Al respecto debe recordarse que la jurisprudencia de la Corte Interamericana de Derecho</w:t>
      </w:r>
      <w:r>
        <w:rPr>
          <w:rFonts w:eastAsia="Calibri"/>
          <w:sz w:val="24"/>
          <w:szCs w:val="22"/>
          <w:lang w:val="es-CO"/>
        </w:rPr>
        <w:t>s</w:t>
      </w:r>
      <w:r w:rsidRPr="00BE4E66">
        <w:rPr>
          <w:rFonts w:eastAsia="Calibri"/>
          <w:sz w:val="24"/>
          <w:szCs w:val="22"/>
          <w:lang w:val="es-CO"/>
        </w:rPr>
        <w:t xml:space="preserve"> Humanos ha reiterado, en casos relacionados con </w:t>
      </w:r>
      <w:r w:rsidRPr="00BE4E66">
        <w:rPr>
          <w:rFonts w:eastAsia="Calibri"/>
          <w:i/>
          <w:sz w:val="24"/>
          <w:szCs w:val="22"/>
          <w:lang w:val="es-CO"/>
        </w:rPr>
        <w:t>graves violaciones de derechos humanos</w:t>
      </w:r>
      <w:r w:rsidRPr="00BE4E66">
        <w:rPr>
          <w:rFonts w:eastAsia="Calibri"/>
          <w:sz w:val="24"/>
          <w:szCs w:val="22"/>
          <w:lang w:val="es-CO"/>
        </w:rPr>
        <w:t xml:space="preserve"> donde los Estados han invocado justificaciones de derecho interno como la aplicación de leyes de amnistía, normas de prescripción o instituciones como la cosa juzgada, que esas razones de derecho nacional no obstaculizan la protección en concreto de los derechos de las víctimas a la verdad, justicia y reparación, con ocasión de los procesos penales adelantados a nivel interno. </w:t>
      </w:r>
    </w:p>
    <w:p w:rsidR="00CF2E11" w:rsidRPr="00BE4E66" w:rsidRDefault="00CF2E11" w:rsidP="00CF2E11">
      <w:pPr>
        <w:spacing w:line="360" w:lineRule="auto"/>
        <w:rPr>
          <w:rFonts w:eastAsia="Calibri"/>
          <w:sz w:val="24"/>
          <w:szCs w:val="22"/>
          <w:lang w:val="es-CO"/>
        </w:rPr>
      </w:pPr>
    </w:p>
    <w:p w:rsidR="00CF2E11" w:rsidRPr="00BE4E66" w:rsidRDefault="00CF2E11" w:rsidP="00CF2E11">
      <w:pPr>
        <w:spacing w:line="360" w:lineRule="auto"/>
        <w:rPr>
          <w:rFonts w:eastAsia="Calibri"/>
          <w:sz w:val="24"/>
          <w:szCs w:val="22"/>
          <w:lang w:val="es-CO"/>
        </w:rPr>
      </w:pPr>
      <w:r w:rsidRPr="00BE4E66">
        <w:rPr>
          <w:rFonts w:eastAsia="Calibri"/>
          <w:sz w:val="24"/>
          <w:szCs w:val="22"/>
          <w:lang w:val="es-CO"/>
        </w:rPr>
        <w:t xml:space="preserve">Puntualmente, se encuentra que en varios casos la Corte Interamericana ha señalado que, si no se ha respetado la garantía del juez natural y del debido proceso a la luz del concepto de debida diligencia en la instrucción y juzgamiento penal de graves violaciones de derechos humanos, la cosa juzgada se torna “aparente” o “fraudulenta”. </w:t>
      </w:r>
    </w:p>
    <w:p w:rsidR="00CF2E11" w:rsidRPr="00BE4E66" w:rsidRDefault="00CF2E11" w:rsidP="00CF2E11">
      <w:pPr>
        <w:spacing w:line="360" w:lineRule="auto"/>
        <w:rPr>
          <w:rFonts w:eastAsia="Calibri"/>
          <w:sz w:val="24"/>
          <w:szCs w:val="22"/>
          <w:lang w:val="es-CO"/>
        </w:rPr>
      </w:pPr>
    </w:p>
    <w:p w:rsidR="00CF2E11" w:rsidRPr="00BE4E66" w:rsidRDefault="00CF2E11" w:rsidP="00CF2E11">
      <w:pPr>
        <w:spacing w:line="360" w:lineRule="auto"/>
        <w:rPr>
          <w:rFonts w:eastAsia="Calibri"/>
          <w:sz w:val="24"/>
          <w:szCs w:val="22"/>
          <w:lang w:val="es-ES_tradnl"/>
        </w:rPr>
      </w:pPr>
      <w:r w:rsidRPr="00BE4E66">
        <w:rPr>
          <w:rFonts w:eastAsia="Calibri"/>
          <w:sz w:val="24"/>
          <w:szCs w:val="22"/>
          <w:lang w:val="es-CO"/>
        </w:rPr>
        <w:t xml:space="preserve">Así, en </w:t>
      </w:r>
      <w:r w:rsidRPr="00BE4E66">
        <w:rPr>
          <w:rFonts w:eastAsia="Calibri"/>
          <w:sz w:val="24"/>
          <w:szCs w:val="22"/>
          <w:lang w:val="es-ES_tradnl"/>
        </w:rPr>
        <w:t xml:space="preserve">la sentencia del caso </w:t>
      </w:r>
      <w:r w:rsidRPr="00BE4E66">
        <w:rPr>
          <w:rFonts w:eastAsia="Calibri"/>
          <w:i/>
          <w:sz w:val="24"/>
          <w:szCs w:val="22"/>
          <w:lang w:val="es-ES_tradnl"/>
        </w:rPr>
        <w:t>Carpio Nicolle y otros vs. Guatemala</w:t>
      </w:r>
      <w:r w:rsidRPr="00BE4E66">
        <w:rPr>
          <w:rFonts w:eastAsia="Calibri"/>
          <w:sz w:val="24"/>
          <w:szCs w:val="22"/>
          <w:lang w:val="es-ES_tradnl"/>
        </w:rPr>
        <w:t xml:space="preserve"> (22 de noviembre de 2004) se dio solidez a esta línea jurisprudencial, tras afirmarse lo siguiente: </w:t>
      </w:r>
    </w:p>
    <w:p w:rsidR="00CF2E11" w:rsidRPr="00BE4E66" w:rsidRDefault="00CF2E11" w:rsidP="00CF2E11">
      <w:pPr>
        <w:spacing w:line="360" w:lineRule="auto"/>
        <w:rPr>
          <w:rFonts w:eastAsia="Calibri"/>
          <w:sz w:val="24"/>
          <w:szCs w:val="22"/>
          <w:lang w:val="es-ES_tradnl"/>
        </w:rPr>
      </w:pPr>
    </w:p>
    <w:p w:rsidR="00CF2E11" w:rsidRPr="00BE4E66" w:rsidRDefault="00CF2E11" w:rsidP="00CF2E11">
      <w:pPr>
        <w:spacing w:line="360" w:lineRule="auto"/>
        <w:rPr>
          <w:rFonts w:eastAsia="Calibri"/>
          <w:i/>
          <w:sz w:val="24"/>
          <w:szCs w:val="22"/>
          <w:lang w:val="es-ES_tradnl"/>
        </w:rPr>
      </w:pPr>
      <w:r w:rsidRPr="00BE4E66">
        <w:rPr>
          <w:rFonts w:eastAsia="Calibri"/>
          <w:i/>
          <w:sz w:val="24"/>
          <w:szCs w:val="22"/>
          <w:lang w:val="es-ES_tradnl"/>
        </w:rPr>
        <w:t xml:space="preserve">“130. En cuanto a esta obligación estatal de investigar y sancionar, la Corte ha establecido que: </w:t>
      </w:r>
    </w:p>
    <w:p w:rsidR="00CF2E11" w:rsidRPr="00BE4E66" w:rsidRDefault="00CF2E11" w:rsidP="00CF2E11">
      <w:pPr>
        <w:spacing w:line="360" w:lineRule="auto"/>
        <w:rPr>
          <w:rFonts w:eastAsia="Calibri"/>
          <w:i/>
          <w:sz w:val="24"/>
          <w:szCs w:val="22"/>
          <w:lang w:val="es-ES_tradnl"/>
        </w:rPr>
      </w:pPr>
    </w:p>
    <w:p w:rsidR="00CF2E11" w:rsidRPr="00BE4E66" w:rsidRDefault="00CF2E11" w:rsidP="00CF2E11">
      <w:pPr>
        <w:spacing w:line="360" w:lineRule="auto"/>
        <w:rPr>
          <w:rFonts w:eastAsia="Calibri"/>
          <w:i/>
          <w:sz w:val="24"/>
          <w:szCs w:val="22"/>
          <w:lang w:val="es-ES_tradnl"/>
        </w:rPr>
      </w:pPr>
      <w:r w:rsidRPr="00BE4E66">
        <w:rPr>
          <w:rFonts w:eastAsia="Calibri"/>
          <w:i/>
          <w:sz w:val="24"/>
          <w:szCs w:val="22"/>
          <w:lang w:val="es-ES_tradnl"/>
        </w:rPr>
        <w:t xml:space="preserve">[…] son inadmisibles las disposiciones de amnistía, las disposiciones de prescripción y el establecimiento de excluyentes de responsabilidad que pretendan impedir la investigación y sanción de los responsables de las </w:t>
      </w:r>
      <w:r w:rsidRPr="00BE4E66">
        <w:rPr>
          <w:rFonts w:eastAsia="Calibri"/>
          <w:b/>
          <w:i/>
          <w:sz w:val="24"/>
          <w:szCs w:val="22"/>
          <w:lang w:val="es-ES_tradnl"/>
        </w:rPr>
        <w:t>violaciones graves de los derechos humanos tales como la tortura, las ejecuciones sumarias, extralegales o arbitrarias y las desapariciones forzadas, todas ellas prohibidas por contravenir derechos inderogables reconocidos por el Derecho Internacional de los Derechos Humanos</w:t>
      </w:r>
      <w:r w:rsidRPr="00BE4E66">
        <w:rPr>
          <w:rFonts w:eastAsia="Calibri"/>
          <w:i/>
          <w:sz w:val="24"/>
          <w:szCs w:val="22"/>
          <w:lang w:val="es-ES_tradnl"/>
        </w:rPr>
        <w:t>.</w:t>
      </w:r>
    </w:p>
    <w:p w:rsidR="00CF2E11" w:rsidRPr="00BE4E66" w:rsidRDefault="00CF2E11" w:rsidP="00CF2E11">
      <w:pPr>
        <w:spacing w:line="360" w:lineRule="auto"/>
        <w:rPr>
          <w:rFonts w:eastAsia="Calibri"/>
          <w:i/>
          <w:sz w:val="24"/>
          <w:szCs w:val="22"/>
          <w:lang w:val="es-ES_tradnl"/>
        </w:rPr>
      </w:pPr>
    </w:p>
    <w:p w:rsidR="00CF2E11" w:rsidRPr="00BE4E66" w:rsidRDefault="00CF2E11" w:rsidP="00CF2E11">
      <w:pPr>
        <w:spacing w:line="360" w:lineRule="auto"/>
        <w:rPr>
          <w:rFonts w:eastAsia="Calibri"/>
          <w:sz w:val="24"/>
          <w:szCs w:val="22"/>
          <w:lang w:val="es-ES_tradnl"/>
        </w:rPr>
      </w:pPr>
      <w:r w:rsidRPr="00BE4E66">
        <w:rPr>
          <w:rFonts w:eastAsia="Calibri"/>
          <w:i/>
          <w:sz w:val="24"/>
          <w:szCs w:val="22"/>
          <w:lang w:val="es-ES_tradnl"/>
        </w:rPr>
        <w:t>131.</w:t>
      </w:r>
      <w:r w:rsidRPr="00BE4E66">
        <w:rPr>
          <w:rFonts w:eastAsia="Calibri"/>
          <w:i/>
          <w:sz w:val="24"/>
          <w:szCs w:val="22"/>
          <w:lang w:val="es-ES_tradnl"/>
        </w:rPr>
        <w:tab/>
        <w:t xml:space="preserve">El desarrollo de la legislación y de la jurisprudencia internacionales ha permitido el examen de la llamada </w:t>
      </w:r>
      <w:r w:rsidRPr="00BE4E66">
        <w:rPr>
          <w:rFonts w:eastAsia="Calibri"/>
          <w:b/>
          <w:i/>
          <w:sz w:val="24"/>
          <w:szCs w:val="22"/>
          <w:lang w:val="es-ES_tradnl"/>
        </w:rPr>
        <w:t>“cosa juzgada fraudulenta” que resulta de un juicio en el que no se han respetado las reglas del debido proceso, o cuando los jueces no obraron con independencia e imparcialidad</w:t>
      </w:r>
      <w:r w:rsidRPr="00BE4E66">
        <w:rPr>
          <w:rFonts w:eastAsia="Calibri"/>
          <w:i/>
          <w:sz w:val="24"/>
          <w:szCs w:val="22"/>
          <w:lang w:val="es-ES_tradnl"/>
        </w:rPr>
        <w:t xml:space="preserve">” </w:t>
      </w:r>
      <w:r w:rsidRPr="00BE4E66">
        <w:rPr>
          <w:rFonts w:eastAsia="Calibri"/>
          <w:sz w:val="24"/>
          <w:szCs w:val="22"/>
          <w:lang w:val="es-ES_tradnl"/>
        </w:rPr>
        <w:t>(negrillas fuera del texto).</w:t>
      </w:r>
    </w:p>
    <w:p w:rsidR="00CF2E11" w:rsidRPr="00BE4E66" w:rsidRDefault="00CF2E11" w:rsidP="00CF2E11">
      <w:pPr>
        <w:spacing w:line="360" w:lineRule="auto"/>
        <w:rPr>
          <w:rFonts w:eastAsia="Calibri"/>
          <w:sz w:val="24"/>
          <w:szCs w:val="22"/>
          <w:lang w:val="es-ES_tradnl"/>
        </w:rPr>
      </w:pPr>
    </w:p>
    <w:p w:rsidR="00CF2E11" w:rsidRPr="00BE4E66" w:rsidRDefault="00CF2E11" w:rsidP="00CF2E11">
      <w:pPr>
        <w:spacing w:line="360" w:lineRule="auto"/>
        <w:rPr>
          <w:rFonts w:eastAsia="Calibri"/>
          <w:sz w:val="24"/>
          <w:szCs w:val="22"/>
          <w:lang w:val="es-ES_tradnl"/>
        </w:rPr>
      </w:pPr>
      <w:r w:rsidRPr="00BE4E66">
        <w:rPr>
          <w:rFonts w:eastAsia="Calibri"/>
          <w:sz w:val="24"/>
          <w:szCs w:val="22"/>
          <w:lang w:val="es-ES_tradnl"/>
        </w:rPr>
        <w:t xml:space="preserve">Posteriormente, en el caso </w:t>
      </w:r>
      <w:r w:rsidRPr="00BE4E66">
        <w:rPr>
          <w:rFonts w:eastAsia="Calibri"/>
          <w:i/>
          <w:sz w:val="24"/>
          <w:szCs w:val="22"/>
          <w:lang w:val="es-ES_tradnl"/>
        </w:rPr>
        <w:t>La Cantuta vs. Perú</w:t>
      </w:r>
      <w:r w:rsidRPr="00BE4E66">
        <w:rPr>
          <w:rFonts w:eastAsia="Calibri"/>
          <w:sz w:val="24"/>
          <w:szCs w:val="22"/>
          <w:lang w:val="es-ES_tradnl"/>
        </w:rPr>
        <w:t xml:space="preserve"> (29 de noviembre de 2006), la Corte IDH precisó el estándar formulado en </w:t>
      </w:r>
      <w:r w:rsidRPr="00BE4E66">
        <w:rPr>
          <w:rFonts w:eastAsia="Calibri"/>
          <w:i/>
          <w:sz w:val="24"/>
          <w:szCs w:val="22"/>
          <w:lang w:val="es-ES_tradnl"/>
        </w:rPr>
        <w:t>Carpio Nicolle</w:t>
      </w:r>
      <w:r w:rsidRPr="00BE4E66">
        <w:rPr>
          <w:rFonts w:eastAsia="Calibri"/>
          <w:sz w:val="24"/>
          <w:szCs w:val="22"/>
          <w:lang w:val="es-ES_tradnl"/>
        </w:rPr>
        <w:t xml:space="preserve"> en los siguiente términos: </w:t>
      </w:r>
    </w:p>
    <w:p w:rsidR="00CF2E11" w:rsidRPr="00BE4E66" w:rsidRDefault="00CF2E11" w:rsidP="00CF2E11">
      <w:pPr>
        <w:spacing w:line="360" w:lineRule="auto"/>
        <w:rPr>
          <w:rFonts w:eastAsia="Calibri"/>
          <w:sz w:val="24"/>
          <w:szCs w:val="22"/>
          <w:lang w:val="es-ES_tradnl"/>
        </w:rPr>
      </w:pPr>
    </w:p>
    <w:p w:rsidR="00CF2E11" w:rsidRPr="00BE4E66" w:rsidRDefault="00CF2E11" w:rsidP="00CF2E11">
      <w:pPr>
        <w:spacing w:line="360" w:lineRule="auto"/>
        <w:rPr>
          <w:rFonts w:eastAsia="Calibri"/>
          <w:i/>
          <w:sz w:val="24"/>
          <w:szCs w:val="22"/>
          <w:lang w:val="es-ES_tradnl"/>
        </w:rPr>
      </w:pPr>
      <w:r w:rsidRPr="00BE4E66">
        <w:rPr>
          <w:rFonts w:eastAsia="Calibri"/>
          <w:i/>
          <w:sz w:val="24"/>
          <w:szCs w:val="22"/>
          <w:lang w:val="es-ES_tradnl"/>
        </w:rPr>
        <w:t>“153.</w:t>
      </w:r>
      <w:r w:rsidRPr="00BE4E66">
        <w:rPr>
          <w:rFonts w:eastAsia="Calibri"/>
          <w:i/>
          <w:sz w:val="24"/>
          <w:szCs w:val="22"/>
          <w:lang w:val="es-ES_tradnl"/>
        </w:rPr>
        <w:tab/>
        <w:t xml:space="preserve">Específicamente en relación con la figura de la cosa juzgada, recientemente la Corte precisó que el principio non bis in idem no resulta aplicable cuando el procedimiento que culmina con el sobreseimiento de la causa o la absolución del responsable de una </w:t>
      </w:r>
      <w:r w:rsidRPr="00BE4E66">
        <w:rPr>
          <w:rFonts w:eastAsia="Calibri"/>
          <w:b/>
          <w:i/>
          <w:sz w:val="24"/>
          <w:szCs w:val="22"/>
          <w:lang w:val="es-ES_tradnl"/>
        </w:rPr>
        <w:t>violación a los derechos humanos, constitutiva de una infracción al derecho internacional</w:t>
      </w:r>
      <w:r w:rsidRPr="00BE4E66">
        <w:rPr>
          <w:rFonts w:eastAsia="Calibri"/>
          <w:i/>
          <w:sz w:val="24"/>
          <w:szCs w:val="22"/>
          <w:lang w:val="es-ES_tradnl"/>
        </w:rPr>
        <w:t xml:space="preserve">, ha sustraído al acusado de su responsabilidad penal, o </w:t>
      </w:r>
      <w:r w:rsidRPr="00BE4E66">
        <w:rPr>
          <w:rFonts w:eastAsia="Calibri"/>
          <w:b/>
          <w:i/>
          <w:sz w:val="24"/>
          <w:szCs w:val="22"/>
          <w:lang w:val="es-ES_tradnl"/>
        </w:rPr>
        <w:t>cuando el procedimiento no fue instruido independiente o imparcialmente de conformidad con las debidas garantías procesales</w:t>
      </w:r>
      <w:r w:rsidRPr="00BE4E66">
        <w:rPr>
          <w:rFonts w:eastAsia="Calibri"/>
          <w:i/>
          <w:sz w:val="24"/>
          <w:szCs w:val="22"/>
          <w:lang w:val="es-ES_tradnl"/>
        </w:rPr>
        <w:t xml:space="preserve">. Una sentencia pronunciada en las circunstancias indicadas produce una </w:t>
      </w:r>
      <w:r w:rsidRPr="00BE4E66">
        <w:rPr>
          <w:rFonts w:eastAsia="Calibri"/>
          <w:b/>
          <w:i/>
          <w:sz w:val="24"/>
          <w:szCs w:val="22"/>
          <w:lang w:val="es-ES_tradnl"/>
        </w:rPr>
        <w:t>cosa juzgada “aparente” o “fraudulenta”</w:t>
      </w:r>
      <w:r w:rsidRPr="00BE4E66">
        <w:rPr>
          <w:rFonts w:eastAsia="Calibri"/>
          <w:i/>
          <w:sz w:val="24"/>
          <w:szCs w:val="22"/>
          <w:lang w:val="es-ES_tradnl"/>
        </w:rPr>
        <w:t xml:space="preserve">. </w:t>
      </w:r>
    </w:p>
    <w:p w:rsidR="00CF2E11" w:rsidRPr="00BE4E66" w:rsidRDefault="00CF2E11" w:rsidP="00CF2E11">
      <w:pPr>
        <w:spacing w:line="360" w:lineRule="auto"/>
        <w:rPr>
          <w:rFonts w:eastAsia="Calibri"/>
          <w:i/>
          <w:sz w:val="24"/>
          <w:szCs w:val="22"/>
          <w:lang w:val="es-ES_tradnl"/>
        </w:rPr>
      </w:pPr>
    </w:p>
    <w:p w:rsidR="00CF2E11" w:rsidRPr="00BE4E66" w:rsidRDefault="00CF2E11" w:rsidP="00CF2E11">
      <w:pPr>
        <w:spacing w:line="360" w:lineRule="auto"/>
        <w:rPr>
          <w:rFonts w:eastAsia="Calibri"/>
          <w:sz w:val="24"/>
          <w:szCs w:val="22"/>
          <w:lang w:val="es-ES_tradnl"/>
        </w:rPr>
      </w:pPr>
      <w:r w:rsidRPr="00BE4E66">
        <w:rPr>
          <w:rFonts w:eastAsia="Calibri"/>
          <w:i/>
          <w:sz w:val="24"/>
          <w:szCs w:val="22"/>
          <w:lang w:val="es-ES_tradnl"/>
        </w:rPr>
        <w:t>154.</w:t>
      </w:r>
      <w:r w:rsidRPr="00BE4E66">
        <w:rPr>
          <w:rFonts w:eastAsia="Calibri"/>
          <w:i/>
          <w:sz w:val="24"/>
          <w:szCs w:val="22"/>
          <w:lang w:val="es-ES_tradnl"/>
        </w:rPr>
        <w:tab/>
        <w:t>En tal sentido, al presentar una denuncia contra presuntos autores intelectuales de los hechos (supra párr. 80.82), en cuyo favor fue dispuesto un sobreseimiento</w:t>
      </w:r>
      <w:r w:rsidRPr="00BE4E66">
        <w:rPr>
          <w:rFonts w:eastAsia="Calibri"/>
          <w:b/>
          <w:i/>
          <w:sz w:val="24"/>
          <w:szCs w:val="22"/>
          <w:lang w:val="es-ES_tradnl"/>
        </w:rPr>
        <w:t xml:space="preserve"> </w:t>
      </w:r>
      <w:r w:rsidRPr="00BE4E66">
        <w:rPr>
          <w:rFonts w:eastAsia="Calibri"/>
          <w:i/>
          <w:sz w:val="24"/>
          <w:szCs w:val="22"/>
          <w:lang w:val="es-ES_tradnl"/>
        </w:rPr>
        <w:t xml:space="preserve">en el fuero militar, la Procuraduría Ad Hoc estimó que es </w:t>
      </w:r>
      <w:r w:rsidRPr="00BE4E66">
        <w:rPr>
          <w:rFonts w:eastAsia="Calibri"/>
          <w:b/>
          <w:i/>
          <w:sz w:val="24"/>
          <w:szCs w:val="22"/>
          <w:lang w:val="es-ES_tradnl"/>
        </w:rPr>
        <w:t>inadmisible considerar el auto de sobreseimiento emitido por jueces militares, carentes de competencia e imparcialidad, y en el curso de un proceso encaminado a cubrir con un manto de impunidad, como un obstáculo legal a la promoción de la acción penal ni como sentencia firme, por lo que no tendría calidad de cosa juzgada</w:t>
      </w:r>
      <w:r w:rsidRPr="00BE4E66">
        <w:rPr>
          <w:rFonts w:eastAsia="Calibri"/>
          <w:i/>
          <w:sz w:val="24"/>
          <w:szCs w:val="22"/>
          <w:lang w:val="es-ES_tradnl"/>
        </w:rPr>
        <w:t>”</w:t>
      </w:r>
      <w:r w:rsidRPr="00BE4E66">
        <w:rPr>
          <w:rFonts w:eastAsia="Calibri"/>
          <w:sz w:val="24"/>
          <w:szCs w:val="22"/>
          <w:lang w:val="es-ES_tradnl"/>
        </w:rPr>
        <w:t xml:space="preserve"> (negrillas fuera del texto).</w:t>
      </w:r>
    </w:p>
    <w:p w:rsidR="00CF2E11" w:rsidRPr="00BE4E66" w:rsidRDefault="00CF2E11" w:rsidP="00CF2E11">
      <w:pPr>
        <w:spacing w:line="360" w:lineRule="auto"/>
        <w:rPr>
          <w:rFonts w:eastAsia="Calibri"/>
          <w:sz w:val="24"/>
          <w:szCs w:val="22"/>
          <w:lang w:val="es-ES_tradnl"/>
        </w:rPr>
      </w:pPr>
    </w:p>
    <w:p w:rsidR="00CF2E11" w:rsidRPr="00BE4E66" w:rsidRDefault="00CF2E11" w:rsidP="00CF2E11">
      <w:pPr>
        <w:spacing w:line="360" w:lineRule="auto"/>
        <w:rPr>
          <w:rFonts w:eastAsia="Calibri"/>
          <w:sz w:val="24"/>
          <w:szCs w:val="22"/>
          <w:lang w:val="es-ES_tradnl"/>
        </w:rPr>
      </w:pPr>
      <w:r w:rsidRPr="00BE4E66">
        <w:rPr>
          <w:rFonts w:eastAsia="Calibri"/>
          <w:sz w:val="24"/>
          <w:szCs w:val="22"/>
          <w:lang w:val="es-ES_tradnl"/>
        </w:rPr>
        <w:t xml:space="preserve">En el mismo sentido se pronunció la Corte IDH en la sentencia del caso </w:t>
      </w:r>
      <w:r w:rsidRPr="00BE4E66">
        <w:rPr>
          <w:rFonts w:eastAsia="Calibri"/>
          <w:i/>
          <w:sz w:val="24"/>
          <w:szCs w:val="22"/>
          <w:lang w:val="es-ES_tradnl"/>
        </w:rPr>
        <w:t>Anzualdo Castro vs. Perú</w:t>
      </w:r>
      <w:r w:rsidRPr="00BE4E66">
        <w:rPr>
          <w:rFonts w:eastAsia="Calibri"/>
          <w:sz w:val="24"/>
          <w:szCs w:val="22"/>
          <w:lang w:val="es-ES_tradnl"/>
        </w:rPr>
        <w:t xml:space="preserve">, (22 de septiembre de 2009, cf. §182). Del mismo modo, en relación con Colombia, este aspecto fue reiterado una vez más en el caso </w:t>
      </w:r>
      <w:r w:rsidRPr="00BE4E66">
        <w:rPr>
          <w:rFonts w:eastAsia="Calibri"/>
          <w:i/>
          <w:sz w:val="24"/>
          <w:szCs w:val="22"/>
          <w:lang w:val="es-ES_tradnl"/>
        </w:rPr>
        <w:t>Manuel Cepeda Vargas</w:t>
      </w:r>
      <w:r w:rsidRPr="00BE4E66">
        <w:rPr>
          <w:rFonts w:eastAsia="Calibri"/>
          <w:sz w:val="24"/>
          <w:szCs w:val="22"/>
          <w:lang w:val="es-ES_tradnl"/>
        </w:rPr>
        <w:t xml:space="preserve"> (26 de mayo de 2010)</w:t>
      </w:r>
      <w:r>
        <w:rPr>
          <w:rFonts w:eastAsia="Calibri"/>
          <w:sz w:val="24"/>
          <w:szCs w:val="22"/>
          <w:lang w:val="es-ES_tradnl"/>
        </w:rPr>
        <w:t>, al cual corresponde el siguiente extracto</w:t>
      </w:r>
      <w:r w:rsidRPr="00BE4E66">
        <w:rPr>
          <w:rFonts w:eastAsia="Calibri"/>
          <w:sz w:val="24"/>
          <w:szCs w:val="22"/>
          <w:lang w:val="es-ES_tradnl"/>
        </w:rPr>
        <w:t>:</w:t>
      </w:r>
    </w:p>
    <w:p w:rsidR="00CF2E11" w:rsidRPr="00BE4E66" w:rsidRDefault="00CF2E11" w:rsidP="00CF2E11">
      <w:pPr>
        <w:spacing w:line="360" w:lineRule="auto"/>
        <w:rPr>
          <w:rFonts w:eastAsia="Calibri"/>
          <w:sz w:val="24"/>
          <w:szCs w:val="22"/>
          <w:lang w:val="es-ES_tradnl"/>
        </w:rPr>
      </w:pPr>
    </w:p>
    <w:p w:rsidR="00CF2E11" w:rsidRPr="00BE4E66" w:rsidRDefault="00CF2E11" w:rsidP="00CF2E11">
      <w:pPr>
        <w:spacing w:line="360" w:lineRule="auto"/>
        <w:ind w:left="426"/>
        <w:rPr>
          <w:rFonts w:eastAsia="Calibri"/>
          <w:i/>
          <w:sz w:val="24"/>
          <w:szCs w:val="22"/>
          <w:lang w:val="es-ES_tradnl"/>
        </w:rPr>
      </w:pPr>
      <w:r w:rsidRPr="00BE4E66">
        <w:rPr>
          <w:rFonts w:eastAsia="Calibri"/>
          <w:i/>
          <w:sz w:val="24"/>
          <w:szCs w:val="22"/>
          <w:lang w:val="es-ES_tradnl"/>
        </w:rPr>
        <w:t xml:space="preserve">“216. Además, el Tribunal resalta que, como ya fue demostrado, dada la compleja forma de ejecución del crimen en este caso, la falta de una exhaustiva investigación ha sido uno de los factores que ha obstaculizado la determinación, el enjuiciamiento y, en su caso, la sanción de todos los responsables (supra párrs. 124, 125 y 167). Esta situación favorece la impunidad de las </w:t>
      </w:r>
      <w:r w:rsidRPr="00BE4E66">
        <w:rPr>
          <w:rFonts w:eastAsia="Calibri"/>
          <w:b/>
          <w:i/>
          <w:sz w:val="24"/>
          <w:szCs w:val="22"/>
          <w:lang w:val="es-ES_tradnl"/>
        </w:rPr>
        <w:t>graves violaciones de derechos humanos</w:t>
      </w:r>
      <w:r w:rsidRPr="00BE4E66">
        <w:rPr>
          <w:rFonts w:eastAsia="Calibri"/>
          <w:i/>
          <w:sz w:val="24"/>
          <w:szCs w:val="22"/>
          <w:lang w:val="es-ES_tradnl"/>
        </w:rPr>
        <w:t xml:space="preserve"> cometidas conjuntamente por miembros de grupos paramilitares y agentes de la fuerza pública. </w:t>
      </w:r>
    </w:p>
    <w:p w:rsidR="00CF2E11" w:rsidRPr="00BE4E66" w:rsidRDefault="00CF2E11" w:rsidP="00CF2E11">
      <w:pPr>
        <w:spacing w:line="360" w:lineRule="auto"/>
        <w:ind w:left="426"/>
        <w:rPr>
          <w:rFonts w:eastAsia="Calibri"/>
          <w:i/>
          <w:sz w:val="24"/>
          <w:szCs w:val="22"/>
          <w:lang w:val="es-CR"/>
        </w:rPr>
      </w:pPr>
    </w:p>
    <w:p w:rsidR="00CF2E11" w:rsidRPr="00BE4E66" w:rsidRDefault="00CF2E11" w:rsidP="00CF2E11">
      <w:pPr>
        <w:spacing w:line="360" w:lineRule="auto"/>
        <w:ind w:left="426"/>
        <w:rPr>
          <w:rFonts w:eastAsia="Calibri"/>
          <w:i/>
          <w:sz w:val="24"/>
          <w:szCs w:val="22"/>
          <w:lang w:val="es-ES_tradnl"/>
        </w:rPr>
      </w:pPr>
      <w:r w:rsidRPr="00BE4E66">
        <w:rPr>
          <w:rFonts w:eastAsia="Calibri"/>
          <w:i/>
          <w:sz w:val="24"/>
          <w:szCs w:val="22"/>
          <w:lang w:val="es-CR"/>
        </w:rPr>
        <w:t xml:space="preserve">En razón de lo anterior, el Estado deberá </w:t>
      </w:r>
      <w:r w:rsidRPr="00BE4E66">
        <w:rPr>
          <w:rFonts w:eastAsia="Calibri"/>
          <w:i/>
          <w:sz w:val="24"/>
          <w:szCs w:val="22"/>
          <w:lang w:val="es-ES_tradnl"/>
        </w:rPr>
        <w:t xml:space="preserve">utilizar los medios que sean necesarios, de acuerdo con su legislación interna, para continuar eficazmente y con la mayor diligencia las investigaciones abiertas, así como abrir las que sean necesarias, con el fin de individualizar, juzgar y eventualmente sancionar a todos los responsables de la ejecución extrajudicial del Senador Manuel Cepeda Vargas, y remover todos los obstáculos, </w:t>
      </w:r>
      <w:r w:rsidRPr="00BE4E66">
        <w:rPr>
          <w:rFonts w:eastAsia="Calibri"/>
          <w:i/>
          <w:iCs/>
          <w:sz w:val="24"/>
          <w:szCs w:val="22"/>
          <w:lang w:val="es-ES_tradnl"/>
        </w:rPr>
        <w:t>de facto y de jure</w:t>
      </w:r>
      <w:r w:rsidRPr="00BE4E66">
        <w:rPr>
          <w:rFonts w:eastAsia="Calibri"/>
          <w:i/>
          <w:sz w:val="24"/>
          <w:szCs w:val="22"/>
          <w:lang w:val="es-ES_tradnl"/>
        </w:rPr>
        <w:t xml:space="preserve">, que puedan mantener la impunidad este caso. </w:t>
      </w:r>
    </w:p>
    <w:p w:rsidR="00CF2E11" w:rsidRPr="00BE4E66" w:rsidRDefault="00CF2E11" w:rsidP="00CF2E11">
      <w:pPr>
        <w:spacing w:line="360" w:lineRule="auto"/>
        <w:ind w:left="426"/>
        <w:rPr>
          <w:rFonts w:eastAsia="Calibri"/>
          <w:i/>
          <w:sz w:val="24"/>
          <w:szCs w:val="22"/>
          <w:lang w:val="es-ES_tradnl"/>
        </w:rPr>
      </w:pPr>
    </w:p>
    <w:p w:rsidR="00CF2E11" w:rsidRPr="00BE4E66" w:rsidRDefault="00CF2E11" w:rsidP="00CF2E11">
      <w:pPr>
        <w:spacing w:line="360" w:lineRule="auto"/>
        <w:ind w:left="426"/>
        <w:rPr>
          <w:rFonts w:eastAsia="Calibri"/>
          <w:i/>
          <w:sz w:val="24"/>
          <w:szCs w:val="22"/>
          <w:lang w:val="es-ES_tradnl"/>
        </w:rPr>
      </w:pPr>
      <w:r w:rsidRPr="00BE4E66">
        <w:rPr>
          <w:rFonts w:eastAsia="Calibri"/>
          <w:i/>
          <w:sz w:val="24"/>
          <w:szCs w:val="22"/>
          <w:lang w:val="es-ES_tradnl"/>
        </w:rPr>
        <w:t>En particular, el Estado deberá conducir las investigaciones con base en los siguientes criterios:</w:t>
      </w:r>
    </w:p>
    <w:p w:rsidR="00CF2E11" w:rsidRPr="00BE4E66" w:rsidRDefault="00CF2E11" w:rsidP="00CF2E11">
      <w:pPr>
        <w:spacing w:line="360" w:lineRule="auto"/>
        <w:ind w:left="426"/>
        <w:rPr>
          <w:rFonts w:eastAsia="Calibri"/>
          <w:i/>
          <w:sz w:val="24"/>
          <w:szCs w:val="22"/>
          <w:lang w:val="es-ES_tradnl"/>
        </w:rPr>
      </w:pPr>
      <w:r w:rsidRPr="00BE4E66">
        <w:rPr>
          <w:rFonts w:eastAsia="Calibri"/>
          <w:i/>
          <w:sz w:val="24"/>
          <w:szCs w:val="22"/>
          <w:lang w:val="es-ES_tradnl"/>
        </w:rPr>
        <w:t>[…]</w:t>
      </w:r>
    </w:p>
    <w:p w:rsidR="00CF2E11" w:rsidRPr="00BE4E66" w:rsidRDefault="00CF2E11" w:rsidP="00CF2E11">
      <w:pPr>
        <w:spacing w:line="360" w:lineRule="auto"/>
        <w:ind w:left="426"/>
        <w:rPr>
          <w:rFonts w:eastAsia="Calibri"/>
          <w:sz w:val="24"/>
          <w:szCs w:val="22"/>
          <w:lang w:val="es-ES_tradnl"/>
        </w:rPr>
      </w:pPr>
      <w:r w:rsidRPr="00BE4E66">
        <w:rPr>
          <w:rFonts w:eastAsia="Calibri"/>
          <w:i/>
          <w:sz w:val="24"/>
          <w:szCs w:val="22"/>
          <w:lang w:val="es-ES_tradnl"/>
        </w:rPr>
        <w:t xml:space="preserve">c) remover todos los obstáculos que impidan la debida investigación de los hechos en los respectivos procesos a fin de evitar la repetición de lo ocurrido y circunstancias como las del presente caso. </w:t>
      </w:r>
      <w:r w:rsidRPr="00BE4E66">
        <w:rPr>
          <w:rFonts w:eastAsia="Calibri"/>
          <w:i/>
          <w:sz w:val="24"/>
          <w:szCs w:val="22"/>
          <w:lang w:val="es-CR"/>
        </w:rPr>
        <w:t xml:space="preserve">En este sentido, el Estado no podrá </w:t>
      </w:r>
      <w:r w:rsidRPr="00BE4E66">
        <w:rPr>
          <w:rFonts w:eastAsia="Calibri"/>
          <w:i/>
          <w:sz w:val="24"/>
          <w:szCs w:val="22"/>
          <w:lang w:val="es-ES_tradnl"/>
        </w:rPr>
        <w:t xml:space="preserve">aplicar leyes de amnistía, ni argumentar prescripción, irretroactividad de la ley penal, </w:t>
      </w:r>
      <w:r w:rsidRPr="00BE4E66">
        <w:rPr>
          <w:rFonts w:eastAsia="Calibri"/>
          <w:b/>
          <w:i/>
          <w:sz w:val="24"/>
          <w:szCs w:val="22"/>
          <w:lang w:val="es-ES_tradnl"/>
        </w:rPr>
        <w:t>cosa juzgada</w:t>
      </w:r>
      <w:r w:rsidRPr="00BE4E66">
        <w:rPr>
          <w:rFonts w:eastAsia="Calibri"/>
          <w:i/>
          <w:sz w:val="24"/>
          <w:szCs w:val="22"/>
          <w:lang w:val="es-ES_tradnl"/>
        </w:rPr>
        <w:t>, ni el principio non bis in idem, o cualquier excluyente similar de responsabilidad, para excusarse de esta obligación”</w:t>
      </w:r>
      <w:r w:rsidRPr="00BE4E66">
        <w:rPr>
          <w:rFonts w:eastAsia="Calibri"/>
          <w:sz w:val="24"/>
          <w:szCs w:val="22"/>
          <w:lang w:val="es-ES_tradnl"/>
        </w:rPr>
        <w:t xml:space="preserve"> (negrillas fuera del texto).</w:t>
      </w:r>
    </w:p>
    <w:p w:rsidR="00CF2E11" w:rsidRPr="00BE4E66" w:rsidRDefault="00CF2E11" w:rsidP="00CF2E11">
      <w:pPr>
        <w:spacing w:line="360" w:lineRule="auto"/>
        <w:rPr>
          <w:rFonts w:eastAsia="Calibri"/>
          <w:sz w:val="24"/>
          <w:szCs w:val="22"/>
          <w:lang w:val="es-ES_tradnl"/>
        </w:rPr>
      </w:pPr>
    </w:p>
    <w:p w:rsidR="00CF2E11" w:rsidRPr="00BE4E66" w:rsidRDefault="00CF2E11" w:rsidP="00CF2E11">
      <w:pPr>
        <w:spacing w:line="360" w:lineRule="auto"/>
        <w:rPr>
          <w:rFonts w:eastAsia="Calibri"/>
          <w:sz w:val="24"/>
          <w:szCs w:val="22"/>
          <w:lang w:val="es-MX"/>
        </w:rPr>
      </w:pPr>
      <w:r w:rsidRPr="00BE4E66">
        <w:rPr>
          <w:rFonts w:eastAsia="Calibri"/>
          <w:sz w:val="24"/>
          <w:szCs w:val="22"/>
          <w:lang w:val="es-ES_tradnl"/>
        </w:rPr>
        <w:t xml:space="preserve">Esta línea ha sido por demás reiterada por la Corte Interamericana en sucesivas sentencias, como las proferidas dentro del caso </w:t>
      </w:r>
      <w:r w:rsidRPr="00BE4E66">
        <w:rPr>
          <w:rFonts w:eastAsia="Calibri"/>
          <w:i/>
          <w:sz w:val="24"/>
          <w:szCs w:val="22"/>
          <w:lang w:val="es-ES_tradnl"/>
        </w:rPr>
        <w:t>Gelman vs. Uruguay</w:t>
      </w:r>
      <w:r w:rsidRPr="00BE4E66">
        <w:rPr>
          <w:rFonts w:eastAsia="Calibri"/>
          <w:sz w:val="24"/>
          <w:szCs w:val="22"/>
          <w:lang w:val="es-ES_tradnl"/>
        </w:rPr>
        <w:t xml:space="preserve"> (24 de febrero de 2011), y en el caso </w:t>
      </w:r>
      <w:r w:rsidRPr="00BE4E66">
        <w:rPr>
          <w:rFonts w:eastAsia="Calibri"/>
          <w:i/>
          <w:sz w:val="24"/>
          <w:szCs w:val="22"/>
          <w:lang w:val="es-ES_tradnl"/>
        </w:rPr>
        <w:t>Contreras y otros vs. El Salvador</w:t>
      </w:r>
      <w:r w:rsidRPr="00BE4E66">
        <w:rPr>
          <w:rFonts w:eastAsia="Calibri"/>
          <w:sz w:val="24"/>
          <w:szCs w:val="22"/>
          <w:lang w:val="es-ES_tradnl"/>
        </w:rPr>
        <w:t xml:space="preserve"> (31 de agosto de 2011).</w:t>
      </w:r>
    </w:p>
    <w:p w:rsidR="00CF2E11" w:rsidRPr="00BE4E66" w:rsidRDefault="00CF2E11" w:rsidP="00CF2E11">
      <w:pPr>
        <w:spacing w:line="360" w:lineRule="auto"/>
        <w:rPr>
          <w:rFonts w:eastAsia="Calibri"/>
          <w:sz w:val="24"/>
          <w:szCs w:val="22"/>
          <w:lang w:val="es-MX"/>
        </w:rPr>
      </w:pPr>
    </w:p>
    <w:p w:rsidR="00CF2E11" w:rsidRPr="00BE4E66" w:rsidRDefault="00CF2E11" w:rsidP="00CF2E11">
      <w:pPr>
        <w:spacing w:line="360" w:lineRule="auto"/>
        <w:rPr>
          <w:rFonts w:eastAsia="Calibri"/>
          <w:sz w:val="24"/>
          <w:szCs w:val="22"/>
          <w:lang w:val="es-MX"/>
        </w:rPr>
      </w:pPr>
      <w:r w:rsidRPr="00BE4E66">
        <w:rPr>
          <w:rFonts w:eastAsia="Calibri"/>
          <w:sz w:val="24"/>
          <w:szCs w:val="22"/>
          <w:lang w:val="es-MX"/>
        </w:rPr>
        <w:t xml:space="preserve">En consonancia con el anterior estándar normativo internacional, aplicable en virtud del principio </w:t>
      </w:r>
      <w:r w:rsidRPr="00BE4E66">
        <w:rPr>
          <w:rFonts w:eastAsia="Calibri"/>
          <w:i/>
          <w:sz w:val="24"/>
          <w:szCs w:val="22"/>
          <w:lang w:val="es-MX"/>
        </w:rPr>
        <w:t>Pacta Sunt Servanda</w:t>
      </w:r>
      <w:r w:rsidRPr="00BE4E66">
        <w:rPr>
          <w:rFonts w:eastAsia="Calibri"/>
          <w:sz w:val="24"/>
          <w:szCs w:val="22"/>
          <w:lang w:val="es-MX"/>
        </w:rPr>
        <w:t xml:space="preserve"> e igualmente por vía del </w:t>
      </w:r>
      <w:r w:rsidRPr="00BE4E66">
        <w:rPr>
          <w:rFonts w:eastAsia="Calibri"/>
          <w:i/>
          <w:sz w:val="24"/>
          <w:szCs w:val="22"/>
          <w:lang w:val="es-MX"/>
        </w:rPr>
        <w:t>bloque de constitucionalidad</w:t>
      </w:r>
      <w:r w:rsidRPr="00BE4E66">
        <w:rPr>
          <w:rFonts w:eastAsia="Calibri"/>
          <w:i/>
          <w:iCs/>
          <w:sz w:val="24"/>
          <w:szCs w:val="24"/>
          <w:vertAlign w:val="superscript"/>
          <w:lang w:val="es-MX"/>
        </w:rPr>
        <w:footnoteReference w:id="64"/>
      </w:r>
      <w:r w:rsidRPr="00BE4E66">
        <w:rPr>
          <w:rFonts w:eastAsia="Calibri"/>
          <w:sz w:val="24"/>
          <w:szCs w:val="22"/>
          <w:lang w:val="es-MX"/>
        </w:rPr>
        <w:t xml:space="preserve">, la Corte Suprema de Justicia – Sala de Casación Penal ha declarado, a partir de una sentencia del 17 de abril de 1995, la nulidad en casos en que la competencia era de la justicia penal ordinaria y el proceso había sido  adelantado la justicia penal militar. El fundamento de la nulidad ha sido justamente la protección del derecho al juez natural: </w:t>
      </w:r>
    </w:p>
    <w:p w:rsidR="00CF2E11" w:rsidRPr="00BE4E66" w:rsidRDefault="00CF2E11" w:rsidP="00CF2E11">
      <w:pPr>
        <w:spacing w:line="360" w:lineRule="auto"/>
        <w:rPr>
          <w:rFonts w:eastAsia="Calibri"/>
          <w:sz w:val="24"/>
          <w:szCs w:val="22"/>
          <w:lang w:val="es-MX"/>
        </w:rPr>
      </w:pPr>
    </w:p>
    <w:p w:rsidR="00CF2E11" w:rsidRPr="00EE4237" w:rsidRDefault="00CF2E11" w:rsidP="00CF2E11">
      <w:pPr>
        <w:spacing w:line="360" w:lineRule="auto"/>
        <w:ind w:left="426"/>
        <w:rPr>
          <w:rFonts w:eastAsia="Calibri"/>
          <w:sz w:val="24"/>
          <w:szCs w:val="22"/>
          <w:lang w:val="es-MX"/>
        </w:rPr>
      </w:pPr>
      <w:r w:rsidRPr="00BE4E66">
        <w:rPr>
          <w:rFonts w:eastAsia="Calibri"/>
          <w:i/>
          <w:sz w:val="24"/>
          <w:szCs w:val="22"/>
          <w:lang w:val="es-MX"/>
        </w:rPr>
        <w:t>“El derecho a ser juzgado “conforme a las leyes preexistentes al acto que se le imputa, ante juez o tribunal competente y con observancia de la plenitud de las formas propias de cada juicio”, es además una garantía de rango superior que no accidentalmente se consagra en la Carta sino de modo coherente con compromisos suscritos por Colombia en el ámbito internacional”</w:t>
      </w:r>
      <w:r w:rsidRPr="00BE4E66">
        <w:rPr>
          <w:rFonts w:eastAsia="Calibri"/>
          <w:sz w:val="24"/>
          <w:szCs w:val="22"/>
          <w:lang w:val="es-MX"/>
        </w:rPr>
        <w:t xml:space="preserve">. </w:t>
      </w:r>
    </w:p>
    <w:p w:rsidR="00CF2E11" w:rsidRPr="00BE4E66" w:rsidRDefault="00CF2E11" w:rsidP="00CF2E11">
      <w:pPr>
        <w:spacing w:line="360" w:lineRule="auto"/>
        <w:ind w:left="426"/>
        <w:rPr>
          <w:rFonts w:eastAsia="Calibri"/>
          <w:i/>
          <w:sz w:val="24"/>
          <w:szCs w:val="22"/>
          <w:lang w:val="es-MX"/>
        </w:rPr>
      </w:pPr>
      <w:r w:rsidRPr="00BE4E66">
        <w:rPr>
          <w:rFonts w:eastAsia="Calibri"/>
          <w:i/>
          <w:sz w:val="24"/>
          <w:szCs w:val="22"/>
          <w:lang w:val="es-MX"/>
        </w:rPr>
        <w:t>(…)</w:t>
      </w:r>
    </w:p>
    <w:p w:rsidR="00CF2E11" w:rsidRPr="00BE4E66" w:rsidRDefault="00CF2E11" w:rsidP="00CF2E11">
      <w:pPr>
        <w:spacing w:line="360" w:lineRule="auto"/>
        <w:ind w:left="426"/>
        <w:rPr>
          <w:rFonts w:eastAsia="Calibri"/>
          <w:i/>
          <w:sz w:val="24"/>
          <w:szCs w:val="22"/>
          <w:lang w:val="es-MX"/>
        </w:rPr>
      </w:pPr>
      <w:r w:rsidRPr="00BE4E66">
        <w:rPr>
          <w:rFonts w:eastAsia="Calibri"/>
          <w:i/>
          <w:sz w:val="24"/>
          <w:szCs w:val="22"/>
          <w:lang w:val="es-MX"/>
        </w:rPr>
        <w:t>[A]demás de la ostensible vulneración al debido proceso y al principio del juez natural, también la irregularidad afectó los derechos de las víctimas a la verdad, justicia y reparación como quiera que, como lo han expresado la Corte Interamericana de Derechos Humanos y la Corte Constitucional, prohijado por esta Sala, las garantías judiciales adquieren una connotación bilateral, esto es, se asumen válidas, en el mismo plano de igualdad, para el procesado y la víctima.</w:t>
      </w:r>
    </w:p>
    <w:p w:rsidR="00CF2E11" w:rsidRPr="00BE4E66" w:rsidRDefault="00CF2E11" w:rsidP="00CF2E11">
      <w:pPr>
        <w:spacing w:line="360" w:lineRule="auto"/>
        <w:ind w:left="426"/>
        <w:rPr>
          <w:rFonts w:eastAsia="Calibri"/>
          <w:i/>
          <w:sz w:val="24"/>
          <w:szCs w:val="22"/>
          <w:lang w:val="es-MX"/>
        </w:rPr>
      </w:pPr>
    </w:p>
    <w:p w:rsidR="00CF2E11" w:rsidRPr="00BE4E66" w:rsidRDefault="00CF2E11" w:rsidP="00CF2E11">
      <w:pPr>
        <w:spacing w:line="360" w:lineRule="auto"/>
        <w:ind w:left="426"/>
        <w:rPr>
          <w:rFonts w:eastAsia="Calibri"/>
          <w:sz w:val="24"/>
          <w:szCs w:val="22"/>
          <w:lang w:val="es-MX"/>
        </w:rPr>
      </w:pPr>
      <w:r w:rsidRPr="00BE4E66">
        <w:rPr>
          <w:rFonts w:eastAsia="Calibri"/>
          <w:i/>
          <w:sz w:val="24"/>
          <w:szCs w:val="22"/>
          <w:lang w:val="es-MX"/>
        </w:rPr>
        <w:t>Desbordadas jurisdicción y competencia, a más de verificada la violación evidente de las garantías de seriedad e imparcialidad en la investigación, como ampliamente se anotó en precedencia, la única solución a la mano –como quiera que se trata de la violación de una garantía constitucional-, incluso de oficiosa declaración, es la de decretar la nulidad de lo actuado”</w:t>
      </w:r>
      <w:r w:rsidRPr="00BE4E66">
        <w:rPr>
          <w:rFonts w:eastAsia="Calibri"/>
          <w:sz w:val="24"/>
          <w:szCs w:val="22"/>
          <w:lang w:val="es-MX"/>
        </w:rPr>
        <w:t>.</w:t>
      </w:r>
    </w:p>
    <w:p w:rsidR="00CF2E11" w:rsidRPr="00BE4E66" w:rsidRDefault="00CF2E11" w:rsidP="00CF2E11">
      <w:pPr>
        <w:spacing w:line="360" w:lineRule="auto"/>
        <w:rPr>
          <w:rFonts w:eastAsia="Calibri"/>
          <w:sz w:val="24"/>
          <w:szCs w:val="22"/>
          <w:lang w:val="es-MX"/>
        </w:rPr>
      </w:pPr>
    </w:p>
    <w:p w:rsidR="00CF2E11" w:rsidRPr="00BE4E66" w:rsidRDefault="00CF2E11" w:rsidP="00CF2E11">
      <w:pPr>
        <w:spacing w:line="360" w:lineRule="auto"/>
        <w:rPr>
          <w:rFonts w:eastAsia="Calibri"/>
          <w:sz w:val="24"/>
          <w:szCs w:val="22"/>
          <w:lang w:val="es-CO"/>
        </w:rPr>
      </w:pPr>
      <w:r w:rsidRPr="00BE4E66">
        <w:rPr>
          <w:rFonts w:eastAsia="Calibri"/>
          <w:sz w:val="24"/>
          <w:szCs w:val="22"/>
          <w:lang w:val="es-CO"/>
        </w:rPr>
        <w:t xml:space="preserve">En síntesis, </w:t>
      </w:r>
      <w:r>
        <w:rPr>
          <w:rFonts w:eastAsia="Calibri"/>
          <w:sz w:val="24"/>
          <w:szCs w:val="22"/>
          <w:lang w:val="es-CO"/>
        </w:rPr>
        <w:t xml:space="preserve">el principio de cosa juzgada le impide a esta Sala, por regla general, pronunciarse en un conflicto de competencias cuando ya se ha proferido sentencia definitiva en el caso en cuestión, pero ese principio tiene como excepción, tal como acaba de verse, que se trate de </w:t>
      </w:r>
      <w:r w:rsidRPr="00BE4E66">
        <w:rPr>
          <w:rFonts w:eastAsia="Calibri"/>
          <w:sz w:val="24"/>
          <w:szCs w:val="22"/>
          <w:lang w:val="es-CO"/>
        </w:rPr>
        <w:t xml:space="preserve">casos de grave violación del derecho nacional e internacional de los derechos humanos, </w:t>
      </w:r>
      <w:r>
        <w:rPr>
          <w:rFonts w:eastAsia="Calibri"/>
          <w:sz w:val="24"/>
          <w:szCs w:val="22"/>
          <w:lang w:val="es-CO"/>
        </w:rPr>
        <w:t xml:space="preserve">y esas circunstancias concurren en el caso presente, tal como se verá a continuación. </w:t>
      </w:r>
    </w:p>
    <w:p w:rsidR="00CF2E11" w:rsidRPr="00BE4E66" w:rsidRDefault="00CF2E11" w:rsidP="00CF2E11">
      <w:pPr>
        <w:jc w:val="left"/>
        <w:rPr>
          <w:rFonts w:eastAsia="Calibri" w:cs="Times New Roman"/>
          <w:sz w:val="24"/>
          <w:szCs w:val="22"/>
          <w:lang w:val="es-CO"/>
        </w:rPr>
      </w:pPr>
    </w:p>
    <w:p w:rsidR="00CF2E11" w:rsidRPr="00BE4E66" w:rsidRDefault="00CF2E11" w:rsidP="00CF2E11">
      <w:pPr>
        <w:rPr>
          <w:lang w:val="es-CO"/>
        </w:rPr>
      </w:pPr>
    </w:p>
    <w:p w:rsidR="00CF2E11" w:rsidRPr="00BE4E66" w:rsidRDefault="00CF2E11" w:rsidP="00CF2E11">
      <w:pPr>
        <w:spacing w:line="360" w:lineRule="auto"/>
        <w:rPr>
          <w:b/>
          <w:i/>
          <w:sz w:val="24"/>
          <w:szCs w:val="24"/>
          <w:lang w:val="es-CO"/>
        </w:rPr>
      </w:pPr>
      <w:r w:rsidRPr="00BE4E66">
        <w:rPr>
          <w:b/>
          <w:i/>
          <w:sz w:val="24"/>
          <w:szCs w:val="24"/>
          <w:lang w:val="es-CO"/>
        </w:rPr>
        <w:t>iii). Caso concreto</w:t>
      </w:r>
    </w:p>
    <w:p w:rsidR="00CF2E11" w:rsidRPr="00BE4E66" w:rsidRDefault="00CF2E11" w:rsidP="00CF2E11">
      <w:pPr>
        <w:spacing w:line="360" w:lineRule="auto"/>
        <w:rPr>
          <w:b/>
          <w:sz w:val="24"/>
          <w:szCs w:val="24"/>
          <w:lang w:val="es-CO"/>
        </w:rPr>
      </w:pPr>
    </w:p>
    <w:p w:rsidR="00CF2E11" w:rsidRPr="00BE4E66" w:rsidRDefault="00CF2E11" w:rsidP="00CF2E11">
      <w:pPr>
        <w:spacing w:line="360" w:lineRule="auto"/>
        <w:rPr>
          <w:sz w:val="24"/>
          <w:szCs w:val="24"/>
        </w:rPr>
      </w:pPr>
      <w:r w:rsidRPr="00BE4E66">
        <w:rPr>
          <w:sz w:val="24"/>
          <w:szCs w:val="24"/>
          <w:lang w:val="es-CO"/>
        </w:rPr>
        <w:t xml:space="preserve">En el presente asunto la señora </w:t>
      </w:r>
      <w:r w:rsidRPr="00BE4E66">
        <w:rPr>
          <w:sz w:val="24"/>
          <w:szCs w:val="24"/>
          <w:lang w:val="es-ES_tradnl"/>
        </w:rPr>
        <w:t>Nelly Esther Gesama T</w:t>
      </w:r>
      <w:r>
        <w:rPr>
          <w:sz w:val="24"/>
          <w:szCs w:val="24"/>
          <w:lang w:val="es-ES_tradnl"/>
        </w:rPr>
        <w:t>á</w:t>
      </w:r>
      <w:r w:rsidRPr="00BE4E66">
        <w:rPr>
          <w:sz w:val="24"/>
          <w:szCs w:val="24"/>
          <w:lang w:val="es-ES_tradnl"/>
        </w:rPr>
        <w:t>quez</w:t>
      </w:r>
      <w:r>
        <w:rPr>
          <w:sz w:val="24"/>
          <w:szCs w:val="24"/>
          <w:lang w:val="es-ES_tradnl"/>
        </w:rPr>
        <w:t>,</w:t>
      </w:r>
      <w:r w:rsidRPr="00BE4E66">
        <w:rPr>
          <w:sz w:val="24"/>
          <w:szCs w:val="24"/>
          <w:lang w:val="es-ES_tradnl"/>
        </w:rPr>
        <w:t xml:space="preserve"> en calidad de agente oficiosa de la menor de edad “Bertha”, alegó que la Sala Jurisdiccional Disciplinaria del Consejo Superior de la Judicatura vulneró los derechos fundamentales de su nieta, al abstenerse de resolver el conflicto de competencias entre la Jurisdicción Penal Ordinaria y la Jurisdicción Indígena para investigar y juzgar al señor </w:t>
      </w:r>
      <w:r w:rsidRPr="00BE4E66">
        <w:rPr>
          <w:sz w:val="24"/>
          <w:szCs w:val="24"/>
        </w:rPr>
        <w:t>Jesús Libardo T</w:t>
      </w:r>
      <w:r>
        <w:rPr>
          <w:sz w:val="24"/>
          <w:szCs w:val="24"/>
        </w:rPr>
        <w:t>á</w:t>
      </w:r>
      <w:r w:rsidRPr="00BE4E66">
        <w:rPr>
          <w:sz w:val="24"/>
          <w:szCs w:val="24"/>
        </w:rPr>
        <w:t>quez Ituyan, por el presunto delito de acceso carnal abusivo con menor de 14 años.</w:t>
      </w:r>
    </w:p>
    <w:p w:rsidR="00CF2E11" w:rsidRPr="00BE4E66" w:rsidRDefault="00CF2E11" w:rsidP="00CF2E11">
      <w:pPr>
        <w:spacing w:line="360" w:lineRule="auto"/>
        <w:rPr>
          <w:sz w:val="24"/>
          <w:szCs w:val="24"/>
        </w:rPr>
      </w:pPr>
    </w:p>
    <w:p w:rsidR="00CF2E11" w:rsidRPr="00BE4E66" w:rsidRDefault="00CF2E11" w:rsidP="00CF2E11">
      <w:pPr>
        <w:spacing w:line="360" w:lineRule="auto"/>
        <w:rPr>
          <w:sz w:val="24"/>
          <w:szCs w:val="24"/>
        </w:rPr>
      </w:pPr>
      <w:r w:rsidRPr="00BE4E66">
        <w:rPr>
          <w:sz w:val="24"/>
          <w:szCs w:val="24"/>
        </w:rPr>
        <w:t xml:space="preserve">Mediante la providencia del 22 de enero de 2014, la Sala accionada determinó que carecía de competencia para pronunciarse respecto del referido conflicto toda vez que la Jurisdicción Indígena había proferido decisión de fondo en el caso concreto. </w:t>
      </w:r>
    </w:p>
    <w:p w:rsidR="00CF2E11" w:rsidRPr="00BE4E66" w:rsidRDefault="00CF2E11" w:rsidP="00CF2E11">
      <w:pPr>
        <w:spacing w:line="360" w:lineRule="auto"/>
        <w:rPr>
          <w:sz w:val="24"/>
          <w:szCs w:val="24"/>
        </w:rPr>
      </w:pPr>
    </w:p>
    <w:p w:rsidR="00CF2E11" w:rsidRPr="00BE4E66" w:rsidRDefault="00CF2E11" w:rsidP="00CF2E11">
      <w:pPr>
        <w:autoSpaceDE w:val="0"/>
        <w:autoSpaceDN w:val="0"/>
        <w:adjustRightInd w:val="0"/>
        <w:spacing w:line="360" w:lineRule="auto"/>
        <w:rPr>
          <w:rFonts w:eastAsia="Times New Roman"/>
          <w:sz w:val="24"/>
          <w:szCs w:val="24"/>
          <w:lang w:val="es-ES_tradnl" w:eastAsia="es-CO"/>
        </w:rPr>
      </w:pPr>
      <w:r w:rsidRPr="00BE4E66">
        <w:rPr>
          <w:rFonts w:eastAsia="Times New Roman"/>
          <w:sz w:val="24"/>
          <w:szCs w:val="24"/>
          <w:lang w:val="es-ES_tradnl" w:eastAsia="es-CO"/>
        </w:rPr>
        <w:t xml:space="preserve">No obstante, esta Sala considera que en el presente asunto, la decisión proferida por el </w:t>
      </w:r>
      <w:r w:rsidRPr="00BE4E66">
        <w:rPr>
          <w:sz w:val="24"/>
          <w:szCs w:val="24"/>
        </w:rPr>
        <w:t>Resguardo Indígena de “San Juan” de Ipiales</w:t>
      </w:r>
      <w:r w:rsidRPr="00BE4E66">
        <w:rPr>
          <w:rFonts w:eastAsia="Times New Roman"/>
          <w:sz w:val="24"/>
          <w:szCs w:val="24"/>
          <w:lang w:val="es-ES_tradnl" w:eastAsia="es-CO"/>
        </w:rPr>
        <w:t xml:space="preserve"> el 10 de noviembre de 2013, </w:t>
      </w:r>
      <w:r w:rsidRPr="00BE4E66">
        <w:rPr>
          <w:sz w:val="24"/>
          <w:szCs w:val="24"/>
        </w:rPr>
        <w:t xml:space="preserve">no implica la pérdida de competencia por parte de esta Superioridad para pronunciarse respecto del conflicto de competencias planteado, toda vez que, la figura de la cosa juzgada </w:t>
      </w:r>
      <w:r w:rsidRPr="00BE4E66">
        <w:rPr>
          <w:rFonts w:eastAsia="Calibri"/>
          <w:sz w:val="24"/>
          <w:szCs w:val="22"/>
          <w:lang w:val="es-ES_tradnl"/>
        </w:rPr>
        <w:t xml:space="preserve">no es predicable </w:t>
      </w:r>
      <w:r w:rsidRPr="00BE4E66">
        <w:rPr>
          <w:rFonts w:eastAsia="Calibri"/>
          <w:sz w:val="24"/>
          <w:szCs w:val="22"/>
          <w:lang w:val="es-CO"/>
        </w:rPr>
        <w:t>en los casos relacionados con graves violaciones de derechos humanos.</w:t>
      </w:r>
    </w:p>
    <w:p w:rsidR="00CF2E11" w:rsidRPr="00BE4E66" w:rsidRDefault="00CF2E11" w:rsidP="00CF2E11">
      <w:pPr>
        <w:autoSpaceDE w:val="0"/>
        <w:autoSpaceDN w:val="0"/>
        <w:adjustRightInd w:val="0"/>
        <w:spacing w:line="360" w:lineRule="auto"/>
        <w:rPr>
          <w:rFonts w:eastAsia="Times New Roman"/>
          <w:sz w:val="24"/>
          <w:szCs w:val="24"/>
          <w:lang w:val="es-ES_tradnl" w:eastAsia="es-CO"/>
        </w:rPr>
      </w:pPr>
    </w:p>
    <w:p w:rsidR="00CF2E11" w:rsidRPr="008A75BB" w:rsidRDefault="00CF2E11" w:rsidP="00CF2E11">
      <w:pPr>
        <w:autoSpaceDE w:val="0"/>
        <w:autoSpaceDN w:val="0"/>
        <w:adjustRightInd w:val="0"/>
        <w:spacing w:line="360" w:lineRule="auto"/>
        <w:rPr>
          <w:rFonts w:eastAsia="Times New Roman"/>
          <w:sz w:val="24"/>
          <w:szCs w:val="24"/>
          <w:lang w:val="es-ES_tradnl" w:eastAsia="es-CO"/>
        </w:rPr>
      </w:pPr>
      <w:r w:rsidRPr="008A75BB">
        <w:rPr>
          <w:rFonts w:eastAsia="Times New Roman"/>
          <w:sz w:val="24"/>
          <w:szCs w:val="24"/>
          <w:lang w:val="es-ES_tradnl" w:eastAsia="es-CO"/>
        </w:rPr>
        <w:t>Así las cosas, esta Sala considera que los derechos fundamentales de la niña “Bertha” fueron vulnerados, en primer lugar, con la decisión emitida por la Jurisdicción Indígena, la cual carecía de competencia para pronunciarse sobre el asunto y, en segundo lugar, con la decisión de la Sala Jurisdiccional Disciplinaria del Consejo Superior de la Judicatura de abstenerse de dirimir el conflicto de competencias planteado.</w:t>
      </w:r>
    </w:p>
    <w:p w:rsidR="00CF2E11" w:rsidRPr="008A75BB" w:rsidRDefault="00CF2E11" w:rsidP="00CF2E11">
      <w:pPr>
        <w:autoSpaceDE w:val="0"/>
        <w:autoSpaceDN w:val="0"/>
        <w:adjustRightInd w:val="0"/>
        <w:spacing w:line="360" w:lineRule="auto"/>
        <w:rPr>
          <w:rFonts w:eastAsia="Times New Roman"/>
          <w:sz w:val="24"/>
          <w:szCs w:val="24"/>
          <w:lang w:val="es-ES_tradnl" w:eastAsia="es-CO"/>
        </w:rPr>
      </w:pPr>
    </w:p>
    <w:p w:rsidR="00CF2E11" w:rsidRPr="008A75BB" w:rsidRDefault="00CF2E11" w:rsidP="00CF2E11">
      <w:pPr>
        <w:autoSpaceDE w:val="0"/>
        <w:autoSpaceDN w:val="0"/>
        <w:adjustRightInd w:val="0"/>
        <w:spacing w:line="360" w:lineRule="auto"/>
        <w:rPr>
          <w:rFonts w:eastAsia="Times New Roman"/>
          <w:sz w:val="24"/>
          <w:szCs w:val="24"/>
          <w:lang w:val="es-ES_tradnl" w:eastAsia="es-CO"/>
        </w:rPr>
      </w:pPr>
      <w:r w:rsidRPr="008A75BB">
        <w:rPr>
          <w:rFonts w:eastAsia="Times New Roman"/>
          <w:sz w:val="24"/>
          <w:szCs w:val="24"/>
          <w:lang w:val="es-ES_tradnl" w:eastAsia="es-CO"/>
        </w:rPr>
        <w:t>En situaciones similares, en donde la Corte Constitucional declaró vulnerado el debido proceso por parte del juez encargado de resolver un conflicto de competencia, procedió de forma inmediata a remitir el expediente con destino a su juez natural</w:t>
      </w:r>
      <w:r w:rsidRPr="008A75BB">
        <w:rPr>
          <w:rStyle w:val="Refdenotaalpie"/>
          <w:bCs/>
          <w:sz w:val="24"/>
          <w:szCs w:val="24"/>
        </w:rPr>
        <w:footnoteReference w:id="65"/>
      </w:r>
      <w:r w:rsidRPr="008A75BB">
        <w:rPr>
          <w:rFonts w:eastAsia="Times New Roman"/>
          <w:sz w:val="24"/>
          <w:szCs w:val="24"/>
          <w:lang w:val="es-ES_tradnl" w:eastAsia="es-CO"/>
        </w:rPr>
        <w:t>.</w:t>
      </w:r>
    </w:p>
    <w:p w:rsidR="00CF2E11" w:rsidRPr="008A75BB" w:rsidRDefault="00CF2E11" w:rsidP="00CF2E11">
      <w:pPr>
        <w:autoSpaceDE w:val="0"/>
        <w:autoSpaceDN w:val="0"/>
        <w:adjustRightInd w:val="0"/>
        <w:spacing w:line="360" w:lineRule="auto"/>
        <w:rPr>
          <w:rFonts w:eastAsia="Times New Roman"/>
          <w:sz w:val="24"/>
          <w:szCs w:val="24"/>
          <w:lang w:val="es-ES_tradnl" w:eastAsia="es-CO"/>
        </w:rPr>
      </w:pPr>
    </w:p>
    <w:p w:rsidR="00CF2E11" w:rsidRPr="008A75BB" w:rsidRDefault="00CF2E11" w:rsidP="00CF2E11">
      <w:pPr>
        <w:spacing w:line="360" w:lineRule="auto"/>
        <w:rPr>
          <w:rFonts w:eastAsia="Times New Roman"/>
          <w:sz w:val="24"/>
          <w:szCs w:val="24"/>
          <w:lang w:val="es-ES_tradnl" w:eastAsia="es-CO"/>
        </w:rPr>
      </w:pPr>
      <w:r w:rsidRPr="008A75BB">
        <w:rPr>
          <w:rFonts w:eastAsia="Times New Roman"/>
          <w:sz w:val="24"/>
          <w:szCs w:val="24"/>
          <w:lang w:val="es-ES_tradnl" w:eastAsia="es-CO"/>
        </w:rPr>
        <w:t>En ese sentido, la Sala otorgará la protección de</w:t>
      </w:r>
      <w:r w:rsidRPr="008A75BB">
        <w:rPr>
          <w:bCs/>
          <w:sz w:val="24"/>
          <w:szCs w:val="24"/>
        </w:rPr>
        <w:t xml:space="preserve"> los derechos de la niña “Bertha”, la cual se materializará dejando sin efectos las actuaciones adelantadas al interior del </w:t>
      </w:r>
      <w:r w:rsidRPr="008A75BB">
        <w:rPr>
          <w:sz w:val="24"/>
          <w:szCs w:val="24"/>
        </w:rPr>
        <w:t>Resguardo Indígena de “San Juan” de Ipiales</w:t>
      </w:r>
      <w:r w:rsidRPr="008A75BB">
        <w:rPr>
          <w:rFonts w:eastAsia="Calibri"/>
          <w:sz w:val="24"/>
          <w:szCs w:val="24"/>
          <w:lang w:val="es-CO"/>
        </w:rPr>
        <w:t xml:space="preserve"> y revocando e</w:t>
      </w:r>
      <w:r w:rsidRPr="008A75BB">
        <w:rPr>
          <w:bCs/>
          <w:sz w:val="24"/>
          <w:szCs w:val="24"/>
        </w:rPr>
        <w:t xml:space="preserve">l auto emitido por esta Corporación el 22 de enero de 2014, en el </w:t>
      </w:r>
      <w:r w:rsidRPr="008A75BB">
        <w:rPr>
          <w:rFonts w:eastAsia="Calibri"/>
          <w:sz w:val="24"/>
          <w:szCs w:val="24"/>
          <w:lang w:val="es-ES_tradnl" w:eastAsia="es-CO"/>
        </w:rPr>
        <w:t xml:space="preserve">expediente No. </w:t>
      </w:r>
      <w:r w:rsidRPr="008A75BB">
        <w:rPr>
          <w:sz w:val="24"/>
          <w:szCs w:val="24"/>
        </w:rPr>
        <w:t>110010102000201303113 00</w:t>
      </w:r>
      <w:r w:rsidRPr="008A75BB">
        <w:rPr>
          <w:bCs/>
          <w:sz w:val="24"/>
          <w:szCs w:val="24"/>
        </w:rPr>
        <w:t>, mediante el cual esta Superioridad se abstuvo de dirimir el conflicto de competencias referido, para e</w:t>
      </w:r>
      <w:r w:rsidRPr="008A75BB">
        <w:rPr>
          <w:rFonts w:eastAsia="Times New Roman"/>
          <w:sz w:val="24"/>
          <w:szCs w:val="24"/>
          <w:lang w:val="es-ES_tradnl" w:eastAsia="es-CO"/>
        </w:rPr>
        <w:t>n su lugar, asignar el conocimiento del caso a la justicia penal ordinaria.</w:t>
      </w:r>
    </w:p>
    <w:p w:rsidR="00CF2E11" w:rsidRPr="008A75BB" w:rsidRDefault="00CF2E11" w:rsidP="00CF2E11">
      <w:pPr>
        <w:spacing w:line="360" w:lineRule="auto"/>
        <w:rPr>
          <w:rFonts w:eastAsia="Times New Roman"/>
          <w:sz w:val="24"/>
          <w:szCs w:val="24"/>
          <w:lang w:val="es-ES_tradnl" w:eastAsia="es-CO"/>
        </w:rPr>
      </w:pPr>
    </w:p>
    <w:p w:rsidR="00CF2E11" w:rsidRPr="00EC0252" w:rsidRDefault="00CF2E11" w:rsidP="00CF2E11">
      <w:pPr>
        <w:spacing w:line="360" w:lineRule="auto"/>
        <w:rPr>
          <w:bCs/>
          <w:sz w:val="24"/>
          <w:szCs w:val="24"/>
        </w:rPr>
      </w:pPr>
      <w:r w:rsidRPr="008A75BB">
        <w:rPr>
          <w:rFonts w:eastAsia="Times New Roman"/>
          <w:sz w:val="24"/>
          <w:szCs w:val="24"/>
          <w:lang w:val="es-ES_tradnl" w:eastAsia="es-CO"/>
        </w:rPr>
        <w:t xml:space="preserve">Lo anterior, guarda relación a la necesidad de dar prevalencia al factor objetivo consistente en apreciar la entidad y el tipo de conducta ilícita presuntamente realizada por el acusados, pues, como se estableció previamente, </w:t>
      </w:r>
      <w:r w:rsidRPr="008A75BB">
        <w:rPr>
          <w:rFonts w:eastAsia="Times New Roman"/>
          <w:i/>
          <w:sz w:val="24"/>
          <w:szCs w:val="24"/>
          <w:lang w:val="es-ES_tradnl" w:eastAsia="es-CO"/>
        </w:rPr>
        <w:t>los delitos de índole sexual cometidos contra menores de edad representan crímenes graves, reprochables a nivel internacional, alrededor del cual existe consenso normativo la obligación estatal de garantizar que sus víctimas disfruten de los derechos a la verdad, la justicia y la reparación, y frente al cual es menester aplicar justicia formal, en aras de evitar la impunidad y propender por la no repetición</w:t>
      </w:r>
      <w:r w:rsidRPr="008A75BB">
        <w:rPr>
          <w:rFonts w:eastAsia="Times New Roman"/>
          <w:sz w:val="24"/>
          <w:szCs w:val="24"/>
          <w:lang w:val="es-ES_tradnl" w:eastAsia="es-CO"/>
        </w:rPr>
        <w:t>.</w:t>
      </w:r>
      <w:r w:rsidRPr="00BE4E66">
        <w:rPr>
          <w:rFonts w:eastAsia="Times New Roman"/>
          <w:sz w:val="24"/>
          <w:szCs w:val="24"/>
          <w:lang w:val="es-ES_tradnl" w:eastAsia="es-CO"/>
        </w:rPr>
        <w:t xml:space="preserve"> </w:t>
      </w:r>
    </w:p>
    <w:p w:rsidR="00CF2E11" w:rsidRPr="00BE4E66" w:rsidRDefault="00CF2E11" w:rsidP="00CF2E11">
      <w:pPr>
        <w:autoSpaceDE w:val="0"/>
        <w:autoSpaceDN w:val="0"/>
        <w:adjustRightInd w:val="0"/>
        <w:spacing w:line="360" w:lineRule="auto"/>
        <w:rPr>
          <w:rFonts w:eastAsia="Times New Roman"/>
          <w:sz w:val="24"/>
          <w:szCs w:val="24"/>
          <w:lang w:val="es-ES_tradnl" w:eastAsia="es-CO"/>
        </w:rPr>
      </w:pPr>
    </w:p>
    <w:p w:rsidR="00CF2E11" w:rsidRPr="00BE4E66" w:rsidRDefault="00CF2E11" w:rsidP="00CF2E11">
      <w:pPr>
        <w:autoSpaceDE w:val="0"/>
        <w:autoSpaceDN w:val="0"/>
        <w:adjustRightInd w:val="0"/>
        <w:spacing w:line="360" w:lineRule="auto"/>
        <w:rPr>
          <w:rFonts w:eastAsia="Times New Roman"/>
          <w:iCs/>
          <w:sz w:val="24"/>
          <w:szCs w:val="24"/>
          <w:lang w:eastAsia="es-CO"/>
        </w:rPr>
      </w:pPr>
      <w:r w:rsidRPr="00BE4E66">
        <w:rPr>
          <w:rFonts w:eastAsia="Times New Roman"/>
          <w:sz w:val="24"/>
          <w:szCs w:val="24"/>
          <w:lang w:val="es-ES_tradnl" w:eastAsia="es-CO"/>
        </w:rPr>
        <w:t xml:space="preserve">En efecto, teniendo en cuenta el principio fijado por la Corte Constitucional, referido a que </w:t>
      </w:r>
      <w:r w:rsidRPr="00BE4E66">
        <w:rPr>
          <w:rFonts w:eastAsia="Times New Roman"/>
          <w:i/>
          <w:sz w:val="24"/>
          <w:szCs w:val="24"/>
          <w:lang w:val="es-ES_tradnl" w:eastAsia="es-CO"/>
        </w:rPr>
        <w:t>“</w:t>
      </w:r>
      <w:r w:rsidRPr="00BE4E66">
        <w:rPr>
          <w:rFonts w:eastAsia="Times New Roman"/>
          <w:i/>
          <w:iCs/>
          <w:sz w:val="24"/>
          <w:szCs w:val="24"/>
          <w:lang w:eastAsia="es-CO"/>
        </w:rPr>
        <w:t>a mayor impacto social y consenso intercultural alrededor de la gravedad de la conducta delictiva, menor probabilidad de delegarse su investigación y castigo en la justicia tradicional indígena”</w:t>
      </w:r>
      <w:r w:rsidRPr="00BE4E66">
        <w:rPr>
          <w:rFonts w:eastAsia="Times New Roman"/>
          <w:iCs/>
          <w:sz w:val="24"/>
          <w:szCs w:val="24"/>
          <w:vertAlign w:val="superscript"/>
          <w:lang w:eastAsia="es-CO"/>
        </w:rPr>
        <w:footnoteReference w:id="66"/>
      </w:r>
      <w:r w:rsidRPr="00BE4E66">
        <w:rPr>
          <w:rFonts w:eastAsia="Times New Roman"/>
          <w:iCs/>
          <w:sz w:val="24"/>
          <w:szCs w:val="24"/>
          <w:lang w:eastAsia="es-CO"/>
        </w:rPr>
        <w:t xml:space="preserve">, resulta innegable que en estado actual de desarrollo del derecho interno e internacional, existe un claro consenso intercultural en torno al reproche jurídico especial que merecen las conductas contrarias a la integridad sexual de las mujeres y las niñas; </w:t>
      </w:r>
      <w:r w:rsidRPr="00BE4E66">
        <w:rPr>
          <w:rFonts w:eastAsia="Times New Roman"/>
          <w:i/>
          <w:iCs/>
          <w:sz w:val="24"/>
          <w:szCs w:val="24"/>
          <w:lang w:eastAsia="es-CO"/>
        </w:rPr>
        <w:t>situación que elimina cualquier posibilidad de que la investigación de esta clase de delitos se delegue en las autoridades indígenas</w:t>
      </w:r>
      <w:r w:rsidRPr="00BE4E66">
        <w:rPr>
          <w:rFonts w:eastAsia="Times New Roman"/>
          <w:iCs/>
          <w:sz w:val="24"/>
          <w:szCs w:val="24"/>
          <w:lang w:eastAsia="es-CO"/>
        </w:rPr>
        <w:t xml:space="preserve">. </w:t>
      </w:r>
    </w:p>
    <w:p w:rsidR="00CF2E11" w:rsidRPr="00BE4E66" w:rsidRDefault="00CF2E11" w:rsidP="00CF2E11">
      <w:pPr>
        <w:autoSpaceDE w:val="0"/>
        <w:autoSpaceDN w:val="0"/>
        <w:adjustRightInd w:val="0"/>
        <w:spacing w:line="360" w:lineRule="auto"/>
        <w:rPr>
          <w:rFonts w:eastAsia="Times New Roman"/>
          <w:iCs/>
          <w:sz w:val="24"/>
          <w:szCs w:val="24"/>
          <w:lang w:eastAsia="es-CO"/>
        </w:rPr>
      </w:pPr>
    </w:p>
    <w:p w:rsidR="00CF2E11" w:rsidRPr="00BE4E66" w:rsidRDefault="00CF2E11" w:rsidP="00CF2E11">
      <w:pPr>
        <w:autoSpaceDE w:val="0"/>
        <w:autoSpaceDN w:val="0"/>
        <w:adjustRightInd w:val="0"/>
        <w:spacing w:line="360" w:lineRule="auto"/>
        <w:rPr>
          <w:rFonts w:eastAsia="Calibri"/>
          <w:iCs/>
          <w:color w:val="000000"/>
          <w:sz w:val="24"/>
          <w:szCs w:val="24"/>
          <w:shd w:val="clear" w:color="auto" w:fill="FFFFFF"/>
        </w:rPr>
      </w:pPr>
      <w:r w:rsidRPr="00BE4E66">
        <w:rPr>
          <w:rFonts w:eastAsia="Calibri"/>
          <w:iCs/>
          <w:color w:val="000000"/>
          <w:sz w:val="24"/>
          <w:szCs w:val="24"/>
          <w:shd w:val="clear" w:color="auto" w:fill="FFFFFF"/>
        </w:rPr>
        <w:t xml:space="preserve">Adicionalmente, el derecho a la verdad de las víctimas de crímenes sexuales como mujeres y menores de edad, sólo se satisface con la realización de una investigación seria, técnica y eficaz que revele los autores y las circunstancias que rodearon la ocurrencia de los hechos. Dicha actividad de instrucción debe emprenderse por las autoridades estatales empleando todos los medios técnicos a su alcance de manera que se logre determinar tanto el responsable como las causas y consecuencias que rodearon la victimización, como se constató en los acápites precedentes. </w:t>
      </w:r>
    </w:p>
    <w:p w:rsidR="00CF2E11" w:rsidRDefault="00CF2E11" w:rsidP="00CF2E11">
      <w:pPr>
        <w:autoSpaceDE w:val="0"/>
        <w:autoSpaceDN w:val="0"/>
        <w:adjustRightInd w:val="0"/>
        <w:spacing w:line="360" w:lineRule="auto"/>
        <w:rPr>
          <w:rFonts w:eastAsia="Calibri"/>
          <w:iCs/>
          <w:color w:val="000000"/>
          <w:sz w:val="24"/>
          <w:szCs w:val="24"/>
          <w:shd w:val="clear" w:color="auto" w:fill="FFFFFF"/>
        </w:rPr>
      </w:pPr>
    </w:p>
    <w:p w:rsidR="00CF2E11" w:rsidRPr="00F74BEC" w:rsidRDefault="00CF2E11" w:rsidP="00CF2E11">
      <w:pPr>
        <w:autoSpaceDE w:val="0"/>
        <w:autoSpaceDN w:val="0"/>
        <w:adjustRightInd w:val="0"/>
        <w:spacing w:line="360" w:lineRule="auto"/>
        <w:rPr>
          <w:rFonts w:eastAsia="Calibri"/>
          <w:iCs/>
          <w:color w:val="000000"/>
          <w:sz w:val="24"/>
          <w:szCs w:val="24"/>
          <w:shd w:val="clear" w:color="auto" w:fill="FFFFFF"/>
        </w:rPr>
      </w:pPr>
      <w:r w:rsidRPr="00F74BEC">
        <w:rPr>
          <w:rFonts w:eastAsia="Calibri"/>
          <w:iCs/>
          <w:color w:val="000000"/>
          <w:sz w:val="24"/>
          <w:szCs w:val="24"/>
          <w:shd w:val="clear" w:color="auto" w:fill="FFFFFF"/>
        </w:rPr>
        <w:t xml:space="preserve">Así mismo, es importante establecer que en el presente asunto tampoco se cumple el </w:t>
      </w:r>
      <w:r w:rsidRPr="00F74BEC">
        <w:rPr>
          <w:rFonts w:eastAsia="Calibri"/>
          <w:i/>
          <w:iCs/>
          <w:color w:val="000000"/>
          <w:sz w:val="24"/>
          <w:szCs w:val="24"/>
          <w:shd w:val="clear" w:color="auto" w:fill="FFFFFF"/>
        </w:rPr>
        <w:t>elemento personal</w:t>
      </w:r>
      <w:r w:rsidRPr="00F74BEC">
        <w:rPr>
          <w:rFonts w:eastAsia="Calibri"/>
          <w:iCs/>
          <w:color w:val="000000"/>
          <w:sz w:val="24"/>
          <w:szCs w:val="24"/>
          <w:shd w:val="clear" w:color="auto" w:fill="FFFFFF"/>
        </w:rPr>
        <w:t>, toda vez que, la madre de la víctima, en representación de su núcleo familiar, se retiró voluntariamente de pertenecer al Resguardo Indígena de San Juan de Ipiales, lo cual fue reconocido por el Gobernado del tal resguardo, mediante certificación expedida el 25 de enero de 2013</w:t>
      </w:r>
      <w:r w:rsidRPr="00F74BEC">
        <w:rPr>
          <w:rStyle w:val="Refdenotaalpie"/>
          <w:rFonts w:eastAsia="Calibri"/>
          <w:iCs/>
          <w:color w:val="000000"/>
          <w:sz w:val="24"/>
          <w:szCs w:val="24"/>
          <w:shd w:val="clear" w:color="auto" w:fill="FFFFFF"/>
        </w:rPr>
        <w:footnoteReference w:id="67"/>
      </w:r>
      <w:r w:rsidRPr="00F74BEC">
        <w:rPr>
          <w:rFonts w:eastAsia="Calibri"/>
          <w:iCs/>
          <w:color w:val="000000"/>
          <w:sz w:val="24"/>
          <w:szCs w:val="24"/>
          <w:shd w:val="clear" w:color="auto" w:fill="FFFFFF"/>
        </w:rPr>
        <w:t>.</w:t>
      </w:r>
    </w:p>
    <w:p w:rsidR="00CF2E11" w:rsidRPr="00F74BEC" w:rsidRDefault="00CF2E11" w:rsidP="00CF2E11">
      <w:pPr>
        <w:autoSpaceDE w:val="0"/>
        <w:autoSpaceDN w:val="0"/>
        <w:adjustRightInd w:val="0"/>
        <w:spacing w:line="360" w:lineRule="auto"/>
        <w:rPr>
          <w:rFonts w:eastAsia="Calibri"/>
          <w:iCs/>
          <w:color w:val="000000"/>
          <w:sz w:val="24"/>
          <w:szCs w:val="24"/>
          <w:shd w:val="clear" w:color="auto" w:fill="FFFFFF"/>
        </w:rPr>
      </w:pPr>
    </w:p>
    <w:p w:rsidR="00CF2E11" w:rsidRDefault="00CF2E11" w:rsidP="00CF2E11">
      <w:pPr>
        <w:autoSpaceDE w:val="0"/>
        <w:autoSpaceDN w:val="0"/>
        <w:adjustRightInd w:val="0"/>
        <w:spacing w:line="360" w:lineRule="auto"/>
        <w:rPr>
          <w:rFonts w:eastAsia="Calibri"/>
          <w:iCs/>
          <w:color w:val="000000"/>
          <w:sz w:val="24"/>
          <w:szCs w:val="24"/>
          <w:shd w:val="clear" w:color="auto" w:fill="FFFFFF"/>
        </w:rPr>
      </w:pPr>
      <w:r w:rsidRPr="00F74BEC">
        <w:rPr>
          <w:rFonts w:eastAsia="Calibri"/>
          <w:iCs/>
          <w:color w:val="000000"/>
          <w:sz w:val="24"/>
          <w:szCs w:val="24"/>
          <w:shd w:val="clear" w:color="auto" w:fill="FFFFFF"/>
        </w:rPr>
        <w:t>En ese sentido, la Sala observa que la víctima no pertenecí</w:t>
      </w:r>
      <w:r>
        <w:rPr>
          <w:rFonts w:eastAsia="Calibri"/>
          <w:iCs/>
          <w:color w:val="000000"/>
          <w:sz w:val="24"/>
          <w:szCs w:val="24"/>
          <w:shd w:val="clear" w:color="auto" w:fill="FFFFFF"/>
        </w:rPr>
        <w:t>a</w:t>
      </w:r>
      <w:r w:rsidRPr="00F74BEC">
        <w:rPr>
          <w:rFonts w:eastAsia="Calibri"/>
          <w:iCs/>
          <w:color w:val="000000"/>
          <w:sz w:val="24"/>
          <w:szCs w:val="24"/>
          <w:shd w:val="clear" w:color="auto" w:fill="FFFFFF"/>
        </w:rPr>
        <w:t xml:space="preserve"> a la comunidad indígena, para el momento en que se produjeron los hechos, así como, para la fecha en que se adoptó la decisión absolutoria.</w:t>
      </w:r>
      <w:r>
        <w:rPr>
          <w:rFonts w:eastAsia="Calibri"/>
          <w:iCs/>
          <w:color w:val="000000"/>
          <w:sz w:val="24"/>
          <w:szCs w:val="24"/>
          <w:shd w:val="clear" w:color="auto" w:fill="FFFFFF"/>
        </w:rPr>
        <w:t xml:space="preserve">  </w:t>
      </w:r>
    </w:p>
    <w:p w:rsidR="00CF2E11" w:rsidRPr="00BE4E66" w:rsidRDefault="00CF2E11" w:rsidP="00CF2E11">
      <w:pPr>
        <w:autoSpaceDE w:val="0"/>
        <w:autoSpaceDN w:val="0"/>
        <w:adjustRightInd w:val="0"/>
        <w:spacing w:line="360" w:lineRule="auto"/>
        <w:rPr>
          <w:rFonts w:eastAsia="Calibri"/>
          <w:iCs/>
          <w:color w:val="000000"/>
          <w:sz w:val="24"/>
          <w:szCs w:val="24"/>
          <w:shd w:val="clear" w:color="auto" w:fill="FFFFFF"/>
        </w:rPr>
      </w:pPr>
    </w:p>
    <w:p w:rsidR="00CF2E11" w:rsidRPr="00BE4E66" w:rsidRDefault="00CF2E11" w:rsidP="00CF2E11">
      <w:pPr>
        <w:autoSpaceDE w:val="0"/>
        <w:autoSpaceDN w:val="0"/>
        <w:adjustRightInd w:val="0"/>
        <w:spacing w:line="360" w:lineRule="auto"/>
        <w:rPr>
          <w:rFonts w:eastAsia="Times New Roman"/>
          <w:iCs/>
          <w:sz w:val="24"/>
          <w:szCs w:val="24"/>
          <w:lang w:eastAsia="es-CO"/>
        </w:rPr>
      </w:pPr>
      <w:r w:rsidRPr="00BE4E66">
        <w:rPr>
          <w:rFonts w:eastAsia="Times New Roman"/>
          <w:sz w:val="24"/>
          <w:szCs w:val="24"/>
          <w:lang w:val="es-ES_tradnl" w:eastAsia="es-ES"/>
        </w:rPr>
        <w:t xml:space="preserve">Con todo es necesario resaltar, que las autoridades penales ordinarias deberán analizar </w:t>
      </w:r>
      <w:r w:rsidRPr="00BE4E66">
        <w:rPr>
          <w:rFonts w:eastAsia="Times New Roman"/>
          <w:iCs/>
          <w:sz w:val="24"/>
          <w:szCs w:val="24"/>
          <w:lang w:eastAsia="es-CO"/>
        </w:rPr>
        <w:t xml:space="preserve">la conciencia de ilicitud del señor </w:t>
      </w:r>
      <w:r w:rsidRPr="00BE4E66">
        <w:rPr>
          <w:sz w:val="24"/>
          <w:szCs w:val="24"/>
        </w:rPr>
        <w:t>Jesús Libardo T</w:t>
      </w:r>
      <w:r>
        <w:rPr>
          <w:sz w:val="24"/>
          <w:szCs w:val="24"/>
        </w:rPr>
        <w:t>á</w:t>
      </w:r>
      <w:r w:rsidRPr="00BE4E66">
        <w:rPr>
          <w:sz w:val="24"/>
          <w:szCs w:val="24"/>
        </w:rPr>
        <w:t xml:space="preserve">quez Ituyan </w:t>
      </w:r>
      <w:r w:rsidRPr="00BE4E66">
        <w:rPr>
          <w:rFonts w:eastAsia="Times New Roman"/>
          <w:sz w:val="24"/>
          <w:szCs w:val="24"/>
          <w:lang w:val="es-ES_tradnl" w:eastAsia="es-ES"/>
        </w:rPr>
        <w:t>y la</w:t>
      </w:r>
      <w:r w:rsidRPr="00BE4E66">
        <w:rPr>
          <w:rFonts w:eastAsia="Times New Roman"/>
          <w:iCs/>
          <w:sz w:val="24"/>
          <w:szCs w:val="24"/>
          <w:lang w:eastAsia="es-CO"/>
        </w:rPr>
        <w:t xml:space="preserve"> posible configuración de una causal de exclusión de responsabilidad penal a su favor, fundada en las diferentes cosmovisiones y costumbres propias la comunidad indígena </w:t>
      </w:r>
      <w:r w:rsidRPr="00BE4E66">
        <w:rPr>
          <w:rFonts w:eastAsia="Times New Roman"/>
          <w:sz w:val="24"/>
          <w:szCs w:val="24"/>
          <w:lang w:val="es-ES_tradnl" w:eastAsia="es-ES"/>
        </w:rPr>
        <w:t>Nasa Urbano</w:t>
      </w:r>
      <w:r w:rsidRPr="00BE4E66">
        <w:rPr>
          <w:rFonts w:eastAsia="Times New Roman"/>
          <w:iCs/>
          <w:sz w:val="24"/>
          <w:szCs w:val="24"/>
          <w:lang w:eastAsia="es-CO"/>
        </w:rPr>
        <w:t xml:space="preserve">, con base en las cuales eventualmente pueda eximirse de responder según las normas penales nacionales. </w:t>
      </w:r>
    </w:p>
    <w:p w:rsidR="00CF2E11" w:rsidRPr="00BE4E66" w:rsidRDefault="00CF2E11" w:rsidP="00CF2E11">
      <w:pPr>
        <w:autoSpaceDE w:val="0"/>
        <w:autoSpaceDN w:val="0"/>
        <w:adjustRightInd w:val="0"/>
        <w:spacing w:line="360" w:lineRule="auto"/>
        <w:rPr>
          <w:rFonts w:eastAsia="Times New Roman"/>
          <w:iCs/>
          <w:sz w:val="24"/>
          <w:szCs w:val="24"/>
          <w:lang w:eastAsia="es-CO"/>
        </w:rPr>
      </w:pPr>
    </w:p>
    <w:p w:rsidR="00CF2E11" w:rsidRPr="00BE4E66" w:rsidRDefault="00CF2E11" w:rsidP="00CF2E11">
      <w:pPr>
        <w:autoSpaceDE w:val="0"/>
        <w:autoSpaceDN w:val="0"/>
        <w:adjustRightInd w:val="0"/>
        <w:spacing w:line="360" w:lineRule="auto"/>
        <w:rPr>
          <w:rFonts w:eastAsia="Times New Roman"/>
          <w:iCs/>
          <w:sz w:val="24"/>
          <w:szCs w:val="24"/>
          <w:lang w:eastAsia="es-CO"/>
        </w:rPr>
      </w:pPr>
      <w:r w:rsidRPr="00BE4E66">
        <w:rPr>
          <w:rFonts w:eastAsia="Times New Roman"/>
          <w:iCs/>
          <w:sz w:val="24"/>
          <w:szCs w:val="24"/>
          <w:lang w:eastAsia="es-CO"/>
        </w:rPr>
        <w:t>En este punto, la Sala insiste en que la valoración subjetiva de la conducta desplegada por el sindicado, así como la solicitud y el estudio de dictámenes antropológicos o socioculturales encaminados a determinar su responsabilidad penal</w:t>
      </w:r>
      <w:r w:rsidRPr="00BE4E66">
        <w:rPr>
          <w:rFonts w:eastAsia="Times New Roman"/>
          <w:i/>
          <w:iCs/>
          <w:sz w:val="24"/>
          <w:szCs w:val="24"/>
          <w:lang w:eastAsia="es-CO"/>
        </w:rPr>
        <w:t>, no pueden efectuarse por el juez encargado de definir la jurisdicción aplicable al caso concreto</w:t>
      </w:r>
      <w:r>
        <w:rPr>
          <w:rFonts w:eastAsia="Times New Roman"/>
          <w:i/>
          <w:iCs/>
          <w:sz w:val="24"/>
          <w:szCs w:val="24"/>
          <w:lang w:eastAsia="es-CO"/>
        </w:rPr>
        <w:t>, sino por el juez de conocimiento del asunto</w:t>
      </w:r>
      <w:r w:rsidRPr="00BE4E66">
        <w:rPr>
          <w:rFonts w:eastAsia="Times New Roman"/>
          <w:iCs/>
          <w:sz w:val="24"/>
          <w:szCs w:val="24"/>
          <w:lang w:eastAsia="es-CO"/>
        </w:rPr>
        <w:t xml:space="preserve">. </w:t>
      </w:r>
    </w:p>
    <w:p w:rsidR="00CF2E11" w:rsidRPr="00BE4E66" w:rsidRDefault="00CF2E11" w:rsidP="00CF2E11">
      <w:pPr>
        <w:autoSpaceDE w:val="0"/>
        <w:autoSpaceDN w:val="0"/>
        <w:adjustRightInd w:val="0"/>
        <w:spacing w:line="360" w:lineRule="auto"/>
        <w:rPr>
          <w:rFonts w:eastAsia="Times New Roman"/>
          <w:iCs/>
          <w:sz w:val="24"/>
          <w:szCs w:val="24"/>
          <w:lang w:eastAsia="es-CO"/>
        </w:rPr>
      </w:pPr>
    </w:p>
    <w:p w:rsidR="00CF2E11" w:rsidRPr="00BE4E66" w:rsidRDefault="00CF2E11" w:rsidP="00CF2E11">
      <w:pPr>
        <w:autoSpaceDE w:val="0"/>
        <w:autoSpaceDN w:val="0"/>
        <w:adjustRightInd w:val="0"/>
        <w:spacing w:line="360" w:lineRule="auto"/>
        <w:rPr>
          <w:rFonts w:eastAsia="Times New Roman"/>
          <w:iCs/>
          <w:sz w:val="24"/>
          <w:szCs w:val="24"/>
          <w:lang w:eastAsia="es-CO"/>
        </w:rPr>
      </w:pPr>
      <w:r w:rsidRPr="00BE4E66">
        <w:rPr>
          <w:rFonts w:eastAsia="Times New Roman"/>
          <w:iCs/>
          <w:sz w:val="24"/>
          <w:szCs w:val="24"/>
          <w:lang w:eastAsia="es-CO"/>
        </w:rPr>
        <w:t xml:space="preserve">Como se aclaró previamente, el papel de la Sala en esta clase de asuntos se limita a </w:t>
      </w:r>
      <w:r w:rsidRPr="00BE4E66">
        <w:rPr>
          <w:rFonts w:eastAsia="Times New Roman"/>
          <w:i/>
          <w:iCs/>
          <w:sz w:val="24"/>
          <w:szCs w:val="24"/>
          <w:lang w:eastAsia="es-CO"/>
        </w:rPr>
        <w:t>definir</w:t>
      </w:r>
      <w:r w:rsidRPr="00BE4E66">
        <w:rPr>
          <w:rFonts w:eastAsia="Times New Roman"/>
          <w:iCs/>
          <w:sz w:val="24"/>
          <w:szCs w:val="24"/>
          <w:lang w:eastAsia="es-CO"/>
        </w:rPr>
        <w:t xml:space="preserve"> la autoridad judicial que deberá investigar y juzgar la conducta presuntamente ilícita, sin invadir la órbita de competencias de los jueces ordinarios ni abrogarse funciones totalmente ajenas a su rol institucional.</w:t>
      </w:r>
    </w:p>
    <w:p w:rsidR="00CF2E11" w:rsidRPr="00BE4E66" w:rsidRDefault="00CF2E11" w:rsidP="00CF2E11">
      <w:pPr>
        <w:autoSpaceDE w:val="0"/>
        <w:autoSpaceDN w:val="0"/>
        <w:adjustRightInd w:val="0"/>
        <w:spacing w:line="360" w:lineRule="auto"/>
        <w:rPr>
          <w:rFonts w:eastAsia="Times New Roman"/>
          <w:iCs/>
          <w:sz w:val="24"/>
          <w:szCs w:val="24"/>
          <w:lang w:eastAsia="es-CO"/>
        </w:rPr>
      </w:pPr>
    </w:p>
    <w:p w:rsidR="00CF2E11" w:rsidRPr="00BE4E66" w:rsidRDefault="00CF2E11" w:rsidP="00CF2E11">
      <w:pPr>
        <w:autoSpaceDE w:val="0"/>
        <w:autoSpaceDN w:val="0"/>
        <w:adjustRightInd w:val="0"/>
        <w:spacing w:line="360" w:lineRule="auto"/>
        <w:rPr>
          <w:rFonts w:eastAsia="Times New Roman"/>
          <w:sz w:val="24"/>
          <w:szCs w:val="24"/>
          <w:lang w:val="es-ES_tradnl" w:eastAsia="es-ES"/>
        </w:rPr>
      </w:pPr>
      <w:r w:rsidRPr="00BE4E66">
        <w:rPr>
          <w:rFonts w:eastAsia="Times New Roman"/>
          <w:iCs/>
          <w:sz w:val="24"/>
          <w:szCs w:val="24"/>
          <w:lang w:eastAsia="es-CO"/>
        </w:rPr>
        <w:t xml:space="preserve">Por consiguiente, tales indagaciones y estudios son actividades delegadas exclusivamente en los jueces penales, quienes por mandato legal y por su situación de cercanía e inmediación con los sujetos procesales, son los verdaderamente llamadas determinar la eventual incursión del señor </w:t>
      </w:r>
      <w:r>
        <w:rPr>
          <w:rFonts w:eastAsia="Times New Roman"/>
          <w:iCs/>
          <w:sz w:val="24"/>
          <w:szCs w:val="24"/>
          <w:lang w:eastAsia="es-CO"/>
        </w:rPr>
        <w:t>Táquez Ituyan</w:t>
      </w:r>
      <w:r w:rsidRPr="00BE4E66">
        <w:rPr>
          <w:rFonts w:eastAsia="Times New Roman"/>
          <w:iCs/>
          <w:sz w:val="24"/>
          <w:szCs w:val="24"/>
          <w:lang w:eastAsia="es-CO"/>
        </w:rPr>
        <w:t xml:space="preserve"> en un error invencible de prohibición o en una causal de inimputabilidad penal por diversidad sociocultural, que lo exima de responder en condiciones de igualdad con cualquier otro ciudadano colombiano, por cometer la conducta delictiva por la que fue objeto de medida de aseguramiento privativa de la libertad. </w:t>
      </w:r>
    </w:p>
    <w:p w:rsidR="00CF2E11" w:rsidRPr="00BE4E66" w:rsidRDefault="00CF2E11" w:rsidP="00CF2E11">
      <w:pPr>
        <w:autoSpaceDE w:val="0"/>
        <w:autoSpaceDN w:val="0"/>
        <w:adjustRightInd w:val="0"/>
        <w:spacing w:line="360" w:lineRule="auto"/>
        <w:rPr>
          <w:rFonts w:eastAsia="Times New Roman"/>
          <w:iCs/>
          <w:sz w:val="24"/>
          <w:szCs w:val="24"/>
          <w:lang w:val="es-CO" w:eastAsia="es-CO"/>
        </w:rPr>
      </w:pPr>
    </w:p>
    <w:p w:rsidR="00CF2E11" w:rsidRPr="00BE4E66" w:rsidRDefault="00CF2E11" w:rsidP="00CF2E11">
      <w:pPr>
        <w:autoSpaceDE w:val="0"/>
        <w:autoSpaceDN w:val="0"/>
        <w:adjustRightInd w:val="0"/>
        <w:spacing w:line="360" w:lineRule="auto"/>
        <w:rPr>
          <w:rFonts w:eastAsia="Times New Roman"/>
          <w:iCs/>
          <w:sz w:val="24"/>
          <w:szCs w:val="24"/>
          <w:lang w:eastAsia="es-CO"/>
        </w:rPr>
      </w:pPr>
      <w:r w:rsidRPr="00BE4E66">
        <w:rPr>
          <w:rFonts w:eastAsia="Times New Roman"/>
          <w:iCs/>
          <w:sz w:val="24"/>
          <w:szCs w:val="24"/>
          <w:lang w:eastAsia="es-CO"/>
        </w:rPr>
        <w:t xml:space="preserve">Al respecto, </w:t>
      </w:r>
      <w:r>
        <w:rPr>
          <w:rFonts w:eastAsia="Times New Roman"/>
          <w:iCs/>
          <w:sz w:val="24"/>
          <w:szCs w:val="24"/>
          <w:lang w:eastAsia="es-CO"/>
        </w:rPr>
        <w:t>de modo semejante</w:t>
      </w:r>
      <w:r w:rsidRPr="00BE4E66">
        <w:rPr>
          <w:rFonts w:eastAsia="Times New Roman"/>
          <w:iCs/>
          <w:sz w:val="24"/>
          <w:szCs w:val="24"/>
          <w:lang w:eastAsia="es-CO"/>
        </w:rPr>
        <w:t xml:space="preserve"> a lo ocurrido en la sentencia T-921 de 2013 proferida por la Corte Constitucional, esta Sala advierte que cuando los jueces penales vislumbren la existencia de prácticas sociales diversas a las características de la “</w:t>
      </w:r>
      <w:r w:rsidRPr="00BE4E66">
        <w:rPr>
          <w:rFonts w:eastAsia="Times New Roman"/>
          <w:i/>
          <w:iCs/>
          <w:sz w:val="24"/>
          <w:szCs w:val="24"/>
          <w:lang w:eastAsia="es-CO"/>
        </w:rPr>
        <w:t>sociedad mayoritaria</w:t>
      </w:r>
      <w:r w:rsidRPr="00BE4E66">
        <w:rPr>
          <w:rFonts w:eastAsia="Times New Roman"/>
          <w:iCs/>
          <w:sz w:val="24"/>
          <w:szCs w:val="24"/>
          <w:lang w:eastAsia="es-CO"/>
        </w:rPr>
        <w:t xml:space="preserve">” en virtud de las cuales comportamientos sexuales como los adelantados por el señor </w:t>
      </w:r>
      <w:r w:rsidRPr="00BE4E66">
        <w:rPr>
          <w:sz w:val="24"/>
          <w:szCs w:val="24"/>
        </w:rPr>
        <w:t>Jesús Libardo T</w:t>
      </w:r>
      <w:r>
        <w:rPr>
          <w:sz w:val="24"/>
          <w:szCs w:val="24"/>
        </w:rPr>
        <w:t>á</w:t>
      </w:r>
      <w:r w:rsidRPr="00BE4E66">
        <w:rPr>
          <w:sz w:val="24"/>
          <w:szCs w:val="24"/>
        </w:rPr>
        <w:t xml:space="preserve">quez Ituyan </w:t>
      </w:r>
      <w:r w:rsidRPr="00BE4E66">
        <w:rPr>
          <w:rFonts w:eastAsia="Times New Roman"/>
          <w:sz w:val="24"/>
          <w:szCs w:val="24"/>
          <w:lang w:val="es-ES_tradnl" w:eastAsia="es-ES"/>
        </w:rPr>
        <w:t xml:space="preserve">en contra de la menor de 14 años </w:t>
      </w:r>
      <w:r w:rsidRPr="00BE4E66">
        <w:rPr>
          <w:rFonts w:eastAsia="Times New Roman"/>
          <w:sz w:val="24"/>
          <w:szCs w:val="24"/>
          <w:lang w:val="es-ES_tradnl" w:eastAsia="es-CO"/>
        </w:rPr>
        <w:t xml:space="preserve">“Bertha” </w:t>
      </w:r>
      <w:r w:rsidRPr="00BE4E66">
        <w:rPr>
          <w:rFonts w:eastAsia="Times New Roman"/>
          <w:iCs/>
          <w:sz w:val="24"/>
          <w:szCs w:val="24"/>
          <w:lang w:eastAsia="es-CO"/>
        </w:rPr>
        <w:t xml:space="preserve">puedan ser el resultado de decisiones </w:t>
      </w:r>
      <w:r w:rsidRPr="00BE4E66">
        <w:rPr>
          <w:rFonts w:eastAsia="Times New Roman"/>
          <w:i/>
          <w:iCs/>
          <w:sz w:val="24"/>
          <w:szCs w:val="24"/>
          <w:lang w:eastAsia="es-CO"/>
        </w:rPr>
        <w:t>conscientes y voluntarias</w:t>
      </w:r>
      <w:r w:rsidRPr="00BE4E66">
        <w:rPr>
          <w:rFonts w:eastAsia="Times New Roman"/>
          <w:iCs/>
          <w:sz w:val="24"/>
          <w:szCs w:val="24"/>
          <w:lang w:eastAsia="es-CO"/>
        </w:rPr>
        <w:t xml:space="preserve">, es posible que se escapen del ámbito punitivo nacional al ser el resultado de costumbres ancestrales merecedoras de respeto y protección a la luz de la Constitución Política.   </w:t>
      </w:r>
    </w:p>
    <w:p w:rsidR="00CF2E11" w:rsidRPr="00BE4E66" w:rsidRDefault="00CF2E11" w:rsidP="00CF2E11">
      <w:pPr>
        <w:autoSpaceDE w:val="0"/>
        <w:autoSpaceDN w:val="0"/>
        <w:adjustRightInd w:val="0"/>
        <w:spacing w:line="360" w:lineRule="auto"/>
        <w:rPr>
          <w:rFonts w:eastAsia="Times New Roman"/>
          <w:iCs/>
          <w:sz w:val="24"/>
          <w:szCs w:val="24"/>
          <w:lang w:eastAsia="es-CO"/>
        </w:rPr>
      </w:pPr>
    </w:p>
    <w:p w:rsidR="00CF2E11" w:rsidRPr="00BE4E66" w:rsidRDefault="00CF2E11" w:rsidP="00CF2E11">
      <w:pPr>
        <w:spacing w:line="360" w:lineRule="auto"/>
        <w:rPr>
          <w:sz w:val="24"/>
          <w:szCs w:val="24"/>
          <w:lang w:val="es-CO"/>
        </w:rPr>
      </w:pPr>
      <w:r w:rsidRPr="00BE4E66">
        <w:rPr>
          <w:sz w:val="24"/>
          <w:szCs w:val="24"/>
          <w:lang w:val="es-CO"/>
        </w:rPr>
        <w:t xml:space="preserve">En mérito de lo expuesto, la Sala Jurisdiccional Disciplinaria del Consejo Superior de la Judicatura, administrando justicia en nombre de la República de Colombia y por autoridad de la ley, </w:t>
      </w:r>
    </w:p>
    <w:p w:rsidR="00CF2E11" w:rsidRDefault="00CF2E11" w:rsidP="00CF2E11">
      <w:pPr>
        <w:spacing w:line="360" w:lineRule="auto"/>
        <w:jc w:val="left"/>
        <w:rPr>
          <w:rFonts w:eastAsia="Calibri"/>
          <w:sz w:val="24"/>
          <w:szCs w:val="24"/>
          <w:lang w:val="es-CO"/>
        </w:rPr>
      </w:pPr>
    </w:p>
    <w:p w:rsidR="00CF2E11" w:rsidRPr="00BE4E66" w:rsidRDefault="00CF2E11" w:rsidP="00CF2E11">
      <w:pPr>
        <w:spacing w:line="360" w:lineRule="auto"/>
        <w:ind w:left="708" w:hanging="708"/>
        <w:jc w:val="left"/>
        <w:rPr>
          <w:rFonts w:eastAsia="Calibri"/>
          <w:sz w:val="24"/>
          <w:szCs w:val="24"/>
          <w:lang w:val="es-CO"/>
        </w:rPr>
      </w:pPr>
    </w:p>
    <w:p w:rsidR="00CF2E11" w:rsidRPr="00BE4E66" w:rsidRDefault="00CF2E11" w:rsidP="00CF2E11">
      <w:pPr>
        <w:keepNext/>
        <w:keepLines/>
        <w:autoSpaceDE w:val="0"/>
        <w:autoSpaceDN w:val="0"/>
        <w:adjustRightInd w:val="0"/>
        <w:spacing w:line="360" w:lineRule="auto"/>
        <w:jc w:val="center"/>
        <w:outlineLvl w:val="0"/>
        <w:rPr>
          <w:rFonts w:eastAsia="Times New Roman"/>
          <w:b/>
          <w:bCs/>
          <w:sz w:val="24"/>
          <w:szCs w:val="24"/>
          <w:lang w:val="es-ES_tradnl" w:eastAsia="x-none"/>
        </w:rPr>
      </w:pPr>
      <w:r w:rsidRPr="00BE4E66">
        <w:rPr>
          <w:rFonts w:eastAsia="Times New Roman"/>
          <w:b/>
          <w:bCs/>
          <w:sz w:val="24"/>
          <w:szCs w:val="24"/>
          <w:lang w:val="es-ES_tradnl" w:eastAsia="x-none"/>
        </w:rPr>
        <w:t>RESUELVE:</w:t>
      </w:r>
    </w:p>
    <w:p w:rsidR="00CF2E11" w:rsidRDefault="00CF2E11" w:rsidP="00CF2E11">
      <w:pPr>
        <w:spacing w:line="360" w:lineRule="auto"/>
        <w:jc w:val="left"/>
        <w:rPr>
          <w:rFonts w:eastAsia="Calibri"/>
          <w:b/>
          <w:sz w:val="24"/>
          <w:szCs w:val="24"/>
          <w:lang w:val="es-CO"/>
        </w:rPr>
      </w:pPr>
    </w:p>
    <w:p w:rsidR="00CF2E11" w:rsidRPr="00BE4E66" w:rsidRDefault="00CF2E11" w:rsidP="00CF2E11">
      <w:pPr>
        <w:spacing w:line="360" w:lineRule="auto"/>
        <w:jc w:val="left"/>
        <w:rPr>
          <w:rFonts w:eastAsia="Calibri"/>
          <w:b/>
          <w:sz w:val="24"/>
          <w:szCs w:val="24"/>
          <w:lang w:val="es-CO"/>
        </w:rPr>
      </w:pPr>
    </w:p>
    <w:p w:rsidR="00CF2E11" w:rsidRPr="00BE4E66" w:rsidRDefault="00CF2E11" w:rsidP="00CF2E11">
      <w:pPr>
        <w:pStyle w:val="Prrafodelista"/>
        <w:spacing w:line="360" w:lineRule="auto"/>
        <w:ind w:left="0"/>
        <w:rPr>
          <w:sz w:val="24"/>
          <w:szCs w:val="24"/>
        </w:rPr>
      </w:pPr>
      <w:r w:rsidRPr="00BE4E66">
        <w:rPr>
          <w:rFonts w:eastAsia="Calibri"/>
          <w:b/>
          <w:sz w:val="24"/>
          <w:szCs w:val="24"/>
          <w:lang w:val="es-CO"/>
        </w:rPr>
        <w:t xml:space="preserve">PRIMERO.- </w:t>
      </w:r>
      <w:r>
        <w:rPr>
          <w:rFonts w:eastAsia="Calibri"/>
          <w:b/>
          <w:sz w:val="24"/>
          <w:szCs w:val="24"/>
          <w:lang w:val="es-CO"/>
        </w:rPr>
        <w:t xml:space="preserve">DEJAR SIN EFECTOS </w:t>
      </w:r>
      <w:r w:rsidRPr="00ED5EC4">
        <w:rPr>
          <w:rFonts w:eastAsia="Calibri"/>
          <w:sz w:val="24"/>
          <w:szCs w:val="24"/>
          <w:lang w:val="es-CO"/>
        </w:rPr>
        <w:t>las actuaciones adelantadas por el</w:t>
      </w:r>
      <w:r w:rsidRPr="00ED5EC4">
        <w:rPr>
          <w:rFonts w:eastAsia="Calibri"/>
          <w:b/>
          <w:sz w:val="24"/>
          <w:szCs w:val="24"/>
          <w:lang w:val="es-CO"/>
        </w:rPr>
        <w:t xml:space="preserve"> </w:t>
      </w:r>
      <w:r w:rsidRPr="00ED5EC4">
        <w:rPr>
          <w:rFonts w:eastAsia="Calibri"/>
          <w:sz w:val="24"/>
          <w:szCs w:val="24"/>
          <w:lang w:val="es-CO"/>
        </w:rPr>
        <w:t>Resguardo Indígena de ‘San Juan’ de Ipiales, incluida</w:t>
      </w:r>
      <w:r>
        <w:rPr>
          <w:rFonts w:eastAsia="Calibri"/>
          <w:i/>
          <w:sz w:val="24"/>
          <w:szCs w:val="24"/>
          <w:lang w:val="es-CO"/>
        </w:rPr>
        <w:t xml:space="preserve"> </w:t>
      </w:r>
      <w:r w:rsidRPr="00ED5EC4">
        <w:rPr>
          <w:rFonts w:eastAsia="Calibri"/>
          <w:sz w:val="24"/>
          <w:szCs w:val="24"/>
          <w:lang w:val="es-CO"/>
        </w:rPr>
        <w:t>la</w:t>
      </w:r>
      <w:r>
        <w:rPr>
          <w:rFonts w:eastAsia="Calibri"/>
          <w:i/>
          <w:sz w:val="24"/>
          <w:szCs w:val="24"/>
          <w:lang w:val="es-CO"/>
        </w:rPr>
        <w:t xml:space="preserve"> </w:t>
      </w:r>
      <w:r>
        <w:rPr>
          <w:sz w:val="24"/>
          <w:szCs w:val="24"/>
        </w:rPr>
        <w:t xml:space="preserve">Resolución Número 003 del 10 de noviembre de 2013 en la cual  se </w:t>
      </w:r>
      <w:r w:rsidRPr="00BE4E66">
        <w:rPr>
          <w:sz w:val="24"/>
          <w:szCs w:val="24"/>
        </w:rPr>
        <w:t>resolvió ABSOLVER al señor Jesús Libardo T</w:t>
      </w:r>
      <w:r>
        <w:rPr>
          <w:sz w:val="24"/>
          <w:szCs w:val="24"/>
        </w:rPr>
        <w:t>á</w:t>
      </w:r>
      <w:r w:rsidRPr="00BE4E66">
        <w:rPr>
          <w:sz w:val="24"/>
          <w:szCs w:val="24"/>
        </w:rPr>
        <w:t xml:space="preserve">quez Ituyan frente a la presunta </w:t>
      </w:r>
      <w:r w:rsidRPr="00DD4E32">
        <w:rPr>
          <w:i/>
          <w:sz w:val="24"/>
          <w:szCs w:val="24"/>
        </w:rPr>
        <w:t>“violación sexual”</w:t>
      </w:r>
      <w:r w:rsidRPr="00BE4E66">
        <w:rPr>
          <w:sz w:val="24"/>
          <w:szCs w:val="24"/>
        </w:rPr>
        <w:t xml:space="preserve"> cometida en contra de la niña “Bertha”.</w:t>
      </w:r>
    </w:p>
    <w:p w:rsidR="00CF2E11" w:rsidRDefault="00CF2E11" w:rsidP="00CF2E11">
      <w:pPr>
        <w:spacing w:line="360" w:lineRule="auto"/>
        <w:ind w:left="708" w:hanging="708"/>
        <w:rPr>
          <w:rFonts w:eastAsia="Calibri"/>
          <w:b/>
          <w:sz w:val="24"/>
          <w:szCs w:val="24"/>
          <w:lang w:val="es-CO"/>
        </w:rPr>
      </w:pPr>
    </w:p>
    <w:p w:rsidR="00CF2E11" w:rsidRDefault="00CF2E11" w:rsidP="00CF2E11">
      <w:pPr>
        <w:spacing w:line="360" w:lineRule="auto"/>
        <w:ind w:left="708" w:hanging="708"/>
        <w:rPr>
          <w:rFonts w:eastAsia="Calibri"/>
          <w:b/>
          <w:sz w:val="24"/>
          <w:szCs w:val="24"/>
          <w:lang w:val="es-CO"/>
        </w:rPr>
      </w:pPr>
    </w:p>
    <w:p w:rsidR="00CF2E11" w:rsidRPr="00BE4E66" w:rsidRDefault="00CF2E11" w:rsidP="00CF2E11">
      <w:pPr>
        <w:spacing w:line="360" w:lineRule="auto"/>
        <w:rPr>
          <w:rFonts w:eastAsia="Calibri"/>
          <w:i/>
          <w:sz w:val="24"/>
          <w:szCs w:val="24"/>
          <w:lang w:val="es-CO"/>
        </w:rPr>
      </w:pPr>
      <w:r>
        <w:rPr>
          <w:rFonts w:eastAsia="Calibri"/>
          <w:b/>
          <w:sz w:val="24"/>
          <w:szCs w:val="24"/>
          <w:lang w:val="es-CO"/>
        </w:rPr>
        <w:t xml:space="preserve">SEGUNDO.- </w:t>
      </w:r>
      <w:r w:rsidRPr="00BE4E66">
        <w:rPr>
          <w:rFonts w:eastAsia="Calibri"/>
          <w:b/>
          <w:sz w:val="24"/>
          <w:szCs w:val="24"/>
          <w:lang w:val="es-CO"/>
        </w:rPr>
        <w:t xml:space="preserve">REVOCAR </w:t>
      </w:r>
      <w:r w:rsidRPr="00BE4E66">
        <w:rPr>
          <w:rFonts w:eastAsia="Calibri"/>
          <w:sz w:val="24"/>
          <w:szCs w:val="24"/>
          <w:lang w:val="es-CO"/>
        </w:rPr>
        <w:t xml:space="preserve">la decisión adoptada el 22 de enero de 2014 por la Sala Jurisdiccional Disciplinaria bajo el radicado 110010102000201303113 00, mediante la cual se </w:t>
      </w:r>
      <w:r w:rsidRPr="00DD4E32">
        <w:rPr>
          <w:rFonts w:eastAsia="Calibri"/>
          <w:b/>
          <w:sz w:val="24"/>
          <w:szCs w:val="24"/>
          <w:lang w:val="es-CO"/>
        </w:rPr>
        <w:t>ABSTUVO</w:t>
      </w:r>
      <w:r w:rsidRPr="00BE4E66">
        <w:rPr>
          <w:rFonts w:eastAsia="Calibri"/>
          <w:sz w:val="24"/>
          <w:szCs w:val="24"/>
          <w:lang w:val="es-CO"/>
        </w:rPr>
        <w:t xml:space="preserve"> de </w:t>
      </w:r>
      <w:r w:rsidRPr="00BE4E66">
        <w:rPr>
          <w:rFonts w:eastAsia="Calibri"/>
          <w:i/>
          <w:sz w:val="24"/>
          <w:szCs w:val="24"/>
          <w:lang w:val="es-CO"/>
        </w:rPr>
        <w:t xml:space="preserve">“resolver el conflicto de competencias planteado entre la Jurisdicción Ordinaria en cabeza de la Fiscalía 35 Seccional de Ipiales – Nariño-, y el Resguardo Indígena de ‘San Juan’ de la misma ciudad”, </w:t>
      </w:r>
      <w:r w:rsidRPr="00BE4E66">
        <w:rPr>
          <w:rFonts w:eastAsia="Calibri"/>
          <w:sz w:val="24"/>
          <w:szCs w:val="24"/>
          <w:lang w:val="es-CO"/>
        </w:rPr>
        <w:t xml:space="preserve">para en su lugar </w:t>
      </w:r>
      <w:r w:rsidRPr="00BE4E66">
        <w:rPr>
          <w:rFonts w:eastAsia="Times New Roman"/>
          <w:b/>
          <w:bCs/>
          <w:sz w:val="24"/>
          <w:szCs w:val="24"/>
          <w:lang w:eastAsia="es-ES"/>
        </w:rPr>
        <w:t xml:space="preserve">ASIGNAR </w:t>
      </w:r>
      <w:r w:rsidRPr="00BE4E66">
        <w:rPr>
          <w:rFonts w:eastAsia="Times New Roman"/>
          <w:bCs/>
          <w:sz w:val="24"/>
          <w:szCs w:val="24"/>
          <w:lang w:eastAsia="es-ES"/>
        </w:rPr>
        <w:t xml:space="preserve">la competencia para el juzgamiento del delito sexual posiblemente cometido por el señor </w:t>
      </w:r>
      <w:r w:rsidRPr="00BE4E66">
        <w:rPr>
          <w:sz w:val="24"/>
          <w:szCs w:val="24"/>
        </w:rPr>
        <w:t>Jesús Libardo T</w:t>
      </w:r>
      <w:r>
        <w:rPr>
          <w:sz w:val="24"/>
          <w:szCs w:val="24"/>
        </w:rPr>
        <w:t>á</w:t>
      </w:r>
      <w:r w:rsidRPr="00BE4E66">
        <w:rPr>
          <w:sz w:val="24"/>
          <w:szCs w:val="24"/>
        </w:rPr>
        <w:t xml:space="preserve">quez Ituyan </w:t>
      </w:r>
      <w:r w:rsidRPr="00BE4E66">
        <w:rPr>
          <w:rFonts w:eastAsia="Times New Roman"/>
          <w:bCs/>
          <w:sz w:val="24"/>
          <w:szCs w:val="24"/>
          <w:lang w:eastAsia="es-ES"/>
        </w:rPr>
        <w:t>a la Jurisdicción Penal Ordinaria.</w:t>
      </w:r>
      <w:r w:rsidRPr="00BE4E66">
        <w:rPr>
          <w:rFonts w:eastAsia="Calibri"/>
          <w:i/>
          <w:sz w:val="24"/>
          <w:szCs w:val="24"/>
          <w:lang w:val="es-CO"/>
        </w:rPr>
        <w:t xml:space="preserve"> </w:t>
      </w:r>
    </w:p>
    <w:p w:rsidR="00CF2E11" w:rsidRPr="00BE4E66" w:rsidRDefault="00CF2E11" w:rsidP="00CF2E11">
      <w:pPr>
        <w:spacing w:line="360" w:lineRule="auto"/>
        <w:jc w:val="left"/>
        <w:rPr>
          <w:rFonts w:eastAsia="Calibri"/>
          <w:b/>
          <w:sz w:val="24"/>
          <w:szCs w:val="24"/>
          <w:lang w:val="es-CO"/>
        </w:rPr>
      </w:pPr>
    </w:p>
    <w:p w:rsidR="00CF2E11" w:rsidRPr="00BE4E66" w:rsidRDefault="00CF2E11" w:rsidP="00CF2E11">
      <w:pPr>
        <w:spacing w:line="360" w:lineRule="auto"/>
        <w:rPr>
          <w:rFonts w:eastAsia="Calibri"/>
          <w:sz w:val="24"/>
          <w:szCs w:val="24"/>
          <w:lang w:val="es-CO"/>
        </w:rPr>
      </w:pPr>
      <w:r>
        <w:rPr>
          <w:rFonts w:eastAsia="Calibri"/>
          <w:b/>
          <w:bCs/>
          <w:sz w:val="24"/>
          <w:szCs w:val="24"/>
          <w:lang w:val="es-CO"/>
        </w:rPr>
        <w:t>TERCERO</w:t>
      </w:r>
      <w:r w:rsidRPr="00BE4E66">
        <w:rPr>
          <w:rFonts w:eastAsia="Calibri"/>
          <w:b/>
          <w:bCs/>
          <w:sz w:val="24"/>
          <w:szCs w:val="24"/>
          <w:lang w:val="es-CO"/>
        </w:rPr>
        <w:t xml:space="preserve">.- </w:t>
      </w:r>
      <w:r w:rsidRPr="00BE4E66">
        <w:rPr>
          <w:rFonts w:eastAsia="Calibri"/>
          <w:sz w:val="24"/>
          <w:szCs w:val="24"/>
          <w:lang w:val="es-CO"/>
        </w:rPr>
        <w:t>Una vez notificada esta decisión, envíese a la Corte Constitucional para su eventual revisión.</w:t>
      </w:r>
    </w:p>
    <w:p w:rsidR="00CF2E11" w:rsidRDefault="00CF2E11" w:rsidP="00CF2E11">
      <w:pPr>
        <w:tabs>
          <w:tab w:val="left" w:pos="0"/>
          <w:tab w:val="left" w:pos="180"/>
        </w:tabs>
        <w:ind w:right="-91"/>
        <w:jc w:val="center"/>
        <w:rPr>
          <w:rFonts w:eastAsia="Calibri"/>
          <w:b/>
          <w:sz w:val="24"/>
          <w:szCs w:val="24"/>
          <w:lang w:val="es-CO"/>
        </w:rPr>
      </w:pPr>
    </w:p>
    <w:p w:rsidR="00CF2E11" w:rsidRPr="00BE4E66" w:rsidRDefault="00CF2E11" w:rsidP="00CF2E11">
      <w:pPr>
        <w:tabs>
          <w:tab w:val="left" w:pos="0"/>
          <w:tab w:val="left" w:pos="180"/>
        </w:tabs>
        <w:ind w:right="-91"/>
        <w:jc w:val="center"/>
        <w:rPr>
          <w:rFonts w:eastAsia="Calibri"/>
          <w:b/>
          <w:sz w:val="24"/>
          <w:szCs w:val="24"/>
          <w:lang w:val="es-CO"/>
        </w:rPr>
      </w:pPr>
    </w:p>
    <w:p w:rsidR="00CF2E11" w:rsidRPr="00BE4E66" w:rsidRDefault="00CF2E11" w:rsidP="00CF2E11">
      <w:pPr>
        <w:tabs>
          <w:tab w:val="left" w:pos="0"/>
          <w:tab w:val="left" w:pos="180"/>
        </w:tabs>
        <w:ind w:right="-91"/>
        <w:jc w:val="center"/>
        <w:rPr>
          <w:rFonts w:eastAsia="Calibri"/>
          <w:b/>
          <w:sz w:val="24"/>
          <w:szCs w:val="24"/>
          <w:lang w:val="es-CO"/>
        </w:rPr>
      </w:pPr>
    </w:p>
    <w:p w:rsidR="00CF2E11" w:rsidRDefault="00CF2E11" w:rsidP="00CF2E11">
      <w:pPr>
        <w:spacing w:line="360" w:lineRule="auto"/>
        <w:jc w:val="center"/>
        <w:rPr>
          <w:rFonts w:eastAsia="Calibri"/>
          <w:b/>
          <w:lang w:val="es-CO"/>
        </w:rPr>
      </w:pPr>
      <w:r w:rsidRPr="004F6E54">
        <w:rPr>
          <w:rFonts w:eastAsia="Calibri"/>
          <w:b/>
          <w:lang w:val="es-CO"/>
        </w:rPr>
        <w:t>NOTIFÍQUESE Y CÚMPLASE</w:t>
      </w:r>
    </w:p>
    <w:p w:rsidR="00CF2E11" w:rsidRDefault="00CF2E11" w:rsidP="00CF2E11">
      <w:pPr>
        <w:spacing w:line="360" w:lineRule="auto"/>
        <w:jc w:val="center"/>
        <w:rPr>
          <w:rFonts w:eastAsia="Calibri"/>
          <w:b/>
          <w:lang w:val="es-CO"/>
        </w:rPr>
      </w:pPr>
    </w:p>
    <w:p w:rsidR="00CF2E11" w:rsidRPr="004F6E54" w:rsidRDefault="00CF2E11" w:rsidP="00CF2E11">
      <w:pPr>
        <w:spacing w:line="360" w:lineRule="auto"/>
        <w:jc w:val="center"/>
        <w:rPr>
          <w:rFonts w:eastAsia="Calibri"/>
          <w:b/>
          <w:lang w:val="es-CO"/>
        </w:rPr>
      </w:pPr>
    </w:p>
    <w:tbl>
      <w:tblPr>
        <w:tblpPr w:leftFromText="141" w:rightFromText="141" w:vertAnchor="text" w:horzAnchor="margin" w:tblpXSpec="center" w:tblpY="172"/>
        <w:tblW w:w="5000" w:type="pct"/>
        <w:tblCellMar>
          <w:left w:w="70" w:type="dxa"/>
          <w:right w:w="70" w:type="dxa"/>
        </w:tblCellMar>
        <w:tblLook w:val="04A0" w:firstRow="1" w:lastRow="0" w:firstColumn="1" w:lastColumn="0" w:noHBand="0" w:noVBand="1"/>
      </w:tblPr>
      <w:tblGrid>
        <w:gridCol w:w="3996"/>
        <w:gridCol w:w="4844"/>
      </w:tblGrid>
      <w:tr w:rsidR="00CF2E11" w:rsidRPr="00BE4E66" w:rsidTr="009658F0">
        <w:trPr>
          <w:trHeight w:val="1245"/>
        </w:trPr>
        <w:tc>
          <w:tcPr>
            <w:tcW w:w="2260" w:type="pct"/>
          </w:tcPr>
          <w:p w:rsidR="00CF2E11" w:rsidRPr="00BE4E66" w:rsidRDefault="00CF2E11" w:rsidP="009658F0">
            <w:pPr>
              <w:widowControl w:val="0"/>
              <w:tabs>
                <w:tab w:val="left" w:pos="0"/>
              </w:tabs>
              <w:suppressAutoHyphens/>
              <w:jc w:val="center"/>
              <w:rPr>
                <w:rFonts w:eastAsia="Calibri"/>
                <w:color w:val="000000"/>
                <w:lang w:val="es-CO"/>
              </w:rPr>
            </w:pPr>
          </w:p>
          <w:p w:rsidR="00CF2E11" w:rsidRPr="00BE4E66" w:rsidRDefault="00CF2E11" w:rsidP="009658F0">
            <w:pPr>
              <w:widowControl w:val="0"/>
              <w:tabs>
                <w:tab w:val="left" w:pos="0"/>
              </w:tabs>
              <w:suppressAutoHyphens/>
              <w:jc w:val="center"/>
              <w:rPr>
                <w:rFonts w:eastAsia="Calibri"/>
                <w:color w:val="000000"/>
                <w:lang w:val="es-CO"/>
              </w:rPr>
            </w:pPr>
          </w:p>
          <w:p w:rsidR="00CF2E11" w:rsidRPr="00BE4E66" w:rsidRDefault="00CF2E11" w:rsidP="009658F0">
            <w:pPr>
              <w:widowControl w:val="0"/>
              <w:tabs>
                <w:tab w:val="left" w:pos="0"/>
              </w:tabs>
              <w:suppressAutoHyphens/>
              <w:jc w:val="center"/>
              <w:rPr>
                <w:rFonts w:eastAsia="Calibri"/>
                <w:color w:val="000000"/>
                <w:lang w:val="es-CO"/>
              </w:rPr>
            </w:pPr>
          </w:p>
          <w:p w:rsidR="00CF2E11" w:rsidRPr="00BE4E66" w:rsidRDefault="00CF2E11" w:rsidP="009658F0">
            <w:pPr>
              <w:widowControl w:val="0"/>
              <w:tabs>
                <w:tab w:val="left" w:pos="0"/>
              </w:tabs>
              <w:suppressAutoHyphens/>
              <w:jc w:val="center"/>
              <w:rPr>
                <w:rFonts w:eastAsia="Calibri"/>
                <w:color w:val="000000"/>
                <w:lang w:val="es-CO"/>
              </w:rPr>
            </w:pPr>
          </w:p>
          <w:p w:rsidR="00CF2E11" w:rsidRPr="00BE4E66" w:rsidRDefault="00CF2E11" w:rsidP="009658F0">
            <w:pPr>
              <w:widowControl w:val="0"/>
              <w:tabs>
                <w:tab w:val="left" w:pos="-993"/>
                <w:tab w:val="left" w:pos="2590"/>
              </w:tabs>
              <w:suppressAutoHyphens/>
              <w:jc w:val="center"/>
              <w:rPr>
                <w:rFonts w:eastAsia="Calibri"/>
                <w:color w:val="000000"/>
                <w:lang w:val="es-CO"/>
              </w:rPr>
            </w:pPr>
          </w:p>
          <w:p w:rsidR="00CF2E11" w:rsidRPr="00BE4E66" w:rsidRDefault="00CF2E11" w:rsidP="009658F0">
            <w:pPr>
              <w:jc w:val="center"/>
              <w:rPr>
                <w:rFonts w:eastAsia="Calibri"/>
                <w:b/>
                <w:spacing w:val="-2"/>
                <w:lang w:val="es-CO"/>
              </w:rPr>
            </w:pPr>
            <w:r w:rsidRPr="00BE4E66">
              <w:rPr>
                <w:rFonts w:eastAsia="Calibri"/>
                <w:b/>
                <w:spacing w:val="-2"/>
                <w:lang w:val="es-CO"/>
              </w:rPr>
              <w:t>NÉSTOR IVÁN JAVIER OSUNA PATIÑO</w:t>
            </w:r>
          </w:p>
          <w:p w:rsidR="00CF2E11" w:rsidRPr="00BE4E66" w:rsidRDefault="00CF2E11" w:rsidP="009658F0">
            <w:pPr>
              <w:widowControl w:val="0"/>
              <w:tabs>
                <w:tab w:val="left" w:pos="-993"/>
                <w:tab w:val="left" w:pos="2590"/>
              </w:tabs>
              <w:suppressAutoHyphens/>
              <w:jc w:val="center"/>
              <w:rPr>
                <w:rFonts w:eastAsia="Calibri"/>
                <w:b/>
                <w:lang w:val="es-CO"/>
              </w:rPr>
            </w:pPr>
            <w:r w:rsidRPr="00BE4E66">
              <w:rPr>
                <w:rFonts w:eastAsia="Calibri"/>
                <w:b/>
                <w:spacing w:val="-2"/>
                <w:lang w:val="es-CO"/>
              </w:rPr>
              <w:t>MAGISTRADO</w:t>
            </w:r>
          </w:p>
          <w:p w:rsidR="00CF2E11" w:rsidRPr="00BE4E66" w:rsidRDefault="00CF2E11" w:rsidP="009658F0">
            <w:pPr>
              <w:widowControl w:val="0"/>
              <w:tabs>
                <w:tab w:val="left" w:pos="-993"/>
                <w:tab w:val="left" w:pos="2590"/>
              </w:tabs>
              <w:suppressAutoHyphens/>
              <w:jc w:val="center"/>
              <w:rPr>
                <w:rFonts w:eastAsia="Calibri"/>
                <w:b/>
                <w:lang w:val="es-CO"/>
              </w:rPr>
            </w:pPr>
          </w:p>
        </w:tc>
        <w:tc>
          <w:tcPr>
            <w:tcW w:w="2740" w:type="pct"/>
          </w:tcPr>
          <w:p w:rsidR="00CF2E11" w:rsidRPr="00BE4E66" w:rsidRDefault="00CF2E11" w:rsidP="009658F0">
            <w:pPr>
              <w:widowControl w:val="0"/>
              <w:tabs>
                <w:tab w:val="left" w:pos="-993"/>
                <w:tab w:val="left" w:pos="2590"/>
              </w:tabs>
              <w:suppressAutoHyphens/>
              <w:jc w:val="center"/>
              <w:rPr>
                <w:rFonts w:eastAsia="Calibri"/>
                <w:lang w:val="es-CO"/>
              </w:rPr>
            </w:pPr>
          </w:p>
          <w:p w:rsidR="00CF2E11" w:rsidRPr="00BE4E66" w:rsidRDefault="00CF2E11" w:rsidP="009658F0">
            <w:pPr>
              <w:widowControl w:val="0"/>
              <w:tabs>
                <w:tab w:val="left" w:pos="-993"/>
                <w:tab w:val="left" w:pos="2590"/>
              </w:tabs>
              <w:suppressAutoHyphens/>
              <w:jc w:val="center"/>
              <w:rPr>
                <w:rFonts w:eastAsia="Calibri"/>
                <w:lang w:val="es-CO"/>
              </w:rPr>
            </w:pPr>
          </w:p>
          <w:p w:rsidR="00CF2E11" w:rsidRPr="00BE4E66" w:rsidRDefault="00CF2E11" w:rsidP="009658F0">
            <w:pPr>
              <w:widowControl w:val="0"/>
              <w:tabs>
                <w:tab w:val="left" w:pos="-993"/>
                <w:tab w:val="left" w:pos="2590"/>
              </w:tabs>
              <w:suppressAutoHyphens/>
              <w:jc w:val="center"/>
              <w:rPr>
                <w:rFonts w:eastAsia="Calibri"/>
                <w:b/>
                <w:bCs/>
                <w:lang w:val="es-CO"/>
              </w:rPr>
            </w:pPr>
          </w:p>
          <w:p w:rsidR="00CF2E11" w:rsidRPr="00BE4E66" w:rsidRDefault="00CF2E11" w:rsidP="009658F0">
            <w:pPr>
              <w:widowControl w:val="0"/>
              <w:tabs>
                <w:tab w:val="left" w:pos="-993"/>
                <w:tab w:val="left" w:pos="2590"/>
              </w:tabs>
              <w:suppressAutoHyphens/>
              <w:jc w:val="center"/>
              <w:rPr>
                <w:rFonts w:eastAsia="Calibri"/>
                <w:b/>
                <w:bCs/>
                <w:lang w:val="es-CO"/>
              </w:rPr>
            </w:pPr>
          </w:p>
          <w:p w:rsidR="00CF2E11" w:rsidRPr="00BE4E66" w:rsidRDefault="00CF2E11" w:rsidP="009658F0">
            <w:pPr>
              <w:widowControl w:val="0"/>
              <w:tabs>
                <w:tab w:val="left" w:pos="-993"/>
                <w:tab w:val="left" w:pos="2590"/>
              </w:tabs>
              <w:suppressAutoHyphens/>
              <w:jc w:val="center"/>
              <w:rPr>
                <w:rFonts w:eastAsia="Calibri"/>
                <w:b/>
                <w:bCs/>
                <w:lang w:val="es-CO"/>
              </w:rPr>
            </w:pPr>
          </w:p>
          <w:p w:rsidR="00CF2E11" w:rsidRPr="00BE4E66" w:rsidRDefault="00CF2E11" w:rsidP="009658F0">
            <w:pPr>
              <w:widowControl w:val="0"/>
              <w:tabs>
                <w:tab w:val="left" w:pos="-993"/>
                <w:tab w:val="left" w:pos="2590"/>
              </w:tabs>
              <w:suppressAutoHyphens/>
              <w:jc w:val="center"/>
              <w:rPr>
                <w:rFonts w:eastAsia="Calibri"/>
                <w:b/>
                <w:bCs/>
                <w:lang w:val="es-CO"/>
              </w:rPr>
            </w:pPr>
            <w:r w:rsidRPr="00BE4E66">
              <w:rPr>
                <w:rFonts w:eastAsia="Calibri"/>
                <w:b/>
                <w:bCs/>
                <w:lang w:val="es-CO"/>
              </w:rPr>
              <w:t>ALFONSO GÓMEZ MÉNDEZ</w:t>
            </w:r>
          </w:p>
          <w:p w:rsidR="00CF2E11" w:rsidRPr="00BE4E66" w:rsidRDefault="00CF2E11" w:rsidP="009658F0">
            <w:pPr>
              <w:widowControl w:val="0"/>
              <w:tabs>
                <w:tab w:val="left" w:pos="-993"/>
                <w:tab w:val="left" w:pos="2590"/>
              </w:tabs>
              <w:suppressAutoHyphens/>
              <w:jc w:val="center"/>
              <w:rPr>
                <w:rFonts w:eastAsia="Calibri"/>
                <w:b/>
                <w:spacing w:val="-2"/>
                <w:lang w:val="es-CO"/>
              </w:rPr>
            </w:pPr>
            <w:r w:rsidRPr="00BE4E66">
              <w:rPr>
                <w:rFonts w:eastAsia="Calibri"/>
                <w:b/>
                <w:spacing w:val="-2"/>
                <w:lang w:val="es-CO"/>
              </w:rPr>
              <w:t>CONJUEZ</w:t>
            </w:r>
          </w:p>
        </w:tc>
      </w:tr>
      <w:tr w:rsidR="00CF2E11" w:rsidRPr="00BE4E66" w:rsidTr="009658F0">
        <w:trPr>
          <w:trHeight w:val="1499"/>
        </w:trPr>
        <w:tc>
          <w:tcPr>
            <w:tcW w:w="2260" w:type="pct"/>
          </w:tcPr>
          <w:p w:rsidR="00CF2E11" w:rsidRPr="00BE4E66" w:rsidRDefault="00CF2E11" w:rsidP="009658F0">
            <w:pPr>
              <w:widowControl w:val="0"/>
              <w:tabs>
                <w:tab w:val="left" w:pos="-993"/>
                <w:tab w:val="left" w:pos="2590"/>
              </w:tabs>
              <w:suppressAutoHyphens/>
              <w:jc w:val="center"/>
              <w:rPr>
                <w:rFonts w:eastAsia="Calibri"/>
                <w:lang w:val="es-CO"/>
              </w:rPr>
            </w:pPr>
          </w:p>
          <w:p w:rsidR="00CF2E11" w:rsidRPr="00BE4E66" w:rsidRDefault="00CF2E11" w:rsidP="009658F0">
            <w:pPr>
              <w:widowControl w:val="0"/>
              <w:tabs>
                <w:tab w:val="left" w:pos="-993"/>
                <w:tab w:val="left" w:pos="2590"/>
              </w:tabs>
              <w:suppressAutoHyphens/>
              <w:jc w:val="center"/>
              <w:rPr>
                <w:rFonts w:eastAsia="Calibri"/>
                <w:lang w:val="es-CO"/>
              </w:rPr>
            </w:pPr>
          </w:p>
          <w:p w:rsidR="00CF2E11" w:rsidRPr="00BE4E66" w:rsidRDefault="00CF2E11" w:rsidP="009658F0">
            <w:pPr>
              <w:widowControl w:val="0"/>
              <w:tabs>
                <w:tab w:val="left" w:pos="-993"/>
                <w:tab w:val="left" w:pos="2590"/>
              </w:tabs>
              <w:suppressAutoHyphens/>
              <w:jc w:val="center"/>
              <w:rPr>
                <w:rFonts w:eastAsia="Calibri"/>
                <w:lang w:val="es-CO"/>
              </w:rPr>
            </w:pPr>
          </w:p>
          <w:p w:rsidR="00CF2E11" w:rsidRPr="00BE4E66" w:rsidRDefault="00CF2E11" w:rsidP="009658F0">
            <w:pPr>
              <w:widowControl w:val="0"/>
              <w:tabs>
                <w:tab w:val="left" w:pos="-993"/>
                <w:tab w:val="left" w:pos="2590"/>
              </w:tabs>
              <w:suppressAutoHyphens/>
              <w:jc w:val="center"/>
              <w:rPr>
                <w:rFonts w:eastAsia="Calibri"/>
                <w:lang w:val="es-CO"/>
              </w:rPr>
            </w:pPr>
          </w:p>
          <w:p w:rsidR="00CF2E11" w:rsidRPr="00BE4E66" w:rsidRDefault="00CF2E11" w:rsidP="009658F0">
            <w:pPr>
              <w:widowControl w:val="0"/>
              <w:tabs>
                <w:tab w:val="left" w:pos="-993"/>
                <w:tab w:val="left" w:pos="2590"/>
              </w:tabs>
              <w:suppressAutoHyphens/>
              <w:jc w:val="center"/>
              <w:rPr>
                <w:rFonts w:eastAsia="Calibri"/>
                <w:lang w:val="es-CO"/>
              </w:rPr>
            </w:pPr>
          </w:p>
          <w:p w:rsidR="00CF2E11" w:rsidRPr="00BE4E66" w:rsidRDefault="00CF2E11" w:rsidP="009658F0">
            <w:pPr>
              <w:widowControl w:val="0"/>
              <w:tabs>
                <w:tab w:val="left" w:pos="-993"/>
                <w:tab w:val="left" w:pos="2590"/>
              </w:tabs>
              <w:suppressAutoHyphens/>
              <w:jc w:val="center"/>
              <w:rPr>
                <w:rFonts w:eastAsia="Calibri"/>
                <w:lang w:val="es-CO"/>
              </w:rPr>
            </w:pPr>
          </w:p>
          <w:p w:rsidR="00CF2E11" w:rsidRPr="00BE4E66" w:rsidRDefault="00CF2E11" w:rsidP="009658F0">
            <w:pPr>
              <w:widowControl w:val="0"/>
              <w:tabs>
                <w:tab w:val="left" w:pos="-993"/>
                <w:tab w:val="left" w:pos="2590"/>
              </w:tabs>
              <w:suppressAutoHyphens/>
              <w:jc w:val="center"/>
              <w:rPr>
                <w:rFonts w:eastAsia="Calibri"/>
                <w:b/>
                <w:lang w:val="es-CO"/>
              </w:rPr>
            </w:pPr>
            <w:r w:rsidRPr="00BE4E66">
              <w:rPr>
                <w:rFonts w:eastAsia="Calibri"/>
                <w:b/>
                <w:bCs/>
                <w:lang w:val="es-CO"/>
              </w:rPr>
              <w:t>SERGIO GONZÁLEZ REY</w:t>
            </w:r>
          </w:p>
          <w:p w:rsidR="00CF2E11" w:rsidRPr="00BE4E66" w:rsidRDefault="00CF2E11" w:rsidP="009658F0">
            <w:pPr>
              <w:widowControl w:val="0"/>
              <w:tabs>
                <w:tab w:val="left" w:pos="-993"/>
                <w:tab w:val="left" w:pos="2590"/>
              </w:tabs>
              <w:suppressAutoHyphens/>
              <w:jc w:val="center"/>
              <w:rPr>
                <w:rFonts w:eastAsia="Calibri"/>
                <w:b/>
                <w:lang w:val="es-CO"/>
              </w:rPr>
            </w:pPr>
            <w:r w:rsidRPr="00BE4E66">
              <w:rPr>
                <w:rFonts w:eastAsia="Calibri"/>
                <w:b/>
                <w:spacing w:val="-2"/>
                <w:lang w:val="es-CO"/>
              </w:rPr>
              <w:t>CONJUEZ</w:t>
            </w:r>
          </w:p>
        </w:tc>
        <w:tc>
          <w:tcPr>
            <w:tcW w:w="2740" w:type="pct"/>
          </w:tcPr>
          <w:p w:rsidR="00CF2E11" w:rsidRPr="00BE4E66" w:rsidRDefault="00CF2E11" w:rsidP="009658F0">
            <w:pPr>
              <w:widowControl w:val="0"/>
              <w:tabs>
                <w:tab w:val="left" w:pos="-993"/>
                <w:tab w:val="left" w:pos="2590"/>
              </w:tabs>
              <w:suppressAutoHyphens/>
              <w:jc w:val="center"/>
              <w:rPr>
                <w:rFonts w:eastAsia="Calibri"/>
                <w:lang w:val="es-CO"/>
              </w:rPr>
            </w:pPr>
          </w:p>
          <w:p w:rsidR="00CF2E11" w:rsidRPr="00BE4E66" w:rsidRDefault="00CF2E11" w:rsidP="009658F0">
            <w:pPr>
              <w:widowControl w:val="0"/>
              <w:tabs>
                <w:tab w:val="left" w:pos="-993"/>
                <w:tab w:val="left" w:pos="2590"/>
              </w:tabs>
              <w:suppressAutoHyphens/>
              <w:jc w:val="center"/>
              <w:rPr>
                <w:rFonts w:eastAsia="Calibri"/>
                <w:lang w:val="es-CO"/>
              </w:rPr>
            </w:pPr>
          </w:p>
          <w:p w:rsidR="00CF2E11" w:rsidRPr="00BE4E66" w:rsidRDefault="00CF2E11" w:rsidP="009658F0">
            <w:pPr>
              <w:widowControl w:val="0"/>
              <w:tabs>
                <w:tab w:val="left" w:pos="-993"/>
                <w:tab w:val="left" w:pos="2590"/>
              </w:tabs>
              <w:suppressAutoHyphens/>
              <w:jc w:val="center"/>
              <w:rPr>
                <w:rFonts w:eastAsia="Calibri"/>
                <w:lang w:val="es-CO"/>
              </w:rPr>
            </w:pPr>
          </w:p>
          <w:p w:rsidR="00CF2E11" w:rsidRPr="00BE4E66" w:rsidRDefault="00CF2E11" w:rsidP="009658F0">
            <w:pPr>
              <w:widowControl w:val="0"/>
              <w:tabs>
                <w:tab w:val="left" w:pos="-993"/>
                <w:tab w:val="left" w:pos="2590"/>
              </w:tabs>
              <w:suppressAutoHyphens/>
              <w:jc w:val="center"/>
              <w:rPr>
                <w:rFonts w:eastAsia="Calibri"/>
                <w:lang w:val="es-CO"/>
              </w:rPr>
            </w:pPr>
          </w:p>
          <w:p w:rsidR="00CF2E11" w:rsidRPr="00BE4E66" w:rsidRDefault="00CF2E11" w:rsidP="009658F0">
            <w:pPr>
              <w:widowControl w:val="0"/>
              <w:tabs>
                <w:tab w:val="left" w:pos="-993"/>
                <w:tab w:val="left" w:pos="2590"/>
              </w:tabs>
              <w:suppressAutoHyphens/>
              <w:jc w:val="center"/>
              <w:rPr>
                <w:rFonts w:eastAsia="Calibri"/>
                <w:lang w:val="es-CO"/>
              </w:rPr>
            </w:pPr>
          </w:p>
          <w:p w:rsidR="00CF2E11" w:rsidRPr="00BE4E66" w:rsidRDefault="00CF2E11" w:rsidP="009658F0">
            <w:pPr>
              <w:widowControl w:val="0"/>
              <w:tabs>
                <w:tab w:val="left" w:pos="-993"/>
                <w:tab w:val="left" w:pos="2590"/>
              </w:tabs>
              <w:suppressAutoHyphens/>
              <w:jc w:val="center"/>
              <w:rPr>
                <w:rFonts w:eastAsia="Calibri"/>
                <w:lang w:val="es-CO"/>
              </w:rPr>
            </w:pPr>
          </w:p>
          <w:p w:rsidR="00CF2E11" w:rsidRPr="00BE4E66" w:rsidRDefault="00CF2E11" w:rsidP="009658F0">
            <w:pPr>
              <w:widowControl w:val="0"/>
              <w:tabs>
                <w:tab w:val="left" w:pos="-993"/>
                <w:tab w:val="left" w:pos="2590"/>
              </w:tabs>
              <w:suppressAutoHyphens/>
              <w:jc w:val="center"/>
              <w:rPr>
                <w:rFonts w:eastAsia="Calibri"/>
                <w:b/>
                <w:bCs/>
                <w:lang w:val="es-CO"/>
              </w:rPr>
            </w:pPr>
            <w:r w:rsidRPr="00BE4E66">
              <w:rPr>
                <w:rFonts w:eastAsia="Calibri"/>
                <w:b/>
                <w:bCs/>
                <w:lang w:val="es-CO"/>
              </w:rPr>
              <w:t>JESÚS ANTONIO GUARNIZO PALACIO</w:t>
            </w:r>
          </w:p>
          <w:p w:rsidR="00CF2E11" w:rsidRPr="00BE4E66" w:rsidRDefault="00CF2E11" w:rsidP="009658F0">
            <w:pPr>
              <w:widowControl w:val="0"/>
              <w:tabs>
                <w:tab w:val="left" w:pos="-993"/>
                <w:tab w:val="left" w:pos="2590"/>
              </w:tabs>
              <w:suppressAutoHyphens/>
              <w:jc w:val="center"/>
              <w:rPr>
                <w:rFonts w:eastAsia="Calibri"/>
                <w:b/>
                <w:lang w:val="es-CO"/>
              </w:rPr>
            </w:pPr>
            <w:r w:rsidRPr="00BE4E66">
              <w:rPr>
                <w:rFonts w:eastAsia="Calibri"/>
                <w:b/>
                <w:spacing w:val="-2"/>
                <w:lang w:val="es-CO"/>
              </w:rPr>
              <w:t>CONJUEZ</w:t>
            </w:r>
          </w:p>
        </w:tc>
      </w:tr>
      <w:tr w:rsidR="00CF2E11" w:rsidRPr="00BE4E66" w:rsidTr="009658F0">
        <w:trPr>
          <w:trHeight w:val="1742"/>
        </w:trPr>
        <w:tc>
          <w:tcPr>
            <w:tcW w:w="2260" w:type="pct"/>
          </w:tcPr>
          <w:p w:rsidR="00CF2E11" w:rsidRPr="00BE4E66" w:rsidRDefault="00CF2E11" w:rsidP="009658F0">
            <w:pPr>
              <w:widowControl w:val="0"/>
              <w:tabs>
                <w:tab w:val="left" w:pos="-993"/>
                <w:tab w:val="left" w:pos="2590"/>
              </w:tabs>
              <w:suppressAutoHyphens/>
              <w:jc w:val="center"/>
              <w:rPr>
                <w:rFonts w:eastAsia="Calibri"/>
                <w:lang w:val="es-CO"/>
              </w:rPr>
            </w:pPr>
          </w:p>
          <w:p w:rsidR="00CF2E11" w:rsidRPr="00BE4E66" w:rsidRDefault="00CF2E11" w:rsidP="009658F0">
            <w:pPr>
              <w:widowControl w:val="0"/>
              <w:tabs>
                <w:tab w:val="left" w:pos="-993"/>
                <w:tab w:val="left" w:pos="2590"/>
              </w:tabs>
              <w:suppressAutoHyphens/>
              <w:jc w:val="center"/>
              <w:rPr>
                <w:rFonts w:eastAsia="Calibri"/>
                <w:lang w:val="es-CO"/>
              </w:rPr>
            </w:pPr>
          </w:p>
          <w:p w:rsidR="00CF2E11" w:rsidRPr="00BE4E66" w:rsidRDefault="00CF2E11" w:rsidP="009658F0">
            <w:pPr>
              <w:widowControl w:val="0"/>
              <w:tabs>
                <w:tab w:val="left" w:pos="-993"/>
                <w:tab w:val="left" w:pos="2590"/>
              </w:tabs>
              <w:suppressAutoHyphens/>
              <w:jc w:val="center"/>
              <w:rPr>
                <w:rFonts w:eastAsia="Calibri"/>
                <w:lang w:val="es-CO"/>
              </w:rPr>
            </w:pPr>
          </w:p>
          <w:p w:rsidR="00CF2E11" w:rsidRDefault="00CF2E11" w:rsidP="009658F0">
            <w:pPr>
              <w:widowControl w:val="0"/>
              <w:tabs>
                <w:tab w:val="left" w:pos="-993"/>
                <w:tab w:val="left" w:pos="2590"/>
              </w:tabs>
              <w:suppressAutoHyphens/>
              <w:jc w:val="center"/>
              <w:rPr>
                <w:rFonts w:eastAsia="Calibri"/>
                <w:lang w:val="es-CO"/>
              </w:rPr>
            </w:pPr>
          </w:p>
          <w:p w:rsidR="00CF2E11" w:rsidRPr="00BE4E66" w:rsidRDefault="00CF2E11" w:rsidP="009658F0">
            <w:pPr>
              <w:widowControl w:val="0"/>
              <w:tabs>
                <w:tab w:val="left" w:pos="-993"/>
                <w:tab w:val="left" w:pos="2590"/>
              </w:tabs>
              <w:suppressAutoHyphens/>
              <w:jc w:val="center"/>
              <w:rPr>
                <w:rFonts w:eastAsia="Calibri"/>
                <w:lang w:val="es-CO"/>
              </w:rPr>
            </w:pPr>
          </w:p>
          <w:p w:rsidR="00CF2E11" w:rsidRPr="00BE4E66" w:rsidRDefault="00CF2E11" w:rsidP="009658F0">
            <w:pPr>
              <w:widowControl w:val="0"/>
              <w:tabs>
                <w:tab w:val="left" w:pos="-993"/>
                <w:tab w:val="left" w:pos="2590"/>
              </w:tabs>
              <w:suppressAutoHyphens/>
              <w:jc w:val="center"/>
              <w:rPr>
                <w:rFonts w:eastAsia="Calibri"/>
                <w:lang w:val="es-CO"/>
              </w:rPr>
            </w:pPr>
          </w:p>
          <w:p w:rsidR="00CF2E11" w:rsidRPr="00BE4E66" w:rsidRDefault="00CF2E11" w:rsidP="009658F0">
            <w:pPr>
              <w:widowControl w:val="0"/>
              <w:tabs>
                <w:tab w:val="left" w:pos="-993"/>
                <w:tab w:val="left" w:pos="2590"/>
              </w:tabs>
              <w:suppressAutoHyphens/>
              <w:jc w:val="center"/>
              <w:rPr>
                <w:rFonts w:eastAsia="Calibri"/>
                <w:b/>
                <w:bCs/>
                <w:lang w:val="es-CO"/>
              </w:rPr>
            </w:pPr>
            <w:r w:rsidRPr="00BE4E66">
              <w:rPr>
                <w:rFonts w:eastAsia="Calibri"/>
                <w:b/>
                <w:bCs/>
                <w:lang w:val="es-CO"/>
              </w:rPr>
              <w:t>CARLOS MARIO ISAZA SERRANO</w:t>
            </w:r>
          </w:p>
          <w:p w:rsidR="00CF2E11" w:rsidRPr="00BE4E66" w:rsidRDefault="00CF2E11" w:rsidP="009658F0">
            <w:pPr>
              <w:widowControl w:val="0"/>
              <w:tabs>
                <w:tab w:val="left" w:pos="-993"/>
                <w:tab w:val="left" w:pos="2590"/>
              </w:tabs>
              <w:suppressAutoHyphens/>
              <w:jc w:val="center"/>
              <w:rPr>
                <w:rFonts w:eastAsia="Calibri"/>
                <w:spacing w:val="-2"/>
                <w:lang w:val="es-CO"/>
              </w:rPr>
            </w:pPr>
            <w:r w:rsidRPr="00BE4E66">
              <w:rPr>
                <w:rFonts w:eastAsia="Calibri"/>
                <w:b/>
                <w:spacing w:val="-2"/>
                <w:lang w:val="es-CO"/>
              </w:rPr>
              <w:t>CONJUEZ</w:t>
            </w:r>
          </w:p>
        </w:tc>
        <w:tc>
          <w:tcPr>
            <w:tcW w:w="2740" w:type="pct"/>
          </w:tcPr>
          <w:p w:rsidR="00CF2E11" w:rsidRPr="00BE4E66" w:rsidRDefault="00CF2E11" w:rsidP="009658F0">
            <w:pPr>
              <w:jc w:val="center"/>
              <w:rPr>
                <w:rFonts w:eastAsia="Calibri"/>
                <w:spacing w:val="-2"/>
                <w:lang w:val="es-CO"/>
              </w:rPr>
            </w:pPr>
          </w:p>
          <w:p w:rsidR="00CF2E11" w:rsidRPr="00BE4E66" w:rsidRDefault="00CF2E11" w:rsidP="009658F0">
            <w:pPr>
              <w:widowControl w:val="0"/>
              <w:tabs>
                <w:tab w:val="left" w:pos="-993"/>
                <w:tab w:val="left" w:pos="2590"/>
              </w:tabs>
              <w:suppressAutoHyphens/>
              <w:jc w:val="center"/>
              <w:rPr>
                <w:rFonts w:eastAsia="Calibri"/>
                <w:lang w:val="es-CO"/>
              </w:rPr>
            </w:pPr>
          </w:p>
          <w:p w:rsidR="00CF2E11" w:rsidRDefault="00CF2E11" w:rsidP="009658F0">
            <w:pPr>
              <w:widowControl w:val="0"/>
              <w:tabs>
                <w:tab w:val="left" w:pos="-993"/>
                <w:tab w:val="left" w:pos="2590"/>
              </w:tabs>
              <w:suppressAutoHyphens/>
              <w:jc w:val="center"/>
              <w:rPr>
                <w:rFonts w:eastAsia="Calibri"/>
                <w:lang w:val="es-CO"/>
              </w:rPr>
            </w:pPr>
          </w:p>
          <w:p w:rsidR="00CF2E11" w:rsidRPr="00BE4E66" w:rsidRDefault="00CF2E11" w:rsidP="009658F0">
            <w:pPr>
              <w:widowControl w:val="0"/>
              <w:tabs>
                <w:tab w:val="left" w:pos="-993"/>
                <w:tab w:val="left" w:pos="2590"/>
              </w:tabs>
              <w:suppressAutoHyphens/>
              <w:jc w:val="center"/>
              <w:rPr>
                <w:rFonts w:eastAsia="Calibri"/>
                <w:lang w:val="es-CO"/>
              </w:rPr>
            </w:pPr>
          </w:p>
          <w:p w:rsidR="00CF2E11" w:rsidRPr="00BE4E66" w:rsidRDefault="00CF2E11" w:rsidP="009658F0">
            <w:pPr>
              <w:widowControl w:val="0"/>
              <w:tabs>
                <w:tab w:val="left" w:pos="-993"/>
                <w:tab w:val="left" w:pos="2590"/>
              </w:tabs>
              <w:suppressAutoHyphens/>
              <w:jc w:val="center"/>
              <w:rPr>
                <w:rFonts w:eastAsia="Calibri"/>
                <w:lang w:val="es-CO"/>
              </w:rPr>
            </w:pPr>
          </w:p>
          <w:p w:rsidR="00CF2E11" w:rsidRPr="00BE4E66" w:rsidRDefault="00CF2E11" w:rsidP="009658F0">
            <w:pPr>
              <w:widowControl w:val="0"/>
              <w:tabs>
                <w:tab w:val="left" w:pos="-993"/>
                <w:tab w:val="left" w:pos="2590"/>
              </w:tabs>
              <w:suppressAutoHyphens/>
              <w:jc w:val="center"/>
              <w:rPr>
                <w:rFonts w:eastAsia="Calibri"/>
                <w:lang w:val="es-CO"/>
              </w:rPr>
            </w:pPr>
          </w:p>
          <w:p w:rsidR="00CF2E11" w:rsidRPr="00BE4E66" w:rsidRDefault="00CF2E11" w:rsidP="009658F0">
            <w:pPr>
              <w:widowControl w:val="0"/>
              <w:tabs>
                <w:tab w:val="left" w:pos="-993"/>
                <w:tab w:val="left" w:pos="2590"/>
              </w:tabs>
              <w:suppressAutoHyphens/>
              <w:ind w:left="53"/>
              <w:jc w:val="center"/>
              <w:rPr>
                <w:rFonts w:eastAsia="Calibri"/>
                <w:color w:val="000000"/>
                <w:lang w:val="es-CO"/>
              </w:rPr>
            </w:pPr>
            <w:r w:rsidRPr="00BE4E66">
              <w:rPr>
                <w:rFonts w:eastAsia="Calibri"/>
                <w:b/>
                <w:bCs/>
                <w:lang w:val="es-CO"/>
              </w:rPr>
              <w:t>HUGO  QUINTERO BERNATE</w:t>
            </w:r>
          </w:p>
          <w:p w:rsidR="00CF2E11" w:rsidRPr="00BE4E66" w:rsidRDefault="00CF2E11" w:rsidP="009658F0">
            <w:pPr>
              <w:widowControl w:val="0"/>
              <w:tabs>
                <w:tab w:val="left" w:pos="-993"/>
                <w:tab w:val="left" w:pos="0"/>
              </w:tabs>
              <w:suppressAutoHyphens/>
              <w:ind w:left="53"/>
              <w:jc w:val="center"/>
              <w:rPr>
                <w:rFonts w:eastAsia="Calibri"/>
                <w:spacing w:val="-2"/>
                <w:lang w:val="es-CO"/>
              </w:rPr>
            </w:pPr>
            <w:r w:rsidRPr="00BE4E66">
              <w:rPr>
                <w:rFonts w:eastAsia="Calibri"/>
                <w:b/>
                <w:spacing w:val="-2"/>
                <w:lang w:val="es-CO"/>
              </w:rPr>
              <w:t>CONJUEZ</w:t>
            </w:r>
          </w:p>
        </w:tc>
      </w:tr>
      <w:tr w:rsidR="00CF2E11" w:rsidRPr="00051BA5" w:rsidTr="009658F0">
        <w:trPr>
          <w:trHeight w:val="3494"/>
        </w:trPr>
        <w:tc>
          <w:tcPr>
            <w:tcW w:w="5000" w:type="pct"/>
            <w:gridSpan w:val="2"/>
          </w:tcPr>
          <w:p w:rsidR="00CF2E11" w:rsidRPr="00BE4E66" w:rsidRDefault="00CF2E11" w:rsidP="009658F0">
            <w:pPr>
              <w:widowControl w:val="0"/>
              <w:tabs>
                <w:tab w:val="left" w:pos="-993"/>
                <w:tab w:val="left" w:pos="2590"/>
              </w:tabs>
              <w:suppressAutoHyphens/>
              <w:rPr>
                <w:rFonts w:eastAsia="Calibri"/>
                <w:b/>
                <w:lang w:val="es-CO"/>
              </w:rPr>
            </w:pPr>
            <w:r>
              <w:rPr>
                <w:rFonts w:eastAsia="Calibri"/>
                <w:b/>
                <w:spacing w:val="-2"/>
                <w:lang w:val="es-CO"/>
              </w:rPr>
              <w:t xml:space="preserve">            </w:t>
            </w:r>
          </w:p>
          <w:p w:rsidR="00CF2E11" w:rsidRDefault="00CF2E11" w:rsidP="009658F0">
            <w:pPr>
              <w:widowControl w:val="0"/>
              <w:tabs>
                <w:tab w:val="left" w:pos="-993"/>
                <w:tab w:val="left" w:pos="2590"/>
              </w:tabs>
              <w:suppressAutoHyphens/>
              <w:jc w:val="center"/>
              <w:rPr>
                <w:rFonts w:eastAsia="Calibri"/>
                <w:b/>
                <w:lang w:val="es-CO"/>
              </w:rPr>
            </w:pPr>
          </w:p>
          <w:p w:rsidR="00CF2E11" w:rsidRDefault="00CF2E11" w:rsidP="009658F0">
            <w:pPr>
              <w:widowControl w:val="0"/>
              <w:tabs>
                <w:tab w:val="left" w:pos="-993"/>
                <w:tab w:val="left" w:pos="2590"/>
              </w:tabs>
              <w:suppressAutoHyphens/>
              <w:jc w:val="center"/>
              <w:rPr>
                <w:rFonts w:eastAsia="Calibri"/>
                <w:b/>
                <w:lang w:val="es-CO"/>
              </w:rPr>
            </w:pPr>
          </w:p>
          <w:p w:rsidR="00CF2E11" w:rsidRPr="00BE4E66" w:rsidRDefault="00CF2E11" w:rsidP="009658F0">
            <w:pPr>
              <w:widowControl w:val="0"/>
              <w:tabs>
                <w:tab w:val="left" w:pos="-993"/>
                <w:tab w:val="left" w:pos="2590"/>
              </w:tabs>
              <w:suppressAutoHyphens/>
              <w:jc w:val="center"/>
              <w:rPr>
                <w:rFonts w:eastAsia="Calibri"/>
                <w:b/>
                <w:lang w:val="es-CO"/>
              </w:rPr>
            </w:pPr>
          </w:p>
          <w:p w:rsidR="00CF2E11" w:rsidRPr="00BE4E66" w:rsidRDefault="00CF2E11" w:rsidP="009658F0">
            <w:pPr>
              <w:widowControl w:val="0"/>
              <w:tabs>
                <w:tab w:val="left" w:pos="-993"/>
                <w:tab w:val="left" w:pos="2590"/>
              </w:tabs>
              <w:suppressAutoHyphens/>
              <w:jc w:val="center"/>
              <w:rPr>
                <w:rFonts w:eastAsia="Calibri"/>
                <w:b/>
                <w:lang w:val="es-CO"/>
              </w:rPr>
            </w:pPr>
          </w:p>
          <w:p w:rsidR="00CF2E11" w:rsidRPr="00BE4E66" w:rsidRDefault="00CF2E11" w:rsidP="009658F0">
            <w:pPr>
              <w:widowControl w:val="0"/>
              <w:tabs>
                <w:tab w:val="left" w:pos="-993"/>
                <w:tab w:val="left" w:pos="2590"/>
              </w:tabs>
              <w:suppressAutoHyphens/>
              <w:jc w:val="center"/>
              <w:rPr>
                <w:rFonts w:eastAsia="Calibri"/>
                <w:b/>
                <w:lang w:val="es-CO"/>
              </w:rPr>
            </w:pPr>
            <w:r w:rsidRPr="00BE4E66">
              <w:rPr>
                <w:rFonts w:eastAsia="Calibri"/>
                <w:b/>
                <w:lang w:val="es-CO"/>
              </w:rPr>
              <w:t>MANUEL ALBERTO RESTREPO MEDINA</w:t>
            </w:r>
          </w:p>
          <w:p w:rsidR="00CF2E11" w:rsidRPr="00BE4E66" w:rsidRDefault="00CF2E11" w:rsidP="009658F0">
            <w:pPr>
              <w:widowControl w:val="0"/>
              <w:tabs>
                <w:tab w:val="left" w:pos="-993"/>
                <w:tab w:val="left" w:pos="2590"/>
              </w:tabs>
              <w:suppressAutoHyphens/>
              <w:jc w:val="center"/>
              <w:rPr>
                <w:rFonts w:eastAsia="Calibri"/>
                <w:b/>
                <w:lang w:val="es-CO"/>
              </w:rPr>
            </w:pPr>
            <w:r w:rsidRPr="00BE4E66">
              <w:rPr>
                <w:rFonts w:eastAsia="Calibri"/>
                <w:b/>
                <w:lang w:val="es-CO"/>
              </w:rPr>
              <w:t>CONJUEZ</w:t>
            </w:r>
          </w:p>
          <w:p w:rsidR="00CF2E11" w:rsidRPr="00BE4E66" w:rsidRDefault="00CF2E11" w:rsidP="009658F0">
            <w:pPr>
              <w:widowControl w:val="0"/>
              <w:tabs>
                <w:tab w:val="left" w:pos="-993"/>
                <w:tab w:val="left" w:pos="2590"/>
              </w:tabs>
              <w:suppressAutoHyphens/>
              <w:jc w:val="center"/>
              <w:rPr>
                <w:rFonts w:eastAsia="Calibri"/>
                <w:b/>
                <w:lang w:val="es-CO"/>
              </w:rPr>
            </w:pPr>
          </w:p>
          <w:p w:rsidR="00CF2E11" w:rsidRPr="00BE4E66" w:rsidRDefault="00CF2E11" w:rsidP="009658F0">
            <w:pPr>
              <w:widowControl w:val="0"/>
              <w:tabs>
                <w:tab w:val="left" w:pos="-993"/>
                <w:tab w:val="left" w:pos="2590"/>
              </w:tabs>
              <w:suppressAutoHyphens/>
              <w:jc w:val="center"/>
              <w:rPr>
                <w:rFonts w:eastAsia="Calibri"/>
                <w:b/>
                <w:lang w:val="es-CO"/>
              </w:rPr>
            </w:pPr>
          </w:p>
          <w:p w:rsidR="00CF2E11" w:rsidRDefault="00CF2E11" w:rsidP="009658F0">
            <w:pPr>
              <w:widowControl w:val="0"/>
              <w:tabs>
                <w:tab w:val="left" w:pos="-993"/>
                <w:tab w:val="left" w:pos="2590"/>
              </w:tabs>
              <w:suppressAutoHyphens/>
              <w:jc w:val="center"/>
              <w:rPr>
                <w:rFonts w:eastAsia="Calibri"/>
                <w:b/>
                <w:lang w:val="es-CO"/>
              </w:rPr>
            </w:pPr>
          </w:p>
          <w:p w:rsidR="00CF2E11" w:rsidRPr="00BE4E66" w:rsidRDefault="00CF2E11" w:rsidP="009658F0">
            <w:pPr>
              <w:widowControl w:val="0"/>
              <w:tabs>
                <w:tab w:val="left" w:pos="-993"/>
                <w:tab w:val="left" w:pos="2590"/>
              </w:tabs>
              <w:suppressAutoHyphens/>
              <w:jc w:val="center"/>
              <w:rPr>
                <w:rFonts w:eastAsia="Calibri"/>
                <w:b/>
                <w:lang w:val="es-CO"/>
              </w:rPr>
            </w:pPr>
          </w:p>
          <w:p w:rsidR="00CF2E11" w:rsidRPr="00BE4E66" w:rsidRDefault="00CF2E11" w:rsidP="009658F0">
            <w:pPr>
              <w:widowControl w:val="0"/>
              <w:tabs>
                <w:tab w:val="left" w:pos="-993"/>
                <w:tab w:val="left" w:pos="2590"/>
              </w:tabs>
              <w:suppressAutoHyphens/>
              <w:jc w:val="center"/>
              <w:rPr>
                <w:rFonts w:eastAsia="Calibri"/>
                <w:b/>
                <w:lang w:val="es-CO"/>
              </w:rPr>
            </w:pPr>
          </w:p>
          <w:p w:rsidR="00CF2E11" w:rsidRPr="00BE4E66" w:rsidRDefault="00CF2E11" w:rsidP="009658F0">
            <w:pPr>
              <w:widowControl w:val="0"/>
              <w:tabs>
                <w:tab w:val="left" w:pos="-993"/>
                <w:tab w:val="left" w:pos="2590"/>
              </w:tabs>
              <w:suppressAutoHyphens/>
              <w:jc w:val="center"/>
              <w:rPr>
                <w:rFonts w:eastAsia="Calibri"/>
                <w:b/>
                <w:lang w:val="es-CO"/>
              </w:rPr>
            </w:pPr>
          </w:p>
          <w:p w:rsidR="00CF2E11" w:rsidRPr="00BE4E66" w:rsidRDefault="00CF2E11" w:rsidP="009658F0">
            <w:pPr>
              <w:widowControl w:val="0"/>
              <w:tabs>
                <w:tab w:val="left" w:pos="-993"/>
                <w:tab w:val="left" w:pos="2590"/>
              </w:tabs>
              <w:suppressAutoHyphens/>
              <w:jc w:val="center"/>
              <w:rPr>
                <w:rFonts w:eastAsia="Calibri"/>
                <w:b/>
                <w:lang w:val="es-CO"/>
              </w:rPr>
            </w:pPr>
            <w:r w:rsidRPr="00BE4E66">
              <w:rPr>
                <w:rFonts w:eastAsia="Calibri"/>
                <w:b/>
                <w:lang w:val="es-CO"/>
              </w:rPr>
              <w:t xml:space="preserve">YIRA LUCÍA OLARTE ÁVILA </w:t>
            </w:r>
          </w:p>
          <w:p w:rsidR="00CF2E11" w:rsidRPr="00051BA5" w:rsidRDefault="00CF2E11" w:rsidP="009658F0">
            <w:pPr>
              <w:widowControl w:val="0"/>
              <w:tabs>
                <w:tab w:val="left" w:pos="-993"/>
                <w:tab w:val="left" w:pos="2590"/>
              </w:tabs>
              <w:suppressAutoHyphens/>
              <w:jc w:val="center"/>
              <w:rPr>
                <w:rFonts w:eastAsia="Calibri"/>
                <w:b/>
                <w:lang w:val="es-CO"/>
              </w:rPr>
            </w:pPr>
            <w:r w:rsidRPr="00BE4E66">
              <w:rPr>
                <w:rFonts w:eastAsia="Calibri"/>
                <w:b/>
                <w:lang w:val="es-CO"/>
              </w:rPr>
              <w:t>SECRETARIA JUDICIAL</w:t>
            </w:r>
          </w:p>
        </w:tc>
      </w:tr>
    </w:tbl>
    <w:p w:rsidR="00CF2E11" w:rsidRPr="00051BA5" w:rsidRDefault="00CF2E11" w:rsidP="00CF2E11"/>
    <w:p w:rsidR="00CF2E11" w:rsidRDefault="00CF2E11" w:rsidP="00CF2E11"/>
    <w:p w:rsidR="00831791" w:rsidRDefault="00831791" w:rsidP="00831791"/>
    <w:p w:rsidR="00213F1E" w:rsidRDefault="00213F1E"/>
    <w:sectPr w:rsidR="00213F1E" w:rsidSect="00CF2E11">
      <w:headerReference w:type="default" r:id="rId8"/>
      <w:footerReference w:type="default" r:id="rId9"/>
      <w:pgSz w:w="12242" w:h="18722" w:code="119"/>
      <w:pgMar w:top="2268" w:right="1701" w:bottom="1701" w:left="1701"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2E11" w:rsidRDefault="00CF2E11" w:rsidP="00CF2E11">
      <w:r>
        <w:separator/>
      </w:r>
    </w:p>
  </w:endnote>
  <w:endnote w:type="continuationSeparator" w:id="0">
    <w:p w:rsidR="00CF2E11" w:rsidRDefault="00CF2E11" w:rsidP="00CF2E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ヒラギノ角ゴ Pro W3">
    <w:altName w:val="Arial Unicode MS"/>
    <w:charset w:val="80"/>
    <w:family w:val="auto"/>
    <w:pitch w:val="variable"/>
    <w:sig w:usb0="01000000" w:usb1="00000000" w:usb2="07040001"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06448922"/>
      <w:docPartObj>
        <w:docPartGallery w:val="Page Numbers (Bottom of Page)"/>
        <w:docPartUnique/>
      </w:docPartObj>
    </w:sdtPr>
    <w:sdtEndPr/>
    <w:sdtContent>
      <w:p w:rsidR="00CF2E11" w:rsidRDefault="00CF2E11" w:rsidP="00CF2E11">
        <w:pPr>
          <w:pStyle w:val="Piedepgina"/>
          <w:tabs>
            <w:tab w:val="left" w:pos="2478"/>
            <w:tab w:val="right" w:pos="8273"/>
          </w:tabs>
          <w:jc w:val="left"/>
        </w:pPr>
        <w:r>
          <w:tab/>
        </w:r>
        <w:r>
          <w:tab/>
        </w:r>
        <w:r>
          <w:tab/>
        </w:r>
        <w:r>
          <w:fldChar w:fldCharType="begin"/>
        </w:r>
        <w:r>
          <w:instrText>PAGE   \* MERGEFORMAT</w:instrText>
        </w:r>
        <w:r>
          <w:fldChar w:fldCharType="separate"/>
        </w:r>
        <w:r w:rsidR="008E3B5D">
          <w:rPr>
            <w:noProof/>
          </w:rPr>
          <w:t>2</w:t>
        </w:r>
        <w:r>
          <w:fldChar w:fldCharType="end"/>
        </w:r>
      </w:p>
    </w:sdtContent>
  </w:sdt>
  <w:p w:rsidR="00CF2E11" w:rsidRDefault="00CF2E1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2E11" w:rsidRDefault="00CF2E11" w:rsidP="00CF2E11">
      <w:r>
        <w:separator/>
      </w:r>
    </w:p>
  </w:footnote>
  <w:footnote w:type="continuationSeparator" w:id="0">
    <w:p w:rsidR="00CF2E11" w:rsidRDefault="00CF2E11" w:rsidP="00CF2E11">
      <w:r>
        <w:continuationSeparator/>
      </w:r>
    </w:p>
  </w:footnote>
  <w:footnote w:id="1">
    <w:p w:rsidR="00CF2E11" w:rsidRPr="004B335B" w:rsidRDefault="00CF2E11" w:rsidP="00CF2E11">
      <w:pPr>
        <w:pStyle w:val="Textonotapie"/>
        <w:rPr>
          <w:sz w:val="18"/>
          <w:szCs w:val="18"/>
          <w:lang w:val="es-CO"/>
        </w:rPr>
      </w:pPr>
      <w:r w:rsidRPr="004B335B">
        <w:rPr>
          <w:rStyle w:val="Refdenotaalpie"/>
          <w:sz w:val="18"/>
          <w:szCs w:val="18"/>
        </w:rPr>
        <w:footnoteRef/>
      </w:r>
      <w:r w:rsidRPr="004B335B">
        <w:rPr>
          <w:sz w:val="18"/>
          <w:szCs w:val="18"/>
        </w:rPr>
        <w:t xml:space="preserve"> </w:t>
      </w:r>
      <w:r w:rsidRPr="004B335B">
        <w:rPr>
          <w:sz w:val="18"/>
          <w:szCs w:val="18"/>
          <w:lang w:val="es-CO"/>
        </w:rPr>
        <w:t xml:space="preserve">Magistrada Ponente: Luz Helena Cristancho Acosta. </w:t>
      </w:r>
    </w:p>
  </w:footnote>
  <w:footnote w:id="2">
    <w:p w:rsidR="00CF2E11" w:rsidRPr="004B335B" w:rsidRDefault="00CF2E11" w:rsidP="00CF2E11">
      <w:pPr>
        <w:pStyle w:val="Textonotapie"/>
        <w:rPr>
          <w:sz w:val="18"/>
          <w:szCs w:val="18"/>
          <w:lang w:val="es-CO"/>
        </w:rPr>
      </w:pPr>
      <w:r w:rsidRPr="004B335B">
        <w:rPr>
          <w:rStyle w:val="Refdenotaalpie"/>
          <w:sz w:val="18"/>
          <w:szCs w:val="18"/>
        </w:rPr>
        <w:footnoteRef/>
      </w:r>
      <w:r w:rsidRPr="004B335B">
        <w:rPr>
          <w:sz w:val="18"/>
          <w:szCs w:val="18"/>
        </w:rPr>
        <w:t xml:space="preserve"> </w:t>
      </w:r>
      <w:r w:rsidRPr="004B335B">
        <w:rPr>
          <w:sz w:val="18"/>
          <w:szCs w:val="18"/>
          <w:lang w:val="es-CO"/>
        </w:rPr>
        <w:t>Folios 137 y 138 cuaderno original (C.O.)</w:t>
      </w:r>
    </w:p>
  </w:footnote>
  <w:footnote w:id="3">
    <w:p w:rsidR="00CF2E11" w:rsidRPr="004B335B" w:rsidRDefault="00CF2E11" w:rsidP="00CF2E11">
      <w:pPr>
        <w:pStyle w:val="Textonotapie"/>
        <w:rPr>
          <w:sz w:val="18"/>
          <w:szCs w:val="18"/>
          <w:lang w:val="es-CO"/>
        </w:rPr>
      </w:pPr>
      <w:r w:rsidRPr="004B335B">
        <w:rPr>
          <w:rStyle w:val="Refdenotaalpie"/>
          <w:sz w:val="18"/>
          <w:szCs w:val="18"/>
        </w:rPr>
        <w:footnoteRef/>
      </w:r>
      <w:r w:rsidRPr="004B335B">
        <w:rPr>
          <w:sz w:val="18"/>
          <w:szCs w:val="18"/>
        </w:rPr>
        <w:t xml:space="preserve"> </w:t>
      </w:r>
      <w:r w:rsidRPr="004B335B">
        <w:rPr>
          <w:sz w:val="18"/>
          <w:szCs w:val="18"/>
          <w:lang w:val="es-CO"/>
        </w:rPr>
        <w:t>Folios 196 al 217 C.O.</w:t>
      </w:r>
    </w:p>
  </w:footnote>
  <w:footnote w:id="4">
    <w:p w:rsidR="00CF2E11" w:rsidRPr="004B335B" w:rsidRDefault="00CF2E11" w:rsidP="00CF2E11">
      <w:pPr>
        <w:pStyle w:val="Textonotapie"/>
        <w:rPr>
          <w:sz w:val="18"/>
          <w:szCs w:val="18"/>
        </w:rPr>
      </w:pPr>
      <w:r w:rsidRPr="004B335B">
        <w:rPr>
          <w:rStyle w:val="Refdenotaalpie"/>
          <w:sz w:val="18"/>
          <w:szCs w:val="18"/>
        </w:rPr>
        <w:footnoteRef/>
      </w:r>
      <w:r w:rsidRPr="004B335B">
        <w:rPr>
          <w:sz w:val="18"/>
          <w:szCs w:val="18"/>
        </w:rPr>
        <w:t xml:space="preserve"> Corte Constitucional, sentencia C-543 de 1992.</w:t>
      </w:r>
    </w:p>
  </w:footnote>
  <w:footnote w:id="5">
    <w:p w:rsidR="00CF2E11" w:rsidRPr="004B335B" w:rsidRDefault="00CF2E11" w:rsidP="00CF2E11">
      <w:pPr>
        <w:pStyle w:val="Textonotapie"/>
        <w:rPr>
          <w:sz w:val="18"/>
          <w:szCs w:val="18"/>
        </w:rPr>
      </w:pPr>
      <w:r w:rsidRPr="004B335B">
        <w:rPr>
          <w:rStyle w:val="Refdenotaalpie"/>
          <w:sz w:val="18"/>
          <w:szCs w:val="18"/>
        </w:rPr>
        <w:footnoteRef/>
      </w:r>
      <w:r w:rsidRPr="004B335B">
        <w:rPr>
          <w:sz w:val="18"/>
          <w:szCs w:val="18"/>
        </w:rPr>
        <w:t xml:space="preserve"> Ídem.</w:t>
      </w:r>
    </w:p>
  </w:footnote>
  <w:footnote w:id="6">
    <w:p w:rsidR="00CF2E11" w:rsidRPr="004B335B" w:rsidRDefault="00CF2E11" w:rsidP="00CF2E11">
      <w:pPr>
        <w:pStyle w:val="Textonotapie"/>
        <w:rPr>
          <w:sz w:val="18"/>
          <w:szCs w:val="18"/>
        </w:rPr>
      </w:pPr>
      <w:r w:rsidRPr="004B335B">
        <w:rPr>
          <w:rStyle w:val="Refdenotaalpie"/>
          <w:sz w:val="18"/>
          <w:szCs w:val="18"/>
        </w:rPr>
        <w:footnoteRef/>
      </w:r>
      <w:r w:rsidRPr="004B335B">
        <w:rPr>
          <w:sz w:val="18"/>
          <w:szCs w:val="18"/>
        </w:rPr>
        <w:t xml:space="preserve"> </w:t>
      </w:r>
      <w:r w:rsidRPr="004B335B">
        <w:rPr>
          <w:sz w:val="18"/>
          <w:szCs w:val="18"/>
          <w:lang w:val="es-MX"/>
        </w:rPr>
        <w:t>Corte Constitucional, sentencia T-440 de 2013.</w:t>
      </w:r>
    </w:p>
  </w:footnote>
  <w:footnote w:id="7">
    <w:p w:rsidR="00CF2E11" w:rsidRPr="004B335B" w:rsidRDefault="00CF2E11" w:rsidP="00CF2E11">
      <w:pPr>
        <w:pStyle w:val="Textonotapie"/>
        <w:rPr>
          <w:sz w:val="18"/>
          <w:szCs w:val="18"/>
        </w:rPr>
      </w:pPr>
      <w:r w:rsidRPr="004B335B">
        <w:rPr>
          <w:rStyle w:val="Refdenotaalpie"/>
          <w:sz w:val="18"/>
          <w:szCs w:val="18"/>
        </w:rPr>
        <w:footnoteRef/>
      </w:r>
      <w:r w:rsidRPr="004B335B">
        <w:rPr>
          <w:sz w:val="18"/>
          <w:szCs w:val="18"/>
        </w:rPr>
        <w:t xml:space="preserve"> Corte Constitucional, sentencia </w:t>
      </w:r>
      <w:r w:rsidRPr="004B335B">
        <w:rPr>
          <w:bCs/>
          <w:sz w:val="18"/>
          <w:szCs w:val="18"/>
        </w:rPr>
        <w:t>C-980 de 2010.</w:t>
      </w:r>
    </w:p>
  </w:footnote>
  <w:footnote w:id="8">
    <w:p w:rsidR="00CF2E11" w:rsidRPr="004B335B" w:rsidRDefault="00CF2E11" w:rsidP="00CF2E11">
      <w:pPr>
        <w:pStyle w:val="Textonotapie"/>
        <w:rPr>
          <w:sz w:val="18"/>
          <w:szCs w:val="18"/>
        </w:rPr>
      </w:pPr>
      <w:r w:rsidRPr="004B335B">
        <w:rPr>
          <w:rStyle w:val="Refdenotaalpie"/>
          <w:sz w:val="18"/>
          <w:szCs w:val="18"/>
        </w:rPr>
        <w:footnoteRef/>
      </w:r>
      <w:r w:rsidRPr="004B335B">
        <w:rPr>
          <w:sz w:val="18"/>
          <w:szCs w:val="18"/>
        </w:rPr>
        <w:t xml:space="preserve"> Corte Constitucional, sentencias C-590 de 2005 y T-118A de 2013, entre muchas otras.</w:t>
      </w:r>
    </w:p>
  </w:footnote>
  <w:footnote w:id="9">
    <w:p w:rsidR="00CF2E11" w:rsidRPr="004B335B" w:rsidRDefault="00CF2E11" w:rsidP="00CF2E11">
      <w:pPr>
        <w:pStyle w:val="Textonotapie"/>
        <w:rPr>
          <w:sz w:val="18"/>
          <w:szCs w:val="18"/>
        </w:rPr>
      </w:pPr>
      <w:r w:rsidRPr="004B335B">
        <w:rPr>
          <w:rStyle w:val="Refdenotaalpie"/>
          <w:sz w:val="18"/>
          <w:szCs w:val="18"/>
        </w:rPr>
        <w:footnoteRef/>
      </w:r>
      <w:r w:rsidRPr="004B335B">
        <w:rPr>
          <w:sz w:val="18"/>
          <w:szCs w:val="18"/>
        </w:rPr>
        <w:t xml:space="preserve"> Cuando existe una carencia absoluta de competencia por parte del funcionario judicial que profiere la sentencia. </w:t>
      </w:r>
    </w:p>
  </w:footnote>
  <w:footnote w:id="10">
    <w:p w:rsidR="00CF2E11" w:rsidRPr="004B335B" w:rsidRDefault="00CF2E11" w:rsidP="00CF2E11">
      <w:pPr>
        <w:pStyle w:val="Textonotapie"/>
        <w:rPr>
          <w:sz w:val="18"/>
          <w:szCs w:val="18"/>
        </w:rPr>
      </w:pPr>
      <w:r w:rsidRPr="004B335B">
        <w:rPr>
          <w:rStyle w:val="Refdenotaalpie"/>
          <w:sz w:val="18"/>
          <w:szCs w:val="18"/>
        </w:rPr>
        <w:footnoteRef/>
      </w:r>
      <w:r w:rsidRPr="004B335B">
        <w:rPr>
          <w:sz w:val="18"/>
          <w:szCs w:val="18"/>
        </w:rPr>
        <w:t xml:space="preserve"> Cuando la decisión judicial se fundamenta en normas inexistentes o inconstitucionales o, en fallos que presentan una evidente y grosera contradicción entre los fundamentos y la decisión. Sentencia C- 590 de 2005. </w:t>
      </w:r>
    </w:p>
  </w:footnote>
  <w:footnote w:id="11">
    <w:p w:rsidR="00CF2E11" w:rsidRPr="004B335B" w:rsidRDefault="00CF2E11" w:rsidP="00CF2E11">
      <w:pPr>
        <w:pStyle w:val="Textonotapie"/>
        <w:rPr>
          <w:sz w:val="18"/>
          <w:szCs w:val="18"/>
        </w:rPr>
      </w:pPr>
      <w:r w:rsidRPr="004B335B">
        <w:rPr>
          <w:rStyle w:val="Refdenotaalpie"/>
          <w:sz w:val="18"/>
          <w:szCs w:val="18"/>
        </w:rPr>
        <w:footnoteRef/>
      </w:r>
      <w:r w:rsidRPr="004B335B">
        <w:rPr>
          <w:sz w:val="18"/>
          <w:szCs w:val="18"/>
        </w:rPr>
        <w:t xml:space="preserve"> Surge cuando el funcionario judicial se aparta por completo del procedimiento legalmente establecido para el caso concreto. Al respecto ver sentencias SU- 159 de 2002, T-996 de 2003 y T-196 de 2006, T-508 de 2011.</w:t>
      </w:r>
    </w:p>
  </w:footnote>
  <w:footnote w:id="12">
    <w:p w:rsidR="00CF2E11" w:rsidRPr="004B335B" w:rsidRDefault="00CF2E11" w:rsidP="00CF2E11">
      <w:pPr>
        <w:pStyle w:val="Textonotapie"/>
        <w:rPr>
          <w:sz w:val="18"/>
          <w:szCs w:val="18"/>
        </w:rPr>
      </w:pPr>
      <w:r w:rsidRPr="004B335B">
        <w:rPr>
          <w:rStyle w:val="Refdenotaalpie"/>
          <w:sz w:val="18"/>
          <w:szCs w:val="18"/>
        </w:rPr>
        <w:footnoteRef/>
      </w:r>
      <w:r w:rsidRPr="004B335B">
        <w:rPr>
          <w:sz w:val="18"/>
          <w:szCs w:val="18"/>
        </w:rPr>
        <w:t xml:space="preserve"> Hace referencia a la producción, validez o apreciación de los elementos probatorios. En razón de la independencia judicial, el campo de intervención del juez de tutela por defecto fáctico es bastante restringido. </w:t>
      </w:r>
    </w:p>
  </w:footnote>
  <w:footnote w:id="13">
    <w:p w:rsidR="00CF2E11" w:rsidRPr="004B335B" w:rsidRDefault="00CF2E11" w:rsidP="00CF2E11">
      <w:pPr>
        <w:pStyle w:val="Textonotapie"/>
        <w:rPr>
          <w:sz w:val="18"/>
          <w:szCs w:val="18"/>
        </w:rPr>
      </w:pPr>
      <w:r w:rsidRPr="004B335B">
        <w:rPr>
          <w:rStyle w:val="Refdenotaalpie"/>
          <w:sz w:val="18"/>
          <w:szCs w:val="18"/>
        </w:rPr>
        <w:footnoteRef/>
      </w:r>
      <w:r w:rsidRPr="004B335B">
        <w:rPr>
          <w:sz w:val="18"/>
          <w:szCs w:val="18"/>
        </w:rPr>
        <w:t xml:space="preserve"> Hace referencia al evento en el cual, a pesar de una actuación razonable del juez, se produce una decisión violatoria de derechos fundamentales, bien sea porque el funcionario es víctima de engaño, por fallas estructurales de la administración de justicia, por ausencia de colaboración entre las ramas del poder público. Ver sentencias SU-214 de 2001, T-1180 de 2001, y SU-846 de 2000. </w:t>
      </w:r>
    </w:p>
  </w:footnote>
  <w:footnote w:id="14">
    <w:p w:rsidR="00CF2E11" w:rsidRPr="004B335B" w:rsidRDefault="00CF2E11" w:rsidP="00CF2E11">
      <w:pPr>
        <w:pStyle w:val="Textonotapie"/>
        <w:rPr>
          <w:sz w:val="18"/>
          <w:szCs w:val="18"/>
        </w:rPr>
      </w:pPr>
      <w:r w:rsidRPr="004B335B">
        <w:rPr>
          <w:rStyle w:val="Refdenotaalpie"/>
          <w:sz w:val="18"/>
          <w:szCs w:val="18"/>
        </w:rPr>
        <w:footnoteRef/>
      </w:r>
      <w:r w:rsidRPr="004B335B">
        <w:rPr>
          <w:sz w:val="18"/>
          <w:szCs w:val="18"/>
        </w:rPr>
        <w:t xml:space="preserve"> Es deber de los funcionarios públicos, en razón de la necesidad de legitimidad de las decisiones adoptadas en un ordenamiento democrático, la motivación amplia y suficiente de las decisiones, en aras de garantizar el derecho de defensa y contradicción de los ciudadanos frente a dichas disposiciones. Ver sentencia T-114 de 2002. </w:t>
      </w:r>
    </w:p>
  </w:footnote>
  <w:footnote w:id="15">
    <w:p w:rsidR="00CF2E11" w:rsidRPr="004B335B" w:rsidRDefault="00CF2E11" w:rsidP="00CF2E11">
      <w:pPr>
        <w:pStyle w:val="Textonotapie"/>
        <w:rPr>
          <w:sz w:val="18"/>
          <w:szCs w:val="18"/>
        </w:rPr>
      </w:pPr>
      <w:r w:rsidRPr="004B335B">
        <w:rPr>
          <w:rStyle w:val="Refdenotaalpie"/>
          <w:sz w:val="18"/>
          <w:szCs w:val="18"/>
        </w:rPr>
        <w:footnoteRef/>
      </w:r>
      <w:r w:rsidRPr="004B335B">
        <w:rPr>
          <w:sz w:val="18"/>
          <w:szCs w:val="18"/>
        </w:rPr>
        <w:t xml:space="preserve"> Se presenta cuando habiendo la Corte Constitucional establecido el alcance de un derecho fundamental, el juez ordinario aplica una ley limitando su alcance. Ver sentencias SU-640/98 y SU-168/99. </w:t>
      </w:r>
    </w:p>
  </w:footnote>
  <w:footnote w:id="16">
    <w:p w:rsidR="00CF2E11" w:rsidRPr="004B335B" w:rsidRDefault="00CF2E11" w:rsidP="00CF2E11">
      <w:pPr>
        <w:pStyle w:val="Textonotapie"/>
        <w:rPr>
          <w:sz w:val="18"/>
          <w:szCs w:val="18"/>
        </w:rPr>
      </w:pPr>
      <w:r w:rsidRPr="004B335B">
        <w:rPr>
          <w:rStyle w:val="Refdenotaalpie"/>
          <w:sz w:val="18"/>
          <w:szCs w:val="18"/>
        </w:rPr>
        <w:footnoteRef/>
      </w:r>
      <w:r w:rsidRPr="004B335B">
        <w:rPr>
          <w:sz w:val="18"/>
          <w:szCs w:val="18"/>
        </w:rPr>
        <w:t xml:space="preserve"> Cuando el juez da un alcance a una disposición normativa abiertamente contrario a la Constitución. Ver sentencias SU-1184/01, T-1625/00, y T1031/01, o cuando no se aplica la excepción de inconstitucionalidad a pesar de ser evidente y haber sido solicitada por alguna de las partes en el proceso. Ver sentencia T- 701/04.</w:t>
      </w:r>
    </w:p>
  </w:footnote>
  <w:footnote w:id="17">
    <w:p w:rsidR="00CF2E11" w:rsidRPr="004B335B" w:rsidRDefault="00CF2E11" w:rsidP="00CF2E11">
      <w:pPr>
        <w:pStyle w:val="Textonotapie"/>
        <w:rPr>
          <w:sz w:val="18"/>
          <w:szCs w:val="18"/>
        </w:rPr>
      </w:pPr>
      <w:r w:rsidRPr="004B335B">
        <w:rPr>
          <w:rStyle w:val="Refdenotaalpie"/>
          <w:sz w:val="18"/>
          <w:szCs w:val="18"/>
        </w:rPr>
        <w:footnoteRef/>
      </w:r>
      <w:r w:rsidRPr="004B335B">
        <w:rPr>
          <w:sz w:val="18"/>
          <w:szCs w:val="18"/>
        </w:rPr>
        <w:t xml:space="preserve"> Ídem.</w:t>
      </w:r>
    </w:p>
  </w:footnote>
  <w:footnote w:id="18">
    <w:p w:rsidR="00CF2E11" w:rsidRPr="004B335B" w:rsidRDefault="00CF2E11" w:rsidP="00CF2E11">
      <w:pPr>
        <w:pStyle w:val="Textonotapie"/>
        <w:rPr>
          <w:sz w:val="18"/>
          <w:szCs w:val="18"/>
        </w:rPr>
      </w:pPr>
      <w:r w:rsidRPr="004B335B">
        <w:rPr>
          <w:rStyle w:val="Refdenotaalpie"/>
          <w:sz w:val="18"/>
          <w:szCs w:val="18"/>
        </w:rPr>
        <w:footnoteRef/>
      </w:r>
      <w:r w:rsidRPr="004B335B">
        <w:rPr>
          <w:sz w:val="18"/>
          <w:szCs w:val="18"/>
        </w:rPr>
        <w:t xml:space="preserve"> Ver, por ejemplo, las sentencias emitidas el 19 de febrero de 2014 en los expedientes 2013-2399 y 2013-8117. </w:t>
      </w:r>
    </w:p>
  </w:footnote>
  <w:footnote w:id="19">
    <w:p w:rsidR="00CF2E11" w:rsidRPr="004B335B" w:rsidRDefault="00CF2E11" w:rsidP="00CF2E11">
      <w:pPr>
        <w:pStyle w:val="Textonotapie"/>
        <w:rPr>
          <w:sz w:val="18"/>
          <w:szCs w:val="18"/>
        </w:rPr>
      </w:pPr>
      <w:r w:rsidRPr="004B335B">
        <w:rPr>
          <w:rStyle w:val="Refdenotaalpie"/>
          <w:sz w:val="18"/>
          <w:szCs w:val="18"/>
        </w:rPr>
        <w:footnoteRef/>
      </w:r>
      <w:r w:rsidRPr="004B335B">
        <w:rPr>
          <w:sz w:val="18"/>
          <w:szCs w:val="18"/>
        </w:rPr>
        <w:t xml:space="preserve"> Aprobado por la ley 21 de 1991.</w:t>
      </w:r>
    </w:p>
  </w:footnote>
  <w:footnote w:id="20">
    <w:p w:rsidR="00CF2E11" w:rsidRPr="004B335B" w:rsidRDefault="00CF2E11" w:rsidP="00CF2E11">
      <w:pPr>
        <w:pStyle w:val="Textonotapie"/>
        <w:rPr>
          <w:sz w:val="18"/>
          <w:szCs w:val="18"/>
        </w:rPr>
      </w:pPr>
      <w:r w:rsidRPr="004B335B">
        <w:rPr>
          <w:rStyle w:val="Refdenotaalpie"/>
          <w:sz w:val="18"/>
          <w:szCs w:val="18"/>
        </w:rPr>
        <w:footnoteRef/>
      </w:r>
      <w:r w:rsidRPr="004B335B">
        <w:rPr>
          <w:sz w:val="18"/>
          <w:szCs w:val="18"/>
        </w:rPr>
        <w:t xml:space="preserve"> Resolución No. 61/295 de la Asamblea General, 107a sesión plenaria.</w:t>
      </w:r>
    </w:p>
  </w:footnote>
  <w:footnote w:id="21">
    <w:p w:rsidR="00CF2E11" w:rsidRPr="004B335B" w:rsidRDefault="00CF2E11" w:rsidP="00CF2E11">
      <w:pPr>
        <w:pStyle w:val="Textonotapie"/>
        <w:rPr>
          <w:sz w:val="18"/>
          <w:szCs w:val="18"/>
        </w:rPr>
      </w:pPr>
      <w:r w:rsidRPr="004B335B">
        <w:rPr>
          <w:rStyle w:val="Refdenotaalpie"/>
          <w:sz w:val="18"/>
          <w:szCs w:val="18"/>
        </w:rPr>
        <w:footnoteRef/>
      </w:r>
      <w:r w:rsidRPr="004B335B">
        <w:rPr>
          <w:sz w:val="18"/>
          <w:szCs w:val="18"/>
        </w:rPr>
        <w:t xml:space="preserve"> Sentencia T-002 de 2012.</w:t>
      </w:r>
    </w:p>
  </w:footnote>
  <w:footnote w:id="22">
    <w:p w:rsidR="00CF2E11" w:rsidRPr="004B335B" w:rsidRDefault="00CF2E11" w:rsidP="00CF2E11">
      <w:pPr>
        <w:pStyle w:val="Textonotapie"/>
        <w:rPr>
          <w:sz w:val="18"/>
          <w:szCs w:val="18"/>
        </w:rPr>
      </w:pPr>
      <w:r w:rsidRPr="004B335B">
        <w:rPr>
          <w:rStyle w:val="Refdenotaalpie"/>
          <w:sz w:val="18"/>
          <w:szCs w:val="18"/>
        </w:rPr>
        <w:footnoteRef/>
      </w:r>
      <w:r w:rsidRPr="004B335B">
        <w:rPr>
          <w:sz w:val="18"/>
          <w:szCs w:val="18"/>
        </w:rPr>
        <w:t xml:space="preserve"> Sentencia T-349 de 1996.</w:t>
      </w:r>
    </w:p>
  </w:footnote>
  <w:footnote w:id="23">
    <w:p w:rsidR="00CF2E11" w:rsidRPr="004B335B" w:rsidRDefault="00CF2E11" w:rsidP="00CF2E11">
      <w:pPr>
        <w:pStyle w:val="Textonotapie"/>
        <w:rPr>
          <w:sz w:val="18"/>
          <w:szCs w:val="18"/>
        </w:rPr>
      </w:pPr>
      <w:r w:rsidRPr="004B335B">
        <w:rPr>
          <w:rStyle w:val="Refdenotaalpie"/>
          <w:sz w:val="18"/>
          <w:szCs w:val="18"/>
        </w:rPr>
        <w:footnoteRef/>
      </w:r>
      <w:r w:rsidRPr="004B335B">
        <w:rPr>
          <w:sz w:val="18"/>
          <w:szCs w:val="18"/>
        </w:rPr>
        <w:t xml:space="preserve"> Sentencia T-002 de 2012.</w:t>
      </w:r>
    </w:p>
  </w:footnote>
  <w:footnote w:id="24">
    <w:p w:rsidR="00CF2E11" w:rsidRPr="004B335B" w:rsidRDefault="00CF2E11" w:rsidP="00CF2E11">
      <w:pPr>
        <w:pStyle w:val="Textonotapie"/>
        <w:rPr>
          <w:sz w:val="18"/>
          <w:szCs w:val="18"/>
        </w:rPr>
      </w:pPr>
      <w:r w:rsidRPr="004B335B">
        <w:rPr>
          <w:rStyle w:val="Refdenotaalpie"/>
          <w:sz w:val="18"/>
          <w:szCs w:val="18"/>
        </w:rPr>
        <w:footnoteRef/>
      </w:r>
      <w:r w:rsidRPr="004B335B">
        <w:rPr>
          <w:sz w:val="18"/>
          <w:szCs w:val="18"/>
          <w:lang w:val="es-ES_tradnl"/>
        </w:rPr>
        <w:t>El artículo 1 de la Declaración Universal de los Derechos del Hombre - "Todos los seres humanos nacen libres e iguales en dignidad y derechos y, dotados como están de razón y conciencia, deben comportarse fraternalmente los unos con los otros”- representa el consenso al que los Estados han llegado en materia de Derechos Humanos en torno a la existencia de ciertos derechos esenciales que emanan de la naturaleza humana.</w:t>
      </w:r>
    </w:p>
  </w:footnote>
  <w:footnote w:id="25">
    <w:p w:rsidR="00CF2E11" w:rsidRPr="004B335B" w:rsidRDefault="00CF2E11" w:rsidP="00CF2E11">
      <w:pPr>
        <w:pStyle w:val="Textonotapie"/>
        <w:rPr>
          <w:sz w:val="18"/>
          <w:szCs w:val="18"/>
        </w:rPr>
      </w:pPr>
      <w:r w:rsidRPr="004B335B">
        <w:rPr>
          <w:rStyle w:val="Refdenotaalpie"/>
          <w:sz w:val="18"/>
          <w:szCs w:val="18"/>
        </w:rPr>
        <w:footnoteRef/>
      </w:r>
      <w:r w:rsidRPr="004B335B">
        <w:rPr>
          <w:sz w:val="18"/>
          <w:szCs w:val="18"/>
        </w:rPr>
        <w:t xml:space="preserve"> Sentencia T-002 de 2012.</w:t>
      </w:r>
    </w:p>
  </w:footnote>
  <w:footnote w:id="26">
    <w:p w:rsidR="00CF2E11" w:rsidRPr="004B335B" w:rsidRDefault="00CF2E11" w:rsidP="00CF2E11">
      <w:pPr>
        <w:pStyle w:val="Textonotapie"/>
        <w:rPr>
          <w:sz w:val="18"/>
          <w:szCs w:val="18"/>
        </w:rPr>
      </w:pPr>
      <w:r w:rsidRPr="004B335B">
        <w:rPr>
          <w:rStyle w:val="Refdenotaalpie"/>
          <w:sz w:val="18"/>
          <w:szCs w:val="18"/>
        </w:rPr>
        <w:footnoteRef/>
      </w:r>
      <w:r w:rsidRPr="004B335B">
        <w:rPr>
          <w:sz w:val="18"/>
          <w:szCs w:val="18"/>
        </w:rPr>
        <w:t xml:space="preserve"> Sentencias T-254 de 1994 y T-811 de 2004.</w:t>
      </w:r>
    </w:p>
  </w:footnote>
  <w:footnote w:id="27">
    <w:p w:rsidR="00CF2E11" w:rsidRPr="004B335B" w:rsidRDefault="00CF2E11" w:rsidP="00CF2E11">
      <w:pPr>
        <w:pStyle w:val="Textonotapie"/>
        <w:rPr>
          <w:sz w:val="18"/>
          <w:szCs w:val="18"/>
          <w:lang w:eastAsia="es-ES"/>
        </w:rPr>
      </w:pPr>
      <w:r w:rsidRPr="004B335B">
        <w:rPr>
          <w:rStyle w:val="Refdenotaalpie"/>
          <w:sz w:val="18"/>
          <w:szCs w:val="18"/>
        </w:rPr>
        <w:footnoteRef/>
      </w:r>
      <w:r w:rsidRPr="004B335B">
        <w:rPr>
          <w:sz w:val="18"/>
          <w:szCs w:val="18"/>
        </w:rPr>
        <w:t xml:space="preserve"> </w:t>
      </w:r>
      <w:r w:rsidRPr="004B335B">
        <w:rPr>
          <w:i/>
          <w:sz w:val="18"/>
          <w:szCs w:val="18"/>
        </w:rPr>
        <w:t>Cfr</w:t>
      </w:r>
      <w:r w:rsidRPr="004B335B">
        <w:rPr>
          <w:sz w:val="18"/>
          <w:szCs w:val="18"/>
        </w:rPr>
        <w:t>., sentencia T-002 de 2012 de la Corte Constitucional y sentencia del 18 de diciembre de 2013 de la Sala Jurisdiccional Disciplinaria del Consejo Superior de la Judicatura, Radicado No. 2013-03263.</w:t>
      </w:r>
    </w:p>
  </w:footnote>
  <w:footnote w:id="28">
    <w:p w:rsidR="00CF2E11" w:rsidRPr="004B335B" w:rsidRDefault="00CF2E11" w:rsidP="00CF2E11">
      <w:pPr>
        <w:pStyle w:val="Textonotapie"/>
        <w:rPr>
          <w:sz w:val="18"/>
          <w:szCs w:val="18"/>
        </w:rPr>
      </w:pPr>
      <w:r w:rsidRPr="004B335B">
        <w:rPr>
          <w:rStyle w:val="Refdenotaalpie"/>
          <w:sz w:val="18"/>
          <w:szCs w:val="18"/>
        </w:rPr>
        <w:footnoteRef/>
      </w:r>
      <w:r w:rsidRPr="004B335B">
        <w:rPr>
          <w:sz w:val="18"/>
          <w:szCs w:val="18"/>
        </w:rPr>
        <w:t xml:space="preserve"> Corte Constitucional, sentencia T-496 de 1996.</w:t>
      </w:r>
    </w:p>
  </w:footnote>
  <w:footnote w:id="29">
    <w:p w:rsidR="00CF2E11" w:rsidRPr="004B335B" w:rsidRDefault="00CF2E11" w:rsidP="00CF2E11">
      <w:pPr>
        <w:pStyle w:val="Textonotapie"/>
        <w:rPr>
          <w:sz w:val="18"/>
          <w:szCs w:val="18"/>
        </w:rPr>
      </w:pPr>
      <w:r w:rsidRPr="004B335B">
        <w:rPr>
          <w:rStyle w:val="Refdenotaalpie"/>
          <w:sz w:val="18"/>
          <w:szCs w:val="18"/>
        </w:rPr>
        <w:footnoteRef/>
      </w:r>
      <w:r w:rsidRPr="004B335B">
        <w:rPr>
          <w:sz w:val="18"/>
          <w:szCs w:val="18"/>
        </w:rPr>
        <w:t xml:space="preserve"> Corte Constitucional, sentencia T-1238 de 2004.</w:t>
      </w:r>
    </w:p>
  </w:footnote>
  <w:footnote w:id="30">
    <w:p w:rsidR="00CF2E11" w:rsidRPr="004B335B" w:rsidRDefault="00CF2E11" w:rsidP="00CF2E11">
      <w:pPr>
        <w:pStyle w:val="Textonotapie"/>
        <w:rPr>
          <w:sz w:val="18"/>
          <w:szCs w:val="18"/>
        </w:rPr>
      </w:pPr>
      <w:r w:rsidRPr="004B335B">
        <w:rPr>
          <w:rStyle w:val="Refdenotaalpie"/>
          <w:sz w:val="18"/>
          <w:szCs w:val="18"/>
        </w:rPr>
        <w:footnoteRef/>
      </w:r>
      <w:r w:rsidRPr="004B335B">
        <w:rPr>
          <w:sz w:val="18"/>
          <w:szCs w:val="18"/>
        </w:rPr>
        <w:t xml:space="preserve"> Corte Constitucional, </w:t>
      </w:r>
      <w:r w:rsidRPr="004B335B">
        <w:rPr>
          <w:rStyle w:val="apple-converted-space"/>
          <w:iCs/>
          <w:sz w:val="18"/>
          <w:szCs w:val="18"/>
          <w:shd w:val="clear" w:color="auto" w:fill="FFFFFF"/>
        </w:rPr>
        <w:t>sentencia T-552 de 2003.</w:t>
      </w:r>
    </w:p>
  </w:footnote>
  <w:footnote w:id="31">
    <w:p w:rsidR="00CF2E11" w:rsidRPr="004B335B" w:rsidRDefault="00CF2E11" w:rsidP="00CF2E11">
      <w:pPr>
        <w:pStyle w:val="Textonotapie"/>
        <w:rPr>
          <w:color w:val="000000"/>
          <w:sz w:val="18"/>
          <w:szCs w:val="18"/>
          <w:lang w:val="es-CO"/>
        </w:rPr>
      </w:pPr>
      <w:r w:rsidRPr="004B335B">
        <w:rPr>
          <w:rStyle w:val="Refdenotaalpie"/>
          <w:sz w:val="18"/>
          <w:szCs w:val="18"/>
        </w:rPr>
        <w:footnoteRef/>
      </w:r>
      <w:r w:rsidRPr="004B335B">
        <w:rPr>
          <w:sz w:val="18"/>
          <w:szCs w:val="18"/>
        </w:rPr>
        <w:t xml:space="preserve"> Al respecto, en la sentencia T-1070 de 2005 la Corte Constitucional reconoció que la jurisdicción indígena reviste carácter excepcional y que con su existencia no se desconoce la unidad de jurisdicción que opera en el Estado: “Razones de naturaleza política, etno-culturales y de eficiencia en el servicio de administración de justicia, justifican que de forma excepcional la Constitución Nacional haya autorizado la existencia de jurisdicciones especiales, como ocurre por ejemplo en el caso de la jurisdicción indígena, sin que ello implique un rompimiento de la unidad ontológica de la jurisdicción del Estado”.</w:t>
      </w:r>
    </w:p>
  </w:footnote>
  <w:footnote w:id="32">
    <w:p w:rsidR="00CF2E11" w:rsidRPr="004B335B" w:rsidRDefault="00CF2E11" w:rsidP="00CF2E11">
      <w:pPr>
        <w:pStyle w:val="Textonotapie"/>
        <w:rPr>
          <w:sz w:val="18"/>
          <w:szCs w:val="18"/>
        </w:rPr>
      </w:pPr>
      <w:r w:rsidRPr="004B335B">
        <w:rPr>
          <w:rStyle w:val="Refdenotaalpie"/>
          <w:sz w:val="18"/>
          <w:szCs w:val="18"/>
        </w:rPr>
        <w:footnoteRef/>
      </w:r>
      <w:r w:rsidRPr="004B335B">
        <w:rPr>
          <w:sz w:val="18"/>
          <w:szCs w:val="18"/>
        </w:rPr>
        <w:t xml:space="preserve"> Sentencia T-254 de 1994.</w:t>
      </w:r>
    </w:p>
  </w:footnote>
  <w:footnote w:id="33">
    <w:p w:rsidR="00CF2E11" w:rsidRPr="004B335B" w:rsidRDefault="00CF2E11" w:rsidP="00CF2E11">
      <w:pPr>
        <w:pStyle w:val="Textonotapie"/>
        <w:rPr>
          <w:sz w:val="18"/>
          <w:szCs w:val="18"/>
        </w:rPr>
      </w:pPr>
      <w:r w:rsidRPr="004B335B">
        <w:rPr>
          <w:rStyle w:val="Refdenotaalpie"/>
          <w:sz w:val="18"/>
          <w:szCs w:val="18"/>
        </w:rPr>
        <w:footnoteRef/>
      </w:r>
      <w:r w:rsidRPr="004B335B">
        <w:rPr>
          <w:sz w:val="18"/>
          <w:szCs w:val="18"/>
        </w:rPr>
        <w:t xml:space="preserve"> Ídem.</w:t>
      </w:r>
    </w:p>
  </w:footnote>
  <w:footnote w:id="34">
    <w:p w:rsidR="00CF2E11" w:rsidRPr="004B335B" w:rsidRDefault="00CF2E11" w:rsidP="00CF2E11">
      <w:pPr>
        <w:pStyle w:val="Textonotapie"/>
        <w:rPr>
          <w:sz w:val="18"/>
          <w:szCs w:val="18"/>
        </w:rPr>
      </w:pPr>
      <w:r w:rsidRPr="004B335B">
        <w:rPr>
          <w:rStyle w:val="Refdenotaalpie"/>
          <w:sz w:val="18"/>
          <w:szCs w:val="18"/>
        </w:rPr>
        <w:footnoteRef/>
      </w:r>
      <w:r w:rsidRPr="004B335B">
        <w:rPr>
          <w:sz w:val="18"/>
          <w:szCs w:val="18"/>
        </w:rPr>
        <w:t xml:space="preserve"> Caso del Refah Partisi (The Welfare Party) y otros contra Turquía, sentencia del 31 de julio de 2001, párrafo 70.</w:t>
      </w:r>
    </w:p>
  </w:footnote>
  <w:footnote w:id="35">
    <w:p w:rsidR="00CF2E11" w:rsidRPr="004B335B" w:rsidRDefault="00CF2E11" w:rsidP="00CF2E11">
      <w:pPr>
        <w:pStyle w:val="Textonotapie"/>
        <w:rPr>
          <w:sz w:val="18"/>
          <w:szCs w:val="18"/>
        </w:rPr>
      </w:pPr>
      <w:r w:rsidRPr="004B335B">
        <w:rPr>
          <w:rStyle w:val="Refdenotaalpie"/>
          <w:sz w:val="18"/>
          <w:szCs w:val="18"/>
        </w:rPr>
        <w:footnoteRef/>
      </w:r>
      <w:r w:rsidRPr="004B335B">
        <w:rPr>
          <w:sz w:val="18"/>
          <w:szCs w:val="18"/>
        </w:rPr>
        <w:t xml:space="preserve"> Sentencia SU510 de 1998.</w:t>
      </w:r>
    </w:p>
  </w:footnote>
  <w:footnote w:id="36">
    <w:p w:rsidR="00CF2E11" w:rsidRPr="004B335B" w:rsidRDefault="00CF2E11" w:rsidP="00CF2E11">
      <w:pPr>
        <w:pStyle w:val="Textonotapie"/>
        <w:rPr>
          <w:sz w:val="18"/>
          <w:szCs w:val="18"/>
        </w:rPr>
      </w:pPr>
      <w:r w:rsidRPr="004B335B">
        <w:rPr>
          <w:rStyle w:val="Refdenotaalpie"/>
          <w:sz w:val="18"/>
          <w:szCs w:val="18"/>
        </w:rPr>
        <w:footnoteRef/>
      </w:r>
      <w:r w:rsidRPr="004B335B">
        <w:rPr>
          <w:sz w:val="18"/>
          <w:szCs w:val="18"/>
        </w:rPr>
        <w:t xml:space="preserve"> Ver, entre otras, la sentencia T-002 de 2012.</w:t>
      </w:r>
    </w:p>
  </w:footnote>
  <w:footnote w:id="37">
    <w:p w:rsidR="00CF2E11" w:rsidRPr="004B335B" w:rsidRDefault="00CF2E11" w:rsidP="00CF2E11">
      <w:pPr>
        <w:pStyle w:val="Textonotapie"/>
        <w:rPr>
          <w:sz w:val="18"/>
          <w:szCs w:val="18"/>
        </w:rPr>
      </w:pPr>
      <w:r w:rsidRPr="004B335B">
        <w:rPr>
          <w:rStyle w:val="Refdenotaalpie"/>
          <w:sz w:val="18"/>
          <w:szCs w:val="18"/>
        </w:rPr>
        <w:footnoteRef/>
      </w:r>
      <w:r w:rsidRPr="004B335B">
        <w:rPr>
          <w:sz w:val="18"/>
          <w:szCs w:val="18"/>
        </w:rPr>
        <w:t xml:space="preserve"> Vid., sentencia T-002 de 2012, que en este aspecto cita como apoyo a las sentencias “</w:t>
      </w:r>
      <w:r w:rsidRPr="004B335B">
        <w:rPr>
          <w:rStyle w:val="apple-style-span"/>
          <w:rFonts w:eastAsiaTheme="majorEastAsia"/>
          <w:sz w:val="18"/>
          <w:szCs w:val="18"/>
          <w:shd w:val="clear" w:color="auto" w:fill="FFFFFF"/>
        </w:rPr>
        <w:t>T-254 de 1994, T-349 de 1996 y SU-510 de 1998”.</w:t>
      </w:r>
    </w:p>
  </w:footnote>
  <w:footnote w:id="38">
    <w:p w:rsidR="00CF2E11" w:rsidRPr="004B335B" w:rsidRDefault="00CF2E11" w:rsidP="00CF2E11">
      <w:pPr>
        <w:pStyle w:val="Textonotapie"/>
        <w:rPr>
          <w:sz w:val="18"/>
          <w:szCs w:val="18"/>
        </w:rPr>
      </w:pPr>
      <w:r w:rsidRPr="004B335B">
        <w:rPr>
          <w:rStyle w:val="Refdenotaalpie"/>
          <w:sz w:val="18"/>
          <w:szCs w:val="18"/>
        </w:rPr>
        <w:footnoteRef/>
      </w:r>
      <w:r w:rsidRPr="004B335B">
        <w:rPr>
          <w:sz w:val="18"/>
          <w:szCs w:val="18"/>
        </w:rPr>
        <w:t xml:space="preserve"> Sentencias T-349 de 1996 y T-002 de 2012.</w:t>
      </w:r>
    </w:p>
  </w:footnote>
  <w:footnote w:id="39">
    <w:p w:rsidR="00CF2E11" w:rsidRPr="004B335B" w:rsidRDefault="00CF2E11" w:rsidP="00CF2E11">
      <w:pPr>
        <w:pStyle w:val="Textonotapie"/>
        <w:rPr>
          <w:sz w:val="18"/>
          <w:szCs w:val="18"/>
        </w:rPr>
      </w:pPr>
      <w:r w:rsidRPr="004B335B">
        <w:rPr>
          <w:rStyle w:val="Refdenotaalpie"/>
          <w:sz w:val="18"/>
          <w:szCs w:val="18"/>
        </w:rPr>
        <w:footnoteRef/>
      </w:r>
      <w:r w:rsidRPr="004B335B">
        <w:rPr>
          <w:sz w:val="18"/>
          <w:szCs w:val="18"/>
        </w:rPr>
        <w:t xml:space="preserve"> Mediantes sentencias como la T-254 de 1994, la C-139 de 1996 y T-349 del mismo año. </w:t>
      </w:r>
    </w:p>
  </w:footnote>
  <w:footnote w:id="40">
    <w:p w:rsidR="00CF2E11" w:rsidRPr="004B335B" w:rsidRDefault="00CF2E11" w:rsidP="00CF2E11">
      <w:pPr>
        <w:pStyle w:val="Textonotapie"/>
        <w:rPr>
          <w:sz w:val="18"/>
          <w:szCs w:val="18"/>
        </w:rPr>
      </w:pPr>
      <w:r w:rsidRPr="004B335B">
        <w:rPr>
          <w:rStyle w:val="Refdenotaalpie"/>
          <w:sz w:val="18"/>
          <w:szCs w:val="18"/>
        </w:rPr>
        <w:footnoteRef/>
      </w:r>
      <w:r w:rsidRPr="004B335B">
        <w:rPr>
          <w:sz w:val="18"/>
          <w:szCs w:val="18"/>
        </w:rPr>
        <w:t xml:space="preserve"> Cfr., sentencia T-921 del 5 de diciembre de 2013, de la Corte Constitucional. M.P.: Jorge Pretelt Chaljub.</w:t>
      </w:r>
    </w:p>
  </w:footnote>
  <w:footnote w:id="41">
    <w:p w:rsidR="00CF2E11" w:rsidRPr="004B335B" w:rsidRDefault="00CF2E11" w:rsidP="00CF2E11">
      <w:pPr>
        <w:pStyle w:val="Textonotapie"/>
        <w:rPr>
          <w:sz w:val="18"/>
          <w:szCs w:val="18"/>
        </w:rPr>
      </w:pPr>
      <w:r w:rsidRPr="004B335B">
        <w:rPr>
          <w:rStyle w:val="Refdenotaalpie"/>
          <w:sz w:val="18"/>
          <w:szCs w:val="18"/>
        </w:rPr>
        <w:footnoteRef/>
      </w:r>
      <w:r w:rsidRPr="004B335B">
        <w:rPr>
          <w:sz w:val="18"/>
          <w:szCs w:val="18"/>
        </w:rPr>
        <w:t xml:space="preserve"> Cfr., la sentencia T-349 de 1996 en donde se respalda la existencia del mencionado consenso intercultural en los siguientes tres estudios: “A</w:t>
      </w:r>
      <w:r w:rsidRPr="004B335B">
        <w:rPr>
          <w:sz w:val="18"/>
          <w:szCs w:val="18"/>
          <w:lang w:val="es-ES_tradnl"/>
        </w:rPr>
        <w:t>bdullahi Ahmed An-na’im, ‘Toward a Cross Cultural Approach to Defining International Standards of Human Rights: The Meaning of Cruel, Inhuman, or Degrading Treatment or Punishment’ en Abdullahi Ahmed An-na’im (comp.), </w:t>
      </w:r>
      <w:r w:rsidRPr="004B335B">
        <w:rPr>
          <w:i/>
          <w:iCs/>
          <w:sz w:val="18"/>
          <w:szCs w:val="18"/>
          <w:u w:val="single"/>
          <w:lang w:val="es-ES_tradnl"/>
        </w:rPr>
        <w:t>Human Rigths in Cross-Cultural Perspectives</w:t>
      </w:r>
      <w:r w:rsidRPr="004B335B">
        <w:rPr>
          <w:sz w:val="18"/>
          <w:szCs w:val="18"/>
          <w:lang w:val="es-ES_tradnl"/>
        </w:rPr>
        <w:t>, University of Pennsylvania Press, Philadelphia, 1991; y Richard Falk, ‘Cultural foundations for the International Protection of Human Rights’, ibid. La existencia de un consenso intercultural en torno a estos derechos también sería susceptible de verificación en el contexto colombiano. Por lo menos eso parecen sugerir los estudios relativos al tema, que demuestran que en las comunidades estudiadas se sanciona penalmente el homicidio y no se practican ni la esclavitud, ni la tortura por parte de las autoridades. Carlos César Perafán, </w:t>
      </w:r>
      <w:r w:rsidRPr="004B335B">
        <w:rPr>
          <w:i/>
          <w:iCs/>
          <w:sz w:val="18"/>
          <w:szCs w:val="18"/>
          <w:u w:val="single"/>
          <w:lang w:val="es-ES_tradnl"/>
        </w:rPr>
        <w:t>Sistemas Jurídicos Paez, Kogi, Wayuu y Tule</w:t>
      </w:r>
      <w:r w:rsidRPr="004B335B">
        <w:rPr>
          <w:sz w:val="18"/>
          <w:szCs w:val="18"/>
          <w:lang w:val="es-ES_tradnl"/>
        </w:rPr>
        <w:t>, Instituto Colombiano de Antropología, 1995”.</w:t>
      </w:r>
    </w:p>
  </w:footnote>
  <w:footnote w:id="42">
    <w:p w:rsidR="00CF2E11" w:rsidRPr="004B335B" w:rsidRDefault="00CF2E11" w:rsidP="00CF2E11">
      <w:pPr>
        <w:pStyle w:val="Textonotapie"/>
        <w:rPr>
          <w:sz w:val="18"/>
          <w:szCs w:val="18"/>
        </w:rPr>
      </w:pPr>
      <w:r w:rsidRPr="004B335B">
        <w:rPr>
          <w:rStyle w:val="Refdenotaalpie"/>
          <w:sz w:val="18"/>
          <w:szCs w:val="18"/>
        </w:rPr>
        <w:footnoteRef/>
      </w:r>
      <w:r w:rsidRPr="004B335B">
        <w:rPr>
          <w:sz w:val="18"/>
          <w:szCs w:val="18"/>
        </w:rPr>
        <w:t xml:space="preserve"> Artículo 4º del Pacto de Derechos Civiles y Políticos de 1966 (aprobado por la Ley 74 de 1968).</w:t>
      </w:r>
    </w:p>
  </w:footnote>
  <w:footnote w:id="43">
    <w:p w:rsidR="00CF2E11" w:rsidRPr="004B335B" w:rsidRDefault="00CF2E11" w:rsidP="00CF2E11">
      <w:pPr>
        <w:pStyle w:val="Textonotapie"/>
        <w:rPr>
          <w:sz w:val="18"/>
          <w:szCs w:val="18"/>
        </w:rPr>
      </w:pPr>
      <w:r w:rsidRPr="004B335B">
        <w:rPr>
          <w:rStyle w:val="Refdenotaalpie"/>
          <w:sz w:val="18"/>
          <w:szCs w:val="18"/>
        </w:rPr>
        <w:footnoteRef/>
      </w:r>
      <w:r w:rsidRPr="004B335B">
        <w:rPr>
          <w:sz w:val="18"/>
          <w:szCs w:val="18"/>
        </w:rPr>
        <w:t xml:space="preserve"> Artículo 15 de la Convención Europea de Derechos Humanos de 1950.</w:t>
      </w:r>
    </w:p>
  </w:footnote>
  <w:footnote w:id="44">
    <w:p w:rsidR="00CF2E11" w:rsidRPr="004B335B" w:rsidRDefault="00CF2E11" w:rsidP="00CF2E11">
      <w:pPr>
        <w:pStyle w:val="Textonotapie"/>
        <w:rPr>
          <w:sz w:val="18"/>
          <w:szCs w:val="18"/>
        </w:rPr>
      </w:pPr>
      <w:r w:rsidRPr="004B335B">
        <w:rPr>
          <w:rStyle w:val="Refdenotaalpie"/>
          <w:sz w:val="18"/>
          <w:szCs w:val="18"/>
        </w:rPr>
        <w:footnoteRef/>
      </w:r>
      <w:r w:rsidRPr="004B335B">
        <w:rPr>
          <w:sz w:val="18"/>
          <w:szCs w:val="18"/>
        </w:rPr>
        <w:t xml:space="preserve"> Convención Americana de Derechos Humanos de 1969 (aprobada por la Ley 16 de 1972).</w:t>
      </w:r>
    </w:p>
  </w:footnote>
  <w:footnote w:id="45">
    <w:p w:rsidR="00CF2E11" w:rsidRPr="004B335B" w:rsidRDefault="00CF2E11" w:rsidP="00CF2E11">
      <w:pPr>
        <w:pStyle w:val="Textonotapie"/>
        <w:rPr>
          <w:sz w:val="18"/>
          <w:szCs w:val="18"/>
        </w:rPr>
      </w:pPr>
      <w:r w:rsidRPr="004B335B">
        <w:rPr>
          <w:rStyle w:val="Refdenotaalpie"/>
          <w:sz w:val="18"/>
          <w:szCs w:val="18"/>
        </w:rPr>
        <w:footnoteRef/>
      </w:r>
      <w:r w:rsidRPr="004B335B">
        <w:rPr>
          <w:sz w:val="18"/>
          <w:szCs w:val="18"/>
        </w:rPr>
        <w:t xml:space="preserve"> </w:t>
      </w:r>
      <w:r w:rsidRPr="004B335B">
        <w:rPr>
          <w:i/>
          <w:sz w:val="18"/>
          <w:szCs w:val="18"/>
        </w:rPr>
        <w:t>Vid</w:t>
      </w:r>
      <w:r w:rsidRPr="004B335B">
        <w:rPr>
          <w:sz w:val="18"/>
          <w:szCs w:val="18"/>
        </w:rPr>
        <w:t xml:space="preserve">., Corte Interamericana de Derechos Humanos, Caso de los “Niños de la Calle” (Villagrán Morales y otros) Vs. Guatemala, sentencia de 19 de noviembre de 1999, serie C No. 63, párrafos 192 a 193. Del mismo modo, para el Tribunal Europeo de Derechos Humanos los instrumentos internacionales son textos vivos, cuyo contenido se actualiza de la evolución social y moral de los tiempos modernos. </w:t>
      </w:r>
      <w:r w:rsidRPr="004B335B">
        <w:rPr>
          <w:i/>
          <w:sz w:val="18"/>
          <w:szCs w:val="18"/>
        </w:rPr>
        <w:t>Cfr</w:t>
      </w:r>
      <w:r w:rsidRPr="004B335B">
        <w:rPr>
          <w:sz w:val="18"/>
          <w:szCs w:val="18"/>
        </w:rPr>
        <w:t>., Caso de E.B. v. Francia, sentencia del 22 de enero de 2008.</w:t>
      </w:r>
    </w:p>
  </w:footnote>
  <w:footnote w:id="46">
    <w:p w:rsidR="00CF2E11" w:rsidRPr="004B335B" w:rsidRDefault="00CF2E11" w:rsidP="00CF2E11">
      <w:pPr>
        <w:pStyle w:val="Textonotapie"/>
        <w:rPr>
          <w:sz w:val="18"/>
          <w:szCs w:val="18"/>
        </w:rPr>
      </w:pPr>
      <w:r w:rsidRPr="004B335B">
        <w:rPr>
          <w:rStyle w:val="Refdenotaalpie"/>
          <w:sz w:val="18"/>
          <w:szCs w:val="18"/>
        </w:rPr>
        <w:footnoteRef/>
      </w:r>
      <w:r w:rsidRPr="004B335B">
        <w:rPr>
          <w:sz w:val="18"/>
          <w:szCs w:val="18"/>
        </w:rPr>
        <w:t xml:space="preserve"> Este concepto alude a las manifestaciones de la comunidad internacional en torno a ciertos puntos de derecho que merecen la atención y respuesta de los Estados. </w:t>
      </w:r>
      <w:r w:rsidRPr="004B335B">
        <w:rPr>
          <w:i/>
          <w:sz w:val="18"/>
          <w:szCs w:val="18"/>
        </w:rPr>
        <w:t>Cfr</w:t>
      </w:r>
      <w:r w:rsidRPr="004B335B">
        <w:rPr>
          <w:sz w:val="18"/>
          <w:szCs w:val="18"/>
        </w:rPr>
        <w:t>. Voto razonado del juez A.A. Cançado Trindade, a la sentencia de la Corte Interamericana de Derechos Humanos Caso de La Comunidad Moiwana vs. Suriname, Sentencia de 15 de junio de 2005, Corte I.D.H., (Ser. C) No. 124.</w:t>
      </w:r>
    </w:p>
  </w:footnote>
  <w:footnote w:id="47">
    <w:p w:rsidR="00CF2E11" w:rsidRPr="004B335B" w:rsidRDefault="00CF2E11" w:rsidP="00CF2E11">
      <w:pPr>
        <w:pStyle w:val="Textonotapie"/>
        <w:rPr>
          <w:sz w:val="18"/>
          <w:szCs w:val="18"/>
        </w:rPr>
      </w:pPr>
      <w:r w:rsidRPr="004B335B">
        <w:rPr>
          <w:rStyle w:val="Refdenotaalpie"/>
          <w:sz w:val="18"/>
          <w:szCs w:val="18"/>
        </w:rPr>
        <w:footnoteRef/>
      </w:r>
      <w:r w:rsidRPr="004B335B">
        <w:rPr>
          <w:sz w:val="18"/>
          <w:szCs w:val="18"/>
        </w:rPr>
        <w:t xml:space="preserve"> Adoptada mediante ley 12 de 1991.</w:t>
      </w:r>
    </w:p>
  </w:footnote>
  <w:footnote w:id="48">
    <w:p w:rsidR="00CF2E11" w:rsidRPr="004B335B" w:rsidRDefault="00CF2E11" w:rsidP="00CF2E11">
      <w:pPr>
        <w:pStyle w:val="Textonotapie"/>
        <w:rPr>
          <w:sz w:val="18"/>
          <w:szCs w:val="18"/>
        </w:rPr>
      </w:pPr>
      <w:r w:rsidRPr="004B335B">
        <w:rPr>
          <w:rStyle w:val="Refdenotaalpie"/>
          <w:sz w:val="18"/>
          <w:szCs w:val="18"/>
        </w:rPr>
        <w:footnoteRef/>
      </w:r>
      <w:r w:rsidRPr="004B335B">
        <w:rPr>
          <w:sz w:val="18"/>
          <w:szCs w:val="18"/>
        </w:rPr>
        <w:t xml:space="preserve"> Human Rights Watch, 2009.</w:t>
      </w:r>
    </w:p>
  </w:footnote>
  <w:footnote w:id="49">
    <w:p w:rsidR="00CF2E11" w:rsidRPr="004B335B" w:rsidRDefault="00CF2E11" w:rsidP="00CF2E11">
      <w:pPr>
        <w:pStyle w:val="Textonotapie"/>
        <w:rPr>
          <w:sz w:val="18"/>
          <w:szCs w:val="18"/>
        </w:rPr>
      </w:pPr>
      <w:r w:rsidRPr="004B335B">
        <w:rPr>
          <w:rStyle w:val="Refdenotaalpie"/>
          <w:sz w:val="18"/>
          <w:szCs w:val="18"/>
        </w:rPr>
        <w:footnoteRef/>
      </w:r>
      <w:r w:rsidRPr="004B335B">
        <w:rPr>
          <w:sz w:val="18"/>
          <w:szCs w:val="18"/>
        </w:rPr>
        <w:t xml:space="preserve"> </w:t>
      </w:r>
      <w:r w:rsidRPr="004B335B">
        <w:rPr>
          <w:i/>
          <w:sz w:val="18"/>
          <w:szCs w:val="18"/>
        </w:rPr>
        <w:t>Cfr</w:t>
      </w:r>
      <w:r w:rsidRPr="004B335B">
        <w:rPr>
          <w:sz w:val="18"/>
          <w:szCs w:val="18"/>
        </w:rPr>
        <w:t>., Corte Interamericana de Derechos Humanos. Caso Atala Riffo y Niñas Vs. Chile. Fondo, Reparaciones y Costas. Sentencia del 24 de febrero de 2012. Serie C No. 239.</w:t>
      </w:r>
    </w:p>
  </w:footnote>
  <w:footnote w:id="50">
    <w:p w:rsidR="00CF2E11" w:rsidRPr="004B335B" w:rsidRDefault="00CF2E11" w:rsidP="00CF2E11">
      <w:pPr>
        <w:pStyle w:val="Textonotapie"/>
        <w:rPr>
          <w:sz w:val="18"/>
          <w:szCs w:val="18"/>
        </w:rPr>
      </w:pPr>
      <w:r w:rsidRPr="004B335B">
        <w:rPr>
          <w:rStyle w:val="Refdenotaalpie"/>
          <w:sz w:val="18"/>
          <w:szCs w:val="18"/>
        </w:rPr>
        <w:footnoteRef/>
      </w:r>
      <w:r w:rsidRPr="004B335B">
        <w:rPr>
          <w:sz w:val="18"/>
          <w:szCs w:val="18"/>
        </w:rPr>
        <w:t xml:space="preserve"> De acuerdo con su preámbulo, una de las finalidades perseguidas con la aprobación del Estatuto de Roma por los Estados parte en la Organización de Naciones Unidas fue reafirmar </w:t>
      </w:r>
      <w:r w:rsidRPr="004B335B">
        <w:rPr>
          <w:i/>
          <w:sz w:val="18"/>
          <w:szCs w:val="18"/>
        </w:rPr>
        <w:t>“que los crímenes más graves de trascendencia para la comunidad internacional en su conjunto no deben quedar sin castigo y que, a tal fin, hay que adoptar medidas en el plano nacional e intensificar la cooperación internacional para asegurar que sean efectivamente sometidos a la acción de la justicia”</w:t>
      </w:r>
      <w:r w:rsidRPr="004B335B">
        <w:rPr>
          <w:sz w:val="18"/>
          <w:szCs w:val="18"/>
        </w:rPr>
        <w:t xml:space="preserve">. </w:t>
      </w:r>
    </w:p>
  </w:footnote>
  <w:footnote w:id="51">
    <w:p w:rsidR="00CF2E11" w:rsidRPr="004B335B" w:rsidRDefault="00CF2E11" w:rsidP="00CF2E11">
      <w:pPr>
        <w:pStyle w:val="Textonotapie"/>
        <w:rPr>
          <w:sz w:val="18"/>
          <w:szCs w:val="18"/>
        </w:rPr>
      </w:pPr>
      <w:r w:rsidRPr="004B335B">
        <w:rPr>
          <w:rStyle w:val="Refdenotaalpie"/>
          <w:sz w:val="18"/>
          <w:szCs w:val="18"/>
        </w:rPr>
        <w:footnoteRef/>
      </w:r>
      <w:r w:rsidRPr="004B335B">
        <w:rPr>
          <w:sz w:val="18"/>
          <w:szCs w:val="18"/>
        </w:rPr>
        <w:t xml:space="preserve"> Al respecto, debe recordarse que las penas previstas en dicho estatuto abarcan la prisión perpetua, razón por la cual, su ratificación por el Estado colombiano debió incluir una modificación de las garantías sustanciales previstas al respecto por la Constitución Política, a través del Acto legislativo 02 de 2001.</w:t>
      </w:r>
    </w:p>
  </w:footnote>
  <w:footnote w:id="52">
    <w:p w:rsidR="00CF2E11" w:rsidRPr="004B335B" w:rsidRDefault="00CF2E11" w:rsidP="00CF2E11">
      <w:pPr>
        <w:pStyle w:val="Textonotapie"/>
        <w:rPr>
          <w:sz w:val="18"/>
          <w:szCs w:val="18"/>
        </w:rPr>
      </w:pPr>
      <w:r w:rsidRPr="004B335B">
        <w:rPr>
          <w:rStyle w:val="Refdenotaalpie"/>
          <w:sz w:val="18"/>
          <w:szCs w:val="18"/>
        </w:rPr>
        <w:footnoteRef/>
      </w:r>
      <w:r w:rsidRPr="004B335B">
        <w:rPr>
          <w:sz w:val="18"/>
          <w:szCs w:val="18"/>
        </w:rPr>
        <w:t xml:space="preserve"> Así, en la opinión consultiva No. 18 de 2003, la Corte Interamericana de Derechos Humanos afirmó lo siguiente: “este Tribunal considera que el principio de igualdad ante la ley, igual protección ante la ley y no discriminación, pertenece al jus cogens, puesto que sobre él descansa todo el andamiaje jurídico del orden público nacional e internacional y es un principio fundamental que permea todo ordenamiento jurídico. </w:t>
      </w:r>
    </w:p>
    <w:p w:rsidR="00CF2E11" w:rsidRPr="004B335B" w:rsidRDefault="00CF2E11" w:rsidP="00CF2E11">
      <w:pPr>
        <w:pStyle w:val="Textonotapie"/>
        <w:rPr>
          <w:sz w:val="18"/>
          <w:szCs w:val="18"/>
        </w:rPr>
      </w:pPr>
      <w:r w:rsidRPr="004B335B">
        <w:rPr>
          <w:sz w:val="18"/>
          <w:szCs w:val="18"/>
        </w:rPr>
        <w:t xml:space="preserve">Hoy día no se admite ningún acto jurídico que entre en conflicto con dicho principio fundamental, no se admiten tratos discriminatorios en perjuicio de ninguna persona, por motivos de género, raza, color, idioma, religión o convicción, opinión política o de otra índole, origen nacional, étnico o social, nacionalidad, edad, situación económica, patrimonio, estado civil, nacimiento o cualquier otra condición. Este principio (igualdad y no discriminación) forma parte del derecho internacional general. </w:t>
      </w:r>
      <w:r w:rsidRPr="004B335B">
        <w:rPr>
          <w:sz w:val="18"/>
          <w:szCs w:val="18"/>
          <w:u w:val="single"/>
        </w:rPr>
        <w:t>En la actual etapa de la evolución del derecho internacional, el principio fundamental de igualdad y no discriminación ha ingresado en el dominio del jus cogens</w:t>
      </w:r>
      <w:r w:rsidRPr="004B335B">
        <w:rPr>
          <w:sz w:val="18"/>
          <w:szCs w:val="18"/>
        </w:rPr>
        <w:t>”, párrafo 101 (énfasis de la Sala).</w:t>
      </w:r>
    </w:p>
  </w:footnote>
  <w:footnote w:id="53">
    <w:p w:rsidR="00CF2E11" w:rsidRPr="004B335B" w:rsidRDefault="00CF2E11" w:rsidP="00CF2E11">
      <w:pPr>
        <w:pStyle w:val="Textonotapie"/>
        <w:rPr>
          <w:sz w:val="18"/>
          <w:szCs w:val="18"/>
        </w:rPr>
      </w:pPr>
      <w:r w:rsidRPr="004B335B">
        <w:rPr>
          <w:rStyle w:val="Refdenotaalpie"/>
          <w:sz w:val="18"/>
          <w:szCs w:val="18"/>
        </w:rPr>
        <w:footnoteRef/>
      </w:r>
      <w:r w:rsidRPr="004B335B">
        <w:rPr>
          <w:sz w:val="18"/>
          <w:szCs w:val="18"/>
        </w:rPr>
        <w:t xml:space="preserve"> Sentencia T-629 de 2010.</w:t>
      </w:r>
    </w:p>
  </w:footnote>
  <w:footnote w:id="54">
    <w:p w:rsidR="00CF2E11" w:rsidRPr="004B335B" w:rsidRDefault="00CF2E11" w:rsidP="00CF2E11">
      <w:pPr>
        <w:pStyle w:val="Textonotapie"/>
        <w:rPr>
          <w:sz w:val="18"/>
          <w:szCs w:val="18"/>
        </w:rPr>
      </w:pPr>
      <w:r w:rsidRPr="004B335B">
        <w:rPr>
          <w:rStyle w:val="Refdenotaalpie"/>
          <w:sz w:val="18"/>
          <w:szCs w:val="18"/>
        </w:rPr>
        <w:footnoteRef/>
      </w:r>
      <w:r w:rsidRPr="004B335B">
        <w:rPr>
          <w:sz w:val="18"/>
          <w:szCs w:val="18"/>
        </w:rPr>
        <w:t xml:space="preserve"> Adoptada en San Francisco (California, Estados Unidos), en el marco de la Conferencia de las Naciones Unidas sobre Organización Internacional.</w:t>
      </w:r>
    </w:p>
  </w:footnote>
  <w:footnote w:id="55">
    <w:p w:rsidR="00CF2E11" w:rsidRPr="004B335B" w:rsidRDefault="00CF2E11" w:rsidP="00CF2E11">
      <w:pPr>
        <w:pStyle w:val="Textonotapie"/>
        <w:rPr>
          <w:sz w:val="18"/>
          <w:szCs w:val="18"/>
        </w:rPr>
      </w:pPr>
      <w:r w:rsidRPr="004B335B">
        <w:rPr>
          <w:rStyle w:val="Refdenotaalpie"/>
          <w:sz w:val="18"/>
          <w:szCs w:val="18"/>
        </w:rPr>
        <w:footnoteRef/>
      </w:r>
      <w:r w:rsidRPr="004B335B">
        <w:rPr>
          <w:sz w:val="18"/>
          <w:szCs w:val="18"/>
        </w:rPr>
        <w:t xml:space="preserve"> Preámbulo de la </w:t>
      </w:r>
      <w:r w:rsidRPr="004B335B">
        <w:rPr>
          <w:bCs/>
          <w:sz w:val="18"/>
          <w:szCs w:val="18"/>
        </w:rPr>
        <w:t>Carta de las Naciones Unidas.</w:t>
      </w:r>
    </w:p>
  </w:footnote>
  <w:footnote w:id="56">
    <w:p w:rsidR="00CF2E11" w:rsidRPr="004B335B" w:rsidRDefault="00CF2E11" w:rsidP="00CF2E11">
      <w:pPr>
        <w:pStyle w:val="Textonotapie"/>
        <w:rPr>
          <w:sz w:val="18"/>
          <w:szCs w:val="18"/>
        </w:rPr>
      </w:pPr>
      <w:r w:rsidRPr="004B335B">
        <w:rPr>
          <w:rStyle w:val="Refdenotaalpie"/>
          <w:sz w:val="18"/>
          <w:szCs w:val="18"/>
        </w:rPr>
        <w:footnoteRef/>
      </w:r>
      <w:r w:rsidRPr="004B335B">
        <w:rPr>
          <w:sz w:val="18"/>
          <w:szCs w:val="18"/>
        </w:rPr>
        <w:t xml:space="preserve"> Al respecto, la Asamblea General de la Organización de las Naciones Unidas ha condenado sistemáticamente la realización de actividades terroristas, al considerar que entrañan actos criminales “injustificables dondequiera y por quienquiera que sea cometidos”. </w:t>
      </w:r>
      <w:r w:rsidRPr="004B335B">
        <w:rPr>
          <w:i/>
          <w:sz w:val="18"/>
          <w:szCs w:val="18"/>
        </w:rPr>
        <w:t>Vid</w:t>
      </w:r>
      <w:r w:rsidRPr="004B335B">
        <w:rPr>
          <w:sz w:val="18"/>
          <w:szCs w:val="18"/>
        </w:rPr>
        <w:t xml:space="preserve">., entre otras, la Resolución 60/105, titulada “Medidas para eliminar el terrorismo internacional”, aprobada por la Asamblea General el 9 de diciembre de 2011. </w:t>
      </w:r>
    </w:p>
  </w:footnote>
  <w:footnote w:id="57">
    <w:p w:rsidR="00CF2E11" w:rsidRPr="004B335B" w:rsidRDefault="00CF2E11" w:rsidP="00CF2E11">
      <w:pPr>
        <w:pStyle w:val="Textonotapie"/>
        <w:rPr>
          <w:sz w:val="18"/>
          <w:szCs w:val="18"/>
        </w:rPr>
      </w:pPr>
      <w:r w:rsidRPr="004B335B">
        <w:rPr>
          <w:rStyle w:val="Refdenotaalpie"/>
          <w:sz w:val="18"/>
          <w:szCs w:val="18"/>
        </w:rPr>
        <w:footnoteRef/>
      </w:r>
      <w:r w:rsidRPr="004B335B">
        <w:rPr>
          <w:sz w:val="18"/>
          <w:szCs w:val="18"/>
        </w:rPr>
        <w:t xml:space="preserve"> Este grupo de acciones representan de lejos los peores ejemplos de violencia y agresión entre congéneres. De allí su castigo unánime por parte de la comunidad internacional y el establecimiento de garantías para su eficaz persecución, como su carácter imprescriptible. </w:t>
      </w:r>
      <w:r w:rsidRPr="004B335B">
        <w:rPr>
          <w:i/>
          <w:sz w:val="18"/>
          <w:szCs w:val="18"/>
        </w:rPr>
        <w:t>Cfr</w:t>
      </w:r>
      <w:r w:rsidRPr="004B335B">
        <w:rPr>
          <w:sz w:val="18"/>
          <w:szCs w:val="18"/>
        </w:rPr>
        <w:t xml:space="preserve">., Asamblea General de la Organización de Naciones Unidas, “Principios y directrices básicos sobre el derecho de las víctimas de violaciones manifiestas de las normas internacionales de derechos humanos y de violaciones graves del derecho internacional humanitario a interponer recursos y obtener reparaciones”, Resolución 60/147, aprobada por la Asamblea General el 16 de diciembre de 2005. </w:t>
      </w:r>
    </w:p>
  </w:footnote>
  <w:footnote w:id="58">
    <w:p w:rsidR="00CF2E11" w:rsidRPr="004B335B" w:rsidRDefault="00CF2E11" w:rsidP="00CF2E11">
      <w:pPr>
        <w:pStyle w:val="Textonotapie"/>
        <w:rPr>
          <w:sz w:val="18"/>
          <w:szCs w:val="18"/>
        </w:rPr>
      </w:pPr>
      <w:r w:rsidRPr="004B335B">
        <w:rPr>
          <w:rStyle w:val="Refdenotaalpie"/>
          <w:sz w:val="18"/>
          <w:szCs w:val="18"/>
        </w:rPr>
        <w:footnoteRef/>
      </w:r>
      <w:r w:rsidRPr="004B335B">
        <w:rPr>
          <w:sz w:val="18"/>
          <w:szCs w:val="18"/>
        </w:rPr>
        <w:t xml:space="preserve"> La Asamblea General de la Organización de las Naciones Unidas también ha reprochado los delitos asociados al narcotráfico, por sus efectos nocivos sobre la generalidad de los Estados. Así, en 1998 destacó lo siguiente: “Las drogas afectan a todos los sectores de la sociedad en todos los países; sobre todo, el uso indebido de drogas afecta a la libertad y al desarrollo de los jóvenes, que son el patrimonio más preciado de la humanidad. </w:t>
      </w:r>
      <w:r w:rsidRPr="004B335B">
        <w:rPr>
          <w:sz w:val="18"/>
          <w:szCs w:val="18"/>
          <w:u w:val="single"/>
        </w:rPr>
        <w:t>Las drogas constituyen una grave amenaza para la salud y el bienestar de todo el género humano, para la independencia de los Estados, la democracia, la estabilidad de las naciones, la estructura de todas las sociedades y la dignidad y la esperanza de millones de personas y sus familias</w:t>
      </w:r>
      <w:r w:rsidRPr="004B335B">
        <w:rPr>
          <w:sz w:val="18"/>
          <w:szCs w:val="18"/>
        </w:rPr>
        <w:t>” (énfasis agregado). En, “Sesión Especial de la Asamblea General de Naciones Unidas, celebrada en Nueva York los días 8 a 10 de junio de 1998”, (Disponible en: www.pnsd.msc.es/Categoria3/coopera/onu/cooperanacio5.htm).</w:t>
      </w:r>
    </w:p>
  </w:footnote>
  <w:footnote w:id="59">
    <w:p w:rsidR="00CF2E11" w:rsidRPr="004B335B" w:rsidRDefault="00CF2E11" w:rsidP="00CF2E11">
      <w:pPr>
        <w:pStyle w:val="Textonotapie"/>
        <w:rPr>
          <w:sz w:val="18"/>
          <w:szCs w:val="18"/>
        </w:rPr>
      </w:pPr>
      <w:r w:rsidRPr="004B335B">
        <w:rPr>
          <w:rStyle w:val="Refdenotaalpie"/>
          <w:sz w:val="18"/>
          <w:szCs w:val="18"/>
        </w:rPr>
        <w:footnoteRef/>
      </w:r>
      <w:r w:rsidRPr="004B335B">
        <w:rPr>
          <w:sz w:val="18"/>
          <w:szCs w:val="18"/>
        </w:rPr>
        <w:t xml:space="preserve"> Sobre la incidencia de estos delitos en el funcionamiento de la sociedad y el Estado, la Corte Constitucional señaló en la sentencia C-083 de 1999, lo siguiente: “Los compromisos constitucionales que en materia económica y social le corresponde cumplir al Estado, exigen de éste la implementación de políticas institucionales y la obtención de los instrumentos idóneos para su realización material […] Esto explica por qué en el ordenamiento jurídico se consagran una serie de medidas administrativas y jurisdiccionales tendientes a proteger ese bien jurídico denominado ‘orden económico social’. Precisamente, el orden legal económico se constituye en objeto de tutela del derecho, particularmente del derecho punitivo, dado el interés que representa para el Estado su conservación. Ciertamente, resulta de singular importancia para la administración pública que el régimen económico establecido por la Constitución y la ley se desenvuelva en condiciones de normalidad, sin alteraciones, buscando asegurar la prestación de los servicios que de él se desprenden”.</w:t>
      </w:r>
    </w:p>
  </w:footnote>
  <w:footnote w:id="60">
    <w:p w:rsidR="00CF2E11" w:rsidRPr="004B335B" w:rsidRDefault="00CF2E11" w:rsidP="00CF2E11">
      <w:pPr>
        <w:pStyle w:val="Textonotapie"/>
        <w:rPr>
          <w:sz w:val="18"/>
          <w:szCs w:val="18"/>
        </w:rPr>
      </w:pPr>
      <w:r w:rsidRPr="004B335B">
        <w:rPr>
          <w:rStyle w:val="Refdenotaalpie"/>
          <w:sz w:val="18"/>
          <w:szCs w:val="18"/>
        </w:rPr>
        <w:footnoteRef/>
      </w:r>
      <w:r w:rsidRPr="004B335B">
        <w:rPr>
          <w:sz w:val="18"/>
          <w:szCs w:val="18"/>
        </w:rPr>
        <w:t xml:space="preserve"> Según la Corte Interamericana de Derechos Humanos los derechos de las víctimas se derivan de los artículos 8 (garantías judiciales) y 25 (protección judicial) de la Convención Americana sobre Derechos Humanos (</w:t>
      </w:r>
      <w:r w:rsidRPr="004B335B">
        <w:rPr>
          <w:i/>
          <w:sz w:val="18"/>
          <w:szCs w:val="18"/>
        </w:rPr>
        <w:t>Cfr</w:t>
      </w:r>
      <w:r w:rsidRPr="004B335B">
        <w:rPr>
          <w:sz w:val="18"/>
          <w:szCs w:val="18"/>
        </w:rPr>
        <w:t>., sentencia de fondo y reparaciones en el Caso Gelman vs. Uruguay, del 24 de febrero de 2011). Por su lado, la Corte Constitucional colombiana asegura que estos derechos encuentran fundamento jurídico positivo en el artículo 22 superior sobre el derecho a la paz (</w:t>
      </w:r>
      <w:r w:rsidRPr="004B335B">
        <w:rPr>
          <w:i/>
          <w:sz w:val="18"/>
          <w:szCs w:val="18"/>
        </w:rPr>
        <w:t>Cfr</w:t>
      </w:r>
      <w:r w:rsidRPr="004B335B">
        <w:rPr>
          <w:sz w:val="18"/>
          <w:szCs w:val="18"/>
        </w:rPr>
        <w:t xml:space="preserve">., sentencia T-821 de 2007). </w:t>
      </w:r>
    </w:p>
  </w:footnote>
  <w:footnote w:id="61">
    <w:p w:rsidR="00CF2E11" w:rsidRPr="004B335B" w:rsidRDefault="00CF2E11" w:rsidP="00CF2E11">
      <w:pPr>
        <w:pStyle w:val="Textonotapie"/>
        <w:rPr>
          <w:sz w:val="18"/>
          <w:szCs w:val="18"/>
        </w:rPr>
      </w:pPr>
      <w:r w:rsidRPr="004B335B">
        <w:rPr>
          <w:rStyle w:val="Refdenotaalpie"/>
          <w:sz w:val="18"/>
          <w:szCs w:val="18"/>
        </w:rPr>
        <w:footnoteRef/>
      </w:r>
      <w:r w:rsidRPr="004B335B">
        <w:rPr>
          <w:sz w:val="18"/>
          <w:szCs w:val="18"/>
        </w:rPr>
        <w:t xml:space="preserve"> Corte Constitucional, comunicado de prensa No. 34 del 28 de agosto de 2013. </w:t>
      </w:r>
    </w:p>
  </w:footnote>
  <w:footnote w:id="62">
    <w:p w:rsidR="00CF2E11" w:rsidRPr="004B335B" w:rsidRDefault="00CF2E11" w:rsidP="00CF2E11">
      <w:pPr>
        <w:pStyle w:val="Textonotapie"/>
        <w:rPr>
          <w:sz w:val="18"/>
          <w:szCs w:val="18"/>
        </w:rPr>
      </w:pPr>
      <w:r w:rsidRPr="004B335B">
        <w:rPr>
          <w:rStyle w:val="Refdenotaalpie"/>
          <w:sz w:val="18"/>
          <w:szCs w:val="18"/>
        </w:rPr>
        <w:footnoteRef/>
      </w:r>
      <w:r w:rsidRPr="004B335B">
        <w:rPr>
          <w:sz w:val="18"/>
          <w:szCs w:val="18"/>
        </w:rPr>
        <w:t xml:space="preserve"> Corte Interamericana de Derechos Humanos, sentencia de fondo y reparaciones en el Caso Gelman vs. Uruguay, del 24 de febrero de 2011, párrafo 239.</w:t>
      </w:r>
    </w:p>
  </w:footnote>
  <w:footnote w:id="63">
    <w:p w:rsidR="00CF2E11" w:rsidRPr="004B335B" w:rsidRDefault="00CF2E11" w:rsidP="00CF2E11">
      <w:pPr>
        <w:pStyle w:val="Textonotapie"/>
        <w:tabs>
          <w:tab w:val="left" w:pos="709"/>
        </w:tabs>
        <w:rPr>
          <w:sz w:val="18"/>
          <w:szCs w:val="18"/>
        </w:rPr>
      </w:pPr>
      <w:r w:rsidRPr="004B335B">
        <w:rPr>
          <w:rStyle w:val="Refdenotaalpie"/>
          <w:sz w:val="18"/>
          <w:szCs w:val="18"/>
        </w:rPr>
        <w:footnoteRef/>
      </w:r>
      <w:r w:rsidRPr="004B335B">
        <w:rPr>
          <w:sz w:val="18"/>
          <w:szCs w:val="18"/>
        </w:rPr>
        <w:t xml:space="preserve"> </w:t>
      </w:r>
      <w:r w:rsidRPr="004B335B">
        <w:rPr>
          <w:sz w:val="18"/>
          <w:szCs w:val="18"/>
        </w:rPr>
        <w:tab/>
      </w:r>
      <w:r w:rsidRPr="004B335B">
        <w:rPr>
          <w:sz w:val="18"/>
          <w:szCs w:val="18"/>
          <w:lang w:val="es-EC"/>
        </w:rPr>
        <w:t xml:space="preserve">Convención Interamericana para Prevenir, Sancionar y Erradicar la Violencia contra la Mujer. </w:t>
      </w:r>
      <w:r w:rsidRPr="004B335B">
        <w:rPr>
          <w:sz w:val="18"/>
          <w:szCs w:val="18"/>
        </w:rPr>
        <w:t>Preámbulo.</w:t>
      </w:r>
    </w:p>
    <w:p w:rsidR="00CF2E11" w:rsidRPr="004B335B" w:rsidRDefault="00CF2E11" w:rsidP="00CF2E11">
      <w:pPr>
        <w:pStyle w:val="Textonotapie"/>
        <w:tabs>
          <w:tab w:val="left" w:pos="709"/>
        </w:tabs>
        <w:rPr>
          <w:sz w:val="18"/>
          <w:szCs w:val="18"/>
        </w:rPr>
      </w:pPr>
    </w:p>
  </w:footnote>
  <w:footnote w:id="64">
    <w:p w:rsidR="00CF2E11" w:rsidRPr="004B335B" w:rsidRDefault="00CF2E11" w:rsidP="00CF2E11">
      <w:pPr>
        <w:pStyle w:val="Textonotapie"/>
        <w:rPr>
          <w:sz w:val="18"/>
          <w:szCs w:val="18"/>
          <w:lang w:val="es-ES_tradnl"/>
        </w:rPr>
      </w:pPr>
      <w:r w:rsidRPr="004B335B">
        <w:rPr>
          <w:rStyle w:val="Refdenotaalpie"/>
          <w:sz w:val="18"/>
          <w:szCs w:val="18"/>
        </w:rPr>
        <w:footnoteRef/>
      </w:r>
      <w:r w:rsidRPr="004B335B">
        <w:rPr>
          <w:sz w:val="18"/>
          <w:szCs w:val="18"/>
        </w:rPr>
        <w:t xml:space="preserve"> Cf. Corte Constitucional, sentencia T-576 de 2008.</w:t>
      </w:r>
    </w:p>
  </w:footnote>
  <w:footnote w:id="65">
    <w:p w:rsidR="00CF2E11" w:rsidRPr="00AB44A6" w:rsidRDefault="00CF2E11" w:rsidP="00CF2E11">
      <w:pPr>
        <w:pStyle w:val="Textonotapie"/>
      </w:pPr>
      <w:r w:rsidRPr="00AB44A6">
        <w:rPr>
          <w:rStyle w:val="Refdenotaalpie"/>
        </w:rPr>
        <w:footnoteRef/>
      </w:r>
      <w:r w:rsidRPr="00AB44A6">
        <w:t xml:space="preserve"> </w:t>
      </w:r>
      <w:r w:rsidRPr="00AB44A6">
        <w:rPr>
          <w:i/>
        </w:rPr>
        <w:t>Cfr</w:t>
      </w:r>
      <w:r w:rsidRPr="00AB44A6">
        <w:t>., entre ot</w:t>
      </w:r>
      <w:r>
        <w:t>ras, la sentencia T-921 de 2013</w:t>
      </w:r>
      <w:r w:rsidRPr="00AB44A6">
        <w:t>.</w:t>
      </w:r>
    </w:p>
  </w:footnote>
  <w:footnote w:id="66">
    <w:p w:rsidR="00CF2E11" w:rsidRPr="003C56DB" w:rsidRDefault="00CF2E11" w:rsidP="00CF2E11">
      <w:pPr>
        <w:pStyle w:val="Textonotapie"/>
      </w:pPr>
      <w:r w:rsidRPr="003C56DB">
        <w:rPr>
          <w:rStyle w:val="Refdenotaalpie"/>
        </w:rPr>
        <w:footnoteRef/>
      </w:r>
      <w:r w:rsidRPr="003C56DB">
        <w:t xml:space="preserve"> Corte Constitucional, </w:t>
      </w:r>
      <w:r w:rsidRPr="003C56DB">
        <w:rPr>
          <w:rStyle w:val="PiedepginaCar"/>
          <w:iCs/>
          <w:shd w:val="clear" w:color="auto" w:fill="FFFFFF"/>
        </w:rPr>
        <w:t>sentencia T-552 de 2003.</w:t>
      </w:r>
    </w:p>
  </w:footnote>
  <w:footnote w:id="67">
    <w:p w:rsidR="00CF2E11" w:rsidRPr="00F74BEC" w:rsidRDefault="00CF2E11" w:rsidP="00CF2E11">
      <w:pPr>
        <w:pStyle w:val="Textonotapie"/>
        <w:rPr>
          <w:lang w:val="es-CO"/>
        </w:rPr>
      </w:pPr>
      <w:r>
        <w:rPr>
          <w:rStyle w:val="Refdenotaalpie"/>
        </w:rPr>
        <w:footnoteRef/>
      </w:r>
      <w:r>
        <w:t xml:space="preserve"> </w:t>
      </w:r>
      <w:r>
        <w:rPr>
          <w:lang w:val="es-CO"/>
        </w:rPr>
        <w:t>Folio 175 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2E11" w:rsidRDefault="00CF2E11" w:rsidP="00CF2E11">
    <w:pPr>
      <w:pStyle w:val="Encabezado"/>
      <w:rPr>
        <w:i/>
        <w:sz w:val="18"/>
        <w:szCs w:val="18"/>
        <w:lang w:val="es-CO"/>
      </w:rPr>
    </w:pPr>
  </w:p>
  <w:p w:rsidR="00CF2E11" w:rsidRDefault="00CF2E11" w:rsidP="00CF2E11">
    <w:pPr>
      <w:pStyle w:val="Encabezado"/>
      <w:rPr>
        <w:i/>
        <w:sz w:val="18"/>
        <w:szCs w:val="18"/>
        <w:lang w:val="es-CO"/>
      </w:rPr>
    </w:pPr>
    <w:r>
      <w:rPr>
        <w:i/>
        <w:sz w:val="18"/>
        <w:szCs w:val="18"/>
        <w:lang w:val="es-CO"/>
      </w:rPr>
      <w:t>Tutela segunda instancia</w:t>
    </w:r>
  </w:p>
  <w:p w:rsidR="00CF2E11" w:rsidRPr="00496C98" w:rsidRDefault="00CF2E11" w:rsidP="00CF2E11">
    <w:pPr>
      <w:pStyle w:val="Encabezado"/>
      <w:rPr>
        <w:i/>
        <w:sz w:val="18"/>
        <w:szCs w:val="18"/>
        <w:lang w:val="es-CO"/>
      </w:rPr>
    </w:pPr>
    <w:r>
      <w:rPr>
        <w:i/>
        <w:sz w:val="18"/>
        <w:szCs w:val="18"/>
      </w:rPr>
      <w:t xml:space="preserve">Radicado número: </w:t>
    </w:r>
    <w:r w:rsidRPr="00585D28">
      <w:rPr>
        <w:i/>
        <w:sz w:val="18"/>
        <w:szCs w:val="18"/>
      </w:rPr>
      <w:t>110010102000201401356 01</w:t>
    </w:r>
  </w:p>
  <w:p w:rsidR="00CF2E11" w:rsidRDefault="00CF2E11">
    <w:pPr>
      <w:pStyle w:val="Encabezado"/>
    </w:pPr>
  </w:p>
  <w:p w:rsidR="00CF2E11" w:rsidRDefault="00CF2E11">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3F4177"/>
    <w:multiLevelType w:val="hybridMultilevel"/>
    <w:tmpl w:val="B0CAACD4"/>
    <w:lvl w:ilvl="0" w:tplc="EFF419D6">
      <w:start w:val="1"/>
      <w:numFmt w:val="upperRoman"/>
      <w:lvlText w:val="%1."/>
      <w:lvlJc w:val="left"/>
      <w:pPr>
        <w:ind w:left="1080" w:hanging="72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277A2BDA"/>
    <w:multiLevelType w:val="hybridMultilevel"/>
    <w:tmpl w:val="EB887F4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51D51EE5"/>
    <w:multiLevelType w:val="multilevel"/>
    <w:tmpl w:val="F2B6BCB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nsid w:val="6B334BE3"/>
    <w:multiLevelType w:val="hybridMultilevel"/>
    <w:tmpl w:val="3116A036"/>
    <w:lvl w:ilvl="0" w:tplc="240A0001">
      <w:start w:val="1"/>
      <w:numFmt w:val="bullet"/>
      <w:lvlText w:val=""/>
      <w:lvlJc w:val="left"/>
      <w:pPr>
        <w:ind w:left="1070" w:hanging="360"/>
      </w:pPr>
      <w:rPr>
        <w:rFonts w:ascii="Symbol" w:hAnsi="Symbol" w:hint="default"/>
      </w:rPr>
    </w:lvl>
    <w:lvl w:ilvl="1" w:tplc="240A0003" w:tentative="1">
      <w:start w:val="1"/>
      <w:numFmt w:val="bullet"/>
      <w:lvlText w:val="o"/>
      <w:lvlJc w:val="left"/>
      <w:pPr>
        <w:ind w:left="1790" w:hanging="360"/>
      </w:pPr>
      <w:rPr>
        <w:rFonts w:ascii="Courier New" w:hAnsi="Courier New" w:cs="Courier New" w:hint="default"/>
      </w:rPr>
    </w:lvl>
    <w:lvl w:ilvl="2" w:tplc="240A0005" w:tentative="1">
      <w:start w:val="1"/>
      <w:numFmt w:val="bullet"/>
      <w:lvlText w:val=""/>
      <w:lvlJc w:val="left"/>
      <w:pPr>
        <w:ind w:left="2510" w:hanging="360"/>
      </w:pPr>
      <w:rPr>
        <w:rFonts w:ascii="Wingdings" w:hAnsi="Wingdings" w:hint="default"/>
      </w:rPr>
    </w:lvl>
    <w:lvl w:ilvl="3" w:tplc="240A0001" w:tentative="1">
      <w:start w:val="1"/>
      <w:numFmt w:val="bullet"/>
      <w:lvlText w:val=""/>
      <w:lvlJc w:val="left"/>
      <w:pPr>
        <w:ind w:left="3230" w:hanging="360"/>
      </w:pPr>
      <w:rPr>
        <w:rFonts w:ascii="Symbol" w:hAnsi="Symbol" w:hint="default"/>
      </w:rPr>
    </w:lvl>
    <w:lvl w:ilvl="4" w:tplc="240A0003" w:tentative="1">
      <w:start w:val="1"/>
      <w:numFmt w:val="bullet"/>
      <w:lvlText w:val="o"/>
      <w:lvlJc w:val="left"/>
      <w:pPr>
        <w:ind w:left="3950" w:hanging="360"/>
      </w:pPr>
      <w:rPr>
        <w:rFonts w:ascii="Courier New" w:hAnsi="Courier New" w:cs="Courier New" w:hint="default"/>
      </w:rPr>
    </w:lvl>
    <w:lvl w:ilvl="5" w:tplc="240A0005" w:tentative="1">
      <w:start w:val="1"/>
      <w:numFmt w:val="bullet"/>
      <w:lvlText w:val=""/>
      <w:lvlJc w:val="left"/>
      <w:pPr>
        <w:ind w:left="4670" w:hanging="360"/>
      </w:pPr>
      <w:rPr>
        <w:rFonts w:ascii="Wingdings" w:hAnsi="Wingdings" w:hint="default"/>
      </w:rPr>
    </w:lvl>
    <w:lvl w:ilvl="6" w:tplc="240A0001" w:tentative="1">
      <w:start w:val="1"/>
      <w:numFmt w:val="bullet"/>
      <w:lvlText w:val=""/>
      <w:lvlJc w:val="left"/>
      <w:pPr>
        <w:ind w:left="5390" w:hanging="360"/>
      </w:pPr>
      <w:rPr>
        <w:rFonts w:ascii="Symbol" w:hAnsi="Symbol" w:hint="default"/>
      </w:rPr>
    </w:lvl>
    <w:lvl w:ilvl="7" w:tplc="240A0003" w:tentative="1">
      <w:start w:val="1"/>
      <w:numFmt w:val="bullet"/>
      <w:lvlText w:val="o"/>
      <w:lvlJc w:val="left"/>
      <w:pPr>
        <w:ind w:left="6110" w:hanging="360"/>
      </w:pPr>
      <w:rPr>
        <w:rFonts w:ascii="Courier New" w:hAnsi="Courier New" w:cs="Courier New" w:hint="default"/>
      </w:rPr>
    </w:lvl>
    <w:lvl w:ilvl="8" w:tplc="240A0005" w:tentative="1">
      <w:start w:val="1"/>
      <w:numFmt w:val="bullet"/>
      <w:lvlText w:val=""/>
      <w:lvlJc w:val="left"/>
      <w:pPr>
        <w:ind w:left="6830" w:hanging="360"/>
      </w:pPr>
      <w:rPr>
        <w:rFonts w:ascii="Wingdings" w:hAnsi="Wingdings" w:hint="default"/>
      </w:rPr>
    </w:lvl>
  </w:abstractNum>
  <w:abstractNum w:abstractNumId="4">
    <w:nsid w:val="6EB67970"/>
    <w:multiLevelType w:val="hybridMultilevel"/>
    <w:tmpl w:val="41C8FF18"/>
    <w:lvl w:ilvl="0" w:tplc="2B48F87C">
      <w:start w:val="1"/>
      <w:numFmt w:val="decimal"/>
      <w:lvlText w:val="%1."/>
      <w:lvlJc w:val="left"/>
      <w:pPr>
        <w:ind w:left="720" w:hanging="360"/>
      </w:pPr>
      <w:rPr>
        <w:rFonts w:eastAsia="Calibri"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nsid w:val="7D225DCC"/>
    <w:multiLevelType w:val="hybridMultilevel"/>
    <w:tmpl w:val="626E898E"/>
    <w:lvl w:ilvl="0" w:tplc="4384ABDA">
      <w:start w:val="1"/>
      <w:numFmt w:val="lowerLetter"/>
      <w:lvlText w:val="%1."/>
      <w:lvlJc w:val="left"/>
      <w:pPr>
        <w:ind w:left="360" w:hanging="360"/>
      </w:pPr>
      <w:rPr>
        <w:rFonts w:ascii="Arial" w:eastAsia="Calibri" w:hAnsi="Arial" w:cs="Arial" w:hint="default"/>
        <w:b/>
        <w:color w:val="000000"/>
        <w:sz w:val="24"/>
        <w:szCs w:val="24"/>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num w:numId="1">
    <w:abstractNumId w:val="2"/>
  </w:num>
  <w:num w:numId="2">
    <w:abstractNumId w:val="5"/>
  </w:num>
  <w:num w:numId="3">
    <w:abstractNumId w:val="0"/>
  </w:num>
  <w:num w:numId="4">
    <w:abstractNumId w:val="4"/>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1791"/>
    <w:rsid w:val="001E0F04"/>
    <w:rsid w:val="00213F1E"/>
    <w:rsid w:val="00831791"/>
    <w:rsid w:val="008E3B5D"/>
    <w:rsid w:val="00AB2090"/>
    <w:rsid w:val="00CF2E1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D45003F-63F0-4C58-8B4F-2832C84A4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2E11"/>
    <w:pPr>
      <w:spacing w:after="0" w:line="240" w:lineRule="auto"/>
      <w:jc w:val="both"/>
    </w:pPr>
    <w:rPr>
      <w:rFonts w:ascii="Arial" w:hAnsi="Arial" w:cs="Arial"/>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aliases w:val="FA Fu?notente"/>
    <w:basedOn w:val="Normal"/>
    <w:link w:val="TextonotapieCar"/>
    <w:uiPriority w:val="99"/>
    <w:unhideWhenUsed/>
    <w:rsid w:val="00CF2E11"/>
  </w:style>
  <w:style w:type="character" w:customStyle="1" w:styleId="TextonotapieCar">
    <w:name w:val="Texto nota pie Car"/>
    <w:aliases w:val="FA Fu?notente Car"/>
    <w:basedOn w:val="Fuentedeprrafopredeter"/>
    <w:link w:val="Textonotapie"/>
    <w:uiPriority w:val="99"/>
    <w:rsid w:val="00CF2E11"/>
    <w:rPr>
      <w:rFonts w:ascii="Arial" w:hAnsi="Arial" w:cs="Arial"/>
      <w:sz w:val="20"/>
      <w:szCs w:val="20"/>
    </w:rPr>
  </w:style>
  <w:style w:type="paragraph" w:styleId="Piedepgina">
    <w:name w:val="footer"/>
    <w:basedOn w:val="Normal"/>
    <w:link w:val="PiedepginaCar"/>
    <w:uiPriority w:val="99"/>
    <w:unhideWhenUsed/>
    <w:rsid w:val="00CF2E11"/>
    <w:pPr>
      <w:tabs>
        <w:tab w:val="center" w:pos="4252"/>
        <w:tab w:val="right" w:pos="8504"/>
      </w:tabs>
    </w:pPr>
  </w:style>
  <w:style w:type="character" w:customStyle="1" w:styleId="PiedepginaCar">
    <w:name w:val="Pie de página Car"/>
    <w:basedOn w:val="Fuentedeprrafopredeter"/>
    <w:link w:val="Piedepgina"/>
    <w:uiPriority w:val="99"/>
    <w:rsid w:val="00CF2E11"/>
    <w:rPr>
      <w:rFonts w:ascii="Arial" w:hAnsi="Arial" w:cs="Arial"/>
      <w:sz w:val="20"/>
      <w:szCs w:val="20"/>
    </w:rPr>
  </w:style>
  <w:style w:type="character" w:styleId="Refdenotaalpie">
    <w:name w:val="footnote reference"/>
    <w:aliases w:val="Texto de nota al pie,Appel note de bas de page,referencia nota al pie,Footnotes refss,Footnote number,BVI fnr,Fago Fußnotenzeichen,Ref. de nota al pie 2"/>
    <w:uiPriority w:val="99"/>
    <w:unhideWhenUsed/>
    <w:rsid w:val="00CF2E11"/>
    <w:rPr>
      <w:rFonts w:ascii="Times New Roman" w:hAnsi="Times New Roman" w:cs="Times New Roman" w:hint="default"/>
      <w:vertAlign w:val="superscript"/>
    </w:rPr>
  </w:style>
  <w:style w:type="paragraph" w:styleId="Prrafodelista">
    <w:name w:val="List Paragraph"/>
    <w:basedOn w:val="Normal"/>
    <w:uiPriority w:val="34"/>
    <w:qFormat/>
    <w:rsid w:val="00CF2E11"/>
    <w:pPr>
      <w:ind w:left="720"/>
      <w:contextualSpacing/>
    </w:pPr>
  </w:style>
  <w:style w:type="character" w:customStyle="1" w:styleId="apple-converted-space">
    <w:name w:val="apple-converted-space"/>
    <w:basedOn w:val="Fuentedeprrafopredeter"/>
    <w:rsid w:val="00CF2E11"/>
  </w:style>
  <w:style w:type="character" w:customStyle="1" w:styleId="apple-style-span">
    <w:name w:val="apple-style-span"/>
    <w:basedOn w:val="Fuentedeprrafopredeter"/>
    <w:rsid w:val="00CF2E11"/>
  </w:style>
  <w:style w:type="paragraph" w:styleId="Encabezado">
    <w:name w:val="header"/>
    <w:basedOn w:val="Normal"/>
    <w:link w:val="EncabezadoCar"/>
    <w:uiPriority w:val="99"/>
    <w:unhideWhenUsed/>
    <w:rsid w:val="00CF2E11"/>
    <w:pPr>
      <w:tabs>
        <w:tab w:val="center" w:pos="4252"/>
        <w:tab w:val="right" w:pos="8504"/>
      </w:tabs>
    </w:pPr>
  </w:style>
  <w:style w:type="character" w:customStyle="1" w:styleId="EncabezadoCar">
    <w:name w:val="Encabezado Car"/>
    <w:basedOn w:val="Fuentedeprrafopredeter"/>
    <w:link w:val="Encabezado"/>
    <w:uiPriority w:val="99"/>
    <w:rsid w:val="00CF2E11"/>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36</Pages>
  <Words>10548</Words>
  <Characters>58019</Characters>
  <Application>Microsoft Office Word</Application>
  <DocSecurity>4</DocSecurity>
  <Lines>483</Lines>
  <Paragraphs>136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68431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Marcela Rodriguez Vargas</dc:creator>
  <cp:keywords/>
  <dc:description/>
  <cp:lastModifiedBy>Ivan Vasquez Ramirez</cp:lastModifiedBy>
  <cp:revision>2</cp:revision>
  <dcterms:created xsi:type="dcterms:W3CDTF">2014-12-10T15:10:00Z</dcterms:created>
  <dcterms:modified xsi:type="dcterms:W3CDTF">2014-12-10T15:10:00Z</dcterms:modified>
</cp:coreProperties>
</file>