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D10" w:rsidRPr="0022719B" w:rsidRDefault="007F6D10" w:rsidP="007F6D10">
      <w:pPr>
        <w:jc w:val="center"/>
        <w:rPr>
          <w:rFonts w:eastAsia="Times New Roman"/>
          <w:b/>
          <w:color w:val="000000"/>
          <w:sz w:val="24"/>
          <w:szCs w:val="24"/>
          <w:lang w:val="es-CO" w:eastAsia="es-ES"/>
        </w:rPr>
      </w:pPr>
      <w:r w:rsidRPr="0022719B">
        <w:rPr>
          <w:rFonts w:eastAsia="Times New Roman"/>
          <w:b/>
          <w:color w:val="000000"/>
          <w:sz w:val="24"/>
          <w:szCs w:val="24"/>
          <w:lang w:val="es-CO" w:eastAsia="es-ES"/>
        </w:rPr>
        <w:t>REPÚBLICA DE COLOMBIA</w:t>
      </w:r>
    </w:p>
    <w:p w:rsidR="007F6D10" w:rsidRPr="0022719B" w:rsidRDefault="007F6D10" w:rsidP="007F6D10">
      <w:pPr>
        <w:tabs>
          <w:tab w:val="center" w:pos="4765"/>
        </w:tabs>
        <w:suppressAutoHyphens/>
        <w:jc w:val="center"/>
        <w:rPr>
          <w:rFonts w:eastAsia="Times New Roman"/>
          <w:b/>
          <w:color w:val="000000"/>
          <w:sz w:val="24"/>
          <w:szCs w:val="24"/>
          <w:lang w:val="es-CO" w:eastAsia="es-ES"/>
        </w:rPr>
      </w:pPr>
      <w:r w:rsidRPr="0022719B">
        <w:rPr>
          <w:rFonts w:eastAsia="Times New Roman"/>
          <w:b/>
          <w:color w:val="000000"/>
          <w:sz w:val="24"/>
          <w:szCs w:val="24"/>
          <w:lang w:val="es-CO" w:eastAsia="es-ES"/>
        </w:rPr>
        <w:t>RAMA JUDICIAL</w:t>
      </w:r>
    </w:p>
    <w:p w:rsidR="007F6D10" w:rsidRPr="0022719B" w:rsidRDefault="007F6D10" w:rsidP="007F6D10">
      <w:pPr>
        <w:ind w:firstLine="708"/>
        <w:jc w:val="center"/>
        <w:rPr>
          <w:rFonts w:eastAsia="Times New Roman"/>
          <w:noProof/>
          <w:color w:val="000000"/>
          <w:sz w:val="24"/>
          <w:szCs w:val="24"/>
          <w:lang w:eastAsia="es-ES"/>
        </w:rPr>
      </w:pPr>
      <w:r w:rsidRPr="0022719B">
        <w:rPr>
          <w:rFonts w:eastAsia="Times New Roman"/>
          <w:noProof/>
          <w:color w:val="000000"/>
          <w:sz w:val="24"/>
          <w:szCs w:val="24"/>
          <w:lang w:eastAsia="es-ES"/>
        </w:rPr>
        <w:drawing>
          <wp:inline distT="0" distB="0" distL="0" distR="0" wp14:anchorId="266E24D9" wp14:editId="6A884F27">
            <wp:extent cx="629285" cy="7454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285" cy="745490"/>
                    </a:xfrm>
                    <a:prstGeom prst="rect">
                      <a:avLst/>
                    </a:prstGeom>
                    <a:noFill/>
                    <a:ln>
                      <a:noFill/>
                    </a:ln>
                  </pic:spPr>
                </pic:pic>
              </a:graphicData>
            </a:graphic>
          </wp:inline>
        </w:drawing>
      </w:r>
    </w:p>
    <w:p w:rsidR="007F6D10" w:rsidRPr="0022719B" w:rsidRDefault="007F6D10" w:rsidP="007F6D10">
      <w:pPr>
        <w:tabs>
          <w:tab w:val="left" w:pos="-720"/>
        </w:tabs>
        <w:suppressAutoHyphens/>
        <w:jc w:val="center"/>
        <w:rPr>
          <w:rFonts w:eastAsia="Times New Roman"/>
          <w:b/>
          <w:color w:val="000000"/>
          <w:sz w:val="24"/>
          <w:szCs w:val="24"/>
          <w:lang w:val="es-CO" w:eastAsia="es-ES"/>
        </w:rPr>
      </w:pPr>
      <w:r w:rsidRPr="0022719B">
        <w:rPr>
          <w:rFonts w:eastAsia="Times New Roman"/>
          <w:b/>
          <w:color w:val="000000"/>
          <w:sz w:val="24"/>
          <w:szCs w:val="24"/>
          <w:lang w:val="es-CO" w:eastAsia="es-ES"/>
        </w:rPr>
        <w:t>CONSEJO SUPERIOR DE LA JUDICATURA</w:t>
      </w:r>
    </w:p>
    <w:p w:rsidR="007F6D10" w:rsidRPr="0022719B" w:rsidRDefault="007F6D10" w:rsidP="007F6D10">
      <w:pPr>
        <w:jc w:val="center"/>
        <w:rPr>
          <w:rFonts w:eastAsia="Times New Roman"/>
          <w:b/>
          <w:color w:val="000000"/>
          <w:sz w:val="24"/>
          <w:szCs w:val="24"/>
          <w:lang w:val="es-CO" w:eastAsia="es-ES"/>
        </w:rPr>
      </w:pPr>
      <w:r w:rsidRPr="0022719B">
        <w:rPr>
          <w:rFonts w:eastAsia="Times New Roman"/>
          <w:b/>
          <w:color w:val="000000"/>
          <w:sz w:val="24"/>
          <w:szCs w:val="24"/>
          <w:lang w:val="es-CO" w:eastAsia="es-ES"/>
        </w:rPr>
        <w:t>SALA JURISDICCIONAL DISCIPLINARIA</w:t>
      </w:r>
    </w:p>
    <w:p w:rsidR="007F6D10" w:rsidRPr="0022719B" w:rsidRDefault="007F6D10" w:rsidP="007F6D10">
      <w:pPr>
        <w:jc w:val="center"/>
        <w:rPr>
          <w:rFonts w:eastAsia="Times New Roman"/>
          <w:b/>
          <w:color w:val="000000"/>
          <w:sz w:val="24"/>
          <w:szCs w:val="24"/>
          <w:lang w:val="es-CO" w:eastAsia="es-ES"/>
        </w:rPr>
      </w:pPr>
    </w:p>
    <w:p w:rsidR="007F6D10" w:rsidRPr="00D36349" w:rsidRDefault="007F6D10" w:rsidP="007F6D10">
      <w:pPr>
        <w:spacing w:line="360" w:lineRule="auto"/>
        <w:rPr>
          <w:b/>
          <w:bCs/>
        </w:rPr>
      </w:pPr>
      <w:r>
        <w:rPr>
          <w:b/>
          <w:bCs/>
        </w:rPr>
        <w:t xml:space="preserve">Bogotá D. C., veintiséis 26 </w:t>
      </w:r>
      <w:r w:rsidRPr="00D36349">
        <w:rPr>
          <w:b/>
          <w:bCs/>
        </w:rPr>
        <w:t xml:space="preserve">de </w:t>
      </w:r>
      <w:r>
        <w:rPr>
          <w:b/>
          <w:bCs/>
        </w:rPr>
        <w:t>junio</w:t>
      </w:r>
      <w:r w:rsidRPr="00D36349">
        <w:rPr>
          <w:b/>
          <w:bCs/>
        </w:rPr>
        <w:t xml:space="preserve"> de 2014</w:t>
      </w:r>
    </w:p>
    <w:p w:rsidR="007F6D10" w:rsidRPr="00D36349" w:rsidRDefault="007F6D10" w:rsidP="007F6D10">
      <w:pPr>
        <w:spacing w:line="360" w:lineRule="auto"/>
        <w:rPr>
          <w:b/>
          <w:bCs/>
        </w:rPr>
      </w:pPr>
      <w:r w:rsidRPr="00D36349">
        <w:rPr>
          <w:b/>
          <w:bCs/>
        </w:rPr>
        <w:t xml:space="preserve">Magistrado Ponente: Dr. </w:t>
      </w:r>
      <w:r w:rsidRPr="00215ADC">
        <w:rPr>
          <w:b/>
          <w:bCs/>
        </w:rPr>
        <w:t>NÉSTOR IVÁ</w:t>
      </w:r>
      <w:r w:rsidRPr="00D36349">
        <w:rPr>
          <w:b/>
          <w:bCs/>
        </w:rPr>
        <w:t>N JAVIER OSUNA PATIÑO</w:t>
      </w:r>
    </w:p>
    <w:p w:rsidR="007F6D10" w:rsidRPr="003F417B" w:rsidRDefault="007F6D10" w:rsidP="007F6D10">
      <w:pPr>
        <w:spacing w:line="360" w:lineRule="auto"/>
        <w:rPr>
          <w:b/>
          <w:bCs/>
        </w:rPr>
      </w:pPr>
      <w:r w:rsidRPr="003F417B">
        <w:rPr>
          <w:b/>
          <w:bCs/>
        </w:rPr>
        <w:t>Radicado: 110010102000201302741 00</w:t>
      </w:r>
    </w:p>
    <w:p w:rsidR="007F6D10" w:rsidRPr="00D36349" w:rsidRDefault="007F6D10" w:rsidP="007F6D10">
      <w:pPr>
        <w:spacing w:line="360" w:lineRule="auto"/>
        <w:rPr>
          <w:b/>
          <w:bCs/>
        </w:rPr>
      </w:pPr>
      <w:r w:rsidRPr="00D36349">
        <w:rPr>
          <w:b/>
          <w:bCs/>
        </w:rPr>
        <w:t xml:space="preserve">Registro proyecto: </w:t>
      </w:r>
      <w:r>
        <w:rPr>
          <w:b/>
          <w:bCs/>
        </w:rPr>
        <w:t xml:space="preserve">24 </w:t>
      </w:r>
      <w:r w:rsidRPr="00D36349">
        <w:rPr>
          <w:b/>
          <w:bCs/>
        </w:rPr>
        <w:t xml:space="preserve">de </w:t>
      </w:r>
      <w:r>
        <w:rPr>
          <w:b/>
          <w:bCs/>
        </w:rPr>
        <w:t>junio</w:t>
      </w:r>
      <w:r w:rsidRPr="00D36349">
        <w:rPr>
          <w:b/>
          <w:bCs/>
        </w:rPr>
        <w:t xml:space="preserve"> de 2014</w:t>
      </w:r>
    </w:p>
    <w:p w:rsidR="007F6D10" w:rsidRPr="00D36349" w:rsidRDefault="007F6D10" w:rsidP="007F6D10">
      <w:pPr>
        <w:spacing w:line="360" w:lineRule="auto"/>
        <w:rPr>
          <w:b/>
          <w:bCs/>
        </w:rPr>
      </w:pPr>
      <w:r w:rsidRPr="00D36349">
        <w:rPr>
          <w:b/>
          <w:bCs/>
        </w:rPr>
        <w:t xml:space="preserve">Aprobado según Acta N° </w:t>
      </w:r>
      <w:r>
        <w:rPr>
          <w:b/>
          <w:bCs/>
        </w:rPr>
        <w:t>47 de 26</w:t>
      </w:r>
      <w:r w:rsidRPr="00D36349">
        <w:rPr>
          <w:b/>
          <w:bCs/>
        </w:rPr>
        <w:t xml:space="preserve"> de </w:t>
      </w:r>
      <w:r>
        <w:rPr>
          <w:b/>
          <w:bCs/>
        </w:rPr>
        <w:t>junio</w:t>
      </w:r>
      <w:r w:rsidRPr="00D36349">
        <w:rPr>
          <w:b/>
          <w:bCs/>
        </w:rPr>
        <w:t xml:space="preserve"> de 2014</w:t>
      </w:r>
    </w:p>
    <w:p w:rsidR="007F6D10" w:rsidRPr="0022719B" w:rsidRDefault="007F6D10" w:rsidP="007F6D10">
      <w:pPr>
        <w:tabs>
          <w:tab w:val="center" w:pos="4166"/>
          <w:tab w:val="left" w:pos="6930"/>
        </w:tabs>
        <w:suppressAutoHyphens/>
        <w:outlineLvl w:val="0"/>
        <w:rPr>
          <w:rFonts w:eastAsia="Times New Roman"/>
          <w:b/>
          <w:bCs/>
          <w:iCs/>
          <w:color w:val="000000"/>
          <w:spacing w:val="-3"/>
          <w:sz w:val="24"/>
          <w:szCs w:val="24"/>
          <w:lang w:val="es-CO" w:eastAsia="es-ES"/>
        </w:rPr>
      </w:pPr>
    </w:p>
    <w:p w:rsidR="007F6D10" w:rsidRPr="0022719B" w:rsidRDefault="007F6D10" w:rsidP="007F6D10">
      <w:pPr>
        <w:rPr>
          <w:rFonts w:eastAsia="Times New Roman"/>
          <w:color w:val="000000"/>
          <w:sz w:val="24"/>
          <w:szCs w:val="24"/>
          <w:lang w:val="es-CO" w:eastAsia="es-CO"/>
        </w:rPr>
      </w:pPr>
    </w:p>
    <w:tbl>
      <w:tblPr>
        <w:tblpPr w:leftFromText="141" w:rightFromText="141" w:vertAnchor="text" w:horzAnchor="margin" w:tblpXSpec="right" w:tblpY="36"/>
        <w:tblW w:w="5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3404"/>
      </w:tblGrid>
      <w:tr w:rsidR="007F6D10" w:rsidRPr="0022719B" w:rsidTr="008E5F8B">
        <w:trPr>
          <w:trHeight w:val="379"/>
        </w:trPr>
        <w:tc>
          <w:tcPr>
            <w:tcW w:w="1982" w:type="dxa"/>
            <w:vAlign w:val="center"/>
          </w:tcPr>
          <w:p w:rsidR="007F6D10" w:rsidRPr="009E077D" w:rsidRDefault="007F6D10" w:rsidP="008E5F8B">
            <w:pPr>
              <w:tabs>
                <w:tab w:val="left" w:pos="0"/>
              </w:tabs>
              <w:ind w:right="-91"/>
              <w:rPr>
                <w:rFonts w:eastAsia="Times New Roman"/>
                <w:color w:val="000000"/>
                <w:lang w:eastAsia="es-ES"/>
              </w:rPr>
            </w:pPr>
            <w:r w:rsidRPr="009E077D">
              <w:rPr>
                <w:rFonts w:eastAsia="Times New Roman"/>
                <w:color w:val="000000"/>
                <w:lang w:eastAsia="es-ES"/>
              </w:rPr>
              <w:t>Referencia:</w:t>
            </w:r>
          </w:p>
        </w:tc>
        <w:tc>
          <w:tcPr>
            <w:tcW w:w="3404" w:type="dxa"/>
            <w:vAlign w:val="center"/>
          </w:tcPr>
          <w:p w:rsidR="007F6D10" w:rsidRPr="009E077D" w:rsidRDefault="007F6D10" w:rsidP="008E5F8B">
            <w:pPr>
              <w:tabs>
                <w:tab w:val="left" w:pos="0"/>
              </w:tabs>
              <w:ind w:right="-91"/>
              <w:rPr>
                <w:rFonts w:eastAsia="Times New Roman"/>
                <w:color w:val="000000"/>
                <w:lang w:eastAsia="es-ES"/>
              </w:rPr>
            </w:pPr>
            <w:r w:rsidRPr="009E077D">
              <w:rPr>
                <w:rFonts w:eastAsia="Times New Roman"/>
                <w:color w:val="000000"/>
                <w:lang w:eastAsia="es-ES"/>
              </w:rPr>
              <w:t>Conflicto entre jurisdicción ordinaria e indígena</w:t>
            </w:r>
          </w:p>
        </w:tc>
      </w:tr>
      <w:tr w:rsidR="007F6D10" w:rsidRPr="0022719B" w:rsidTr="008E5F8B">
        <w:trPr>
          <w:trHeight w:val="418"/>
        </w:trPr>
        <w:tc>
          <w:tcPr>
            <w:tcW w:w="1982" w:type="dxa"/>
            <w:vAlign w:val="center"/>
          </w:tcPr>
          <w:p w:rsidR="007F6D10" w:rsidRPr="009E077D" w:rsidRDefault="007F6D10" w:rsidP="008E5F8B">
            <w:pPr>
              <w:tabs>
                <w:tab w:val="left" w:pos="0"/>
              </w:tabs>
              <w:ind w:right="-91"/>
              <w:rPr>
                <w:rFonts w:eastAsia="Times New Roman"/>
                <w:color w:val="000000"/>
                <w:lang w:eastAsia="es-ES"/>
              </w:rPr>
            </w:pPr>
            <w:r w:rsidRPr="009E077D">
              <w:rPr>
                <w:rFonts w:eastAsia="Times New Roman"/>
                <w:color w:val="000000"/>
                <w:lang w:eastAsia="es-ES"/>
              </w:rPr>
              <w:t>Inculpado:</w:t>
            </w:r>
          </w:p>
        </w:tc>
        <w:tc>
          <w:tcPr>
            <w:tcW w:w="3404" w:type="dxa"/>
            <w:vAlign w:val="center"/>
          </w:tcPr>
          <w:p w:rsidR="007F6D10" w:rsidRPr="009E077D" w:rsidRDefault="007F6D10" w:rsidP="008E5F8B">
            <w:pPr>
              <w:tabs>
                <w:tab w:val="left" w:pos="0"/>
              </w:tabs>
              <w:ind w:right="-91"/>
              <w:rPr>
                <w:rFonts w:eastAsia="Times New Roman"/>
                <w:color w:val="000000"/>
                <w:lang w:eastAsia="es-ES"/>
              </w:rPr>
            </w:pPr>
            <w:r w:rsidRPr="009E077D">
              <w:rPr>
                <w:rFonts w:eastAsia="Times New Roman"/>
                <w:lang w:val="es-ES_tradnl" w:eastAsia="es-ES"/>
              </w:rPr>
              <w:t xml:space="preserve">Francisco </w:t>
            </w:r>
            <w:proofErr w:type="spellStart"/>
            <w:r w:rsidRPr="009E077D">
              <w:rPr>
                <w:rFonts w:eastAsia="Times New Roman"/>
                <w:lang w:val="es-ES_tradnl" w:eastAsia="es-ES"/>
              </w:rPr>
              <w:t>Dosanto</w:t>
            </w:r>
            <w:proofErr w:type="spellEnd"/>
            <w:r w:rsidRPr="009E077D">
              <w:rPr>
                <w:rFonts w:eastAsia="Times New Roman"/>
                <w:lang w:val="es-ES_tradnl" w:eastAsia="es-ES"/>
              </w:rPr>
              <w:t xml:space="preserve"> </w:t>
            </w:r>
            <w:proofErr w:type="spellStart"/>
            <w:r w:rsidRPr="009E077D">
              <w:rPr>
                <w:rFonts w:eastAsia="Times New Roman"/>
                <w:lang w:val="es-ES_tradnl" w:eastAsia="es-ES"/>
              </w:rPr>
              <w:t>Aragao</w:t>
            </w:r>
            <w:proofErr w:type="spellEnd"/>
          </w:p>
        </w:tc>
      </w:tr>
      <w:tr w:rsidR="007F6D10" w:rsidRPr="0022719B" w:rsidTr="008E5F8B">
        <w:trPr>
          <w:trHeight w:val="282"/>
        </w:trPr>
        <w:tc>
          <w:tcPr>
            <w:tcW w:w="1982" w:type="dxa"/>
            <w:vAlign w:val="center"/>
          </w:tcPr>
          <w:p w:rsidR="007F6D10" w:rsidRPr="009E077D" w:rsidRDefault="007F6D10" w:rsidP="008E5F8B">
            <w:pPr>
              <w:tabs>
                <w:tab w:val="left" w:pos="0"/>
              </w:tabs>
              <w:ind w:right="-91"/>
              <w:rPr>
                <w:rFonts w:eastAsia="Times New Roman"/>
                <w:color w:val="000000"/>
                <w:lang w:eastAsia="es-ES"/>
              </w:rPr>
            </w:pPr>
            <w:r w:rsidRPr="009E077D">
              <w:rPr>
                <w:rFonts w:eastAsia="Times New Roman"/>
                <w:color w:val="000000"/>
                <w:lang w:eastAsia="es-ES"/>
              </w:rPr>
              <w:t>Delito:</w:t>
            </w:r>
          </w:p>
        </w:tc>
        <w:tc>
          <w:tcPr>
            <w:tcW w:w="3404" w:type="dxa"/>
            <w:vAlign w:val="center"/>
          </w:tcPr>
          <w:p w:rsidR="007F6D10" w:rsidRPr="009E077D" w:rsidRDefault="007F6D10" w:rsidP="008E5F8B">
            <w:pPr>
              <w:tabs>
                <w:tab w:val="left" w:pos="0"/>
              </w:tabs>
              <w:ind w:right="-91"/>
              <w:rPr>
                <w:rFonts w:eastAsia="Times New Roman"/>
                <w:color w:val="000000"/>
                <w:lang w:eastAsia="es-ES"/>
              </w:rPr>
            </w:pPr>
            <w:r w:rsidRPr="009E077D">
              <w:rPr>
                <w:rFonts w:eastAsia="Times New Roman"/>
                <w:color w:val="000000"/>
                <w:lang w:eastAsia="es-ES"/>
              </w:rPr>
              <w:t xml:space="preserve">Acceso carnal violento agravado </w:t>
            </w:r>
          </w:p>
        </w:tc>
      </w:tr>
      <w:tr w:rsidR="007F6D10" w:rsidRPr="0022719B" w:rsidTr="008E5F8B">
        <w:trPr>
          <w:trHeight w:val="380"/>
        </w:trPr>
        <w:tc>
          <w:tcPr>
            <w:tcW w:w="1982" w:type="dxa"/>
            <w:vAlign w:val="center"/>
          </w:tcPr>
          <w:p w:rsidR="007F6D10" w:rsidRPr="009E077D" w:rsidRDefault="007F6D10" w:rsidP="008E5F8B">
            <w:pPr>
              <w:tabs>
                <w:tab w:val="left" w:pos="0"/>
              </w:tabs>
              <w:ind w:right="-91"/>
              <w:rPr>
                <w:rFonts w:eastAsia="Times New Roman"/>
                <w:color w:val="000000"/>
                <w:lang w:eastAsia="es-ES"/>
              </w:rPr>
            </w:pPr>
            <w:r w:rsidRPr="009E077D">
              <w:rPr>
                <w:rFonts w:eastAsia="Times New Roman"/>
                <w:color w:val="000000"/>
                <w:lang w:eastAsia="es-ES"/>
              </w:rPr>
              <w:t>Decisión:</w:t>
            </w:r>
          </w:p>
        </w:tc>
        <w:tc>
          <w:tcPr>
            <w:tcW w:w="3404" w:type="dxa"/>
            <w:vAlign w:val="center"/>
          </w:tcPr>
          <w:p w:rsidR="007F6D10" w:rsidRPr="009E077D" w:rsidRDefault="007F6D10" w:rsidP="008E5F8B">
            <w:pPr>
              <w:tabs>
                <w:tab w:val="left" w:pos="0"/>
              </w:tabs>
              <w:ind w:right="-91"/>
              <w:rPr>
                <w:rFonts w:eastAsia="Times New Roman"/>
                <w:color w:val="000000"/>
                <w:lang w:eastAsia="es-ES"/>
              </w:rPr>
            </w:pPr>
            <w:r w:rsidRPr="009E077D">
              <w:rPr>
                <w:rFonts w:eastAsia="Times New Roman"/>
                <w:color w:val="000000"/>
                <w:lang w:eastAsia="es-ES"/>
              </w:rPr>
              <w:t>Asigna a la jurisdicción penal ordinaria</w:t>
            </w:r>
          </w:p>
        </w:tc>
      </w:tr>
    </w:tbl>
    <w:p w:rsidR="007F6D10" w:rsidRPr="0022719B" w:rsidRDefault="007F6D10" w:rsidP="007F6D10">
      <w:pPr>
        <w:spacing w:line="360" w:lineRule="auto"/>
        <w:rPr>
          <w:rFonts w:eastAsia="Times New Roman"/>
          <w:color w:val="000000"/>
          <w:sz w:val="24"/>
          <w:szCs w:val="24"/>
          <w:lang w:val="es-CO" w:eastAsia="es-CO"/>
        </w:rPr>
      </w:pPr>
    </w:p>
    <w:p w:rsidR="007F6D10" w:rsidRPr="0022719B" w:rsidRDefault="007F6D10" w:rsidP="007F6D10">
      <w:pPr>
        <w:spacing w:line="360" w:lineRule="auto"/>
        <w:rPr>
          <w:rFonts w:eastAsia="Times New Roman"/>
          <w:color w:val="000000"/>
          <w:sz w:val="24"/>
          <w:szCs w:val="24"/>
          <w:lang w:val="es-CO" w:eastAsia="es-CO"/>
        </w:rPr>
      </w:pPr>
    </w:p>
    <w:p w:rsidR="007F6D10" w:rsidRPr="0022719B" w:rsidRDefault="007F6D10" w:rsidP="007F6D10">
      <w:pPr>
        <w:spacing w:line="360" w:lineRule="auto"/>
        <w:rPr>
          <w:rFonts w:eastAsia="Times New Roman"/>
          <w:color w:val="000000"/>
          <w:sz w:val="24"/>
          <w:szCs w:val="24"/>
          <w:lang w:val="es-CO" w:eastAsia="es-CO"/>
        </w:rPr>
      </w:pPr>
    </w:p>
    <w:p w:rsidR="007F6D10" w:rsidRPr="0022719B" w:rsidRDefault="007F6D10" w:rsidP="007F6D10">
      <w:pPr>
        <w:spacing w:line="360" w:lineRule="auto"/>
        <w:rPr>
          <w:rFonts w:eastAsia="Times New Roman"/>
          <w:color w:val="000000"/>
          <w:sz w:val="24"/>
          <w:szCs w:val="24"/>
          <w:lang w:val="es-CO" w:eastAsia="es-CO"/>
        </w:rPr>
      </w:pPr>
    </w:p>
    <w:p w:rsidR="007F6D10" w:rsidRPr="0022719B" w:rsidRDefault="007F6D10" w:rsidP="007F6D10">
      <w:pPr>
        <w:spacing w:line="360" w:lineRule="auto"/>
        <w:rPr>
          <w:rFonts w:eastAsia="Times New Roman"/>
          <w:color w:val="000000"/>
          <w:sz w:val="24"/>
          <w:szCs w:val="24"/>
          <w:lang w:val="es-CO" w:eastAsia="es-CO"/>
        </w:rPr>
      </w:pPr>
    </w:p>
    <w:p w:rsidR="007F6D10" w:rsidRPr="0022719B" w:rsidRDefault="007F6D10" w:rsidP="007F6D10">
      <w:pPr>
        <w:spacing w:line="360" w:lineRule="auto"/>
        <w:rPr>
          <w:rFonts w:eastAsia="Times New Roman"/>
          <w:color w:val="000000"/>
          <w:sz w:val="24"/>
          <w:szCs w:val="24"/>
          <w:lang w:val="es-CO" w:eastAsia="es-CO"/>
        </w:rPr>
      </w:pPr>
    </w:p>
    <w:p w:rsidR="007F6D10" w:rsidRPr="0022719B" w:rsidRDefault="007F6D10" w:rsidP="007F6D10">
      <w:pPr>
        <w:keepNext/>
        <w:keepLines/>
        <w:numPr>
          <w:ilvl w:val="0"/>
          <w:numId w:val="1"/>
        </w:numPr>
        <w:autoSpaceDE w:val="0"/>
        <w:autoSpaceDN w:val="0"/>
        <w:adjustRightInd w:val="0"/>
        <w:spacing w:before="360" w:after="360" w:line="360" w:lineRule="auto"/>
        <w:jc w:val="center"/>
        <w:outlineLvl w:val="0"/>
        <w:rPr>
          <w:rFonts w:eastAsia="Times New Roman"/>
          <w:b/>
          <w:bCs/>
          <w:sz w:val="24"/>
          <w:szCs w:val="24"/>
          <w:lang w:val="es-ES_tradnl" w:eastAsia="es-CO"/>
        </w:rPr>
      </w:pPr>
      <w:r>
        <w:rPr>
          <w:rFonts w:eastAsia="Times New Roman"/>
          <w:b/>
          <w:bCs/>
          <w:sz w:val="24"/>
          <w:szCs w:val="24"/>
          <w:lang w:val="es-ES_tradnl" w:eastAsia="es-CO"/>
        </w:rPr>
        <w:t>OBJETO DE LA DECISIÓN</w:t>
      </w:r>
    </w:p>
    <w:p w:rsidR="007F6D10" w:rsidRPr="0022719B" w:rsidRDefault="007F6D10" w:rsidP="007F6D10">
      <w:pPr>
        <w:spacing w:line="360" w:lineRule="auto"/>
        <w:rPr>
          <w:rFonts w:eastAsia="Times New Roman"/>
          <w:sz w:val="24"/>
          <w:szCs w:val="24"/>
          <w:lang w:val="es-ES_tradnl" w:eastAsia="es-ES"/>
        </w:rPr>
      </w:pPr>
      <w:r w:rsidRPr="0022719B">
        <w:rPr>
          <w:rFonts w:eastAsia="Times New Roman"/>
          <w:sz w:val="24"/>
          <w:szCs w:val="24"/>
          <w:lang w:val="es-ES_tradnl" w:eastAsia="es-ES"/>
        </w:rPr>
        <w:t>Procede la Sala a dirimir el conflicto positivo de jurisdicciones suscitado entre la justicia penal ordinaria, en cabeza del Fiscal 33 Seccional de Inírida</w:t>
      </w:r>
      <w:r>
        <w:rPr>
          <w:rFonts w:eastAsia="Times New Roman"/>
          <w:sz w:val="24"/>
          <w:szCs w:val="24"/>
          <w:lang w:val="es-ES_tradnl" w:eastAsia="es-ES"/>
        </w:rPr>
        <w:t>,</w:t>
      </w:r>
      <w:r w:rsidRPr="0022719B">
        <w:rPr>
          <w:rFonts w:eastAsia="Times New Roman"/>
          <w:sz w:val="24"/>
          <w:szCs w:val="24"/>
          <w:lang w:val="es-ES_tradnl" w:eastAsia="es-ES"/>
        </w:rPr>
        <w:t xml:space="preserve"> y la comunidad indígena de Galilea (Guainía)</w:t>
      </w:r>
      <w:r w:rsidRPr="0022719B">
        <w:rPr>
          <w:rFonts w:eastAsia="Times New Roman"/>
          <w:i/>
          <w:sz w:val="24"/>
          <w:szCs w:val="24"/>
          <w:lang w:val="es-ES_tradnl" w:eastAsia="es-ES"/>
        </w:rPr>
        <w:t xml:space="preserve">, </w:t>
      </w:r>
      <w:r w:rsidRPr="0022719B">
        <w:rPr>
          <w:rFonts w:eastAsia="Times New Roman"/>
          <w:sz w:val="24"/>
          <w:szCs w:val="24"/>
          <w:lang w:val="es-ES_tradnl" w:eastAsia="es-ES"/>
        </w:rPr>
        <w:t xml:space="preserve">con ocasión de la investigación penal que se adelanta frente al delito acceso carnal violento con menor de 14 años, presuntamente cometido por el señor Francisco </w:t>
      </w:r>
      <w:proofErr w:type="spellStart"/>
      <w:r w:rsidRPr="0022719B">
        <w:rPr>
          <w:rFonts w:eastAsia="Times New Roman"/>
          <w:sz w:val="24"/>
          <w:szCs w:val="24"/>
          <w:lang w:val="es-ES_tradnl" w:eastAsia="es-ES"/>
        </w:rPr>
        <w:t>Dosanto</w:t>
      </w:r>
      <w:proofErr w:type="spellEnd"/>
      <w:r w:rsidRPr="0022719B">
        <w:rPr>
          <w:rFonts w:eastAsia="Times New Roman"/>
          <w:sz w:val="24"/>
          <w:szCs w:val="24"/>
          <w:lang w:val="es-ES_tradnl" w:eastAsia="es-ES"/>
        </w:rPr>
        <w:t xml:space="preserve"> </w:t>
      </w:r>
      <w:proofErr w:type="spellStart"/>
      <w:r w:rsidRPr="0022719B">
        <w:rPr>
          <w:rFonts w:eastAsia="Times New Roman"/>
          <w:sz w:val="24"/>
          <w:szCs w:val="24"/>
          <w:lang w:val="es-ES_tradnl" w:eastAsia="es-ES"/>
        </w:rPr>
        <w:t>Aragao</w:t>
      </w:r>
      <w:proofErr w:type="spellEnd"/>
      <w:r w:rsidRPr="0022719B">
        <w:rPr>
          <w:rFonts w:eastAsia="Times New Roman"/>
          <w:sz w:val="24"/>
          <w:szCs w:val="24"/>
          <w:lang w:val="es-ES_tradnl" w:eastAsia="es-ES"/>
        </w:rPr>
        <w:t xml:space="preserve">. </w:t>
      </w:r>
    </w:p>
    <w:p w:rsidR="007F6D10" w:rsidRPr="0022719B" w:rsidRDefault="007F6D10" w:rsidP="007F6D10">
      <w:pPr>
        <w:keepNext/>
        <w:keepLines/>
        <w:numPr>
          <w:ilvl w:val="0"/>
          <w:numId w:val="1"/>
        </w:numPr>
        <w:autoSpaceDE w:val="0"/>
        <w:autoSpaceDN w:val="0"/>
        <w:adjustRightInd w:val="0"/>
        <w:spacing w:before="360" w:after="360" w:line="360" w:lineRule="auto"/>
        <w:jc w:val="center"/>
        <w:outlineLvl w:val="0"/>
        <w:rPr>
          <w:rFonts w:eastAsia="Times New Roman"/>
          <w:b/>
          <w:bCs/>
          <w:sz w:val="24"/>
          <w:szCs w:val="24"/>
          <w:lang w:val="es-ES_tradnl" w:eastAsia="es-CO"/>
        </w:rPr>
      </w:pPr>
      <w:r w:rsidRPr="0022719B">
        <w:rPr>
          <w:rFonts w:eastAsia="Times New Roman"/>
          <w:b/>
          <w:bCs/>
          <w:sz w:val="24"/>
          <w:szCs w:val="24"/>
          <w:lang w:val="es-ES_tradnl" w:eastAsia="es-CO"/>
        </w:rPr>
        <w:t>HECHOS Y ACTUACIONES</w:t>
      </w:r>
    </w:p>
    <w:p w:rsidR="007F6D10" w:rsidRPr="0022719B" w:rsidRDefault="007F6D10" w:rsidP="007F6D10">
      <w:pPr>
        <w:spacing w:line="360" w:lineRule="auto"/>
        <w:rPr>
          <w:rFonts w:eastAsia="Times New Roman"/>
          <w:sz w:val="24"/>
          <w:szCs w:val="24"/>
          <w:lang w:val="es-ES_tradnl" w:eastAsia="es-CO"/>
        </w:rPr>
      </w:pPr>
      <w:r w:rsidRPr="0022719B">
        <w:rPr>
          <w:rFonts w:eastAsia="Times New Roman"/>
          <w:sz w:val="24"/>
          <w:szCs w:val="24"/>
          <w:lang w:val="es-ES_tradnl" w:eastAsia="es-CO"/>
        </w:rPr>
        <w:t xml:space="preserve">Los hechos que dieron origen a la controversia entre jurisdicciones aluden a los posibles abusos sexuales cometidos en contra de la niña Nelly </w:t>
      </w:r>
      <w:proofErr w:type="spellStart"/>
      <w:r w:rsidRPr="0022719B">
        <w:rPr>
          <w:rFonts w:eastAsia="Times New Roman"/>
          <w:sz w:val="24"/>
          <w:szCs w:val="24"/>
          <w:lang w:val="es-ES_tradnl" w:eastAsia="es-CO"/>
        </w:rPr>
        <w:t>Dosanto</w:t>
      </w:r>
      <w:proofErr w:type="spellEnd"/>
      <w:r w:rsidRPr="0022719B">
        <w:rPr>
          <w:rFonts w:eastAsia="Times New Roman"/>
          <w:sz w:val="24"/>
          <w:szCs w:val="24"/>
          <w:lang w:val="es-ES_tradnl" w:eastAsia="es-CO"/>
        </w:rPr>
        <w:t xml:space="preserve"> Evaristo, nacida el 14 de abril de 1999, </w:t>
      </w:r>
      <w:r w:rsidRPr="0022719B">
        <w:rPr>
          <w:rFonts w:eastAsia="Times New Roman"/>
          <w:sz w:val="24"/>
          <w:szCs w:val="24"/>
          <w:lang w:val="es-ES_tradnl" w:eastAsia="es-ES"/>
        </w:rPr>
        <w:t>que llevaron a su embarazo,</w:t>
      </w:r>
      <w:r w:rsidRPr="0022719B">
        <w:rPr>
          <w:rFonts w:eastAsia="Times New Roman"/>
          <w:sz w:val="24"/>
          <w:szCs w:val="24"/>
          <w:lang w:val="es-ES_tradnl" w:eastAsia="es-CO"/>
        </w:rPr>
        <w:t xml:space="preserve"> por parte de su padre </w:t>
      </w:r>
      <w:r w:rsidRPr="0022719B">
        <w:rPr>
          <w:rFonts w:eastAsia="Times New Roman"/>
          <w:sz w:val="24"/>
          <w:szCs w:val="24"/>
          <w:lang w:val="es-ES_tradnl" w:eastAsia="es-ES"/>
        </w:rPr>
        <w:t xml:space="preserve">Francisco </w:t>
      </w:r>
      <w:proofErr w:type="spellStart"/>
      <w:r w:rsidRPr="0022719B">
        <w:rPr>
          <w:rFonts w:eastAsia="Times New Roman"/>
          <w:sz w:val="24"/>
          <w:szCs w:val="24"/>
          <w:lang w:val="es-ES_tradnl" w:eastAsia="es-ES"/>
        </w:rPr>
        <w:t>Dosanto</w:t>
      </w:r>
      <w:proofErr w:type="spellEnd"/>
      <w:r w:rsidRPr="0022719B">
        <w:rPr>
          <w:rFonts w:eastAsia="Times New Roman"/>
          <w:sz w:val="24"/>
          <w:szCs w:val="24"/>
          <w:lang w:val="es-ES_tradnl" w:eastAsia="es-ES"/>
        </w:rPr>
        <w:t xml:space="preserve"> </w:t>
      </w:r>
      <w:proofErr w:type="spellStart"/>
      <w:r w:rsidRPr="0022719B">
        <w:rPr>
          <w:rFonts w:eastAsia="Times New Roman"/>
          <w:sz w:val="24"/>
          <w:szCs w:val="24"/>
          <w:lang w:val="es-ES_tradnl" w:eastAsia="es-ES"/>
        </w:rPr>
        <w:t>Aragao</w:t>
      </w:r>
      <w:proofErr w:type="spellEnd"/>
      <w:r w:rsidRPr="0022719B">
        <w:rPr>
          <w:rFonts w:eastAsia="Times New Roman"/>
          <w:sz w:val="24"/>
          <w:szCs w:val="24"/>
          <w:lang w:val="es-ES_tradnl" w:eastAsia="es-CO"/>
        </w:rPr>
        <w:t xml:space="preserve">. </w:t>
      </w:r>
    </w:p>
    <w:p w:rsidR="007F6D10" w:rsidRPr="0022719B" w:rsidRDefault="007F6D10" w:rsidP="007F6D10">
      <w:pPr>
        <w:spacing w:line="360" w:lineRule="auto"/>
        <w:rPr>
          <w:rFonts w:eastAsia="Times New Roman"/>
          <w:sz w:val="24"/>
          <w:szCs w:val="24"/>
          <w:lang w:val="es-ES_tradnl" w:eastAsia="es-CO"/>
        </w:rPr>
      </w:pPr>
    </w:p>
    <w:p w:rsidR="007F6D10" w:rsidRPr="0022719B" w:rsidRDefault="007F6D10" w:rsidP="007F6D10">
      <w:pPr>
        <w:spacing w:before="360" w:after="360" w:line="360" w:lineRule="auto"/>
        <w:contextualSpacing/>
        <w:rPr>
          <w:rFonts w:eastAsia="Times New Roman"/>
          <w:sz w:val="24"/>
          <w:szCs w:val="24"/>
          <w:lang w:val="es-ES_tradnl" w:eastAsia="es-CO"/>
        </w:rPr>
      </w:pPr>
      <w:r w:rsidRPr="0022719B">
        <w:rPr>
          <w:rFonts w:eastAsia="Times New Roman"/>
          <w:sz w:val="24"/>
          <w:szCs w:val="24"/>
          <w:lang w:val="es-ES_tradnl" w:eastAsia="es-CO"/>
        </w:rPr>
        <w:lastRenderedPageBreak/>
        <w:t>Mediante oficio del 9 de mayo de 2012 la Defensoría de Familia del Instituto C</w:t>
      </w:r>
      <w:r>
        <w:rPr>
          <w:rFonts w:eastAsia="Times New Roman"/>
          <w:sz w:val="24"/>
          <w:szCs w:val="24"/>
          <w:lang w:val="es-ES_tradnl" w:eastAsia="es-CO"/>
        </w:rPr>
        <w:t>olombiano de Bienestar Familiar</w:t>
      </w:r>
      <w:r w:rsidRPr="0022719B">
        <w:rPr>
          <w:rFonts w:eastAsia="Times New Roman"/>
          <w:sz w:val="24"/>
          <w:szCs w:val="24"/>
          <w:lang w:val="es-ES_tradnl" w:eastAsia="es-CO"/>
        </w:rPr>
        <w:t xml:space="preserve"> remitió a la Fiscalía General de la Nación, la va</w:t>
      </w:r>
      <w:r>
        <w:rPr>
          <w:rFonts w:eastAsia="Times New Roman"/>
          <w:sz w:val="24"/>
          <w:szCs w:val="24"/>
          <w:lang w:val="es-ES_tradnl" w:eastAsia="es-CO"/>
        </w:rPr>
        <w:t xml:space="preserve">loración psicológica practicada por sus funcionarios </w:t>
      </w:r>
      <w:r w:rsidRPr="0022719B">
        <w:rPr>
          <w:rFonts w:eastAsia="Times New Roman"/>
          <w:sz w:val="24"/>
          <w:szCs w:val="24"/>
          <w:lang w:val="es-ES_tradnl" w:eastAsia="es-CO"/>
        </w:rPr>
        <w:t xml:space="preserve">a la niña Nelly </w:t>
      </w:r>
      <w:proofErr w:type="spellStart"/>
      <w:r w:rsidRPr="0022719B">
        <w:rPr>
          <w:rFonts w:eastAsia="Times New Roman"/>
          <w:sz w:val="24"/>
          <w:szCs w:val="24"/>
          <w:lang w:val="es-ES_tradnl" w:eastAsia="es-CO"/>
        </w:rPr>
        <w:t>Dosanto</w:t>
      </w:r>
      <w:proofErr w:type="spellEnd"/>
      <w:r w:rsidRPr="0022719B">
        <w:rPr>
          <w:rFonts w:eastAsia="Times New Roman"/>
          <w:sz w:val="24"/>
          <w:szCs w:val="24"/>
          <w:lang w:val="es-ES_tradnl" w:eastAsia="es-CO"/>
        </w:rPr>
        <w:t xml:space="preserve">. </w:t>
      </w:r>
    </w:p>
    <w:p w:rsidR="007F6D10" w:rsidRPr="0022719B" w:rsidRDefault="007F6D10" w:rsidP="007F6D10">
      <w:pPr>
        <w:spacing w:before="360" w:after="360" w:line="360" w:lineRule="auto"/>
        <w:contextualSpacing/>
        <w:rPr>
          <w:rFonts w:eastAsia="Times New Roman"/>
          <w:sz w:val="24"/>
          <w:szCs w:val="24"/>
          <w:lang w:val="es-ES_tradnl" w:eastAsia="es-CO"/>
        </w:rPr>
      </w:pPr>
    </w:p>
    <w:p w:rsidR="007F6D10" w:rsidRPr="0022719B" w:rsidRDefault="007F6D10" w:rsidP="007F6D10">
      <w:pPr>
        <w:spacing w:before="360" w:after="360" w:line="360" w:lineRule="auto"/>
        <w:contextualSpacing/>
        <w:rPr>
          <w:rFonts w:eastAsia="Times New Roman"/>
          <w:sz w:val="24"/>
          <w:szCs w:val="24"/>
          <w:lang w:val="es-ES_tradnl" w:eastAsia="es-CO"/>
        </w:rPr>
      </w:pPr>
      <w:r w:rsidRPr="0022719B">
        <w:rPr>
          <w:rFonts w:eastAsia="Times New Roman"/>
          <w:sz w:val="24"/>
          <w:szCs w:val="24"/>
          <w:lang w:val="es-ES_tradnl" w:eastAsia="es-CO"/>
        </w:rPr>
        <w:t xml:space="preserve">Según el ente instructor, la menor refirió ser víctima desde los 10 años de múltiples accesos carnales violentos por parte de su padre, con quien vivía sola y quien constantemente abusaba de ella </w:t>
      </w:r>
      <w:r w:rsidRPr="0022719B">
        <w:rPr>
          <w:rFonts w:eastAsia="Times New Roman"/>
          <w:i/>
          <w:sz w:val="24"/>
          <w:szCs w:val="24"/>
          <w:lang w:val="es-ES_tradnl" w:eastAsia="es-CO"/>
        </w:rPr>
        <w:t>“en el monte, en la casa y cuando lo acompañaba a pescar”</w:t>
      </w:r>
      <w:r w:rsidRPr="0022719B">
        <w:rPr>
          <w:rFonts w:eastAsia="Times New Roman"/>
          <w:sz w:val="24"/>
          <w:szCs w:val="24"/>
          <w:lang w:val="es-ES_tradnl" w:eastAsia="es-CO"/>
        </w:rPr>
        <w:t xml:space="preserve">, empleando violencia para tal efecto, entre otras cosas </w:t>
      </w:r>
      <w:r w:rsidRPr="0022719B">
        <w:rPr>
          <w:rFonts w:eastAsia="Times New Roman"/>
          <w:i/>
          <w:sz w:val="24"/>
          <w:szCs w:val="24"/>
          <w:lang w:val="es-ES_tradnl" w:eastAsia="es-CO"/>
        </w:rPr>
        <w:t>“amarrándola a un palo, pegándole con palos, bejucos y con la chola (especie de chancleta)”</w:t>
      </w:r>
      <w:r w:rsidRPr="0022719B">
        <w:rPr>
          <w:rFonts w:eastAsia="Times New Roman"/>
          <w:sz w:val="24"/>
          <w:szCs w:val="24"/>
          <w:lang w:val="es-ES_tradnl" w:eastAsia="es-CO"/>
        </w:rPr>
        <w:t xml:space="preserve">. </w:t>
      </w:r>
    </w:p>
    <w:p w:rsidR="007F6D10" w:rsidRPr="0022719B" w:rsidRDefault="007F6D10" w:rsidP="007F6D10">
      <w:pPr>
        <w:spacing w:before="360" w:after="360" w:line="360" w:lineRule="auto"/>
        <w:contextualSpacing/>
        <w:rPr>
          <w:rFonts w:eastAsia="Times New Roman"/>
          <w:sz w:val="24"/>
          <w:szCs w:val="24"/>
          <w:lang w:val="es-ES_tradnl" w:eastAsia="es-CO"/>
        </w:rPr>
      </w:pPr>
    </w:p>
    <w:p w:rsidR="007F6D10" w:rsidRPr="0022719B" w:rsidRDefault="007F6D10" w:rsidP="007F6D10">
      <w:pPr>
        <w:spacing w:before="360" w:after="360" w:line="360" w:lineRule="auto"/>
        <w:contextualSpacing/>
        <w:rPr>
          <w:rFonts w:eastAsia="Times New Roman"/>
          <w:sz w:val="24"/>
          <w:szCs w:val="24"/>
          <w:lang w:val="es-ES_tradnl" w:eastAsia="es-CO"/>
        </w:rPr>
      </w:pPr>
      <w:r w:rsidRPr="0022719B">
        <w:rPr>
          <w:rFonts w:eastAsia="Times New Roman"/>
          <w:sz w:val="24"/>
          <w:szCs w:val="24"/>
          <w:lang w:val="es-ES_tradnl" w:eastAsia="es-CO"/>
        </w:rPr>
        <w:t>Por estas conductas, la Fiscalía 33 Seccional de Inírida abrió investigación bajo el número de radicado 940016000644201280013. Mediante orden del 10 de mayo de 2012 le solicitó a la Policía Judicial SIJIN DEGUN, realizar diversas actividades encaminadas a esclarecer la comisión del posible delito y determinar sus responsables</w:t>
      </w:r>
      <w:r w:rsidRPr="0022719B">
        <w:rPr>
          <w:rStyle w:val="Refdenotaalpie"/>
          <w:rFonts w:cs="Arial"/>
          <w:sz w:val="24"/>
          <w:szCs w:val="24"/>
          <w:lang w:val="es-ES_tradnl" w:eastAsia="es-CO"/>
        </w:rPr>
        <w:footnoteReference w:id="1"/>
      </w:r>
      <w:r w:rsidRPr="0022719B">
        <w:rPr>
          <w:rFonts w:eastAsia="Times New Roman"/>
          <w:sz w:val="24"/>
          <w:szCs w:val="24"/>
          <w:lang w:val="es-ES_tradnl" w:eastAsia="es-CO"/>
        </w:rPr>
        <w:t xml:space="preserve">. </w:t>
      </w:r>
    </w:p>
    <w:p w:rsidR="007F6D10" w:rsidRPr="0022719B" w:rsidRDefault="007F6D10" w:rsidP="007F6D10">
      <w:pPr>
        <w:spacing w:before="360" w:after="360" w:line="360" w:lineRule="auto"/>
        <w:contextualSpacing/>
        <w:rPr>
          <w:rFonts w:eastAsia="Times New Roman"/>
          <w:sz w:val="24"/>
          <w:szCs w:val="24"/>
          <w:lang w:val="es-ES_tradnl" w:eastAsia="es-CO"/>
        </w:rPr>
      </w:pPr>
    </w:p>
    <w:p w:rsidR="007F6D10" w:rsidRPr="0022719B" w:rsidRDefault="007F6D10" w:rsidP="007F6D10">
      <w:pPr>
        <w:spacing w:before="360" w:after="360" w:line="360" w:lineRule="auto"/>
        <w:contextualSpacing/>
        <w:rPr>
          <w:rFonts w:eastAsia="Times New Roman"/>
          <w:sz w:val="24"/>
          <w:szCs w:val="24"/>
          <w:lang w:val="es-ES_tradnl" w:eastAsia="es-CO"/>
        </w:rPr>
      </w:pPr>
      <w:r w:rsidRPr="0022719B">
        <w:rPr>
          <w:rFonts w:eastAsia="Times New Roman"/>
          <w:sz w:val="24"/>
          <w:szCs w:val="24"/>
          <w:lang w:val="es-ES_tradnl" w:eastAsia="es-CO"/>
        </w:rPr>
        <w:t xml:space="preserve">Posteriormente, el 10 de diciembre de 2012 la Fiscalía en cuestión le solicitó a la seccional de investigación criminal SIJIN DEGUN practicar un estudio antropológico al indiciado, con el de determinar, entre otras cosas, su arraigo a la comunidad indígena de Galilea, su </w:t>
      </w:r>
      <w:r w:rsidRPr="0022719B">
        <w:rPr>
          <w:rFonts w:eastAsia="Times New Roman"/>
          <w:i/>
          <w:sz w:val="24"/>
          <w:szCs w:val="24"/>
          <w:lang w:val="es-ES_tradnl" w:eastAsia="es-CO"/>
        </w:rPr>
        <w:t>“grado de culturización occidental”</w:t>
      </w:r>
      <w:r w:rsidRPr="0022719B">
        <w:rPr>
          <w:rFonts w:eastAsia="Times New Roman"/>
          <w:sz w:val="24"/>
          <w:szCs w:val="24"/>
          <w:lang w:val="es-ES_tradnl" w:eastAsia="es-CO"/>
        </w:rPr>
        <w:t>, las</w:t>
      </w:r>
      <w:r w:rsidRPr="0022719B">
        <w:rPr>
          <w:rFonts w:eastAsia="Times New Roman"/>
          <w:i/>
          <w:sz w:val="24"/>
          <w:szCs w:val="24"/>
          <w:lang w:val="es-ES_tradnl" w:eastAsia="es-CO"/>
        </w:rPr>
        <w:t xml:space="preserve"> “costumbres ancestrales que practica y conserva”</w:t>
      </w:r>
      <w:r w:rsidRPr="0022719B">
        <w:rPr>
          <w:rStyle w:val="Refdenotaalpie"/>
          <w:rFonts w:cs="Arial"/>
          <w:sz w:val="24"/>
          <w:szCs w:val="24"/>
          <w:lang w:val="es-ES_tradnl" w:eastAsia="es-CO"/>
        </w:rPr>
        <w:footnoteReference w:id="2"/>
      </w:r>
      <w:r w:rsidRPr="0022719B">
        <w:rPr>
          <w:rFonts w:eastAsia="Times New Roman"/>
          <w:sz w:val="24"/>
          <w:szCs w:val="24"/>
          <w:lang w:val="es-ES_tradnl" w:eastAsia="es-CO"/>
        </w:rPr>
        <w:t>.</w:t>
      </w:r>
    </w:p>
    <w:p w:rsidR="007F6D10" w:rsidRPr="0022719B" w:rsidRDefault="007F6D10" w:rsidP="007F6D10">
      <w:pPr>
        <w:spacing w:before="360" w:after="360" w:line="360" w:lineRule="auto"/>
        <w:contextualSpacing/>
        <w:rPr>
          <w:rFonts w:eastAsia="Times New Roman"/>
          <w:sz w:val="24"/>
          <w:szCs w:val="24"/>
          <w:lang w:val="es-ES_tradnl" w:eastAsia="es-CO"/>
        </w:rPr>
      </w:pPr>
    </w:p>
    <w:p w:rsidR="007F6D10" w:rsidRPr="0022719B" w:rsidRDefault="007F6D10" w:rsidP="007F6D10">
      <w:pPr>
        <w:spacing w:before="360" w:after="360" w:line="360" w:lineRule="auto"/>
        <w:contextualSpacing/>
        <w:rPr>
          <w:rFonts w:eastAsia="Times New Roman"/>
          <w:sz w:val="24"/>
          <w:szCs w:val="24"/>
          <w:lang w:val="es-ES_tradnl" w:eastAsia="es-CO"/>
        </w:rPr>
      </w:pPr>
      <w:r w:rsidRPr="0022719B">
        <w:rPr>
          <w:rFonts w:eastAsia="Times New Roman"/>
          <w:sz w:val="24"/>
          <w:szCs w:val="24"/>
          <w:lang w:val="es-ES_tradnl" w:eastAsia="es-CO"/>
        </w:rPr>
        <w:t xml:space="preserve">A continuación, el 19 de diciembre de 2012 la Fiscalía solicitó la realización de audiencia preliminar ante la Jueza Primera Promiscua Municipal de Inírida, con el fin de que se expidiera orden de captura en contra del implicado Francisco </w:t>
      </w:r>
      <w:proofErr w:type="spellStart"/>
      <w:r w:rsidRPr="0022719B">
        <w:rPr>
          <w:rFonts w:eastAsia="Times New Roman"/>
          <w:sz w:val="24"/>
          <w:szCs w:val="24"/>
          <w:lang w:val="es-ES_tradnl" w:eastAsia="es-CO"/>
        </w:rPr>
        <w:t>Dosanto</w:t>
      </w:r>
      <w:proofErr w:type="spellEnd"/>
      <w:r w:rsidRPr="0022719B">
        <w:rPr>
          <w:rFonts w:eastAsia="Times New Roman"/>
          <w:sz w:val="24"/>
          <w:szCs w:val="24"/>
          <w:lang w:val="es-ES_tradnl" w:eastAsia="es-CO"/>
        </w:rPr>
        <w:t xml:space="preserve"> </w:t>
      </w:r>
      <w:proofErr w:type="spellStart"/>
      <w:r w:rsidRPr="0022719B">
        <w:rPr>
          <w:rFonts w:eastAsia="Times New Roman"/>
          <w:sz w:val="24"/>
          <w:szCs w:val="24"/>
          <w:lang w:val="es-ES_tradnl" w:eastAsia="es-CO"/>
        </w:rPr>
        <w:t>Aragao</w:t>
      </w:r>
      <w:proofErr w:type="spellEnd"/>
      <w:r w:rsidRPr="0022719B">
        <w:rPr>
          <w:rFonts w:eastAsia="Times New Roman"/>
          <w:sz w:val="24"/>
          <w:szCs w:val="24"/>
          <w:lang w:val="es-ES_tradnl" w:eastAsia="es-CO"/>
        </w:rPr>
        <w:t xml:space="preserve"> por el presunto delito de acceso carnal violento de su hija menor de 14 años. En decisión del 21 de diciembre siguiente, la Jueza Luz Esperanza Zambrano Guzmán accedió a la mencionada solicitud. </w:t>
      </w:r>
    </w:p>
    <w:p w:rsidR="007F6D10" w:rsidRPr="0022719B" w:rsidRDefault="007F6D10" w:rsidP="007F6D10">
      <w:pPr>
        <w:spacing w:before="360" w:after="360" w:line="360" w:lineRule="auto"/>
        <w:contextualSpacing/>
        <w:rPr>
          <w:rFonts w:eastAsia="Times New Roman"/>
          <w:sz w:val="24"/>
          <w:szCs w:val="24"/>
          <w:lang w:val="es-ES_tradnl" w:eastAsia="es-CO"/>
        </w:rPr>
      </w:pPr>
    </w:p>
    <w:p w:rsidR="007F6D10" w:rsidRPr="0022719B" w:rsidRDefault="007F6D10" w:rsidP="007F6D10">
      <w:pPr>
        <w:spacing w:before="360" w:after="360" w:line="360" w:lineRule="auto"/>
        <w:contextualSpacing/>
        <w:rPr>
          <w:rFonts w:eastAsia="Times New Roman"/>
          <w:sz w:val="24"/>
          <w:szCs w:val="24"/>
          <w:lang w:val="es-ES_tradnl" w:eastAsia="es-CO"/>
        </w:rPr>
      </w:pPr>
      <w:r w:rsidRPr="0022719B">
        <w:rPr>
          <w:rFonts w:eastAsia="Times New Roman"/>
          <w:sz w:val="24"/>
          <w:szCs w:val="24"/>
          <w:lang w:val="es-ES_tradnl" w:eastAsia="es-CO"/>
        </w:rPr>
        <w:t xml:space="preserve">No obstante, el 15 de febrero de 2013 el investigador de campo Héctor Villarraga González, de la Policía Judicial SIIN DEGUN, le informó a la Fiscalía 33 Seccional que mediante radiograma del 24 de enero de 2013 el “capitán” de la comunidad indígena de Galilea, José </w:t>
      </w:r>
      <w:proofErr w:type="spellStart"/>
      <w:r w:rsidRPr="0022719B">
        <w:rPr>
          <w:rFonts w:eastAsia="Times New Roman"/>
          <w:sz w:val="24"/>
          <w:szCs w:val="24"/>
          <w:lang w:val="es-ES_tradnl" w:eastAsia="es-CO"/>
        </w:rPr>
        <w:t>Yavinape</w:t>
      </w:r>
      <w:proofErr w:type="spellEnd"/>
      <w:r w:rsidRPr="0022719B">
        <w:rPr>
          <w:rFonts w:eastAsia="Times New Roman"/>
          <w:sz w:val="24"/>
          <w:szCs w:val="24"/>
          <w:lang w:val="es-ES_tradnl" w:eastAsia="es-CO"/>
        </w:rPr>
        <w:t xml:space="preserve"> </w:t>
      </w:r>
      <w:proofErr w:type="spellStart"/>
      <w:r w:rsidRPr="0022719B">
        <w:rPr>
          <w:rFonts w:eastAsia="Times New Roman"/>
          <w:sz w:val="24"/>
          <w:szCs w:val="24"/>
          <w:lang w:val="es-ES_tradnl" w:eastAsia="es-CO"/>
        </w:rPr>
        <w:t>Yavinape</w:t>
      </w:r>
      <w:proofErr w:type="spellEnd"/>
      <w:r w:rsidRPr="0022719B">
        <w:rPr>
          <w:rFonts w:eastAsia="Times New Roman"/>
          <w:sz w:val="24"/>
          <w:szCs w:val="24"/>
          <w:lang w:val="es-ES_tradnl" w:eastAsia="es-CO"/>
        </w:rPr>
        <w:t xml:space="preserve">, manifestó lo siguiente: </w:t>
      </w:r>
    </w:p>
    <w:p w:rsidR="007F6D10" w:rsidRPr="0022719B" w:rsidRDefault="007F6D10" w:rsidP="007F6D10">
      <w:pPr>
        <w:pStyle w:val="Prrafodelista"/>
        <w:numPr>
          <w:ilvl w:val="0"/>
          <w:numId w:val="3"/>
        </w:numPr>
        <w:spacing w:before="360" w:after="360" w:line="360" w:lineRule="auto"/>
        <w:rPr>
          <w:rFonts w:eastAsia="Times New Roman"/>
          <w:sz w:val="24"/>
          <w:szCs w:val="24"/>
          <w:lang w:val="es-ES_tradnl" w:eastAsia="es-CO"/>
        </w:rPr>
      </w:pPr>
      <w:r w:rsidRPr="0022719B">
        <w:rPr>
          <w:rFonts w:eastAsia="Times New Roman"/>
          <w:sz w:val="24"/>
          <w:szCs w:val="24"/>
          <w:lang w:val="es-ES_tradnl" w:eastAsia="es-CO"/>
        </w:rPr>
        <w:lastRenderedPageBreak/>
        <w:t xml:space="preserve">La menor víctima del delito de abuso sexual </w:t>
      </w:r>
      <w:r w:rsidRPr="0022719B">
        <w:rPr>
          <w:rFonts w:eastAsia="Times New Roman"/>
          <w:i/>
          <w:sz w:val="24"/>
          <w:szCs w:val="24"/>
          <w:lang w:val="es-ES_tradnl" w:eastAsia="es-CO"/>
        </w:rPr>
        <w:t>“ya no vive en esta comunidad ni con el padre, hace más de un año”</w:t>
      </w:r>
      <w:r w:rsidRPr="0022719B">
        <w:rPr>
          <w:rFonts w:eastAsia="Times New Roman"/>
          <w:sz w:val="24"/>
          <w:szCs w:val="24"/>
          <w:lang w:val="es-ES_tradnl" w:eastAsia="es-CO"/>
        </w:rPr>
        <w:t xml:space="preserve">. </w:t>
      </w:r>
    </w:p>
    <w:p w:rsidR="007F6D10" w:rsidRPr="0022719B" w:rsidRDefault="007F6D10" w:rsidP="007F6D10">
      <w:pPr>
        <w:pStyle w:val="Prrafodelista"/>
        <w:spacing w:before="360" w:after="360" w:line="360" w:lineRule="auto"/>
        <w:rPr>
          <w:rFonts w:eastAsia="Times New Roman"/>
          <w:sz w:val="24"/>
          <w:szCs w:val="24"/>
          <w:lang w:val="es-ES_tradnl" w:eastAsia="es-CO"/>
        </w:rPr>
      </w:pPr>
    </w:p>
    <w:p w:rsidR="007F6D10" w:rsidRPr="0022719B" w:rsidRDefault="007F6D10" w:rsidP="007F6D10">
      <w:pPr>
        <w:pStyle w:val="Prrafodelista"/>
        <w:numPr>
          <w:ilvl w:val="0"/>
          <w:numId w:val="3"/>
        </w:numPr>
        <w:spacing w:before="360" w:after="360" w:line="360" w:lineRule="auto"/>
        <w:rPr>
          <w:rFonts w:eastAsia="Times New Roman"/>
          <w:sz w:val="24"/>
          <w:szCs w:val="24"/>
          <w:lang w:val="es-ES_tradnl" w:eastAsia="es-CO"/>
        </w:rPr>
      </w:pPr>
      <w:r w:rsidRPr="0022719B">
        <w:rPr>
          <w:rFonts w:eastAsia="Times New Roman"/>
          <w:sz w:val="24"/>
          <w:szCs w:val="24"/>
          <w:lang w:val="es-ES_tradnl" w:eastAsia="es-CO"/>
        </w:rPr>
        <w:t xml:space="preserve">El padre de la niña está sancionado bajo “las costumbres” </w:t>
      </w:r>
      <w:r w:rsidRPr="0022719B">
        <w:rPr>
          <w:rFonts w:eastAsia="Times New Roman"/>
          <w:i/>
          <w:sz w:val="24"/>
          <w:szCs w:val="24"/>
          <w:lang w:val="es-ES_tradnl" w:eastAsia="es-CO"/>
        </w:rPr>
        <w:t>“la filosofía”</w:t>
      </w:r>
      <w:r w:rsidRPr="0022719B">
        <w:rPr>
          <w:rFonts w:eastAsia="Times New Roman"/>
          <w:sz w:val="24"/>
          <w:szCs w:val="24"/>
          <w:lang w:val="es-ES_tradnl" w:eastAsia="es-CO"/>
        </w:rPr>
        <w:t xml:space="preserve"> o </w:t>
      </w:r>
      <w:r w:rsidRPr="0022719B">
        <w:rPr>
          <w:rFonts w:eastAsia="Times New Roman"/>
          <w:i/>
          <w:sz w:val="24"/>
          <w:szCs w:val="24"/>
          <w:lang w:val="es-ES_tradnl" w:eastAsia="es-CO"/>
        </w:rPr>
        <w:t>“reglamento interno”</w:t>
      </w:r>
      <w:r>
        <w:rPr>
          <w:rFonts w:eastAsia="Times New Roman"/>
          <w:i/>
          <w:sz w:val="24"/>
          <w:szCs w:val="24"/>
          <w:lang w:val="es-ES_tradnl" w:eastAsia="es-CO"/>
        </w:rPr>
        <w:t xml:space="preserve"> </w:t>
      </w:r>
      <w:r w:rsidRPr="00E364A7">
        <w:rPr>
          <w:rFonts w:eastAsia="Times New Roman"/>
          <w:sz w:val="24"/>
          <w:szCs w:val="24"/>
          <w:lang w:val="es-ES_tradnl" w:eastAsia="es-CO"/>
        </w:rPr>
        <w:t>de la comunidad</w:t>
      </w:r>
      <w:r w:rsidRPr="0022719B">
        <w:rPr>
          <w:rFonts w:eastAsia="Times New Roman"/>
          <w:sz w:val="24"/>
          <w:szCs w:val="24"/>
          <w:lang w:val="es-ES_tradnl" w:eastAsia="es-CO"/>
        </w:rPr>
        <w:t xml:space="preserve">. </w:t>
      </w:r>
    </w:p>
    <w:p w:rsidR="007F6D10" w:rsidRPr="0022719B" w:rsidRDefault="007F6D10" w:rsidP="007F6D10">
      <w:pPr>
        <w:pStyle w:val="Prrafodelista"/>
        <w:spacing w:before="360" w:after="360" w:line="360" w:lineRule="auto"/>
        <w:rPr>
          <w:rFonts w:eastAsia="Times New Roman"/>
          <w:sz w:val="24"/>
          <w:szCs w:val="24"/>
          <w:lang w:val="es-ES_tradnl" w:eastAsia="es-CO"/>
        </w:rPr>
      </w:pPr>
    </w:p>
    <w:p w:rsidR="007F6D10" w:rsidRPr="0022719B" w:rsidRDefault="007F6D10" w:rsidP="007F6D10">
      <w:pPr>
        <w:pStyle w:val="Prrafodelista"/>
        <w:numPr>
          <w:ilvl w:val="0"/>
          <w:numId w:val="3"/>
        </w:numPr>
        <w:spacing w:before="360" w:after="360" w:line="360" w:lineRule="auto"/>
        <w:rPr>
          <w:rFonts w:eastAsia="Times New Roman"/>
          <w:sz w:val="24"/>
          <w:szCs w:val="24"/>
          <w:lang w:val="es-ES_tradnl" w:eastAsia="es-CO"/>
        </w:rPr>
      </w:pPr>
      <w:r w:rsidRPr="0022719B">
        <w:rPr>
          <w:rFonts w:eastAsia="Times New Roman"/>
          <w:sz w:val="24"/>
          <w:szCs w:val="24"/>
          <w:lang w:val="es-ES_tradnl" w:eastAsia="es-CO"/>
        </w:rPr>
        <w:t xml:space="preserve">A la niña víctima </w:t>
      </w:r>
      <w:r w:rsidRPr="0022719B">
        <w:rPr>
          <w:rFonts w:eastAsia="Times New Roman"/>
          <w:i/>
          <w:sz w:val="24"/>
          <w:szCs w:val="24"/>
          <w:lang w:val="es-ES_tradnl" w:eastAsia="es-CO"/>
        </w:rPr>
        <w:t>“no se permite hacerle visita” “ni acercarla”</w:t>
      </w:r>
      <w:r w:rsidRPr="0022719B">
        <w:rPr>
          <w:rFonts w:eastAsia="Times New Roman"/>
          <w:sz w:val="24"/>
          <w:szCs w:val="24"/>
          <w:lang w:val="es-ES_tradnl" w:eastAsia="es-CO"/>
        </w:rPr>
        <w:t xml:space="preserve"> (sic).</w:t>
      </w:r>
    </w:p>
    <w:p w:rsidR="007F6D10" w:rsidRPr="0022719B" w:rsidRDefault="007F6D10" w:rsidP="007F6D10">
      <w:pPr>
        <w:pStyle w:val="Prrafodelista"/>
        <w:spacing w:before="360" w:after="360" w:line="360" w:lineRule="auto"/>
        <w:rPr>
          <w:rFonts w:eastAsia="Times New Roman"/>
          <w:sz w:val="24"/>
          <w:szCs w:val="24"/>
          <w:lang w:val="es-ES_tradnl" w:eastAsia="es-CO"/>
        </w:rPr>
      </w:pPr>
    </w:p>
    <w:p w:rsidR="007F6D10" w:rsidRPr="0022719B" w:rsidRDefault="007F6D10" w:rsidP="007F6D10">
      <w:pPr>
        <w:pStyle w:val="Prrafodelista"/>
        <w:numPr>
          <w:ilvl w:val="0"/>
          <w:numId w:val="3"/>
        </w:numPr>
        <w:spacing w:before="360" w:after="360" w:line="360" w:lineRule="auto"/>
        <w:rPr>
          <w:rFonts w:eastAsia="Times New Roman"/>
          <w:sz w:val="24"/>
          <w:szCs w:val="24"/>
          <w:lang w:val="es-ES_tradnl" w:eastAsia="es-CO"/>
        </w:rPr>
      </w:pPr>
      <w:r w:rsidRPr="0022719B">
        <w:rPr>
          <w:rFonts w:eastAsia="Times New Roman"/>
          <w:sz w:val="24"/>
          <w:szCs w:val="24"/>
          <w:lang w:val="es-ES_tradnl" w:eastAsia="es-CO"/>
        </w:rPr>
        <w:t xml:space="preserve">En este caso (la violación de la menor) </w:t>
      </w:r>
      <w:r w:rsidRPr="0022719B">
        <w:rPr>
          <w:rFonts w:eastAsia="Times New Roman"/>
          <w:i/>
          <w:sz w:val="24"/>
          <w:szCs w:val="24"/>
          <w:lang w:val="es-ES_tradnl" w:eastAsia="es-CO"/>
        </w:rPr>
        <w:t xml:space="preserve">“ya se resolvió con la familia afectada” </w:t>
      </w:r>
      <w:r w:rsidRPr="0022719B">
        <w:rPr>
          <w:rFonts w:eastAsia="Times New Roman"/>
          <w:sz w:val="24"/>
          <w:szCs w:val="24"/>
          <w:lang w:val="es-ES_tradnl" w:eastAsia="es-CO"/>
        </w:rPr>
        <w:t xml:space="preserve">y tras el </w:t>
      </w:r>
      <w:r w:rsidRPr="0022719B">
        <w:rPr>
          <w:rFonts w:eastAsia="Times New Roman"/>
          <w:i/>
          <w:sz w:val="24"/>
          <w:szCs w:val="24"/>
          <w:lang w:val="es-ES_tradnl" w:eastAsia="es-CO"/>
        </w:rPr>
        <w:t>“inconveniente” “la comunidad se encuentra en total armonía”</w:t>
      </w:r>
      <w:r w:rsidRPr="0022719B">
        <w:rPr>
          <w:rFonts w:eastAsia="Times New Roman"/>
          <w:sz w:val="24"/>
          <w:szCs w:val="24"/>
          <w:lang w:val="es-ES_tradnl" w:eastAsia="es-CO"/>
        </w:rPr>
        <w:t xml:space="preserve">. </w:t>
      </w:r>
    </w:p>
    <w:p w:rsidR="007F6D10" w:rsidRPr="0022719B" w:rsidRDefault="007F6D10" w:rsidP="007F6D10">
      <w:pPr>
        <w:pStyle w:val="Prrafodelista"/>
        <w:rPr>
          <w:rFonts w:eastAsia="Times New Roman"/>
          <w:sz w:val="24"/>
          <w:szCs w:val="24"/>
          <w:lang w:val="es-ES_tradnl" w:eastAsia="es-CO"/>
        </w:rPr>
      </w:pPr>
    </w:p>
    <w:p w:rsidR="007F6D10" w:rsidRPr="0022719B" w:rsidRDefault="007F6D10" w:rsidP="007F6D10">
      <w:pPr>
        <w:pStyle w:val="Prrafodelista"/>
        <w:numPr>
          <w:ilvl w:val="0"/>
          <w:numId w:val="3"/>
        </w:numPr>
        <w:spacing w:before="360" w:after="360" w:line="360" w:lineRule="auto"/>
        <w:rPr>
          <w:rFonts w:eastAsia="Times New Roman"/>
          <w:sz w:val="24"/>
          <w:szCs w:val="24"/>
          <w:lang w:val="es-ES_tradnl" w:eastAsia="es-CO"/>
        </w:rPr>
      </w:pPr>
      <w:r w:rsidRPr="0022719B">
        <w:rPr>
          <w:rFonts w:eastAsia="Times New Roman"/>
          <w:sz w:val="24"/>
          <w:szCs w:val="24"/>
          <w:lang w:val="es-ES_tradnl" w:eastAsia="es-CO"/>
        </w:rPr>
        <w:t xml:space="preserve">Por estos motivos, advirtió que </w:t>
      </w:r>
      <w:r w:rsidRPr="0022719B">
        <w:rPr>
          <w:rFonts w:eastAsia="Times New Roman"/>
          <w:i/>
          <w:sz w:val="24"/>
          <w:szCs w:val="24"/>
          <w:lang w:val="es-ES_tradnl" w:eastAsia="es-CO"/>
        </w:rPr>
        <w:t>“no autorizamos para que se venga a cumplir lo que la Fiscalía había encomendado”</w:t>
      </w:r>
      <w:r w:rsidRPr="0022719B">
        <w:rPr>
          <w:rFonts w:eastAsia="Times New Roman"/>
          <w:sz w:val="24"/>
          <w:szCs w:val="24"/>
          <w:lang w:val="es-ES_tradnl" w:eastAsia="es-CO"/>
        </w:rPr>
        <w:t xml:space="preserve"> y pidió </w:t>
      </w:r>
      <w:r w:rsidRPr="0022719B">
        <w:rPr>
          <w:rFonts w:eastAsia="Times New Roman"/>
          <w:i/>
          <w:sz w:val="24"/>
          <w:szCs w:val="24"/>
          <w:lang w:val="es-ES_tradnl" w:eastAsia="es-CO"/>
        </w:rPr>
        <w:t>“que se archive el proceso solicitado en la Fiscalía 33”</w:t>
      </w:r>
      <w:r w:rsidRPr="0022719B">
        <w:rPr>
          <w:rStyle w:val="Refdenotaalpie"/>
          <w:rFonts w:cs="Arial"/>
          <w:sz w:val="24"/>
          <w:szCs w:val="24"/>
          <w:lang w:val="es-ES_tradnl" w:eastAsia="es-CO"/>
        </w:rPr>
        <w:footnoteReference w:id="3"/>
      </w:r>
      <w:r w:rsidRPr="0022719B">
        <w:rPr>
          <w:rFonts w:eastAsia="Times New Roman"/>
          <w:sz w:val="24"/>
          <w:szCs w:val="24"/>
          <w:lang w:val="es-ES_tradnl" w:eastAsia="es-CO"/>
        </w:rPr>
        <w:t xml:space="preserve">. </w:t>
      </w:r>
    </w:p>
    <w:p w:rsidR="007F6D10" w:rsidRPr="0022719B" w:rsidRDefault="007F6D10" w:rsidP="007F6D10">
      <w:pPr>
        <w:spacing w:before="360" w:after="360" w:line="360" w:lineRule="auto"/>
        <w:rPr>
          <w:rFonts w:eastAsia="Times New Roman"/>
          <w:sz w:val="24"/>
          <w:szCs w:val="24"/>
          <w:lang w:val="es-ES_tradnl" w:eastAsia="es-CO"/>
        </w:rPr>
      </w:pPr>
      <w:r w:rsidRPr="0022719B">
        <w:rPr>
          <w:rFonts w:eastAsia="Times New Roman"/>
          <w:sz w:val="24"/>
          <w:szCs w:val="24"/>
          <w:lang w:val="es-ES_tradnl" w:eastAsia="es-CO"/>
        </w:rPr>
        <w:t xml:space="preserve">Ante esta solicitud, </w:t>
      </w:r>
      <w:r>
        <w:rPr>
          <w:rFonts w:eastAsia="Times New Roman"/>
          <w:sz w:val="24"/>
          <w:szCs w:val="24"/>
          <w:lang w:val="es-ES_tradnl" w:eastAsia="es-CO"/>
        </w:rPr>
        <w:t>en</w:t>
      </w:r>
      <w:r w:rsidRPr="0022719B">
        <w:rPr>
          <w:rFonts w:eastAsia="Times New Roman"/>
          <w:sz w:val="24"/>
          <w:szCs w:val="24"/>
          <w:lang w:val="es-ES_tradnl" w:eastAsia="es-CO"/>
        </w:rPr>
        <w:t xml:space="preserve"> oficio No. 311 del 30 de septiembre de 2013 la Fiscalía 33 Seccional de Inírida remitió a esta Sala el expediente penal </w:t>
      </w:r>
      <w:r>
        <w:rPr>
          <w:rFonts w:eastAsia="Times New Roman"/>
          <w:sz w:val="24"/>
          <w:szCs w:val="24"/>
          <w:lang w:val="es-ES_tradnl" w:eastAsia="es-CO"/>
        </w:rPr>
        <w:t xml:space="preserve">abierto contra el señor Francisco </w:t>
      </w:r>
      <w:proofErr w:type="spellStart"/>
      <w:r>
        <w:rPr>
          <w:rFonts w:eastAsia="Times New Roman"/>
          <w:sz w:val="24"/>
          <w:szCs w:val="24"/>
          <w:lang w:val="es-ES_tradnl" w:eastAsia="es-CO"/>
        </w:rPr>
        <w:t>Dosanto</w:t>
      </w:r>
      <w:proofErr w:type="spellEnd"/>
      <w:r>
        <w:rPr>
          <w:rFonts w:eastAsia="Times New Roman"/>
          <w:sz w:val="24"/>
          <w:szCs w:val="24"/>
          <w:lang w:val="es-ES_tradnl" w:eastAsia="es-CO"/>
        </w:rPr>
        <w:t xml:space="preserve"> </w:t>
      </w:r>
      <w:proofErr w:type="spellStart"/>
      <w:r>
        <w:rPr>
          <w:rFonts w:eastAsia="Times New Roman"/>
          <w:sz w:val="24"/>
          <w:szCs w:val="24"/>
          <w:lang w:val="es-ES_tradnl" w:eastAsia="es-CO"/>
        </w:rPr>
        <w:t>Aragao</w:t>
      </w:r>
      <w:proofErr w:type="spellEnd"/>
      <w:r>
        <w:rPr>
          <w:rFonts w:eastAsia="Times New Roman"/>
          <w:sz w:val="24"/>
          <w:szCs w:val="24"/>
          <w:lang w:val="es-ES_tradnl" w:eastAsia="es-CO"/>
        </w:rPr>
        <w:t xml:space="preserve">, </w:t>
      </w:r>
      <w:r w:rsidRPr="0022719B">
        <w:rPr>
          <w:rFonts w:eastAsia="Times New Roman"/>
          <w:sz w:val="24"/>
          <w:szCs w:val="24"/>
          <w:lang w:val="es-ES_tradnl" w:eastAsia="es-CO"/>
        </w:rPr>
        <w:t xml:space="preserve">a efectos de determinar la jurisdicción competente para investigar y sancionar el delito de acceso carnal violento cometido contra la niña Nelly </w:t>
      </w:r>
      <w:proofErr w:type="spellStart"/>
      <w:r w:rsidRPr="0022719B">
        <w:rPr>
          <w:rFonts w:eastAsia="Times New Roman"/>
          <w:sz w:val="24"/>
          <w:szCs w:val="24"/>
          <w:lang w:val="es-ES_tradnl" w:eastAsia="es-CO"/>
        </w:rPr>
        <w:t>Dosanto</w:t>
      </w:r>
      <w:proofErr w:type="spellEnd"/>
      <w:r w:rsidRPr="0022719B">
        <w:rPr>
          <w:rFonts w:eastAsia="Times New Roman"/>
          <w:sz w:val="24"/>
          <w:szCs w:val="24"/>
          <w:lang w:val="es-ES_tradnl" w:eastAsia="es-CO"/>
        </w:rPr>
        <w:t xml:space="preserve"> Evaristo</w:t>
      </w:r>
      <w:r w:rsidRPr="0022719B">
        <w:rPr>
          <w:rStyle w:val="Refdenotaalpie"/>
          <w:rFonts w:cs="Arial"/>
          <w:sz w:val="24"/>
          <w:szCs w:val="24"/>
          <w:lang w:val="es-ES_tradnl" w:eastAsia="es-CO"/>
        </w:rPr>
        <w:footnoteReference w:id="4"/>
      </w:r>
      <w:r w:rsidRPr="0022719B">
        <w:rPr>
          <w:rFonts w:eastAsia="Times New Roman"/>
          <w:sz w:val="24"/>
          <w:szCs w:val="24"/>
          <w:lang w:val="es-ES_tradnl" w:eastAsia="es-CO"/>
        </w:rPr>
        <w:t>.</w:t>
      </w:r>
    </w:p>
    <w:p w:rsidR="007F6D10" w:rsidRPr="0022719B" w:rsidRDefault="007F6D10" w:rsidP="007F6D10">
      <w:pPr>
        <w:spacing w:before="360" w:after="360" w:line="360" w:lineRule="auto"/>
        <w:rPr>
          <w:rFonts w:eastAsia="Times New Roman"/>
          <w:sz w:val="24"/>
          <w:szCs w:val="24"/>
          <w:lang w:val="es-ES_tradnl" w:eastAsia="es-CO"/>
        </w:rPr>
      </w:pPr>
      <w:r w:rsidRPr="0022719B">
        <w:rPr>
          <w:rFonts w:eastAsia="Times New Roman"/>
          <w:sz w:val="24"/>
          <w:szCs w:val="24"/>
          <w:lang w:val="es-ES_tradnl" w:eastAsia="es-CO"/>
        </w:rPr>
        <w:t xml:space="preserve">En dicho memorial, el ente investigador solicitó que le fuese asignado el conocimiento de este asunto, teniendo en cuenta que el artículo 246 de la Constitución Política </w:t>
      </w:r>
      <w:r>
        <w:rPr>
          <w:rFonts w:eastAsia="Times New Roman"/>
          <w:sz w:val="24"/>
          <w:szCs w:val="24"/>
          <w:lang w:val="es-ES_tradnl" w:eastAsia="es-CO"/>
        </w:rPr>
        <w:t>autoriza que</w:t>
      </w:r>
      <w:r w:rsidRPr="0022719B">
        <w:rPr>
          <w:rFonts w:eastAsia="Times New Roman"/>
          <w:sz w:val="24"/>
          <w:szCs w:val="24"/>
          <w:lang w:val="es-ES_tradnl" w:eastAsia="es-CO"/>
        </w:rPr>
        <w:t xml:space="preserve"> las autoridades indígenas ejerzan funciones judiciales de acuerdo con sus normas y procedimientos </w:t>
      </w:r>
      <w:r w:rsidRPr="0022719B">
        <w:rPr>
          <w:rFonts w:eastAsia="Times New Roman"/>
          <w:i/>
          <w:sz w:val="24"/>
          <w:szCs w:val="24"/>
          <w:lang w:val="es-ES_tradnl" w:eastAsia="es-CO"/>
        </w:rPr>
        <w:t>“siempre que no sean contrarios a la Constitución y leyes de la República”</w:t>
      </w:r>
      <w:r w:rsidRPr="0022719B">
        <w:rPr>
          <w:rFonts w:eastAsia="Times New Roman"/>
          <w:sz w:val="24"/>
          <w:szCs w:val="24"/>
          <w:lang w:val="es-ES_tradnl" w:eastAsia="es-CO"/>
        </w:rPr>
        <w:t>.</w:t>
      </w:r>
    </w:p>
    <w:p w:rsidR="007F6D10" w:rsidRPr="0022719B" w:rsidRDefault="007F6D10" w:rsidP="007F6D10">
      <w:pPr>
        <w:spacing w:before="360" w:after="360" w:line="360" w:lineRule="auto"/>
        <w:rPr>
          <w:rFonts w:eastAsia="Times New Roman"/>
          <w:sz w:val="24"/>
          <w:szCs w:val="24"/>
          <w:lang w:val="es-ES_tradnl" w:eastAsia="es-CO"/>
        </w:rPr>
      </w:pPr>
      <w:r w:rsidRPr="0022719B">
        <w:rPr>
          <w:rFonts w:eastAsia="Times New Roman"/>
          <w:sz w:val="24"/>
          <w:szCs w:val="24"/>
          <w:lang w:val="es-ES_tradnl" w:eastAsia="es-CO"/>
        </w:rPr>
        <w:t xml:space="preserve">Adicionalmente, la Fiscalía destacó que el delito cometido en contra de la menor Nelly </w:t>
      </w:r>
      <w:proofErr w:type="spellStart"/>
      <w:r w:rsidRPr="0022719B">
        <w:rPr>
          <w:rFonts w:eastAsia="Times New Roman"/>
          <w:sz w:val="24"/>
          <w:szCs w:val="24"/>
          <w:lang w:val="es-ES_tradnl" w:eastAsia="es-CO"/>
        </w:rPr>
        <w:t>Dosanto</w:t>
      </w:r>
      <w:proofErr w:type="spellEnd"/>
      <w:r w:rsidRPr="0022719B">
        <w:rPr>
          <w:rFonts w:eastAsia="Times New Roman"/>
          <w:sz w:val="24"/>
          <w:szCs w:val="24"/>
          <w:lang w:val="es-ES_tradnl" w:eastAsia="es-CO"/>
        </w:rPr>
        <w:t xml:space="preserve"> representa una violación a los derechos humanos, dada su edad y el hecho de haber quedado embarazada. En tal sentido, recordó que el artículo 8º del Convenio No. 169 de la Organización Internacional del Trabajo (OIT) reconoce el derecho de los pueblos indígenas a aplicar sus normas consuetudinarias dentro de </w:t>
      </w:r>
      <w:r w:rsidRPr="0022719B">
        <w:rPr>
          <w:rFonts w:eastAsia="Times New Roman"/>
          <w:sz w:val="24"/>
          <w:szCs w:val="24"/>
          <w:lang w:val="es-ES_tradnl" w:eastAsia="es-CO"/>
        </w:rPr>
        <w:lastRenderedPageBreak/>
        <w:t xml:space="preserve">sus territorios, pero advierte que dicha norma limita el campo de acción de esa jurisdicción al respeto de los derechos humanos: </w:t>
      </w:r>
    </w:p>
    <w:p w:rsidR="007F6D10" w:rsidRPr="0022719B" w:rsidRDefault="007F6D10" w:rsidP="007F6D10">
      <w:pPr>
        <w:spacing w:before="360" w:after="360"/>
        <w:ind w:left="708"/>
        <w:rPr>
          <w:rFonts w:eastAsia="Times New Roman"/>
          <w:sz w:val="24"/>
          <w:szCs w:val="24"/>
          <w:lang w:val="es-ES_tradnl" w:eastAsia="es-CO"/>
        </w:rPr>
      </w:pPr>
      <w:r w:rsidRPr="0022719B">
        <w:rPr>
          <w:rFonts w:eastAsia="Times New Roman"/>
          <w:sz w:val="24"/>
          <w:szCs w:val="24"/>
          <w:lang w:val="es-ES_tradnl" w:eastAsia="es-CO"/>
        </w:rPr>
        <w:t xml:space="preserve">1. Al aplicar la legislación nacional a los pueblos interesados deberán tomarse debidamente en consideración sus costumbres o su derecho consuetudinario.  2. Dichos pueblos deberán tener el derecho de conservar sus costumbres e instituciones propias, </w:t>
      </w:r>
      <w:r w:rsidRPr="0022719B">
        <w:rPr>
          <w:rFonts w:eastAsia="Times New Roman"/>
          <w:sz w:val="24"/>
          <w:szCs w:val="24"/>
          <w:u w:val="single"/>
          <w:lang w:val="es-ES_tradnl" w:eastAsia="es-CO"/>
        </w:rPr>
        <w:t>siempre que éstas no sean incompatibles con los derechos fundamentales definidos por el sistema jurídico nacional ni con los derechos humanos internacionalmente reconocidos</w:t>
      </w:r>
      <w:r w:rsidRPr="0022719B">
        <w:rPr>
          <w:rFonts w:eastAsia="Times New Roman"/>
          <w:sz w:val="24"/>
          <w:szCs w:val="24"/>
          <w:lang w:val="es-ES_tradnl" w:eastAsia="es-CO"/>
        </w:rPr>
        <w:t>. Siempre que sea necesario, deberán establecerse procedimientos para solucionar los conflictos que puedan surgir en la aplicación de este principio […]” (Subraya del original).</w:t>
      </w:r>
    </w:p>
    <w:p w:rsidR="007F6D10" w:rsidRPr="0022719B" w:rsidRDefault="007F6D10" w:rsidP="007F6D10">
      <w:pPr>
        <w:spacing w:before="360" w:after="360" w:line="360" w:lineRule="auto"/>
        <w:rPr>
          <w:rFonts w:eastAsia="Times New Roman"/>
          <w:sz w:val="24"/>
          <w:szCs w:val="24"/>
          <w:lang w:val="es-ES_tradnl" w:eastAsia="es-CO"/>
        </w:rPr>
      </w:pPr>
      <w:r w:rsidRPr="0022719B">
        <w:rPr>
          <w:rFonts w:eastAsia="Times New Roman"/>
          <w:sz w:val="24"/>
          <w:szCs w:val="24"/>
          <w:lang w:val="es-ES_tradnl" w:eastAsia="es-CO"/>
        </w:rPr>
        <w:t xml:space="preserve">Por otro lado, recuerda el carácter prevalente de los derechos de los niños en el ordenamiento jurídico interno, según el artículo 44 de la Constitución Política, y las obligaciones internacionales asumidas en esta materia por el Estado colombiano, tanto en la Convención sobre los derechos del niño (1989), como en la Convención Americana sobre Derechos Humanos (1969) y el Pacto Internacional de Derechos Civiles y Políticos (1966). </w:t>
      </w:r>
    </w:p>
    <w:p w:rsidR="007F6D10" w:rsidRPr="0022719B" w:rsidRDefault="007F6D10" w:rsidP="007F6D10">
      <w:pPr>
        <w:spacing w:line="360" w:lineRule="auto"/>
        <w:rPr>
          <w:rFonts w:eastAsia="Times New Roman"/>
          <w:sz w:val="24"/>
          <w:szCs w:val="24"/>
          <w:lang w:val="es-ES_tradnl" w:eastAsia="es-CO"/>
        </w:rPr>
      </w:pPr>
      <w:r w:rsidRPr="0022719B">
        <w:rPr>
          <w:rFonts w:eastAsia="Times New Roman"/>
          <w:sz w:val="24"/>
          <w:szCs w:val="24"/>
          <w:lang w:val="es-ES_tradnl" w:eastAsia="es-CO"/>
        </w:rPr>
        <w:t xml:space="preserve"> </w:t>
      </w:r>
    </w:p>
    <w:p w:rsidR="007F6D10" w:rsidRPr="0022719B" w:rsidRDefault="007F6D10" w:rsidP="007F6D10">
      <w:pPr>
        <w:numPr>
          <w:ilvl w:val="0"/>
          <w:numId w:val="1"/>
        </w:numPr>
        <w:spacing w:before="360" w:after="360" w:line="360" w:lineRule="auto"/>
        <w:contextualSpacing/>
        <w:jc w:val="center"/>
        <w:rPr>
          <w:rFonts w:eastAsia="Times New Roman"/>
          <w:b/>
          <w:sz w:val="24"/>
          <w:szCs w:val="24"/>
          <w:lang w:val="es-ES_tradnl" w:eastAsia="es-CO"/>
        </w:rPr>
      </w:pPr>
      <w:r w:rsidRPr="0022719B">
        <w:rPr>
          <w:rFonts w:eastAsia="Times New Roman"/>
          <w:b/>
          <w:sz w:val="24"/>
          <w:szCs w:val="24"/>
          <w:lang w:val="es-ES_tradnl" w:eastAsia="es-CO"/>
        </w:rPr>
        <w:t>CONSIDERACIONES DE LA SALA</w:t>
      </w:r>
    </w:p>
    <w:p w:rsidR="007F6D10" w:rsidRPr="0022719B" w:rsidRDefault="007F6D10" w:rsidP="007F6D10">
      <w:pPr>
        <w:spacing w:line="360" w:lineRule="auto"/>
        <w:rPr>
          <w:rFonts w:eastAsia="Times New Roman"/>
          <w:sz w:val="24"/>
          <w:szCs w:val="24"/>
          <w:lang w:val="es-ES_tradnl" w:eastAsia="es-CO"/>
        </w:rPr>
      </w:pPr>
    </w:p>
    <w:p w:rsidR="007F6D10" w:rsidRPr="0022719B" w:rsidRDefault="007F6D10" w:rsidP="007F6D10">
      <w:pPr>
        <w:spacing w:line="360" w:lineRule="auto"/>
        <w:rPr>
          <w:rFonts w:eastAsia="Times New Roman"/>
          <w:sz w:val="24"/>
          <w:szCs w:val="24"/>
          <w:lang w:val="es-ES_tradnl" w:eastAsia="es-CO"/>
        </w:rPr>
      </w:pPr>
      <w:r w:rsidRPr="0022719B">
        <w:rPr>
          <w:rFonts w:eastAsia="Times New Roman"/>
          <w:sz w:val="24"/>
          <w:szCs w:val="24"/>
          <w:lang w:val="es-ES_tradnl" w:eastAsia="es-CO"/>
        </w:rPr>
        <w:t xml:space="preserve">La Sala Jurisdiccional del Consejo Superior de la Judicatura es competente para conocer de la definición de competencias prevista en el Código de Procedimiento Penal (arts. 54 y 341) cuando involucra diferentes jurisdicciones, como en el presente caso. Así se infiere del numeral 6 del artículo 256 de la Constitución Política, que dispone: </w:t>
      </w:r>
    </w:p>
    <w:p w:rsidR="007F6D10" w:rsidRPr="0022719B" w:rsidRDefault="007F6D10" w:rsidP="007F6D10">
      <w:pPr>
        <w:spacing w:line="360" w:lineRule="auto"/>
        <w:rPr>
          <w:rFonts w:eastAsia="Times New Roman"/>
          <w:sz w:val="24"/>
          <w:szCs w:val="24"/>
          <w:lang w:val="es-ES_tradnl" w:eastAsia="es-CO"/>
        </w:rPr>
      </w:pPr>
    </w:p>
    <w:p w:rsidR="007F6D10" w:rsidRPr="0022719B" w:rsidRDefault="007F6D10" w:rsidP="007F6D10">
      <w:pPr>
        <w:ind w:left="708"/>
        <w:rPr>
          <w:rFonts w:eastAsia="Times New Roman"/>
          <w:sz w:val="24"/>
          <w:szCs w:val="24"/>
          <w:lang w:eastAsia="es-CO"/>
        </w:rPr>
      </w:pPr>
      <w:r w:rsidRPr="0022719B">
        <w:rPr>
          <w:rFonts w:eastAsia="Times New Roman"/>
          <w:bCs/>
          <w:sz w:val="24"/>
          <w:szCs w:val="24"/>
          <w:lang w:eastAsia="es-CO"/>
        </w:rPr>
        <w:t>“Artí</w:t>
      </w:r>
      <w:bookmarkStart w:id="0" w:name="256"/>
      <w:r w:rsidRPr="0022719B">
        <w:rPr>
          <w:rFonts w:eastAsia="Times New Roman"/>
          <w:bCs/>
          <w:sz w:val="24"/>
          <w:szCs w:val="24"/>
          <w:lang w:eastAsia="es-CO"/>
        </w:rPr>
        <w:t>culo </w:t>
      </w:r>
      <w:bookmarkEnd w:id="0"/>
      <w:r w:rsidRPr="0022719B">
        <w:rPr>
          <w:rFonts w:eastAsia="Times New Roman"/>
          <w:bCs/>
          <w:sz w:val="24"/>
          <w:szCs w:val="24"/>
          <w:lang w:eastAsia="es-CO"/>
        </w:rPr>
        <w:t>256. </w:t>
      </w:r>
      <w:r w:rsidRPr="0022719B">
        <w:rPr>
          <w:rFonts w:eastAsia="Times New Roman"/>
          <w:sz w:val="24"/>
          <w:szCs w:val="24"/>
          <w:lang w:eastAsia="es-CO"/>
        </w:rPr>
        <w:t>Corresponden al Consejo Superior de la Judicatura o a los Consejos Seccionales, según el caso y de acuerdo a la ley, las siguientes atribuciones:</w:t>
      </w:r>
    </w:p>
    <w:p w:rsidR="007F6D10" w:rsidRPr="0022719B" w:rsidRDefault="007F6D10" w:rsidP="007F6D10">
      <w:pPr>
        <w:rPr>
          <w:rFonts w:eastAsia="Times New Roman"/>
          <w:sz w:val="24"/>
          <w:szCs w:val="24"/>
          <w:lang w:eastAsia="es-CO"/>
        </w:rPr>
      </w:pPr>
    </w:p>
    <w:p w:rsidR="007F6D10" w:rsidRPr="0022719B" w:rsidRDefault="007F6D10" w:rsidP="007F6D10">
      <w:pPr>
        <w:ind w:left="708"/>
        <w:rPr>
          <w:rFonts w:eastAsia="Times New Roman"/>
          <w:sz w:val="24"/>
          <w:szCs w:val="24"/>
          <w:lang w:eastAsia="es-CO"/>
        </w:rPr>
      </w:pPr>
      <w:r w:rsidRPr="0022719B">
        <w:rPr>
          <w:rFonts w:eastAsia="Times New Roman"/>
          <w:sz w:val="24"/>
          <w:szCs w:val="24"/>
          <w:lang w:eastAsia="es-CO"/>
        </w:rPr>
        <w:t>[…] 6. Dirimir los conflictos de competencia que ocurran entre las distintas jurisdicciones”.</w:t>
      </w:r>
    </w:p>
    <w:p w:rsidR="007F6D10" w:rsidRPr="0022719B" w:rsidRDefault="007F6D10" w:rsidP="007F6D10">
      <w:pPr>
        <w:spacing w:line="360" w:lineRule="auto"/>
        <w:rPr>
          <w:rFonts w:eastAsia="Times New Roman"/>
          <w:sz w:val="24"/>
          <w:szCs w:val="24"/>
          <w:lang w:val="es-ES_tradnl" w:eastAsia="es-CO"/>
        </w:rPr>
      </w:pPr>
    </w:p>
    <w:p w:rsidR="007F6D10" w:rsidRPr="0022719B" w:rsidRDefault="007F6D10" w:rsidP="007F6D10">
      <w:pPr>
        <w:spacing w:line="360" w:lineRule="auto"/>
        <w:rPr>
          <w:rFonts w:eastAsia="Times New Roman"/>
          <w:sz w:val="24"/>
          <w:szCs w:val="24"/>
          <w:lang w:val="es-ES_tradnl" w:eastAsia="es-CO"/>
        </w:rPr>
      </w:pPr>
      <w:r w:rsidRPr="0022719B">
        <w:rPr>
          <w:rFonts w:eastAsia="Times New Roman"/>
          <w:sz w:val="24"/>
          <w:szCs w:val="24"/>
          <w:lang w:val="es-ES_tradnl" w:eastAsia="es-CO"/>
        </w:rPr>
        <w:t xml:space="preserve">En el presente caso, </w:t>
      </w:r>
      <w:r w:rsidRPr="0022719B">
        <w:rPr>
          <w:rFonts w:eastAsia="Times New Roman"/>
          <w:sz w:val="24"/>
          <w:szCs w:val="24"/>
          <w:lang w:val="es-ES_tradnl" w:eastAsia="es-ES"/>
        </w:rPr>
        <w:t xml:space="preserve">problema jurídico a resolver consiste en determinar cuál jurisdicción deberá adelantar la investigación iniciada en contra de </w:t>
      </w:r>
      <w:r>
        <w:rPr>
          <w:rFonts w:eastAsia="Times New Roman"/>
          <w:sz w:val="24"/>
          <w:szCs w:val="24"/>
          <w:lang w:val="es-ES_tradnl" w:eastAsia="es-CO"/>
        </w:rPr>
        <w:t xml:space="preserve">Francisco </w:t>
      </w:r>
      <w:proofErr w:type="spellStart"/>
      <w:r>
        <w:rPr>
          <w:rFonts w:eastAsia="Times New Roman"/>
          <w:sz w:val="24"/>
          <w:szCs w:val="24"/>
          <w:lang w:val="es-ES_tradnl" w:eastAsia="es-CO"/>
        </w:rPr>
        <w:t>Dosanto</w:t>
      </w:r>
      <w:proofErr w:type="spellEnd"/>
      <w:r>
        <w:rPr>
          <w:rFonts w:eastAsia="Times New Roman"/>
          <w:sz w:val="24"/>
          <w:szCs w:val="24"/>
          <w:lang w:val="es-ES_tradnl" w:eastAsia="es-CO"/>
        </w:rPr>
        <w:t xml:space="preserve"> </w:t>
      </w:r>
      <w:proofErr w:type="spellStart"/>
      <w:r>
        <w:rPr>
          <w:rFonts w:eastAsia="Times New Roman"/>
          <w:sz w:val="24"/>
          <w:szCs w:val="24"/>
          <w:lang w:val="es-ES_tradnl" w:eastAsia="es-CO"/>
        </w:rPr>
        <w:t>Aragao</w:t>
      </w:r>
      <w:proofErr w:type="spellEnd"/>
      <w:r w:rsidRPr="0022719B">
        <w:rPr>
          <w:rFonts w:eastAsia="Times New Roman"/>
          <w:sz w:val="24"/>
          <w:szCs w:val="24"/>
          <w:lang w:val="es-ES_tradnl" w:eastAsia="es-ES"/>
        </w:rPr>
        <w:t xml:space="preserve">, por hechos que fueron catalogados por la Fiscalía General de la Nación como constitutivos del delito agravado de acceso carnal violento. </w:t>
      </w:r>
    </w:p>
    <w:p w:rsidR="007F6D10" w:rsidRPr="0022719B" w:rsidRDefault="007F6D10" w:rsidP="007F6D10">
      <w:pPr>
        <w:spacing w:line="360" w:lineRule="auto"/>
        <w:rPr>
          <w:rFonts w:eastAsia="Times New Roman"/>
          <w:sz w:val="24"/>
          <w:szCs w:val="24"/>
          <w:lang w:val="es-ES_tradnl" w:eastAsia="es-ES"/>
        </w:rPr>
      </w:pPr>
    </w:p>
    <w:p w:rsidR="007F6D10" w:rsidRPr="0022719B" w:rsidRDefault="007F6D10" w:rsidP="007F6D10">
      <w:pPr>
        <w:tabs>
          <w:tab w:val="left" w:pos="-720"/>
        </w:tabs>
        <w:suppressAutoHyphens/>
        <w:spacing w:line="360" w:lineRule="auto"/>
        <w:rPr>
          <w:iCs/>
          <w:spacing w:val="-3"/>
          <w:sz w:val="24"/>
          <w:szCs w:val="24"/>
        </w:rPr>
      </w:pPr>
      <w:r w:rsidRPr="0022719B">
        <w:rPr>
          <w:iCs/>
          <w:spacing w:val="-3"/>
          <w:sz w:val="24"/>
          <w:szCs w:val="24"/>
        </w:rPr>
        <w:lastRenderedPageBreak/>
        <w:t>Con tal fin, la presente decisión</w:t>
      </w:r>
      <w:r>
        <w:rPr>
          <w:iCs/>
          <w:spacing w:val="-3"/>
          <w:sz w:val="24"/>
          <w:szCs w:val="24"/>
        </w:rPr>
        <w:t xml:space="preserve"> reiterará el precedente acogido en la materia por esta Sala y desarrollará</w:t>
      </w:r>
      <w:r w:rsidRPr="0022719B">
        <w:rPr>
          <w:iCs/>
          <w:spacing w:val="-3"/>
          <w:sz w:val="24"/>
          <w:szCs w:val="24"/>
        </w:rPr>
        <w:t xml:space="preserve"> el siguiente orden: en primer lugar se expondrán algunos rasgos característicos del marco normativo constitucional e internacional aplicable a la jurisdicción indígena en Colombia. En segundo lugar, se abordará de manera sucinta el desarrollo jurisprudencial que esta figura ha tenido tanto a instancias de la Corte Constitucional como de esta Corporación, con el propósito de elucidar sus alcances. En tercer lugar, se demostrará que los derechos fundamentales con amplio respaldo y protección por la comunidad internacional representan </w:t>
      </w:r>
      <w:r w:rsidRPr="0022719B">
        <w:rPr>
          <w:i/>
          <w:iCs/>
          <w:spacing w:val="-3"/>
          <w:sz w:val="24"/>
          <w:szCs w:val="24"/>
        </w:rPr>
        <w:t>límites materiales</w:t>
      </w:r>
      <w:r w:rsidRPr="0022719B">
        <w:rPr>
          <w:iCs/>
          <w:spacing w:val="-3"/>
          <w:sz w:val="24"/>
          <w:szCs w:val="24"/>
        </w:rPr>
        <w:t xml:space="preserve"> a la jurisdicción especial indígena. Lo anterior, con el fin de justificar la preeminencia que esta Sala le otorga al denominado elemento o factor “objetivo” en la atribución de competencia a la jurisdicción indígena para juzgar ciertos delitos cometidos contra los derechos fundamentales. En cuarto lugar, se precisará el sentido constitucional de los juicios sobre resolución de conflictos de competencia, encomendados por la Carta Política de 1991 a esta Corporación, de manera que se evidencie la incoherencia e inconveniencia de adelantar en dichos escenarios evaluaciones sustanciales sobre la materia de controversia o los sujetos involucrados en la misma. Por último, se resolverá el caso concreto.  </w:t>
      </w:r>
    </w:p>
    <w:p w:rsidR="007F6D10" w:rsidRPr="0022719B" w:rsidRDefault="007F6D10" w:rsidP="007F6D10">
      <w:pPr>
        <w:jc w:val="left"/>
        <w:rPr>
          <w:iCs/>
          <w:color w:val="000000"/>
          <w:sz w:val="24"/>
          <w:szCs w:val="24"/>
          <w:shd w:val="clear" w:color="auto" w:fill="FFFFFF"/>
          <w:lang w:val="es-CO"/>
        </w:rPr>
      </w:pPr>
    </w:p>
    <w:p w:rsidR="007F6D10" w:rsidRPr="0022719B" w:rsidRDefault="007F6D10" w:rsidP="007F6D10">
      <w:pPr>
        <w:jc w:val="left"/>
        <w:rPr>
          <w:b/>
          <w:iCs/>
          <w:color w:val="000000"/>
          <w:sz w:val="24"/>
          <w:szCs w:val="24"/>
          <w:shd w:val="clear" w:color="auto" w:fill="FFFFFF"/>
          <w:lang w:val="es-CO"/>
        </w:rPr>
      </w:pPr>
    </w:p>
    <w:p w:rsidR="007F6D10" w:rsidRPr="0022719B" w:rsidRDefault="007F6D10" w:rsidP="007F6D10">
      <w:pPr>
        <w:jc w:val="left"/>
        <w:rPr>
          <w:b/>
          <w:iCs/>
          <w:color w:val="000000"/>
          <w:sz w:val="24"/>
          <w:szCs w:val="24"/>
          <w:shd w:val="clear" w:color="auto" w:fill="FFFFFF"/>
          <w:lang w:val="es-CO"/>
        </w:rPr>
      </w:pPr>
      <w:r w:rsidRPr="0022719B">
        <w:rPr>
          <w:b/>
          <w:iCs/>
          <w:color w:val="000000"/>
          <w:sz w:val="24"/>
          <w:szCs w:val="24"/>
          <w:shd w:val="clear" w:color="auto" w:fill="FFFFFF"/>
          <w:lang w:val="es-CO"/>
        </w:rPr>
        <w:t xml:space="preserve">a) Marco normativo aplicable </w:t>
      </w:r>
    </w:p>
    <w:p w:rsidR="007F6D10" w:rsidRPr="0022719B" w:rsidRDefault="007F6D10" w:rsidP="007F6D10">
      <w:pPr>
        <w:jc w:val="left"/>
        <w:rPr>
          <w:b/>
          <w:iCs/>
          <w:color w:val="000000"/>
          <w:sz w:val="24"/>
          <w:szCs w:val="24"/>
          <w:shd w:val="clear" w:color="auto" w:fill="FFFFFF"/>
          <w:lang w:val="es-CO"/>
        </w:rPr>
      </w:pPr>
    </w:p>
    <w:p w:rsidR="007F6D10" w:rsidRPr="0022719B" w:rsidRDefault="007F6D10" w:rsidP="007F6D10">
      <w:pPr>
        <w:jc w:val="left"/>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Como lo ha destacado esta Sala</w:t>
      </w:r>
      <w:r w:rsidRPr="0022719B">
        <w:rPr>
          <w:iCs/>
          <w:color w:val="000000"/>
          <w:sz w:val="24"/>
          <w:szCs w:val="24"/>
          <w:shd w:val="clear" w:color="auto" w:fill="FFFFFF"/>
          <w:vertAlign w:val="superscript"/>
          <w:lang w:val="es-CO"/>
        </w:rPr>
        <w:footnoteReference w:id="5"/>
      </w:r>
      <w:r w:rsidRPr="0022719B">
        <w:rPr>
          <w:iCs/>
          <w:color w:val="000000"/>
          <w:sz w:val="24"/>
          <w:szCs w:val="24"/>
          <w:shd w:val="clear" w:color="auto" w:fill="FFFFFF"/>
          <w:lang w:val="es-CO"/>
        </w:rPr>
        <w:t xml:space="preserve">, la jurisdicción indígena encuentra sus raíces en el principio constitucional de respeto, protección y promoción de la diversidad étnica y cultural de nuestra población. Así, en su primer artículo la Constitución Política define al Estado colombiano como una República </w:t>
      </w:r>
      <w:r w:rsidRPr="0022719B">
        <w:rPr>
          <w:i/>
          <w:iCs/>
          <w:color w:val="000000"/>
          <w:sz w:val="24"/>
          <w:szCs w:val="24"/>
          <w:shd w:val="clear" w:color="auto" w:fill="FFFFFF"/>
          <w:lang w:val="es-CO"/>
        </w:rPr>
        <w:t>pluralista</w:t>
      </w:r>
      <w:r w:rsidRPr="0022719B">
        <w:rPr>
          <w:iCs/>
          <w:color w:val="000000"/>
          <w:sz w:val="24"/>
          <w:szCs w:val="24"/>
          <w:shd w:val="clear" w:color="auto" w:fill="FFFFFF"/>
          <w:lang w:val="es-CO"/>
        </w:rPr>
        <w:t xml:space="preserve">, adjetivo con proyección sobre todas sus demás disposiciones, que implica el reconocimiento y la protección de las múltiples formas de pensamiento y vida coexistentes en una sola sociedad.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Según jurisprudencia constitucional, esta condición plural del Estado Social de Derecho le impone, como mínimo: 1) admitir y promover “el hecho de la diversidad” en sí mismo; 2) apreciar positivamente las distintas aspiraciones y valoraciones existentes en la población y, en consecuencia, garantizar su libertad religiosa, de pensamiento y de expresión; y, 3) fijar mecanismos jurídicos, políticos y sociales </w:t>
      </w:r>
      <w:r w:rsidRPr="0022719B">
        <w:rPr>
          <w:iCs/>
          <w:color w:val="000000"/>
          <w:sz w:val="24"/>
          <w:szCs w:val="24"/>
          <w:shd w:val="clear" w:color="auto" w:fill="FFFFFF"/>
          <w:lang w:val="es-CO"/>
        </w:rPr>
        <w:lastRenderedPageBreak/>
        <w:t>para resolver las posibles controversias que se originen a causa de las diferencias presentes en la colectividad</w:t>
      </w:r>
      <w:r w:rsidRPr="0022719B">
        <w:rPr>
          <w:iCs/>
          <w:color w:val="000000"/>
          <w:sz w:val="24"/>
          <w:szCs w:val="24"/>
          <w:shd w:val="clear" w:color="auto" w:fill="FFFFFF"/>
          <w:vertAlign w:val="superscript"/>
          <w:lang w:val="es-CO"/>
        </w:rPr>
        <w:footnoteReference w:id="6"/>
      </w:r>
      <w:r w:rsidRPr="0022719B">
        <w:rPr>
          <w:iCs/>
          <w:color w:val="000000"/>
          <w:sz w:val="24"/>
          <w:szCs w:val="24"/>
          <w:shd w:val="clear" w:color="auto" w:fill="FFFFFF"/>
          <w:lang w:val="es-CO"/>
        </w:rPr>
        <w:t xml:space="preserve">. </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El artículo segundo, por su parte, establece como fin del Estado facilitar la participación de “todos”, con independencia de su origen o de cualquier otra característica personal, en la toma de decisiones con efectos sobre la vida económica, política, administrativa y cultural de la Nación. Más adelante, la Constitución proclama los deberes inquebrantables de reconocer y proteger </w:t>
      </w:r>
      <w:r w:rsidRPr="0022719B">
        <w:rPr>
          <w:i/>
          <w:iCs/>
          <w:color w:val="000000"/>
          <w:sz w:val="24"/>
          <w:szCs w:val="24"/>
          <w:shd w:val="clear" w:color="auto" w:fill="FFFFFF"/>
          <w:lang w:val="es-CO"/>
        </w:rPr>
        <w:t>“</w:t>
      </w:r>
      <w:r w:rsidRPr="0022719B">
        <w:rPr>
          <w:i/>
          <w:iCs/>
          <w:color w:val="000000"/>
          <w:sz w:val="24"/>
          <w:szCs w:val="22"/>
          <w:shd w:val="clear" w:color="auto" w:fill="FFFFFF"/>
        </w:rPr>
        <w:t>la diversidad étnica y cultural”</w:t>
      </w:r>
      <w:r w:rsidRPr="0022719B">
        <w:rPr>
          <w:iCs/>
          <w:color w:val="000000"/>
          <w:sz w:val="24"/>
          <w:szCs w:val="22"/>
          <w:shd w:val="clear" w:color="auto" w:fill="FFFFFF"/>
        </w:rPr>
        <w:t xml:space="preserve"> del pueblo colombiano (artículo 7º) y garantizar la conservación </w:t>
      </w:r>
      <w:r w:rsidRPr="0022719B">
        <w:rPr>
          <w:i/>
          <w:iCs/>
          <w:color w:val="000000"/>
          <w:sz w:val="24"/>
          <w:szCs w:val="22"/>
          <w:shd w:val="clear" w:color="auto" w:fill="FFFFFF"/>
        </w:rPr>
        <w:t>“</w:t>
      </w:r>
      <w:r w:rsidRPr="0022719B">
        <w:rPr>
          <w:i/>
          <w:iCs/>
          <w:color w:val="000000"/>
          <w:sz w:val="24"/>
          <w:szCs w:val="24"/>
          <w:shd w:val="clear" w:color="auto" w:fill="FFFFFF"/>
          <w:lang w:val="es-CO"/>
        </w:rPr>
        <w:t>las riquezas culturales”</w:t>
      </w:r>
      <w:r w:rsidRPr="0022719B">
        <w:rPr>
          <w:iCs/>
          <w:color w:val="000000"/>
          <w:sz w:val="24"/>
          <w:szCs w:val="24"/>
          <w:shd w:val="clear" w:color="auto" w:fill="FFFFFF"/>
          <w:lang w:val="es-CO"/>
        </w:rPr>
        <w:t xml:space="preserve"> del país (artículo 8º) y le confiere reconocimiento oficial a las </w:t>
      </w:r>
      <w:r w:rsidRPr="0022719B">
        <w:rPr>
          <w:i/>
          <w:iCs/>
          <w:color w:val="000000"/>
          <w:sz w:val="24"/>
          <w:szCs w:val="24"/>
          <w:shd w:val="clear" w:color="auto" w:fill="FFFFFF"/>
          <w:lang w:val="es-CO"/>
        </w:rPr>
        <w:t>“lenguas y dialectos de los grupos étnicos”</w:t>
      </w:r>
      <w:r w:rsidRPr="0022719B">
        <w:rPr>
          <w:iCs/>
          <w:color w:val="000000"/>
          <w:sz w:val="24"/>
          <w:szCs w:val="24"/>
          <w:shd w:val="clear" w:color="auto" w:fill="FFFFFF"/>
          <w:lang w:val="es-CO"/>
        </w:rPr>
        <w:t xml:space="preserve"> en su ámbito territorial (artículo 10), como estrategia de dignificación y contención de los efectos </w:t>
      </w:r>
      <w:proofErr w:type="spellStart"/>
      <w:r w:rsidRPr="0022719B">
        <w:rPr>
          <w:i/>
          <w:iCs/>
          <w:color w:val="000000"/>
          <w:sz w:val="24"/>
          <w:szCs w:val="24"/>
          <w:shd w:val="clear" w:color="auto" w:fill="FFFFFF"/>
          <w:lang w:val="es-CO"/>
        </w:rPr>
        <w:t>asimilacionistas</w:t>
      </w:r>
      <w:proofErr w:type="spellEnd"/>
      <w:r w:rsidRPr="0022719B">
        <w:rPr>
          <w:iCs/>
          <w:color w:val="000000"/>
          <w:sz w:val="24"/>
          <w:szCs w:val="24"/>
          <w:shd w:val="clear" w:color="auto" w:fill="FFFFFF"/>
          <w:vertAlign w:val="superscript"/>
          <w:lang w:val="es-CO"/>
        </w:rPr>
        <w:footnoteReference w:id="7"/>
      </w:r>
      <w:r w:rsidRPr="0022719B">
        <w:rPr>
          <w:iCs/>
          <w:color w:val="000000"/>
          <w:sz w:val="24"/>
          <w:szCs w:val="24"/>
          <w:shd w:val="clear" w:color="auto" w:fill="FFFFFF"/>
          <w:lang w:val="es-CO"/>
        </w:rPr>
        <w:t xml:space="preserve"> del lenguaje sobre las comunidades minoritarias. </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El principio y derecho a la igualdad consignado en el artículo 13 de la Constitución también refleja la intención del constituyente de brindarle especial protección a los grupos indígenas colombianos. Además de prohibir cualquier tipo de discriminación por aspectos raciales, de origen o del lenguaje, ordena impulsar las condiciones para que la igualdad pase de ser una mera enunciación abstracta y formal y se traduzca en una realidad, en especial, frente a los </w:t>
      </w:r>
      <w:r w:rsidRPr="0022719B">
        <w:rPr>
          <w:i/>
          <w:iCs/>
          <w:color w:val="000000"/>
          <w:sz w:val="24"/>
          <w:szCs w:val="24"/>
          <w:shd w:val="clear" w:color="auto" w:fill="FFFFFF"/>
          <w:lang w:val="es-CO"/>
        </w:rPr>
        <w:t>“grupos marginados”</w:t>
      </w:r>
      <w:r w:rsidRPr="0022719B">
        <w:rPr>
          <w:iCs/>
          <w:color w:val="000000"/>
          <w:sz w:val="24"/>
          <w:szCs w:val="24"/>
          <w:shd w:val="clear" w:color="auto" w:fill="FFFFFF"/>
          <w:vertAlign w:val="superscript"/>
          <w:lang w:val="es-CO"/>
        </w:rPr>
        <w:footnoteReference w:id="8"/>
      </w:r>
      <w:r w:rsidRPr="0022719B">
        <w:rPr>
          <w:iCs/>
          <w:color w:val="000000"/>
          <w:sz w:val="24"/>
          <w:szCs w:val="24"/>
          <w:shd w:val="clear" w:color="auto" w:fill="FFFFFF"/>
          <w:lang w:val="es-CO"/>
        </w:rPr>
        <w:t xml:space="preserve"> históricamente por la sociedad colombiana, como los pueblos indígenas. Por este motivo, la categoría de </w:t>
      </w:r>
      <w:r w:rsidRPr="0022719B">
        <w:rPr>
          <w:i/>
          <w:iCs/>
          <w:color w:val="000000"/>
          <w:sz w:val="24"/>
          <w:szCs w:val="24"/>
          <w:shd w:val="clear" w:color="auto" w:fill="FFFFFF"/>
          <w:lang w:val="es-CO"/>
        </w:rPr>
        <w:t>“sujeto de especial protección constitucional”</w:t>
      </w:r>
      <w:r w:rsidRPr="0022719B">
        <w:rPr>
          <w:iCs/>
          <w:color w:val="000000"/>
          <w:sz w:val="24"/>
          <w:szCs w:val="24"/>
          <w:shd w:val="clear" w:color="auto" w:fill="FFFFFF"/>
          <w:vertAlign w:val="superscript"/>
          <w:lang w:val="es-CO"/>
        </w:rPr>
        <w:footnoteReference w:id="9"/>
      </w:r>
      <w:r w:rsidRPr="0022719B">
        <w:rPr>
          <w:iCs/>
          <w:color w:val="000000"/>
          <w:sz w:val="24"/>
          <w:szCs w:val="24"/>
          <w:shd w:val="clear" w:color="auto" w:fill="FFFFFF"/>
          <w:lang w:val="es-CO"/>
        </w:rPr>
        <w:t xml:space="preserve"> ha servido como punto de partida para la exigencia de políticas públicas diferenciales a su favor</w:t>
      </w:r>
      <w:r w:rsidRPr="0022719B">
        <w:rPr>
          <w:iCs/>
          <w:color w:val="000000"/>
          <w:sz w:val="24"/>
          <w:szCs w:val="24"/>
          <w:shd w:val="clear" w:color="auto" w:fill="FFFFFF"/>
          <w:vertAlign w:val="superscript"/>
          <w:lang w:val="es-CO"/>
        </w:rPr>
        <w:footnoteReference w:id="10"/>
      </w:r>
      <w:r w:rsidRPr="0022719B">
        <w:rPr>
          <w:iCs/>
          <w:color w:val="000000"/>
          <w:sz w:val="24"/>
          <w:szCs w:val="24"/>
          <w:shd w:val="clear" w:color="auto" w:fill="FFFFFF"/>
          <w:lang w:val="es-CO"/>
        </w:rPr>
        <w:t xml:space="preserve">.  </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En materia de derechos fundamentales, el repertorio previsto tanto en la Constitución como en los instrumentos internacionales adquiere un acento étnico y </w:t>
      </w:r>
      <w:r w:rsidRPr="0022719B">
        <w:rPr>
          <w:iCs/>
          <w:color w:val="000000"/>
          <w:sz w:val="24"/>
          <w:szCs w:val="24"/>
          <w:shd w:val="clear" w:color="auto" w:fill="FFFFFF"/>
          <w:lang w:val="es-CO"/>
        </w:rPr>
        <w:lastRenderedPageBreak/>
        <w:t xml:space="preserve">cultural que permite ajustarlo a sus diversas cosmovisiones o sintonizarlo con sus particulares expectativas de vida.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Así, en numerosas oportunidades la jurisprudencia constitucional ha destacado la importancia de precisar el contenido normativo de los derechos fundamentales de acuerdo con las circunstancias y características culturales de sus titulares. Por ejemplo, en la sentencia T-778 de 2005 empleó la llamada </w:t>
      </w:r>
      <w:r w:rsidRPr="0022719B">
        <w:rPr>
          <w:i/>
          <w:iCs/>
          <w:color w:val="000000"/>
          <w:sz w:val="24"/>
          <w:szCs w:val="24"/>
          <w:shd w:val="clear" w:color="auto" w:fill="FFFFFF"/>
          <w:lang w:val="es-CO"/>
        </w:rPr>
        <w:t xml:space="preserve">“excepción por diversidad </w:t>
      </w:r>
      <w:proofErr w:type="spellStart"/>
      <w:r w:rsidRPr="0022719B">
        <w:rPr>
          <w:i/>
          <w:iCs/>
          <w:color w:val="000000"/>
          <w:sz w:val="24"/>
          <w:szCs w:val="24"/>
          <w:shd w:val="clear" w:color="auto" w:fill="FFFFFF"/>
          <w:lang w:val="es-CO"/>
        </w:rPr>
        <w:t>etnocultural</w:t>
      </w:r>
      <w:proofErr w:type="spellEnd"/>
      <w:r w:rsidRPr="0022719B">
        <w:rPr>
          <w:i/>
          <w:iCs/>
          <w:color w:val="000000"/>
          <w:sz w:val="24"/>
          <w:szCs w:val="24"/>
          <w:shd w:val="clear" w:color="auto" w:fill="FFFFFF"/>
          <w:lang w:val="es-CO"/>
        </w:rPr>
        <w:t xml:space="preserve"> a normas de alcance general”</w:t>
      </w:r>
      <w:r w:rsidRPr="0022719B">
        <w:rPr>
          <w:iCs/>
          <w:color w:val="000000"/>
          <w:sz w:val="24"/>
          <w:szCs w:val="24"/>
          <w:shd w:val="clear" w:color="auto" w:fill="FFFFFF"/>
          <w:lang w:val="es-CO"/>
        </w:rPr>
        <w:t xml:space="preserve">, como medio para hacer compatible el requisito de edad previsto para ser elegido concejal del Distrito Capital, con el derecho político de una indígena </w:t>
      </w:r>
      <w:proofErr w:type="spellStart"/>
      <w:r w:rsidRPr="0022719B">
        <w:rPr>
          <w:iCs/>
          <w:color w:val="000000"/>
          <w:sz w:val="24"/>
          <w:szCs w:val="24"/>
          <w:shd w:val="clear" w:color="auto" w:fill="FFFFFF"/>
          <w:lang w:val="es-CO"/>
        </w:rPr>
        <w:t>arhuaca</w:t>
      </w:r>
      <w:proofErr w:type="spellEnd"/>
      <w:r w:rsidRPr="0022719B">
        <w:rPr>
          <w:iCs/>
          <w:color w:val="000000"/>
          <w:sz w:val="24"/>
          <w:szCs w:val="24"/>
          <w:shd w:val="clear" w:color="auto" w:fill="FFFFFF"/>
          <w:lang w:val="es-CO"/>
        </w:rPr>
        <w:t xml:space="preserve"> a desempeñarse en el mismo. Para la Corte Constitucional, si bien aquella ciudadana no contaba con la edad mínima para ser concejal, el hecho que tuviese </w:t>
      </w:r>
      <w:r w:rsidRPr="0022719B">
        <w:rPr>
          <w:i/>
          <w:iCs/>
          <w:color w:val="000000"/>
          <w:sz w:val="24"/>
          <w:szCs w:val="24"/>
          <w:shd w:val="clear" w:color="auto" w:fill="FFFFFF"/>
          <w:lang w:val="es-CO"/>
        </w:rPr>
        <w:t>“el poder de la palabra para actuar públicamente”</w:t>
      </w:r>
      <w:r w:rsidRPr="0022719B">
        <w:rPr>
          <w:iCs/>
          <w:color w:val="000000"/>
          <w:sz w:val="24"/>
          <w:szCs w:val="24"/>
          <w:shd w:val="clear" w:color="auto" w:fill="FFFFFF"/>
          <w:lang w:val="es-CO"/>
        </w:rPr>
        <w:t>,</w:t>
      </w:r>
      <w:r w:rsidRPr="0022719B">
        <w:rPr>
          <w:i/>
          <w:iCs/>
          <w:color w:val="000000"/>
          <w:sz w:val="24"/>
          <w:szCs w:val="24"/>
          <w:shd w:val="clear" w:color="auto" w:fill="FFFFFF"/>
          <w:lang w:val="es-CO"/>
        </w:rPr>
        <w:t xml:space="preserve"> “de acuerdo a las costumbres de su pueblo”</w:t>
      </w:r>
      <w:r w:rsidRPr="0022719B">
        <w:rPr>
          <w:iCs/>
          <w:color w:val="000000"/>
          <w:sz w:val="24"/>
          <w:szCs w:val="24"/>
          <w:shd w:val="clear" w:color="auto" w:fill="FFFFFF"/>
          <w:lang w:val="es-CO"/>
        </w:rPr>
        <w:t xml:space="preserve">, justificaba la inaplicación en el caso concreto de aquel requisito de edad, de manera que pudiese disfrutar del derecho fundamental de participar en el funcionamiento poder público (artículo 40 de la Constitución).   </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Desde el punto de vista institucional o relacionado con la parte orgánica de la Constitución, también es posible encontrar numerosas garantías colectivas para aquellas comunidades, dirigidas a brindarles autonomía, visibilidad social y participación en los espacios de </w:t>
      </w:r>
      <w:proofErr w:type="gramStart"/>
      <w:r w:rsidRPr="0022719B">
        <w:rPr>
          <w:iCs/>
          <w:color w:val="000000"/>
          <w:sz w:val="24"/>
          <w:szCs w:val="24"/>
          <w:shd w:val="clear" w:color="auto" w:fill="FFFFFF"/>
          <w:lang w:val="es-CO"/>
        </w:rPr>
        <w:t>gobierno locales y nacionales</w:t>
      </w:r>
      <w:proofErr w:type="gramEnd"/>
      <w:r w:rsidRPr="0022719B">
        <w:rPr>
          <w:iCs/>
          <w:color w:val="000000"/>
          <w:sz w:val="24"/>
          <w:szCs w:val="24"/>
          <w:shd w:val="clear" w:color="auto" w:fill="FFFFFF"/>
          <w:vertAlign w:val="superscript"/>
          <w:lang w:val="es-CO"/>
        </w:rPr>
        <w:footnoteReference w:id="11"/>
      </w:r>
      <w:r w:rsidRPr="0022719B">
        <w:rPr>
          <w:iCs/>
          <w:color w:val="000000"/>
          <w:sz w:val="24"/>
          <w:szCs w:val="24"/>
          <w:shd w:val="clear" w:color="auto" w:fill="FFFFFF"/>
          <w:lang w:val="es-CO"/>
        </w:rPr>
        <w:t xml:space="preserve">. Una de ellas es precisamente la delegación de aplicación de justicia en sus autoridades ancestrales, de acuerdo con sus usos, costumbres y tradiciones. Al respecto, el artículo 246 de la Constitución establece lo siguiente:  </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ind w:left="720"/>
        <w:rPr>
          <w:i/>
          <w:iCs/>
          <w:color w:val="000000"/>
          <w:sz w:val="24"/>
          <w:szCs w:val="24"/>
          <w:shd w:val="clear" w:color="auto" w:fill="FFFFFF"/>
          <w:lang w:val="es-CO"/>
        </w:rPr>
      </w:pPr>
      <w:r w:rsidRPr="0022719B">
        <w:rPr>
          <w:i/>
          <w:iCs/>
          <w:color w:val="000000"/>
          <w:sz w:val="24"/>
          <w:szCs w:val="24"/>
          <w:shd w:val="clear" w:color="auto" w:fill="FFFFFF"/>
          <w:lang w:val="es-CO"/>
        </w:rPr>
        <w:t xml:space="preserve">“Las autoridades de los pueblos indígenas podrán ejercer funciones jurisdiccionales dentro de su ámbito territorial, de conformidad con sus propias normas y procedimientos, </w:t>
      </w:r>
      <w:r w:rsidRPr="0022719B">
        <w:rPr>
          <w:i/>
          <w:iCs/>
          <w:color w:val="000000"/>
          <w:sz w:val="24"/>
          <w:szCs w:val="24"/>
          <w:u w:val="single"/>
          <w:shd w:val="clear" w:color="auto" w:fill="FFFFFF"/>
          <w:lang w:val="es-CO"/>
        </w:rPr>
        <w:t>siempre que no sean contrarios a la Constitución y leyes de la República</w:t>
      </w:r>
      <w:r w:rsidRPr="0022719B">
        <w:rPr>
          <w:i/>
          <w:iCs/>
          <w:color w:val="000000"/>
          <w:sz w:val="24"/>
          <w:szCs w:val="24"/>
          <w:shd w:val="clear" w:color="auto" w:fill="FFFFFF"/>
          <w:lang w:val="es-CO"/>
        </w:rPr>
        <w:t xml:space="preserve">. La ley establecerá las formas de coordinación de esta jurisdicción especial con el sistema judicial nacional” </w:t>
      </w:r>
      <w:r w:rsidRPr="0022719B">
        <w:rPr>
          <w:iCs/>
          <w:color w:val="000000"/>
          <w:sz w:val="24"/>
          <w:szCs w:val="24"/>
          <w:shd w:val="clear" w:color="auto" w:fill="FFFFFF"/>
          <w:lang w:val="es-CO"/>
        </w:rPr>
        <w:t>(subraya fuera del texto original)</w:t>
      </w:r>
      <w:r w:rsidRPr="0022719B">
        <w:rPr>
          <w:i/>
          <w:iCs/>
          <w:color w:val="000000"/>
          <w:sz w:val="24"/>
          <w:szCs w:val="24"/>
          <w:shd w:val="clear" w:color="auto" w:fill="FFFFFF"/>
          <w:lang w:val="es-CO"/>
        </w:rPr>
        <w:t>.</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Esta norma contiene los cuatro elementos centrales de la jurisdicción indígena:          “i) la posibilidad de que existan autoridades judiciales propias de los pueblos indígenas; ii) la potestad de éstos de establecer normas y procedimientos propios; </w:t>
      </w:r>
      <w:r w:rsidRPr="0022719B">
        <w:rPr>
          <w:iCs/>
          <w:color w:val="000000"/>
          <w:sz w:val="24"/>
          <w:szCs w:val="24"/>
          <w:shd w:val="clear" w:color="auto" w:fill="FFFFFF"/>
          <w:lang w:val="es-CO"/>
        </w:rPr>
        <w:lastRenderedPageBreak/>
        <w:t>iii) el respeto a la Constitución y la ley dentro del principio de maximización de la autonomía; y iv) la competencia del legislador para señalar la forma de coordinación de la jurisdicción indígena con el sistema judicial nacional”</w:t>
      </w:r>
      <w:r w:rsidRPr="0022719B">
        <w:rPr>
          <w:iCs/>
          <w:color w:val="000000"/>
          <w:sz w:val="24"/>
          <w:szCs w:val="24"/>
          <w:shd w:val="clear" w:color="auto" w:fill="FFFFFF"/>
          <w:vertAlign w:val="superscript"/>
          <w:lang w:val="es-CO"/>
        </w:rPr>
        <w:footnoteReference w:id="12"/>
      </w:r>
      <w:r w:rsidRPr="0022719B">
        <w:rPr>
          <w:iCs/>
          <w:color w:val="000000"/>
          <w:sz w:val="24"/>
          <w:szCs w:val="24"/>
          <w:shd w:val="clear" w:color="auto" w:fill="FFFFFF"/>
          <w:lang w:val="es-CO"/>
        </w:rPr>
        <w:t>.</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El artículo 246 también responde a los compromisos adquiridos a nivel internacional por el Estado colombiano en materia de respeto y protección de los grupos indígenas y tribales. En especial, los inmersos en el Convenio No. 169 de la Organización Internacional del Trabajo (OIT)</w:t>
      </w:r>
      <w:r w:rsidRPr="0022719B">
        <w:rPr>
          <w:iCs/>
          <w:color w:val="000000"/>
          <w:sz w:val="24"/>
          <w:szCs w:val="24"/>
          <w:shd w:val="clear" w:color="auto" w:fill="FFFFFF"/>
          <w:vertAlign w:val="superscript"/>
          <w:lang w:val="es-CO"/>
        </w:rPr>
        <w:footnoteReference w:id="13"/>
      </w:r>
      <w:r w:rsidRPr="0022719B">
        <w:rPr>
          <w:iCs/>
          <w:color w:val="000000"/>
          <w:sz w:val="24"/>
          <w:szCs w:val="24"/>
          <w:shd w:val="clear" w:color="auto" w:fill="FFFFFF"/>
          <w:lang w:val="es-CO"/>
        </w:rPr>
        <w:t xml:space="preserve">, el cual le ordena a los Estados parte asegurar la conservación de las instituciones y costumbres propias de los pueblos indígenas, junto con la aplicación de su derecho consuetudinario (artículo 8). </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Con respecto al ámbito jurídico penal, el artículo 9 de aquel instrumento ordena respetar sus sistemas tradicionales de control social, siempre y cuando resulten compatibles con el derecho nacional y el derecho internacional de los derechos humanos: </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ind w:left="720"/>
        <w:rPr>
          <w:iCs/>
          <w:color w:val="000000"/>
          <w:sz w:val="24"/>
          <w:szCs w:val="24"/>
          <w:shd w:val="clear" w:color="auto" w:fill="FFFFFF"/>
          <w:lang w:val="es-CO"/>
        </w:rPr>
      </w:pPr>
      <w:r w:rsidRPr="0022719B">
        <w:rPr>
          <w:iCs/>
          <w:color w:val="000000"/>
          <w:sz w:val="24"/>
          <w:szCs w:val="24"/>
          <w:shd w:val="clear" w:color="auto" w:fill="FFFFFF"/>
          <w:lang w:val="es-CO"/>
        </w:rPr>
        <w:t xml:space="preserve">“1. En la </w:t>
      </w:r>
      <w:r w:rsidRPr="0022719B">
        <w:rPr>
          <w:iCs/>
          <w:color w:val="000000"/>
          <w:sz w:val="24"/>
          <w:szCs w:val="24"/>
          <w:u w:val="single"/>
          <w:shd w:val="clear" w:color="auto" w:fill="FFFFFF"/>
          <w:lang w:val="es-CO"/>
        </w:rPr>
        <w:t>medida en que ello sea compatible con el sistema jurídico nacional y con los derechos humanos internacionalmente reconocidos</w:t>
      </w:r>
      <w:r w:rsidRPr="0022719B">
        <w:rPr>
          <w:iCs/>
          <w:color w:val="000000"/>
          <w:sz w:val="24"/>
          <w:szCs w:val="24"/>
          <w:shd w:val="clear" w:color="auto" w:fill="FFFFFF"/>
          <w:lang w:val="es-CO"/>
        </w:rPr>
        <w:t>, deberán respetarse los métodos a los que los pueblos interesados recurren tradicionalmente para la represión de los delitos cometidos por sus miembros […]” (subraya de la Sala).</w:t>
      </w:r>
    </w:p>
    <w:p w:rsidR="007F6D10" w:rsidRPr="0022719B" w:rsidRDefault="007F6D10" w:rsidP="007F6D10">
      <w:pPr>
        <w:jc w:val="left"/>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Otro instrumento internacional que ordena proteger las prácticas jurídicas tradicionales, es la Declaración de las Naciones Unidas sobre los derechos de los pueblos indígenas, adoptada el 10 de septiembre de 2007 por la Asamblea General de esta organización</w:t>
      </w:r>
      <w:r w:rsidRPr="0022719B">
        <w:rPr>
          <w:iCs/>
          <w:color w:val="000000"/>
          <w:sz w:val="24"/>
          <w:szCs w:val="24"/>
          <w:shd w:val="clear" w:color="auto" w:fill="FFFFFF"/>
          <w:vertAlign w:val="superscript"/>
          <w:lang w:val="es-CO"/>
        </w:rPr>
        <w:footnoteReference w:id="14"/>
      </w:r>
      <w:r w:rsidRPr="0022719B">
        <w:rPr>
          <w:iCs/>
          <w:color w:val="000000"/>
          <w:sz w:val="24"/>
          <w:szCs w:val="24"/>
          <w:shd w:val="clear" w:color="auto" w:fill="FFFFFF"/>
          <w:lang w:val="es-CO"/>
        </w:rPr>
        <w:t xml:space="preserve">. Su artículo 5º reconoce el derecho colectivo a conservar y reforzar las instituciones jurídicas de tipo ancestral, mientras que el artículo 34 contiene el derecho de “promover, desarrollar y mantener sus estructuras institucionales y sus propias costumbres […] o sistemas jurídicos, </w:t>
      </w:r>
      <w:r w:rsidRPr="0022719B">
        <w:rPr>
          <w:iCs/>
          <w:color w:val="000000"/>
          <w:sz w:val="24"/>
          <w:szCs w:val="24"/>
          <w:u w:val="single"/>
          <w:shd w:val="clear" w:color="auto" w:fill="FFFFFF"/>
          <w:lang w:val="es-CO"/>
        </w:rPr>
        <w:t>de conformidad con las normas internacionales de derechos humanos</w:t>
      </w:r>
      <w:r w:rsidRPr="0022719B">
        <w:rPr>
          <w:iCs/>
          <w:color w:val="000000"/>
          <w:sz w:val="24"/>
          <w:szCs w:val="24"/>
          <w:shd w:val="clear" w:color="auto" w:fill="FFFFFF"/>
          <w:lang w:val="es-CO"/>
        </w:rPr>
        <w:t xml:space="preserve">” (énfasis agregado).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Como se observa, tanto el artículo 246 superior como las disposiciones internacionales citadas defienden la aplicación y preservación de las tradiciones jurídicas indígenas, siempre y cuando se sujeten a las normas constitucionales y al  marco internacional de los derechos humanos.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En consecuencia, </w:t>
      </w:r>
      <w:r w:rsidRPr="0022719B">
        <w:rPr>
          <w:i/>
          <w:iCs/>
          <w:color w:val="000000"/>
          <w:sz w:val="24"/>
          <w:szCs w:val="24"/>
          <w:shd w:val="clear" w:color="auto" w:fill="FFFFFF"/>
          <w:lang w:val="es-CO"/>
        </w:rPr>
        <w:t xml:space="preserve">no autorizan la existencia y el funcionamiento de cualquier tipo de sistema judicial con raíces </w:t>
      </w:r>
      <w:proofErr w:type="spellStart"/>
      <w:r w:rsidRPr="0022719B">
        <w:rPr>
          <w:i/>
          <w:iCs/>
          <w:color w:val="000000"/>
          <w:sz w:val="24"/>
          <w:szCs w:val="24"/>
          <w:shd w:val="clear" w:color="auto" w:fill="FFFFFF"/>
          <w:lang w:val="es-CO"/>
        </w:rPr>
        <w:t>etno</w:t>
      </w:r>
      <w:proofErr w:type="spellEnd"/>
      <w:r w:rsidRPr="0022719B">
        <w:rPr>
          <w:i/>
          <w:iCs/>
          <w:color w:val="000000"/>
          <w:sz w:val="24"/>
          <w:szCs w:val="24"/>
          <w:shd w:val="clear" w:color="auto" w:fill="FFFFFF"/>
          <w:lang w:val="es-CO"/>
        </w:rPr>
        <w:t>-culturales diversas al derecho “mayoritario”</w:t>
      </w:r>
      <w:r w:rsidRPr="0022719B">
        <w:rPr>
          <w:iCs/>
          <w:color w:val="000000"/>
          <w:sz w:val="24"/>
          <w:szCs w:val="24"/>
          <w:shd w:val="clear" w:color="auto" w:fill="FFFFFF"/>
          <w:lang w:val="es-CO"/>
        </w:rPr>
        <w:t xml:space="preserve">. Tan sólo amparan aquellos que compartan los valores y principios característicos del sistema internacional de los derechos humanos y el derecho interno constitucional.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sz w:val="24"/>
          <w:szCs w:val="28"/>
          <w:lang w:val="es-CO"/>
        </w:rPr>
      </w:pPr>
      <w:r w:rsidRPr="0022719B">
        <w:rPr>
          <w:iCs/>
          <w:color w:val="000000"/>
          <w:sz w:val="24"/>
          <w:szCs w:val="24"/>
          <w:shd w:val="clear" w:color="auto" w:fill="FFFFFF"/>
          <w:lang w:val="es-CO"/>
        </w:rPr>
        <w:t xml:space="preserve">Empero, la Corte Constitucional ha establecido que no todas las normas sobre derechos humanos y derechos fundamentales son </w:t>
      </w:r>
      <w:r w:rsidRPr="0022719B">
        <w:rPr>
          <w:i/>
          <w:iCs/>
          <w:color w:val="000000"/>
          <w:sz w:val="24"/>
          <w:szCs w:val="24"/>
          <w:shd w:val="clear" w:color="auto" w:fill="FFFFFF"/>
          <w:lang w:val="es-CO"/>
        </w:rPr>
        <w:t>“parámetros de restricción”</w:t>
      </w:r>
      <w:r w:rsidRPr="0022719B">
        <w:rPr>
          <w:iCs/>
          <w:color w:val="000000"/>
          <w:sz w:val="24"/>
          <w:szCs w:val="24"/>
          <w:shd w:val="clear" w:color="auto" w:fill="FFFFFF"/>
          <w:vertAlign w:val="superscript"/>
          <w:lang w:val="es-CO"/>
        </w:rPr>
        <w:footnoteReference w:id="15"/>
      </w:r>
      <w:r w:rsidRPr="0022719B">
        <w:rPr>
          <w:iCs/>
          <w:color w:val="000000"/>
          <w:sz w:val="24"/>
          <w:szCs w:val="24"/>
          <w:shd w:val="clear" w:color="auto" w:fill="FFFFFF"/>
          <w:lang w:val="es-CO"/>
        </w:rPr>
        <w:t xml:space="preserve"> de la jurisdicción indígena. Pensar de esta manera vaciaría de contenido práctico campo de acción. Solamente limitan su ámbito de aplicación material, aquellas que reflejen consensos interculturales amplios</w:t>
      </w:r>
      <w:r w:rsidRPr="0022719B">
        <w:rPr>
          <w:iCs/>
          <w:color w:val="000000"/>
          <w:sz w:val="24"/>
          <w:szCs w:val="24"/>
          <w:shd w:val="clear" w:color="auto" w:fill="FFFFFF"/>
          <w:vertAlign w:val="superscript"/>
          <w:lang w:val="es-CO"/>
        </w:rPr>
        <w:footnoteReference w:id="16"/>
      </w:r>
      <w:r w:rsidRPr="0022719B">
        <w:rPr>
          <w:iCs/>
          <w:color w:val="000000"/>
          <w:sz w:val="24"/>
          <w:szCs w:val="24"/>
          <w:shd w:val="clear" w:color="auto" w:fill="FFFFFF"/>
          <w:lang w:val="es-CO"/>
        </w:rPr>
        <w:t xml:space="preserve">, </w:t>
      </w:r>
      <w:r w:rsidRPr="0022719B">
        <w:rPr>
          <w:sz w:val="24"/>
          <w:szCs w:val="28"/>
          <w:lang w:val="es-CO"/>
        </w:rPr>
        <w:t>sobre los mínimos de convivencia necesarios para disfrutar de una vida digna</w:t>
      </w:r>
      <w:r w:rsidRPr="0022719B">
        <w:rPr>
          <w:sz w:val="24"/>
          <w:szCs w:val="28"/>
          <w:vertAlign w:val="superscript"/>
          <w:lang w:val="es-CO"/>
        </w:rPr>
        <w:footnoteReference w:id="17"/>
      </w:r>
      <w:r w:rsidRPr="0022719B">
        <w:rPr>
          <w:sz w:val="24"/>
          <w:szCs w:val="28"/>
          <w:lang w:val="es-CO"/>
        </w:rPr>
        <w:t>. En palabras de la Corte, estas restricciones solo tienen cabida:</w:t>
      </w:r>
    </w:p>
    <w:p w:rsidR="007F6D10" w:rsidRPr="0022719B" w:rsidRDefault="007F6D10" w:rsidP="007F6D10">
      <w:pPr>
        <w:spacing w:line="360" w:lineRule="auto"/>
        <w:rPr>
          <w:sz w:val="24"/>
          <w:szCs w:val="28"/>
          <w:lang w:val="es-CO"/>
        </w:rPr>
      </w:pPr>
    </w:p>
    <w:p w:rsidR="007F6D10" w:rsidRPr="0022719B" w:rsidRDefault="007F6D10" w:rsidP="007F6D10">
      <w:pPr>
        <w:ind w:left="720"/>
        <w:rPr>
          <w:iCs/>
          <w:color w:val="000000"/>
          <w:sz w:val="24"/>
          <w:szCs w:val="24"/>
          <w:shd w:val="clear" w:color="auto" w:fill="FFFFFF"/>
          <w:lang w:val="es-CO"/>
        </w:rPr>
      </w:pPr>
      <w:r w:rsidRPr="0022719B">
        <w:rPr>
          <w:sz w:val="24"/>
          <w:szCs w:val="28"/>
          <w:lang w:val="es-CO"/>
        </w:rPr>
        <w:t xml:space="preserve"> “[S]obre la base de un consenso en torno a lo verdaderamente inaceptable desde la óptica de los derechos humanos, tratando siempre de que el mencionado consenso sea lo más incluyente posible respecto de todas las culturas existentes en el territorio</w:t>
      </w:r>
      <w:r w:rsidRPr="0022719B">
        <w:rPr>
          <w:sz w:val="24"/>
          <w:szCs w:val="28"/>
          <w:vertAlign w:val="superscript"/>
          <w:lang w:val="es-CO"/>
        </w:rPr>
        <w:footnoteReference w:id="18"/>
      </w:r>
      <w:r w:rsidRPr="0022719B">
        <w:rPr>
          <w:sz w:val="24"/>
          <w:szCs w:val="28"/>
          <w:lang w:val="es-CO"/>
        </w:rPr>
        <w:t>”</w:t>
      </w:r>
      <w:r w:rsidRPr="0022719B">
        <w:rPr>
          <w:sz w:val="24"/>
          <w:szCs w:val="28"/>
          <w:vertAlign w:val="superscript"/>
          <w:lang w:val="es-CO"/>
        </w:rPr>
        <w:footnoteReference w:id="19"/>
      </w:r>
      <w:r w:rsidRPr="0022719B">
        <w:rPr>
          <w:sz w:val="24"/>
          <w:szCs w:val="28"/>
          <w:lang w:val="es-CO"/>
        </w:rPr>
        <w:t xml:space="preserve">. </w:t>
      </w:r>
      <w:r w:rsidRPr="0022719B">
        <w:rPr>
          <w:iCs/>
          <w:color w:val="000000"/>
          <w:sz w:val="24"/>
          <w:szCs w:val="24"/>
          <w:shd w:val="clear" w:color="auto" w:fill="FFFFFF"/>
          <w:lang w:val="es-CO"/>
        </w:rPr>
        <w:t xml:space="preserve">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En consonancia con esta situación, la Corte Constitucional en la sentencia T-349 de 1996 estableció un conjunto de “derechos intangibles”, como la vida, la prohibición de la esclavitud, la prohibición de la tortura y el debido proceso, cuyo disfrute debe garantizarse incluso por encima de la protección a la potestad de autogobierno reconocida por el constituyente a los puebles indígenas y tribales. Al respecto indicó lo siguiente:</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ind w:left="720"/>
        <w:rPr>
          <w:iCs/>
          <w:color w:val="000000"/>
          <w:sz w:val="24"/>
          <w:szCs w:val="24"/>
          <w:shd w:val="clear" w:color="auto" w:fill="FFFFFF"/>
          <w:lang w:val="es-CO"/>
        </w:rPr>
      </w:pPr>
      <w:r w:rsidRPr="0022719B">
        <w:rPr>
          <w:iCs/>
          <w:color w:val="000000"/>
          <w:sz w:val="24"/>
          <w:szCs w:val="24"/>
          <w:shd w:val="clear" w:color="auto" w:fill="FFFFFF"/>
          <w:lang w:val="es-CO"/>
        </w:rPr>
        <w:t>“La plena vigencia de los derechos fundamentales constitucionales en los territorios indígenas como límite al principio de diversidad étnica y constitucional es acogido en el plano del derecho internacional, particularmente en lo que tiene que ver con los derechos humanos como código universal de convivencia y diálogo entre las culturas y naciones, presupuesto de la paz, de la justicia, de la libertad y de la prosperidad de todos los pueblos”</w:t>
      </w:r>
      <w:r w:rsidRPr="0022719B">
        <w:rPr>
          <w:iCs/>
          <w:color w:val="000000"/>
          <w:sz w:val="24"/>
          <w:szCs w:val="24"/>
          <w:shd w:val="clear" w:color="auto" w:fill="FFFFFF"/>
          <w:vertAlign w:val="superscript"/>
          <w:lang w:val="es-CO"/>
        </w:rPr>
        <w:footnoteReference w:id="20"/>
      </w:r>
      <w:r w:rsidRPr="0022719B">
        <w:rPr>
          <w:iCs/>
          <w:color w:val="000000"/>
          <w:sz w:val="24"/>
          <w:szCs w:val="24"/>
          <w:shd w:val="clear" w:color="auto" w:fill="FFFFFF"/>
          <w:lang w:val="es-CO"/>
        </w:rPr>
        <w:t>.</w:t>
      </w:r>
    </w:p>
    <w:p w:rsidR="007F6D10" w:rsidRPr="0022719B" w:rsidRDefault="007F6D10" w:rsidP="007F6D10">
      <w:pPr>
        <w:ind w:left="720"/>
        <w:rPr>
          <w:iCs/>
          <w:color w:val="000000"/>
          <w:sz w:val="24"/>
          <w:szCs w:val="24"/>
          <w:shd w:val="clear" w:color="auto" w:fill="FFFFFF"/>
          <w:lang w:val="es-CO"/>
        </w:rPr>
      </w:pP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Esto significa que la autonomía y la jurisdicción indígena se encuentran sometidas o limitadas por el respeto de al menos estos derechos fundamentales.</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b/>
          <w:iCs/>
          <w:color w:val="000000"/>
          <w:sz w:val="24"/>
          <w:szCs w:val="24"/>
          <w:shd w:val="clear" w:color="auto" w:fill="FFFFFF"/>
          <w:lang w:val="es-CO"/>
        </w:rPr>
      </w:pPr>
      <w:r w:rsidRPr="0022719B">
        <w:rPr>
          <w:b/>
          <w:iCs/>
          <w:color w:val="000000"/>
          <w:sz w:val="24"/>
          <w:szCs w:val="24"/>
          <w:shd w:val="clear" w:color="auto" w:fill="FFFFFF"/>
          <w:lang w:val="es-CO"/>
        </w:rPr>
        <w:t xml:space="preserve">b) Desarrollos jurisprudenciales en materia de jurisdicción penal indígena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Numerosas decisiones de la Corte Constitucional y de esta Sala han desarrollado pautas útiles para resolver conflictos de competencia entre la justicia penal ordinaria y la justicia indígena. En general, ambas corporaciones coinciden en la existencia de al menos cuatro elementos o factores que configuran la jurisdicción especial indígena</w:t>
      </w:r>
      <w:r w:rsidRPr="0022719B">
        <w:rPr>
          <w:iCs/>
          <w:color w:val="000000"/>
          <w:sz w:val="24"/>
          <w:szCs w:val="24"/>
          <w:shd w:val="clear" w:color="auto" w:fill="FFFFFF"/>
          <w:vertAlign w:val="superscript"/>
          <w:lang w:val="es-CO"/>
        </w:rPr>
        <w:footnoteReference w:id="21"/>
      </w:r>
      <w:r w:rsidRPr="0022719B">
        <w:rPr>
          <w:iCs/>
          <w:color w:val="000000"/>
          <w:sz w:val="24"/>
          <w:szCs w:val="24"/>
          <w:shd w:val="clear" w:color="auto" w:fill="FFFFFF"/>
          <w:lang w:val="es-CO"/>
        </w:rPr>
        <w:t>: personal, territorial, objetivo e institucional.</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El primero de ellos alude a la pertenencia del sujeto sindicado a una comunidad indígena y las repercusiones individuales y sociales que de ello se derivan (p. ej., su identidad étnica y consecuente falta de comprensión de la ilicitud de la conducta castigada por el derecho penal nacional</w:t>
      </w:r>
      <w:r w:rsidRPr="0022719B">
        <w:rPr>
          <w:iCs/>
          <w:color w:val="000000"/>
          <w:sz w:val="24"/>
          <w:szCs w:val="24"/>
          <w:shd w:val="clear" w:color="auto" w:fill="FFFFFF"/>
          <w:vertAlign w:val="superscript"/>
          <w:lang w:val="es-CO"/>
        </w:rPr>
        <w:footnoteReference w:id="22"/>
      </w:r>
      <w:r w:rsidRPr="0022719B">
        <w:rPr>
          <w:iCs/>
          <w:color w:val="000000"/>
          <w:sz w:val="24"/>
          <w:szCs w:val="24"/>
          <w:shd w:val="clear" w:color="auto" w:fill="FFFFFF"/>
          <w:lang w:val="es-CO"/>
        </w:rPr>
        <w:t>). El segundo elemento se refiere a la ocurrencia de los hechos dentro del “ámbito territorial” de la comunidad indígena, el cual no necesariamente coincide con el espacio geográfico del respectivo cabildo o resguardo</w:t>
      </w:r>
      <w:r w:rsidRPr="0022719B">
        <w:rPr>
          <w:iCs/>
          <w:color w:val="000000"/>
          <w:sz w:val="24"/>
          <w:szCs w:val="24"/>
          <w:shd w:val="clear" w:color="auto" w:fill="FFFFFF"/>
          <w:vertAlign w:val="superscript"/>
          <w:lang w:val="es-CO"/>
        </w:rPr>
        <w:footnoteReference w:id="23"/>
      </w:r>
      <w:r w:rsidRPr="0022719B">
        <w:rPr>
          <w:iCs/>
          <w:color w:val="000000"/>
          <w:sz w:val="24"/>
          <w:szCs w:val="24"/>
          <w:shd w:val="clear" w:color="auto" w:fill="FFFFFF"/>
          <w:lang w:val="es-CO"/>
        </w:rPr>
        <w:t xml:space="preserve">. </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El tercer elemento, por su parte, aborda el tipo de bien jurídico lesionado en el caso concreto, es decir, si se trata de un interés exclusivo ya sea para la comunidad indígena o para la llamada “sociedad mayoritaria”, o si en ambas es apreciado como un valor digno de protección. La regla prevista alrededor de este elemento puede sintetizarse en la siguiente máxima: a mayor impacto social y consenso intercultural alrededor de la gravedad de la conducta delictiva, menor probabilidad de delegarse su investigación y castigo en la justicia tradicional indígena</w:t>
      </w:r>
      <w:r w:rsidRPr="0022719B">
        <w:rPr>
          <w:iCs/>
          <w:color w:val="000000"/>
          <w:sz w:val="24"/>
          <w:szCs w:val="24"/>
          <w:shd w:val="clear" w:color="auto" w:fill="FFFFFF"/>
          <w:vertAlign w:val="superscript"/>
          <w:lang w:val="es-CO"/>
        </w:rPr>
        <w:footnoteReference w:id="24"/>
      </w:r>
      <w:r w:rsidRPr="0022719B">
        <w:rPr>
          <w:iCs/>
          <w:color w:val="000000"/>
          <w:sz w:val="24"/>
          <w:szCs w:val="24"/>
          <w:shd w:val="clear" w:color="auto" w:fill="FFFFFF"/>
          <w:lang w:val="es-CO"/>
        </w:rPr>
        <w:t xml:space="preserve">. Un dato relevante en este elemento lo constituye la tipificación en los ordenamientos jurídicos “mayoritario” e indígena de las conductas reprochables como delitos, pues de esta información se deduce su reproche social y la intención de prevenir con su castigo la repetición de los mismos.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Por último, el aspecto institucional busca dotar de mayor autonomía a las comunidades ancestrales que: (i) ostenten altos grados formalización en sus instituciones judiciales, (ii) demuestren razonable nivel de coerción sobre sus integrantes, (iii) respeten el debido proceso y el principio de legalidad, o de “previsibilidad”, de los delitos y las penas; y (iv) garanticen los derechos de las víctimas.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La Corte Constitucional en la sentencia T-2 de 2012 consolidó los diversos criterios empleados en sus decisiones, aplicables al momento de determinar la capacidad institucional de una comunidad indígena para garantizar los derechos de las víctimas. En general, le apuestan a una valoración “contextual” de las normas y autoridades ancestrales encargadas de impartir justicia, de manera que se evite caer en exigencias desproporcionadas que terminen descartando </w:t>
      </w:r>
      <w:r w:rsidRPr="0022719B">
        <w:rPr>
          <w:i/>
          <w:iCs/>
          <w:color w:val="000000"/>
          <w:sz w:val="24"/>
          <w:szCs w:val="24"/>
          <w:shd w:val="clear" w:color="auto" w:fill="FFFFFF"/>
          <w:lang w:val="es-CO"/>
        </w:rPr>
        <w:t>siempre</w:t>
      </w:r>
      <w:r w:rsidRPr="0022719B">
        <w:rPr>
          <w:iCs/>
          <w:color w:val="000000"/>
          <w:sz w:val="24"/>
          <w:szCs w:val="24"/>
          <w:shd w:val="clear" w:color="auto" w:fill="FFFFFF"/>
          <w:lang w:val="es-CO"/>
        </w:rPr>
        <w:t xml:space="preserve"> la competencia de las mismas para juzgar los crímenes cometidos por los miembros del cabildo.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D350D">
        <w:rPr>
          <w:iCs/>
          <w:color w:val="000000"/>
          <w:sz w:val="24"/>
          <w:szCs w:val="24"/>
          <w:highlight w:val="yellow"/>
          <w:shd w:val="clear" w:color="auto" w:fill="FFFFFF"/>
          <w:lang w:val="es-CO"/>
        </w:rPr>
        <w:t>En concreto, mencionó seis parámetros útiles para definir judicialmente aquella capacidad institucional:  i) la imposibilidad de tratar el derecho “propio” como una simple copia del derecho “mayoritario”, lo cual le impone al juez estar abierto a tratamientos alternativos y diversos de los derechos de las víctimas, acordes con las costumbres de cada comunidad indígena; ii) la necesidad de considerar la solicitud de cambio de jurisdicción propuesta por los líderes indígenas como una muestra “per se” de la existencia de institucionalidad encargada de velar por las víctimas; iii) el debido respeto al derecho a la igualdad y la obligación de que todos los casos semejantes sean juzgados por la comunidad, iv) la posibilidad de adelantar el estudio con “diferentes niveles” de rigor, pues tratándose de crímenes graves o cometidos contra personas en situación de vulnerabilidad o indefensión, mayor deberá ser la garantía de los derechos de las víctimas</w:t>
      </w:r>
      <w:r w:rsidRPr="002D350D">
        <w:rPr>
          <w:iCs/>
          <w:color w:val="000000"/>
          <w:sz w:val="24"/>
          <w:szCs w:val="24"/>
          <w:highlight w:val="yellow"/>
          <w:shd w:val="clear" w:color="auto" w:fill="FFFFFF"/>
          <w:vertAlign w:val="superscript"/>
          <w:lang w:val="es-CO"/>
        </w:rPr>
        <w:footnoteReference w:id="25"/>
      </w:r>
      <w:r w:rsidRPr="002D350D">
        <w:rPr>
          <w:iCs/>
          <w:color w:val="000000"/>
          <w:sz w:val="24"/>
          <w:szCs w:val="24"/>
          <w:highlight w:val="yellow"/>
          <w:shd w:val="clear" w:color="auto" w:fill="FFFFFF"/>
          <w:lang w:val="es-CO"/>
        </w:rPr>
        <w:t>; y, vi) la flexibilización del principio de legalidad característico del derecho penal “mayoritario”, para</w:t>
      </w:r>
      <w:r w:rsidRPr="0022719B">
        <w:rPr>
          <w:iCs/>
          <w:color w:val="000000"/>
          <w:sz w:val="24"/>
          <w:szCs w:val="24"/>
          <w:shd w:val="clear" w:color="auto" w:fill="FFFFFF"/>
          <w:lang w:val="es-CO"/>
        </w:rPr>
        <w:t xml:space="preserve"> </w:t>
      </w:r>
      <w:r w:rsidRPr="0022719B">
        <w:rPr>
          <w:iCs/>
          <w:color w:val="000000"/>
          <w:sz w:val="24"/>
          <w:szCs w:val="24"/>
          <w:shd w:val="clear" w:color="auto" w:fill="FFFFFF"/>
          <w:lang w:val="es-CO"/>
        </w:rPr>
        <w:lastRenderedPageBreak/>
        <w:t xml:space="preserve">reemplazarlo por una visión </w:t>
      </w:r>
      <w:proofErr w:type="spellStart"/>
      <w:r w:rsidRPr="0022719B">
        <w:rPr>
          <w:iCs/>
          <w:color w:val="000000"/>
          <w:sz w:val="24"/>
          <w:szCs w:val="24"/>
          <w:shd w:val="clear" w:color="auto" w:fill="FFFFFF"/>
          <w:lang w:val="es-CO"/>
        </w:rPr>
        <w:t>etno</w:t>
      </w:r>
      <w:proofErr w:type="spellEnd"/>
      <w:r w:rsidRPr="0022719B">
        <w:rPr>
          <w:iCs/>
          <w:color w:val="000000"/>
          <w:sz w:val="24"/>
          <w:szCs w:val="24"/>
          <w:shd w:val="clear" w:color="auto" w:fill="FFFFFF"/>
          <w:lang w:val="es-CO"/>
        </w:rPr>
        <w:t xml:space="preserve">-cultural del sistema jurídico, más relacionada con la “previsibilidad” de los delitos y las penas.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Ahora bien, cada uno de estos elementos debe valorarse en el caso concreto y atendiendo a numerosas reglas jurisprudenciales que contribuyen a resolver con cierto grado de certeza y uniformidad los conflictos tejidos entre ambas jurisdicciones.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Entre ellas se destacan las fijadas por la Corte Constitucional a partir de la sentencia T-254 de 1994, con ocasión del análisis de un caso en el cual un indígena había sido condenado por las autoridades del cabildo El Tambo (</w:t>
      </w:r>
      <w:proofErr w:type="spellStart"/>
      <w:r w:rsidRPr="0022719B">
        <w:rPr>
          <w:iCs/>
          <w:color w:val="000000"/>
          <w:sz w:val="24"/>
          <w:szCs w:val="24"/>
          <w:shd w:val="clear" w:color="auto" w:fill="FFFFFF"/>
          <w:lang w:val="es-CO"/>
        </w:rPr>
        <w:t>Coyaima</w:t>
      </w:r>
      <w:proofErr w:type="spellEnd"/>
      <w:r w:rsidRPr="0022719B">
        <w:rPr>
          <w:iCs/>
          <w:color w:val="000000"/>
          <w:sz w:val="24"/>
          <w:szCs w:val="24"/>
          <w:shd w:val="clear" w:color="auto" w:fill="FFFFFF"/>
          <w:lang w:val="es-CO"/>
        </w:rPr>
        <w:t xml:space="preserve"> - Tolima) a la expulsión de su comunidad.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9121A3">
        <w:rPr>
          <w:iCs/>
          <w:color w:val="000000"/>
          <w:sz w:val="24"/>
          <w:szCs w:val="24"/>
          <w:highlight w:val="yellow"/>
          <w:shd w:val="clear" w:color="auto" w:fill="FFFFFF"/>
          <w:lang w:val="es-CO"/>
        </w:rPr>
        <w:t>Como primera medida, la protección a la diversidad cultural y a sus manifestaciones jurisdiccionales solo tiene cabida en el ámbito de lo permitido o lo lícito a la luz del texto constitucional.</w:t>
      </w:r>
      <w:bookmarkStart w:id="1" w:name="_GoBack"/>
      <w:bookmarkEnd w:id="1"/>
      <w:r w:rsidRPr="0022719B">
        <w:rPr>
          <w:iCs/>
          <w:color w:val="000000"/>
          <w:sz w:val="24"/>
          <w:szCs w:val="24"/>
          <w:shd w:val="clear" w:color="auto" w:fill="FFFFFF"/>
          <w:lang w:val="es-CO"/>
        </w:rPr>
        <w:t xml:space="preserve"> Se busca así asegurar un principio de </w:t>
      </w:r>
      <w:r w:rsidRPr="0022719B">
        <w:rPr>
          <w:i/>
          <w:iCs/>
          <w:color w:val="000000"/>
          <w:sz w:val="24"/>
          <w:szCs w:val="24"/>
          <w:shd w:val="clear" w:color="auto" w:fill="FFFFFF"/>
          <w:lang w:val="es-CO"/>
        </w:rPr>
        <w:t>coherencia</w:t>
      </w:r>
      <w:r w:rsidRPr="0022719B">
        <w:rPr>
          <w:iCs/>
          <w:color w:val="000000"/>
          <w:sz w:val="24"/>
          <w:szCs w:val="24"/>
          <w:shd w:val="clear" w:color="auto" w:fill="FFFFFF"/>
          <w:lang w:val="es-CO"/>
        </w:rPr>
        <w:t xml:space="preserve"> entre los sistemas jurídicos locales y las normas de la República. En palabras de la Corte: </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ind w:left="720"/>
        <w:rPr>
          <w:iCs/>
          <w:color w:val="000000"/>
          <w:sz w:val="24"/>
          <w:szCs w:val="24"/>
          <w:shd w:val="clear" w:color="auto" w:fill="FFFFFF"/>
          <w:lang w:val="es-CO"/>
        </w:rPr>
      </w:pPr>
      <w:r w:rsidRPr="0022719B">
        <w:rPr>
          <w:iCs/>
          <w:color w:val="000000"/>
          <w:sz w:val="24"/>
          <w:szCs w:val="24"/>
          <w:shd w:val="clear" w:color="auto" w:fill="FFFFFF"/>
          <w:lang w:val="es-CO"/>
        </w:rPr>
        <w:t>“La autonomía política y jurídica reconocida a las comunidades indígenas por el constituyente, por su parte, debe ejercerse dentro de los estrictos parámetros señalados por el mismo texto constitucional: </w:t>
      </w:r>
      <w:r w:rsidRPr="0022719B">
        <w:rPr>
          <w:b/>
          <w:bCs/>
          <w:iCs/>
          <w:color w:val="000000"/>
          <w:sz w:val="24"/>
          <w:szCs w:val="24"/>
          <w:shd w:val="clear" w:color="auto" w:fill="FFFFFF"/>
          <w:lang w:val="es-CO"/>
        </w:rPr>
        <w:t>de conformidad con sus usos y costumbres, siempre y cuando no sean contrarios a la Constitución y a la ley</w:t>
      </w:r>
      <w:r w:rsidRPr="0022719B">
        <w:rPr>
          <w:iCs/>
          <w:color w:val="000000"/>
          <w:sz w:val="24"/>
          <w:szCs w:val="24"/>
          <w:shd w:val="clear" w:color="auto" w:fill="FFFFFF"/>
          <w:lang w:val="es-CO"/>
        </w:rPr>
        <w:t> (</w:t>
      </w:r>
      <w:r>
        <w:rPr>
          <w:iCs/>
          <w:color w:val="000000"/>
          <w:sz w:val="24"/>
          <w:szCs w:val="24"/>
          <w:shd w:val="clear" w:color="auto" w:fill="FFFFFF"/>
          <w:lang w:val="es-CO"/>
        </w:rPr>
        <w:t>CP arts. 246, 330)</w:t>
      </w:r>
      <w:r w:rsidRPr="0022719B">
        <w:rPr>
          <w:iCs/>
          <w:color w:val="000000"/>
          <w:sz w:val="24"/>
          <w:szCs w:val="24"/>
          <w:shd w:val="clear" w:color="auto" w:fill="FFFFFF"/>
          <w:lang w:val="es-CO"/>
        </w:rPr>
        <w:t xml:space="preserve"> </w:t>
      </w:r>
      <w:proofErr w:type="gramStart"/>
      <w:r w:rsidRPr="0022719B">
        <w:rPr>
          <w:iCs/>
          <w:color w:val="000000"/>
          <w:sz w:val="24"/>
          <w:szCs w:val="24"/>
          <w:shd w:val="clear" w:color="auto" w:fill="FFFFFF"/>
          <w:lang w:val="es-CO"/>
        </w:rPr>
        <w:t>de</w:t>
      </w:r>
      <w:proofErr w:type="gramEnd"/>
      <w:r w:rsidRPr="0022719B">
        <w:rPr>
          <w:iCs/>
          <w:color w:val="000000"/>
          <w:sz w:val="24"/>
          <w:szCs w:val="24"/>
          <w:shd w:val="clear" w:color="auto" w:fill="FFFFFF"/>
          <w:lang w:val="es-CO"/>
        </w:rPr>
        <w:t xml:space="preserve"> forma que se asegure la unidad nacional”. </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De la cita anterior también se colige el carácter </w:t>
      </w:r>
      <w:r w:rsidRPr="0022719B">
        <w:rPr>
          <w:i/>
          <w:iCs/>
          <w:color w:val="000000"/>
          <w:sz w:val="24"/>
          <w:szCs w:val="24"/>
          <w:shd w:val="clear" w:color="auto" w:fill="FFFFFF"/>
          <w:lang w:val="es-CO"/>
        </w:rPr>
        <w:t>restrictivo</w:t>
      </w:r>
      <w:r w:rsidRPr="0022719B">
        <w:rPr>
          <w:iCs/>
          <w:color w:val="000000"/>
          <w:sz w:val="24"/>
          <w:szCs w:val="24"/>
          <w:shd w:val="clear" w:color="auto" w:fill="FFFFFF"/>
          <w:lang w:val="es-CO"/>
        </w:rPr>
        <w:t xml:space="preserve"> de la interpretación que debe dársele a la jurisdicción indígena. Según la Corte, la autonomía jurídica deberá ejercerse “dentro de los estrictos parámetros del texto constitucional” de lo cual se infiere su carácter </w:t>
      </w:r>
      <w:r w:rsidRPr="0022719B">
        <w:rPr>
          <w:i/>
          <w:iCs/>
          <w:color w:val="000000"/>
          <w:sz w:val="24"/>
          <w:szCs w:val="24"/>
          <w:shd w:val="clear" w:color="auto" w:fill="FFFFFF"/>
          <w:lang w:val="es-CO"/>
        </w:rPr>
        <w:t>excepcional</w:t>
      </w:r>
      <w:r w:rsidRPr="0022719B">
        <w:rPr>
          <w:iCs/>
          <w:color w:val="000000"/>
          <w:sz w:val="24"/>
          <w:szCs w:val="24"/>
          <w:shd w:val="clear" w:color="auto" w:fill="FFFFFF"/>
          <w:vertAlign w:val="superscript"/>
          <w:lang w:val="es-CO"/>
        </w:rPr>
        <w:footnoteReference w:id="26"/>
      </w:r>
      <w:r w:rsidRPr="0022719B">
        <w:rPr>
          <w:iCs/>
          <w:color w:val="000000"/>
          <w:sz w:val="24"/>
          <w:szCs w:val="24"/>
          <w:shd w:val="clear" w:color="auto" w:fill="FFFFFF"/>
          <w:lang w:val="es-CO"/>
        </w:rPr>
        <w:t xml:space="preserve"> y el deber de armonizar sus alcances con los demás mandatos superiores. </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Por otra parte, los conflictos entre la justicia ordinaria y la indígena deberán resolverse teniendo en cuenta lo siguiente:</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
          <w:iCs/>
          <w:color w:val="000000"/>
          <w:sz w:val="24"/>
          <w:szCs w:val="24"/>
          <w:shd w:val="clear" w:color="auto" w:fill="FFFFFF"/>
          <w:lang w:val="es-CO"/>
        </w:rPr>
        <w:lastRenderedPageBreak/>
        <w:t>i)</w:t>
      </w:r>
      <w:r w:rsidRPr="0022719B">
        <w:rPr>
          <w:iCs/>
          <w:color w:val="000000"/>
          <w:sz w:val="24"/>
          <w:szCs w:val="24"/>
          <w:shd w:val="clear" w:color="auto" w:fill="FFFFFF"/>
          <w:lang w:val="es-CO"/>
        </w:rPr>
        <w:t xml:space="preserve"> La comunidad indígena deberá gozar de mayor autonomía para juzgar a sus integrantes si exhibe un alto grado de conservación de sus usos y costumbres ancestrales.</w:t>
      </w: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  </w:t>
      </w:r>
    </w:p>
    <w:p w:rsidR="007F6D10" w:rsidRPr="0022719B" w:rsidRDefault="007F6D10" w:rsidP="007F6D10">
      <w:pPr>
        <w:spacing w:line="360" w:lineRule="auto"/>
        <w:rPr>
          <w:iCs/>
          <w:color w:val="000000"/>
          <w:sz w:val="24"/>
          <w:szCs w:val="24"/>
          <w:shd w:val="clear" w:color="auto" w:fill="FFFFFF"/>
          <w:lang w:val="es-CO"/>
        </w:rPr>
      </w:pPr>
      <w:r w:rsidRPr="0022719B">
        <w:rPr>
          <w:i/>
          <w:iCs/>
          <w:color w:val="000000"/>
          <w:sz w:val="24"/>
          <w:szCs w:val="24"/>
          <w:shd w:val="clear" w:color="auto" w:fill="FFFFFF"/>
          <w:lang w:val="es-CO"/>
        </w:rPr>
        <w:t>ii)</w:t>
      </w:r>
      <w:r w:rsidRPr="0022719B">
        <w:rPr>
          <w:iCs/>
          <w:color w:val="000000"/>
          <w:sz w:val="24"/>
          <w:szCs w:val="24"/>
          <w:shd w:val="clear" w:color="auto" w:fill="FFFFFF"/>
          <w:lang w:val="es-CO"/>
        </w:rPr>
        <w:t xml:space="preserve"> En ningún caso la aplicación de la jurisdicción indígena justifica violaciones a los derechos fundamentales. En palabras de la Corte, el sistema de derechos contenido en la norma superior constituye “un </w:t>
      </w:r>
      <w:r w:rsidRPr="0022719B">
        <w:rPr>
          <w:i/>
          <w:iCs/>
          <w:color w:val="000000"/>
          <w:sz w:val="24"/>
          <w:szCs w:val="24"/>
          <w:shd w:val="clear" w:color="auto" w:fill="FFFFFF"/>
          <w:lang w:val="es-CO"/>
        </w:rPr>
        <w:t>límite material</w:t>
      </w:r>
      <w:r w:rsidRPr="0022719B">
        <w:rPr>
          <w:iCs/>
          <w:color w:val="000000"/>
          <w:sz w:val="24"/>
          <w:szCs w:val="24"/>
          <w:shd w:val="clear" w:color="auto" w:fill="FFFFFF"/>
          <w:lang w:val="es-CO"/>
        </w:rPr>
        <w:t xml:space="preserve"> al principio de diversidad étnica y cultural y a los códigos de valores propios de las diversas comunidades indígenas que habitan el territorio nacional”</w:t>
      </w:r>
      <w:r w:rsidRPr="0022719B">
        <w:rPr>
          <w:iCs/>
          <w:color w:val="000000"/>
          <w:sz w:val="24"/>
          <w:szCs w:val="24"/>
          <w:shd w:val="clear" w:color="auto" w:fill="FFFFFF"/>
          <w:vertAlign w:val="superscript"/>
          <w:lang w:val="es-CO"/>
        </w:rPr>
        <w:footnoteReference w:id="27"/>
      </w:r>
      <w:r w:rsidRPr="0022719B">
        <w:rPr>
          <w:iCs/>
          <w:color w:val="000000"/>
          <w:sz w:val="24"/>
          <w:szCs w:val="24"/>
          <w:shd w:val="clear" w:color="auto" w:fill="FFFFFF"/>
          <w:lang w:val="es-CO"/>
        </w:rPr>
        <w:t xml:space="preserve">. </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
          <w:iCs/>
          <w:color w:val="000000"/>
          <w:sz w:val="24"/>
          <w:szCs w:val="24"/>
          <w:shd w:val="clear" w:color="auto" w:fill="FFFFFF"/>
          <w:lang w:val="es-CO"/>
        </w:rPr>
        <w:t>iii)</w:t>
      </w:r>
      <w:r w:rsidRPr="0022719B">
        <w:rPr>
          <w:iCs/>
          <w:color w:val="000000"/>
          <w:sz w:val="24"/>
          <w:szCs w:val="24"/>
          <w:shd w:val="clear" w:color="auto" w:fill="FFFFFF"/>
          <w:lang w:val="es-CO"/>
        </w:rPr>
        <w:t xml:space="preserve"> El derecho de orden público prima sobre el derecho propio de las comunidades indígenas, “siempre y cuando [proteja] un valor constitucional superior al principio de diversidad étnica y cultural”</w:t>
      </w:r>
      <w:r w:rsidRPr="0022719B">
        <w:rPr>
          <w:iCs/>
          <w:color w:val="000000"/>
          <w:sz w:val="24"/>
          <w:szCs w:val="24"/>
          <w:shd w:val="clear" w:color="auto" w:fill="FFFFFF"/>
          <w:vertAlign w:val="superscript"/>
          <w:lang w:val="es-CO"/>
        </w:rPr>
        <w:footnoteReference w:id="28"/>
      </w:r>
      <w:r w:rsidRPr="0022719B">
        <w:rPr>
          <w:iCs/>
          <w:color w:val="000000"/>
          <w:sz w:val="24"/>
          <w:szCs w:val="24"/>
          <w:shd w:val="clear" w:color="auto" w:fill="FFFFFF"/>
          <w:lang w:val="es-CO"/>
        </w:rPr>
        <w:t>; y,</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
          <w:iCs/>
          <w:color w:val="000000"/>
          <w:sz w:val="24"/>
          <w:szCs w:val="24"/>
          <w:shd w:val="clear" w:color="auto" w:fill="FFFFFF"/>
          <w:lang w:val="es-CO"/>
        </w:rPr>
        <w:t>iv)</w:t>
      </w:r>
      <w:r w:rsidRPr="0022719B">
        <w:rPr>
          <w:iCs/>
          <w:color w:val="000000"/>
          <w:sz w:val="24"/>
          <w:szCs w:val="24"/>
          <w:shd w:val="clear" w:color="auto" w:fill="FFFFFF"/>
          <w:lang w:val="es-CO"/>
        </w:rPr>
        <w:t xml:space="preserve"> El derecho indígena prevalece sobre las normas con naturaleza dispositiva del ordenamiento jurídico nacional (p. ej., las regulaciones comerciales privadas). </w:t>
      </w:r>
    </w:p>
    <w:p w:rsidR="007F6D10" w:rsidRPr="0022719B" w:rsidRDefault="007F6D10" w:rsidP="007F6D10">
      <w:pPr>
        <w:jc w:val="left"/>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Con respecto a la existencia de límites materiales para la actuación de la justicia indígena, tanto la jurisprudencia constitucional como la sentada por esta Sala han coincidido en restringir su campo de acción cuando repercute negativamente en valores, principios y derechos de estirpe superior al respeto por la diversidad cultural. </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Por ejemplo, en la citada providencia T-254 de 1994 la Corte Constitucional dejó sin efectos la pena de destierro impuesta al indígena demandante por las autoridades de su cabildo, al encontrar que desconocía ostensiblemente la prohibición del artículo 34 superior. De igual forma, en la sentencia T-349 de 1996 revocó un castigo de prisión impuesto por la Asamblea General de Cabildos de la Región </w:t>
      </w:r>
      <w:proofErr w:type="spellStart"/>
      <w:r w:rsidRPr="0022719B">
        <w:rPr>
          <w:iCs/>
          <w:color w:val="000000"/>
          <w:sz w:val="24"/>
          <w:szCs w:val="24"/>
          <w:shd w:val="clear" w:color="auto" w:fill="FFFFFF"/>
          <w:lang w:val="es-CO"/>
        </w:rPr>
        <w:t>Embera-Chamí</w:t>
      </w:r>
      <w:proofErr w:type="spellEnd"/>
      <w:r w:rsidRPr="0022719B">
        <w:rPr>
          <w:iCs/>
          <w:color w:val="000000"/>
          <w:sz w:val="24"/>
          <w:szCs w:val="24"/>
          <w:shd w:val="clear" w:color="auto" w:fill="FFFFFF"/>
          <w:lang w:val="es-CO"/>
        </w:rPr>
        <w:t xml:space="preserve"> tras declarar que representó un “exceso en el ejercicio de las facultades jurisdiccionales” de las comunidades indígenas, pues se adoptó en abierta contradicción del derecho fundamental a un debido proceso (artículo 29 de la Constitución). </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Posteriormente, en la sentencia T-811 de 2004 anuló una sanción decretada por el Resguardo Indígena de </w:t>
      </w:r>
      <w:proofErr w:type="spellStart"/>
      <w:r w:rsidRPr="0022719B">
        <w:rPr>
          <w:iCs/>
          <w:color w:val="000000"/>
          <w:sz w:val="24"/>
          <w:szCs w:val="24"/>
          <w:shd w:val="clear" w:color="auto" w:fill="FFFFFF"/>
          <w:lang w:val="es-CO"/>
        </w:rPr>
        <w:t>Quizgó</w:t>
      </w:r>
      <w:proofErr w:type="spellEnd"/>
      <w:r w:rsidRPr="0022719B">
        <w:rPr>
          <w:iCs/>
          <w:color w:val="000000"/>
          <w:sz w:val="24"/>
          <w:szCs w:val="24"/>
          <w:shd w:val="clear" w:color="auto" w:fill="FFFFFF"/>
          <w:lang w:val="es-CO"/>
        </w:rPr>
        <w:t xml:space="preserve"> en contra de uno de sus comuneros, al haberse </w:t>
      </w:r>
      <w:r w:rsidRPr="0022719B">
        <w:rPr>
          <w:iCs/>
          <w:color w:val="000000"/>
          <w:sz w:val="24"/>
          <w:szCs w:val="24"/>
          <w:shd w:val="clear" w:color="auto" w:fill="FFFFFF"/>
          <w:lang w:val="es-CO"/>
        </w:rPr>
        <w:lastRenderedPageBreak/>
        <w:t xml:space="preserve">fundado en una responsabilidad de carácter objetivo, proscrita en el derecho penal contemporáneo. Y, en la sentencia T-1294 de 2005 la Corte confirmó una sanción de privación de la libertad durante 40 años, impuesta por la Asamblea General de los Cabildos de </w:t>
      </w:r>
      <w:proofErr w:type="spellStart"/>
      <w:r w:rsidRPr="0022719B">
        <w:rPr>
          <w:iCs/>
          <w:color w:val="000000"/>
          <w:sz w:val="24"/>
          <w:szCs w:val="24"/>
          <w:shd w:val="clear" w:color="auto" w:fill="FFFFFF"/>
          <w:lang w:val="es-CO"/>
        </w:rPr>
        <w:t>Pioyá</w:t>
      </w:r>
      <w:proofErr w:type="spellEnd"/>
      <w:r w:rsidRPr="0022719B">
        <w:rPr>
          <w:iCs/>
          <w:color w:val="000000"/>
          <w:sz w:val="24"/>
          <w:szCs w:val="24"/>
          <w:shd w:val="clear" w:color="auto" w:fill="FFFFFF"/>
          <w:lang w:val="es-CO"/>
        </w:rPr>
        <w:t xml:space="preserve">  y la Aguada de </w:t>
      </w:r>
      <w:proofErr w:type="spellStart"/>
      <w:r w:rsidRPr="0022719B">
        <w:rPr>
          <w:iCs/>
          <w:color w:val="000000"/>
          <w:sz w:val="24"/>
          <w:szCs w:val="24"/>
          <w:shd w:val="clear" w:color="auto" w:fill="FFFFFF"/>
          <w:lang w:val="es-CO"/>
        </w:rPr>
        <w:t>Caldono</w:t>
      </w:r>
      <w:proofErr w:type="spellEnd"/>
      <w:r w:rsidRPr="0022719B">
        <w:rPr>
          <w:iCs/>
          <w:color w:val="000000"/>
          <w:sz w:val="24"/>
          <w:szCs w:val="24"/>
          <w:shd w:val="clear" w:color="auto" w:fill="FFFFFF"/>
          <w:lang w:val="es-CO"/>
        </w:rPr>
        <w:t xml:space="preserve">, al considerar que la legislación criminal ordinaria establece </w:t>
      </w:r>
      <w:r w:rsidRPr="0022719B">
        <w:rPr>
          <w:i/>
          <w:iCs/>
          <w:color w:val="000000"/>
          <w:sz w:val="24"/>
          <w:szCs w:val="24"/>
          <w:shd w:val="clear" w:color="auto" w:fill="FFFFFF"/>
          <w:lang w:val="es-CO"/>
        </w:rPr>
        <w:t>“una pena máxima de la misma cuantía”</w:t>
      </w:r>
      <w:r w:rsidRPr="0022719B">
        <w:rPr>
          <w:iCs/>
          <w:color w:val="000000"/>
          <w:sz w:val="24"/>
          <w:szCs w:val="24"/>
          <w:shd w:val="clear" w:color="auto" w:fill="FFFFFF"/>
          <w:lang w:val="es-CO"/>
        </w:rPr>
        <w:t xml:space="preserve"> para el mismo tipo de delito (en este caso, el homicidio agravado).  </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Estos ejemplos demuestran que la jurisdicción especial indígena no significa la coexistencia de múltiples sistemas judiciales desarticulados al interior del Estado colombiano. Por el contrario, comprueban la vigencia de un solo orden constitucional que opera como punto de encuentro entre las diferentes modalidades de justicia, y ratifican la existencia de normas mínimas de convivencia que permean por completo a los estatutos étnicos locales (a saber, los derechos fundamentales). </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Este carácter restringido de la justicia y el fuero indígena favorece el diálogo intercultural, pues obliga a la compresión y al respeto recíproco entre los diferentes valores y racionalidades presentes en una sociedad. Así mismo, evita que el disfrute de los derechos fundamentales se libre por completo a las tradiciones y convicciones de cada comunidad, como ocurre en los llamados sistemas “</w:t>
      </w:r>
      <w:proofErr w:type="spellStart"/>
      <w:r w:rsidRPr="0022719B">
        <w:rPr>
          <w:iCs/>
          <w:color w:val="000000"/>
          <w:sz w:val="24"/>
          <w:szCs w:val="24"/>
          <w:shd w:val="clear" w:color="auto" w:fill="FFFFFF"/>
          <w:lang w:val="es-CO"/>
        </w:rPr>
        <w:t>multijurídicos</w:t>
      </w:r>
      <w:proofErr w:type="spellEnd"/>
      <w:r w:rsidRPr="0022719B">
        <w:rPr>
          <w:iCs/>
          <w:color w:val="000000"/>
          <w:sz w:val="24"/>
          <w:szCs w:val="24"/>
          <w:shd w:val="clear" w:color="auto" w:fill="FFFFFF"/>
          <w:lang w:val="es-CO"/>
        </w:rPr>
        <w:t xml:space="preserve">”, ejemplos extremos del Estado pluralista. </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Según la Corte Europea de Derechos Humanos</w:t>
      </w:r>
      <w:r w:rsidRPr="0022719B">
        <w:rPr>
          <w:iCs/>
          <w:color w:val="000000"/>
          <w:sz w:val="24"/>
          <w:szCs w:val="24"/>
          <w:shd w:val="clear" w:color="auto" w:fill="FFFFFF"/>
          <w:vertAlign w:val="superscript"/>
          <w:lang w:val="es-CO"/>
        </w:rPr>
        <w:footnoteReference w:id="29"/>
      </w:r>
      <w:r w:rsidRPr="0022719B">
        <w:rPr>
          <w:iCs/>
          <w:color w:val="000000"/>
          <w:sz w:val="24"/>
          <w:szCs w:val="24"/>
          <w:shd w:val="clear" w:color="auto" w:fill="FFFFFF"/>
          <w:lang w:val="es-CO"/>
        </w:rPr>
        <w:t xml:space="preserve">, un sistema de aquel tipo conlleva riesgos para los derechos y las libertades individuales, pues, por un lado, suprime el papel del Estado como garante y </w:t>
      </w:r>
      <w:r w:rsidRPr="0022719B">
        <w:rPr>
          <w:i/>
          <w:iCs/>
          <w:color w:val="000000"/>
          <w:sz w:val="24"/>
          <w:szCs w:val="24"/>
          <w:shd w:val="clear" w:color="auto" w:fill="FFFFFF"/>
          <w:lang w:val="es-CO"/>
        </w:rPr>
        <w:t>“organizador imparcial del ejercicio de las diversas convicciones”</w:t>
      </w:r>
      <w:r w:rsidRPr="0022719B">
        <w:rPr>
          <w:iCs/>
          <w:color w:val="000000"/>
          <w:sz w:val="24"/>
          <w:szCs w:val="24"/>
          <w:shd w:val="clear" w:color="auto" w:fill="FFFFFF"/>
          <w:lang w:val="es-CO"/>
        </w:rPr>
        <w:t xml:space="preserve"> y las tradiciones presentes en su territorio, y, por otro, vulnera el principio de no discriminación en el goce de los derechos fundamentales, ya que el ejercicio de los mismos dependerá de la comunidad o la agrupación en la cual se nació o habita. </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Al respecto, la Carta Política de 1991 optó por una postura intermedia entre el “relativismo cultural incondicional” y el “universalismo extremo”</w:t>
      </w:r>
      <w:r w:rsidRPr="0022719B">
        <w:rPr>
          <w:iCs/>
          <w:color w:val="000000"/>
          <w:sz w:val="24"/>
          <w:szCs w:val="24"/>
          <w:shd w:val="clear" w:color="auto" w:fill="FFFFFF"/>
          <w:vertAlign w:val="superscript"/>
          <w:lang w:val="es-CO"/>
        </w:rPr>
        <w:footnoteReference w:id="30"/>
      </w:r>
      <w:r w:rsidRPr="0022719B">
        <w:rPr>
          <w:iCs/>
          <w:color w:val="000000"/>
          <w:sz w:val="24"/>
          <w:szCs w:val="24"/>
          <w:shd w:val="clear" w:color="auto" w:fill="FFFFFF"/>
          <w:lang w:val="es-CO"/>
        </w:rPr>
        <w:t xml:space="preserve">, en virtud de la cual no avala cualquier clase de regulación autonómica con raíces culturales, ni impone un marco normativo general o </w:t>
      </w:r>
      <w:r w:rsidRPr="0022719B">
        <w:rPr>
          <w:i/>
          <w:iCs/>
          <w:color w:val="000000"/>
          <w:sz w:val="24"/>
          <w:szCs w:val="24"/>
          <w:shd w:val="clear" w:color="auto" w:fill="FFFFFF"/>
          <w:lang w:val="es-CO"/>
        </w:rPr>
        <w:t>indiferente a la diferencia</w:t>
      </w:r>
      <w:r w:rsidRPr="0022719B">
        <w:rPr>
          <w:iCs/>
          <w:color w:val="000000"/>
          <w:sz w:val="24"/>
          <w:szCs w:val="24"/>
          <w:shd w:val="clear" w:color="auto" w:fill="FFFFFF"/>
          <w:lang w:val="es-CO"/>
        </w:rPr>
        <w:t xml:space="preserve">. Por el contrario, defiende un grupo mínimo de valores y principios que facilitan la convivencia entre diversos </w:t>
      </w:r>
      <w:r w:rsidRPr="0022719B">
        <w:rPr>
          <w:iCs/>
          <w:color w:val="000000"/>
          <w:sz w:val="24"/>
          <w:szCs w:val="24"/>
          <w:shd w:val="clear" w:color="auto" w:fill="FFFFFF"/>
          <w:lang w:val="es-CO"/>
        </w:rPr>
        <w:lastRenderedPageBreak/>
        <w:t xml:space="preserve">grupos étnicos, razas, religiones, clases sociales, partidos políticos, entre otras colectividades, el cual coincide con el catálogo vigente de derechos fundamentales.  </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En suma, el carácter excepcional y restringido de la jurisdicción indígena o la certeza de límites materiales en su aplicación, </w:t>
      </w:r>
      <w:r w:rsidRPr="0022719B">
        <w:rPr>
          <w:i/>
          <w:iCs/>
          <w:color w:val="000000"/>
          <w:sz w:val="24"/>
          <w:szCs w:val="24"/>
          <w:shd w:val="clear" w:color="auto" w:fill="FFFFFF"/>
          <w:lang w:val="es-CO"/>
        </w:rPr>
        <w:t>evita espacios vedados a los derechos fundamentales dentro del territorio colombiano</w:t>
      </w:r>
      <w:r w:rsidRPr="0022719B">
        <w:rPr>
          <w:iCs/>
          <w:color w:val="000000"/>
          <w:sz w:val="24"/>
          <w:szCs w:val="24"/>
          <w:shd w:val="clear" w:color="auto" w:fill="FFFFFF"/>
          <w:lang w:val="es-CO"/>
        </w:rPr>
        <w:t xml:space="preserve">.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b/>
          <w:iCs/>
          <w:color w:val="000000"/>
          <w:sz w:val="24"/>
          <w:szCs w:val="24"/>
          <w:shd w:val="clear" w:color="auto" w:fill="FFFFFF"/>
          <w:lang w:val="es-CO"/>
        </w:rPr>
      </w:pPr>
      <w:r w:rsidRPr="0022719B">
        <w:rPr>
          <w:b/>
          <w:iCs/>
          <w:color w:val="000000"/>
          <w:sz w:val="24"/>
          <w:szCs w:val="24"/>
          <w:shd w:val="clear" w:color="auto" w:fill="FFFFFF"/>
          <w:lang w:val="es-CO"/>
        </w:rPr>
        <w:t>c) Los derechos fundamentales como limites materiales de la jurisdicción indígena</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A primera vista, la estipulación simultánea del derecho colectivo a la diversidad étnica y cultural y los demás derechos fundamentales en la </w:t>
      </w:r>
      <w:r w:rsidRPr="0022719B">
        <w:rPr>
          <w:iCs/>
          <w:color w:val="000000"/>
          <w:sz w:val="24"/>
          <w:szCs w:val="24"/>
          <w:shd w:val="clear" w:color="auto" w:fill="FFFFFF"/>
          <w:lang w:val="es-CO"/>
        </w:rPr>
        <w:br/>
        <w:t xml:space="preserve">Constitución, genera tensiones difíciles de resolver en casos concretos. Para </w:t>
      </w:r>
      <w:r>
        <w:rPr>
          <w:iCs/>
          <w:color w:val="000000"/>
          <w:sz w:val="24"/>
          <w:szCs w:val="24"/>
          <w:shd w:val="clear" w:color="auto" w:fill="FFFFFF"/>
          <w:lang w:val="es-CO"/>
        </w:rPr>
        <w:t xml:space="preserve">responder a </w:t>
      </w:r>
      <w:r w:rsidRPr="0022719B">
        <w:rPr>
          <w:iCs/>
          <w:color w:val="000000"/>
          <w:sz w:val="24"/>
          <w:szCs w:val="24"/>
          <w:shd w:val="clear" w:color="auto" w:fill="FFFFFF"/>
          <w:lang w:val="es-CO"/>
        </w:rPr>
        <w:t>estos dilemas y, por en lo pertinente, definir la jurisdicción competente para investigar los delitos cometido por indígenas, la Corte Constitucional ha recurrido en ocasiones al juicio de ponderación entre los derechos en contienda</w:t>
      </w:r>
      <w:r w:rsidRPr="0022719B">
        <w:rPr>
          <w:iCs/>
          <w:color w:val="000000"/>
          <w:sz w:val="24"/>
          <w:szCs w:val="24"/>
          <w:shd w:val="clear" w:color="auto" w:fill="FFFFFF"/>
          <w:vertAlign w:val="superscript"/>
          <w:lang w:val="es-CO"/>
        </w:rPr>
        <w:footnoteReference w:id="31"/>
      </w:r>
      <w:r w:rsidRPr="0022719B">
        <w:rPr>
          <w:iCs/>
          <w:color w:val="000000"/>
          <w:sz w:val="24"/>
          <w:szCs w:val="24"/>
          <w:shd w:val="clear" w:color="auto" w:fill="FFFFFF"/>
          <w:lang w:val="es-CO"/>
        </w:rPr>
        <w:t xml:space="preserve">. </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Sin embargo, esta manera de proceder, a juicio de esta Sala, se funda en un supuesto discutible desde el punto de vista del derecho constitucional e internacional en vigor: que el derecho colectivo de las comunidades indígenas a ejercer su jurisdicción se encuentra </w:t>
      </w:r>
      <w:r w:rsidRPr="0022719B">
        <w:rPr>
          <w:i/>
          <w:iCs/>
          <w:color w:val="000000"/>
          <w:sz w:val="24"/>
          <w:szCs w:val="24"/>
          <w:shd w:val="clear" w:color="auto" w:fill="FFFFFF"/>
          <w:lang w:val="es-CO"/>
        </w:rPr>
        <w:t>siempre</w:t>
      </w:r>
      <w:r w:rsidRPr="0022719B">
        <w:rPr>
          <w:iCs/>
          <w:color w:val="000000"/>
          <w:sz w:val="24"/>
          <w:szCs w:val="24"/>
          <w:shd w:val="clear" w:color="auto" w:fill="FFFFFF"/>
          <w:lang w:val="es-CO"/>
        </w:rPr>
        <w:t xml:space="preserve"> en un plano de igualdad jurídica con respecto de los principios y derechos constitucionales ubicados en el otro extremo de la balanza. </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No obstante, como lo ha reconocido la propia jurisprudencia constitucional, algunos derechos fundamentales e intereses colectivos poseen entidad superior o jerarquía mayor que el derecho a la jurisdicción indígena y, por consiguiente, podrían eliminar </w:t>
      </w:r>
      <w:r w:rsidRPr="0022719B">
        <w:rPr>
          <w:i/>
          <w:iCs/>
          <w:color w:val="000000"/>
          <w:sz w:val="24"/>
          <w:szCs w:val="24"/>
          <w:shd w:val="clear" w:color="auto" w:fill="FFFFFF"/>
          <w:lang w:val="es-CO"/>
        </w:rPr>
        <w:t>a priori</w:t>
      </w:r>
      <w:r w:rsidRPr="0022719B">
        <w:rPr>
          <w:iCs/>
          <w:color w:val="000000"/>
          <w:sz w:val="24"/>
          <w:szCs w:val="24"/>
          <w:shd w:val="clear" w:color="auto" w:fill="FFFFFF"/>
          <w:lang w:val="es-CO"/>
        </w:rPr>
        <w:t xml:space="preserve"> la necesidad de realizar ejercicios de ponderación y estudios específicos sobre el individuo indígena y su comunidad (de índole antropológica, etnográfica o psicosociales, por citar ejemplos recurrentes en la materia), como requisitos para definir la autoridad judicial competente en la investigación de un determinado hecho delictivo.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lastRenderedPageBreak/>
        <w:t>Como se mencionó en el acápite anterior, el grupo mínimo de derechos fundamentales que limitan la jurisdicción indígena, según la jurisprudencia constitucional vigente, son: el debido proceso, la vida, la prohibición de la esclavitud y la prohibición de la tortura. Adicionalmente, el precedente constitucional reconoce al “seguridad interna”, como un interés colectivo de “superior jerarquía” que la jurisdicción indígena</w:t>
      </w:r>
      <w:r w:rsidRPr="0022719B">
        <w:rPr>
          <w:iCs/>
          <w:color w:val="000000"/>
          <w:sz w:val="24"/>
          <w:szCs w:val="24"/>
          <w:shd w:val="clear" w:color="auto" w:fill="FFFFFF"/>
          <w:vertAlign w:val="superscript"/>
          <w:lang w:val="es-CO"/>
        </w:rPr>
        <w:footnoteReference w:id="32"/>
      </w:r>
      <w:r w:rsidRPr="0022719B">
        <w:rPr>
          <w:iCs/>
          <w:color w:val="000000"/>
          <w:sz w:val="24"/>
          <w:szCs w:val="24"/>
          <w:shd w:val="clear" w:color="auto" w:fill="FFFFFF"/>
          <w:lang w:val="es-CO"/>
        </w:rPr>
        <w:t>.</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Con todo, la definición de este “núcleo duro”</w:t>
      </w:r>
      <w:r w:rsidRPr="0022719B">
        <w:rPr>
          <w:iCs/>
          <w:color w:val="000000"/>
          <w:sz w:val="24"/>
          <w:szCs w:val="24"/>
          <w:shd w:val="clear" w:color="auto" w:fill="FFFFFF"/>
          <w:vertAlign w:val="superscript"/>
          <w:lang w:val="es-CO"/>
        </w:rPr>
        <w:footnoteReference w:id="33"/>
      </w:r>
      <w:r w:rsidRPr="0022719B">
        <w:rPr>
          <w:iCs/>
          <w:color w:val="000000"/>
          <w:sz w:val="24"/>
          <w:szCs w:val="24"/>
          <w:shd w:val="clear" w:color="auto" w:fill="FFFFFF"/>
          <w:lang w:val="es-CO"/>
        </w:rPr>
        <w:t xml:space="preserve"> de derechos humanos e interés colectivo con mayor peso que la jurisdicción indígena, se efectuó en los años 1994 y 1996</w:t>
      </w:r>
      <w:r w:rsidRPr="0022719B">
        <w:rPr>
          <w:iCs/>
          <w:color w:val="000000"/>
          <w:sz w:val="24"/>
          <w:szCs w:val="24"/>
          <w:shd w:val="clear" w:color="auto" w:fill="FFFFFF"/>
          <w:vertAlign w:val="superscript"/>
          <w:lang w:val="es-CO"/>
        </w:rPr>
        <w:footnoteReference w:id="34"/>
      </w:r>
      <w:r w:rsidRPr="0022719B">
        <w:rPr>
          <w:iCs/>
          <w:color w:val="000000"/>
          <w:sz w:val="24"/>
          <w:szCs w:val="24"/>
          <w:shd w:val="clear" w:color="auto" w:fill="FFFFFF"/>
          <w:lang w:val="es-CO"/>
        </w:rPr>
        <w:t xml:space="preserve">, y permanece </w:t>
      </w:r>
      <w:r w:rsidRPr="0022719B">
        <w:rPr>
          <w:i/>
          <w:iCs/>
          <w:color w:val="000000"/>
          <w:sz w:val="24"/>
          <w:szCs w:val="24"/>
          <w:shd w:val="clear" w:color="auto" w:fill="FFFFFF"/>
          <w:lang w:val="es-CO"/>
        </w:rPr>
        <w:t>inmutable</w:t>
      </w:r>
      <w:r w:rsidRPr="0022719B">
        <w:rPr>
          <w:iCs/>
          <w:color w:val="000000"/>
          <w:sz w:val="24"/>
          <w:szCs w:val="24"/>
          <w:shd w:val="clear" w:color="auto" w:fill="FFFFFF"/>
          <w:lang w:val="es-CO"/>
        </w:rPr>
        <w:t xml:space="preserve"> hasta la actualidad</w:t>
      </w:r>
      <w:r w:rsidRPr="0022719B">
        <w:rPr>
          <w:iCs/>
          <w:color w:val="000000"/>
          <w:sz w:val="24"/>
          <w:szCs w:val="24"/>
          <w:shd w:val="clear" w:color="auto" w:fill="FFFFFF"/>
          <w:vertAlign w:val="superscript"/>
          <w:lang w:val="es-CO"/>
        </w:rPr>
        <w:footnoteReference w:id="35"/>
      </w:r>
      <w:r w:rsidRPr="0022719B">
        <w:rPr>
          <w:iCs/>
          <w:color w:val="000000"/>
          <w:sz w:val="24"/>
          <w:szCs w:val="24"/>
          <w:shd w:val="clear" w:color="auto" w:fill="FFFFFF"/>
          <w:lang w:val="es-CO"/>
        </w:rPr>
        <w:t xml:space="preserve">. En esa época, los fundamentos dados por la Corte para atribuirles calidad de límites a la jurisdicción indígena fueron: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ind w:left="708"/>
        <w:rPr>
          <w:iCs/>
          <w:color w:val="000000"/>
          <w:sz w:val="24"/>
          <w:szCs w:val="24"/>
          <w:shd w:val="clear" w:color="auto" w:fill="FFFFFF"/>
          <w:lang w:val="es-CO"/>
        </w:rPr>
      </w:pPr>
      <w:r w:rsidRPr="0022719B">
        <w:rPr>
          <w:iCs/>
          <w:color w:val="000000"/>
          <w:sz w:val="24"/>
          <w:szCs w:val="24"/>
          <w:shd w:val="clear" w:color="auto" w:fill="FFFFFF"/>
          <w:lang w:val="es-CO"/>
        </w:rPr>
        <w:t>-  Doctrina externa y nacional que coincidía en sostener la existencia de ciertas conductas reprochables tanto a nivel global como al interior de algunas comunidades indígenas colombianas</w:t>
      </w:r>
      <w:r w:rsidRPr="0022719B">
        <w:rPr>
          <w:iCs/>
          <w:color w:val="000000"/>
          <w:sz w:val="24"/>
          <w:szCs w:val="24"/>
          <w:shd w:val="clear" w:color="auto" w:fill="FFFFFF"/>
          <w:vertAlign w:val="superscript"/>
          <w:lang w:val="es-CO"/>
        </w:rPr>
        <w:footnoteReference w:id="36"/>
      </w:r>
      <w:r w:rsidRPr="0022719B">
        <w:rPr>
          <w:iCs/>
          <w:color w:val="000000"/>
          <w:sz w:val="24"/>
          <w:szCs w:val="24"/>
          <w:shd w:val="clear" w:color="auto" w:fill="FFFFFF"/>
          <w:lang w:val="es-CO"/>
        </w:rPr>
        <w:t xml:space="preserve">, y, </w:t>
      </w:r>
    </w:p>
    <w:p w:rsidR="007F6D10" w:rsidRPr="0022719B" w:rsidRDefault="007F6D10" w:rsidP="007F6D10">
      <w:pPr>
        <w:spacing w:line="360" w:lineRule="auto"/>
        <w:ind w:left="708"/>
        <w:rPr>
          <w:iCs/>
          <w:color w:val="000000"/>
          <w:sz w:val="24"/>
          <w:szCs w:val="24"/>
          <w:shd w:val="clear" w:color="auto" w:fill="FFFFFF"/>
          <w:lang w:val="es-CO"/>
        </w:rPr>
      </w:pPr>
    </w:p>
    <w:p w:rsidR="007F6D10" w:rsidRPr="0022719B" w:rsidRDefault="007F6D10" w:rsidP="007F6D10">
      <w:pPr>
        <w:spacing w:line="360" w:lineRule="auto"/>
        <w:ind w:left="708"/>
        <w:rPr>
          <w:iCs/>
          <w:color w:val="000000"/>
          <w:sz w:val="24"/>
          <w:szCs w:val="24"/>
          <w:shd w:val="clear" w:color="auto" w:fill="FFFFFF"/>
          <w:lang w:val="es-CO"/>
        </w:rPr>
      </w:pPr>
      <w:r w:rsidRPr="0022719B">
        <w:rPr>
          <w:iCs/>
          <w:color w:val="000000"/>
          <w:sz w:val="24"/>
          <w:szCs w:val="24"/>
          <w:shd w:val="clear" w:color="auto" w:fill="FFFFFF"/>
          <w:lang w:val="es-CO"/>
        </w:rPr>
        <w:t>- Un elemento común en cinco tratados internacionales sobre derechos humanos: la prohibición de limitar o suspender el ejercicio de ciertos derechos aún en situaciones excepcionales</w:t>
      </w:r>
      <w:r w:rsidRPr="0022719B">
        <w:rPr>
          <w:iCs/>
          <w:color w:val="000000"/>
          <w:sz w:val="24"/>
          <w:szCs w:val="24"/>
          <w:shd w:val="clear" w:color="auto" w:fill="FFFFFF"/>
          <w:vertAlign w:val="superscript"/>
          <w:lang w:val="es-CO"/>
        </w:rPr>
        <w:footnoteReference w:id="37"/>
      </w:r>
      <w:r w:rsidRPr="0022719B">
        <w:rPr>
          <w:iCs/>
          <w:color w:val="000000"/>
          <w:sz w:val="24"/>
          <w:szCs w:val="24"/>
          <w:shd w:val="clear" w:color="auto" w:fill="FFFFFF"/>
          <w:lang w:val="es-CO"/>
        </w:rPr>
        <w:t xml:space="preserve"> como la guerra</w:t>
      </w:r>
      <w:r w:rsidRPr="0022719B">
        <w:rPr>
          <w:iCs/>
          <w:color w:val="000000"/>
          <w:sz w:val="24"/>
          <w:szCs w:val="24"/>
          <w:shd w:val="clear" w:color="auto" w:fill="FFFFFF"/>
          <w:vertAlign w:val="superscript"/>
          <w:lang w:val="es-CO"/>
        </w:rPr>
        <w:footnoteReference w:id="38"/>
      </w:r>
      <w:r w:rsidRPr="0022719B">
        <w:rPr>
          <w:iCs/>
          <w:color w:val="000000"/>
          <w:sz w:val="24"/>
          <w:szCs w:val="24"/>
          <w:shd w:val="clear" w:color="auto" w:fill="FFFFFF"/>
          <w:lang w:val="es-CO"/>
        </w:rPr>
        <w:t>, o el conflicto interno,  que ocasionen inestabilidad política interna , graves alteraciones del orden público o que amenacen la seguridad o independencia del Estado</w:t>
      </w:r>
      <w:r w:rsidRPr="0022719B">
        <w:rPr>
          <w:iCs/>
          <w:color w:val="000000"/>
          <w:sz w:val="24"/>
          <w:szCs w:val="24"/>
          <w:shd w:val="clear" w:color="auto" w:fill="FFFFFF"/>
          <w:vertAlign w:val="superscript"/>
          <w:lang w:val="es-CO"/>
        </w:rPr>
        <w:footnoteReference w:id="39"/>
      </w:r>
      <w:r w:rsidRPr="0022719B">
        <w:rPr>
          <w:iCs/>
          <w:color w:val="000000"/>
          <w:sz w:val="24"/>
          <w:szCs w:val="24"/>
          <w:shd w:val="clear" w:color="auto" w:fill="FFFFFF"/>
          <w:lang w:val="es-CO"/>
        </w:rPr>
        <w:t xml:space="preserve">.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lastRenderedPageBreak/>
        <w:t xml:space="preserve">Ahora bien, el derecho tanto interno como internacional de los derechos humanos ha mutado desde los años noventa, y su comprensión sobre la existencia de mínimos de conducta exigibles a todas las naciones bajo cualquier circunstancia ha evolucionado a favor de la persona. El consenso jurídico supranacional en torno a los límites de la conducta humana se ha actualizado para hacerlo comprender un mayor número de situaciones que lesionan los bienes más preciados del individuo.  </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Así, al igual que sucede en el ámbito local, el derecho internacional es elástico y evoluciona constantemente</w:t>
      </w:r>
      <w:r w:rsidRPr="0022719B">
        <w:rPr>
          <w:iCs/>
          <w:color w:val="000000"/>
          <w:sz w:val="24"/>
          <w:szCs w:val="24"/>
          <w:shd w:val="clear" w:color="auto" w:fill="FFFFFF"/>
          <w:vertAlign w:val="superscript"/>
          <w:lang w:val="es-CO"/>
        </w:rPr>
        <w:footnoteReference w:id="40"/>
      </w:r>
      <w:r w:rsidRPr="0022719B">
        <w:rPr>
          <w:iCs/>
          <w:color w:val="000000"/>
          <w:sz w:val="24"/>
          <w:szCs w:val="24"/>
          <w:shd w:val="clear" w:color="auto" w:fill="FFFFFF"/>
          <w:lang w:val="es-CO"/>
        </w:rPr>
        <w:t>. De este modo, en línea con el avance de la “conciencia jurídica universal”</w:t>
      </w:r>
      <w:r w:rsidRPr="0022719B">
        <w:rPr>
          <w:iCs/>
          <w:color w:val="000000"/>
          <w:sz w:val="24"/>
          <w:szCs w:val="24"/>
          <w:shd w:val="clear" w:color="auto" w:fill="FFFFFF"/>
          <w:vertAlign w:val="superscript"/>
          <w:lang w:val="es-CO"/>
        </w:rPr>
        <w:footnoteReference w:id="41"/>
      </w:r>
      <w:r w:rsidRPr="0022719B">
        <w:rPr>
          <w:iCs/>
          <w:color w:val="000000"/>
          <w:sz w:val="24"/>
          <w:szCs w:val="24"/>
          <w:shd w:val="clear" w:color="auto" w:fill="FFFFFF"/>
          <w:lang w:val="es-CO"/>
        </w:rPr>
        <w:t xml:space="preserve"> y el desarrollo del derecho internacional de los derechos humanos, cada vez son más las libertades y los derechos que imponen obligaciones </w:t>
      </w:r>
      <w:r w:rsidRPr="0022719B">
        <w:rPr>
          <w:i/>
          <w:iCs/>
          <w:color w:val="000000"/>
          <w:sz w:val="24"/>
          <w:szCs w:val="24"/>
          <w:shd w:val="clear" w:color="auto" w:fill="FFFFFF"/>
          <w:lang w:val="es-CO"/>
        </w:rPr>
        <w:t>erga omnes</w:t>
      </w:r>
      <w:r w:rsidRPr="0022719B">
        <w:rPr>
          <w:iCs/>
          <w:color w:val="000000"/>
          <w:sz w:val="24"/>
          <w:szCs w:val="24"/>
          <w:shd w:val="clear" w:color="auto" w:fill="FFFFFF"/>
          <w:lang w:val="es-CO"/>
        </w:rPr>
        <w:t xml:space="preserve"> de respeto, protección y garantía a los Estados y a favor de sus habitantes.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Algunos nuevos integrantes de este núcleo duro de derechos fundamentales e intereses colectivos, superiores </w:t>
      </w:r>
      <w:r w:rsidRPr="0022719B">
        <w:rPr>
          <w:i/>
          <w:iCs/>
          <w:color w:val="000000"/>
          <w:sz w:val="24"/>
          <w:szCs w:val="24"/>
          <w:shd w:val="clear" w:color="auto" w:fill="FFFFFF"/>
          <w:lang w:val="es-CO"/>
        </w:rPr>
        <w:t>prima facie</w:t>
      </w:r>
      <w:r w:rsidRPr="0022719B">
        <w:rPr>
          <w:iCs/>
          <w:color w:val="000000"/>
          <w:sz w:val="24"/>
          <w:szCs w:val="24"/>
          <w:shd w:val="clear" w:color="auto" w:fill="FFFFFF"/>
          <w:lang w:val="es-CO"/>
        </w:rPr>
        <w:t xml:space="preserve"> al derecho colectivo de la jurisdicción indígena, son: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b/>
          <w:iCs/>
          <w:color w:val="000000"/>
          <w:sz w:val="24"/>
          <w:szCs w:val="24"/>
          <w:shd w:val="clear" w:color="auto" w:fill="FFFFFF"/>
          <w:lang w:val="es-CO"/>
        </w:rPr>
        <w:t xml:space="preserve">i. </w:t>
      </w:r>
      <w:r w:rsidRPr="0022719B">
        <w:rPr>
          <w:b/>
          <w:i/>
          <w:iCs/>
          <w:color w:val="000000"/>
          <w:sz w:val="24"/>
          <w:szCs w:val="24"/>
          <w:shd w:val="clear" w:color="auto" w:fill="FFFFFF"/>
          <w:lang w:val="es-CO"/>
        </w:rPr>
        <w:t>Los derechos de los niños, las niñas y los adolescentes</w:t>
      </w:r>
      <w:r w:rsidRPr="0022719B">
        <w:rPr>
          <w:b/>
          <w:iCs/>
          <w:color w:val="000000"/>
          <w:sz w:val="24"/>
          <w:szCs w:val="24"/>
          <w:shd w:val="clear" w:color="auto" w:fill="FFFFFF"/>
          <w:lang w:val="es-CO"/>
        </w:rPr>
        <w:t>.</w:t>
      </w:r>
      <w:r w:rsidRPr="0022719B">
        <w:rPr>
          <w:iCs/>
          <w:color w:val="000000"/>
          <w:sz w:val="24"/>
          <w:szCs w:val="24"/>
          <w:shd w:val="clear" w:color="auto" w:fill="FFFFFF"/>
          <w:lang w:val="es-CO"/>
        </w:rPr>
        <w:t xml:space="preserve"> Tanto la Convención de los Derechos de los Niños de 1989</w:t>
      </w:r>
      <w:r w:rsidRPr="0022719B">
        <w:rPr>
          <w:iCs/>
          <w:color w:val="000000"/>
          <w:sz w:val="24"/>
          <w:szCs w:val="24"/>
          <w:shd w:val="clear" w:color="auto" w:fill="FFFFFF"/>
          <w:vertAlign w:val="superscript"/>
          <w:lang w:val="es-CO"/>
        </w:rPr>
        <w:footnoteReference w:id="42"/>
      </w:r>
      <w:r w:rsidRPr="0022719B">
        <w:rPr>
          <w:iCs/>
          <w:color w:val="000000"/>
          <w:sz w:val="24"/>
          <w:szCs w:val="24"/>
          <w:shd w:val="clear" w:color="auto" w:fill="FFFFFF"/>
          <w:lang w:val="es-CO"/>
        </w:rPr>
        <w:t>, “</w:t>
      </w:r>
      <w:r w:rsidRPr="009E077D">
        <w:rPr>
          <w:iCs/>
          <w:color w:val="000000"/>
          <w:sz w:val="24"/>
          <w:szCs w:val="24"/>
          <w:shd w:val="clear" w:color="auto" w:fill="FFFFFF"/>
          <w:lang w:val="es-CO"/>
        </w:rPr>
        <w:t>la más amplia y rápidamente ratificada en la historia”</w:t>
      </w:r>
      <w:r w:rsidRPr="0022719B">
        <w:rPr>
          <w:iCs/>
          <w:color w:val="000000"/>
          <w:sz w:val="24"/>
          <w:szCs w:val="24"/>
          <w:shd w:val="clear" w:color="auto" w:fill="FFFFFF"/>
          <w:vertAlign w:val="superscript"/>
          <w:lang w:val="en-US"/>
        </w:rPr>
        <w:footnoteReference w:id="43"/>
      </w:r>
      <w:r w:rsidRPr="009E077D">
        <w:rPr>
          <w:iCs/>
          <w:color w:val="000000"/>
          <w:sz w:val="24"/>
          <w:szCs w:val="24"/>
          <w:shd w:val="clear" w:color="auto" w:fill="FFFFFF"/>
          <w:lang w:val="es-CO"/>
        </w:rPr>
        <w:t>, como la jurisprudencia de la Corte Interamericana de Derechos Humanos</w:t>
      </w:r>
      <w:r w:rsidRPr="0022719B">
        <w:rPr>
          <w:iCs/>
          <w:color w:val="000000"/>
          <w:sz w:val="24"/>
          <w:szCs w:val="24"/>
          <w:shd w:val="clear" w:color="auto" w:fill="FFFFFF"/>
          <w:vertAlign w:val="superscript"/>
          <w:lang w:val="en-US"/>
        </w:rPr>
        <w:footnoteReference w:id="44"/>
      </w:r>
      <w:r w:rsidRPr="009E077D">
        <w:rPr>
          <w:iCs/>
          <w:color w:val="000000"/>
          <w:sz w:val="24"/>
          <w:szCs w:val="24"/>
          <w:shd w:val="clear" w:color="auto" w:fill="FFFFFF"/>
          <w:lang w:val="es-CO"/>
        </w:rPr>
        <w:t xml:space="preserve"> y, a nivel local, el artículo 44 de nuestra Constitución, establecen la prevalencia de los derechos en cabeza de la niñez y la adolescencia, con respecto de otros intereses o bienes tutelados por el ordenamiento jurídico.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b/>
          <w:iCs/>
          <w:color w:val="000000"/>
          <w:sz w:val="24"/>
          <w:szCs w:val="24"/>
          <w:shd w:val="clear" w:color="auto" w:fill="FFFFFF"/>
          <w:lang w:val="es-CO"/>
        </w:rPr>
        <w:t xml:space="preserve">ii. </w:t>
      </w:r>
      <w:r w:rsidRPr="0022719B">
        <w:rPr>
          <w:b/>
          <w:i/>
          <w:iCs/>
          <w:color w:val="000000"/>
          <w:sz w:val="24"/>
          <w:szCs w:val="24"/>
          <w:shd w:val="clear" w:color="auto" w:fill="FFFFFF"/>
          <w:lang w:val="es-CO"/>
        </w:rPr>
        <w:t>La autonomía reproductiva e integridad sexual de las mujeres</w:t>
      </w:r>
      <w:r w:rsidRPr="0022719B">
        <w:rPr>
          <w:b/>
          <w:iCs/>
          <w:color w:val="000000"/>
          <w:sz w:val="24"/>
          <w:szCs w:val="24"/>
          <w:shd w:val="clear" w:color="auto" w:fill="FFFFFF"/>
          <w:lang w:val="es-CO"/>
        </w:rPr>
        <w:t xml:space="preserve">. </w:t>
      </w:r>
      <w:r w:rsidRPr="0022719B">
        <w:rPr>
          <w:iCs/>
          <w:color w:val="000000"/>
          <w:sz w:val="24"/>
          <w:szCs w:val="24"/>
          <w:shd w:val="clear" w:color="auto" w:fill="FFFFFF"/>
          <w:lang w:val="es-CO"/>
        </w:rPr>
        <w:t xml:space="preserve">La inclusión en 1998 de los crímenes sexuales contra las mujeres como parte de las conductas </w:t>
      </w:r>
      <w:r w:rsidRPr="0022719B">
        <w:rPr>
          <w:iCs/>
          <w:color w:val="000000"/>
          <w:sz w:val="24"/>
          <w:szCs w:val="24"/>
          <w:shd w:val="clear" w:color="auto" w:fill="FFFFFF"/>
          <w:lang w:val="es-CO"/>
        </w:rPr>
        <w:lastRenderedPageBreak/>
        <w:t>más atroces que puedan cometerse en contra de la humanidad</w:t>
      </w:r>
      <w:r w:rsidRPr="0022719B">
        <w:rPr>
          <w:iCs/>
          <w:color w:val="000000"/>
          <w:sz w:val="24"/>
          <w:szCs w:val="24"/>
          <w:shd w:val="clear" w:color="auto" w:fill="FFFFFF"/>
          <w:vertAlign w:val="superscript"/>
          <w:lang w:val="es-CO"/>
        </w:rPr>
        <w:footnoteReference w:id="45"/>
      </w:r>
      <w:r w:rsidRPr="0022719B">
        <w:rPr>
          <w:iCs/>
          <w:color w:val="000000"/>
          <w:sz w:val="24"/>
          <w:szCs w:val="24"/>
          <w:shd w:val="clear" w:color="auto" w:fill="FFFFFF"/>
          <w:lang w:val="es-CO"/>
        </w:rPr>
        <w:t xml:space="preserve">, según lo dispone el Estatuto de Roma de la Corte Penal Internacional, constituye un indicio confiable de su rechazo </w:t>
      </w:r>
      <w:r w:rsidRPr="0022719B">
        <w:rPr>
          <w:i/>
          <w:iCs/>
          <w:color w:val="000000"/>
          <w:sz w:val="24"/>
          <w:szCs w:val="24"/>
          <w:shd w:val="clear" w:color="auto" w:fill="FFFFFF"/>
          <w:lang w:val="es-CO"/>
        </w:rPr>
        <w:t>unánime</w:t>
      </w:r>
      <w:r w:rsidRPr="0022719B">
        <w:rPr>
          <w:iCs/>
          <w:color w:val="000000"/>
          <w:sz w:val="24"/>
          <w:szCs w:val="24"/>
          <w:shd w:val="clear" w:color="auto" w:fill="FFFFFF"/>
          <w:lang w:val="es-CO"/>
        </w:rPr>
        <w:t xml:space="preserve"> por parte de la comunidad internacional, así como de la existencia de un deber general e inaplazable, de combatir, investigar, castigar y reparar la ocurrencia de los mismos al interior de su territorio con la mayor severidad y compromiso posible</w:t>
      </w:r>
      <w:r w:rsidRPr="0022719B">
        <w:rPr>
          <w:iCs/>
          <w:color w:val="000000"/>
          <w:sz w:val="24"/>
          <w:szCs w:val="24"/>
          <w:shd w:val="clear" w:color="auto" w:fill="FFFFFF"/>
          <w:vertAlign w:val="superscript"/>
          <w:lang w:val="es-CO"/>
        </w:rPr>
        <w:footnoteReference w:id="46"/>
      </w:r>
      <w:r w:rsidRPr="0022719B">
        <w:rPr>
          <w:iCs/>
          <w:color w:val="000000"/>
          <w:sz w:val="24"/>
          <w:szCs w:val="24"/>
          <w:shd w:val="clear" w:color="auto" w:fill="FFFFFF"/>
          <w:lang w:val="es-CO"/>
        </w:rPr>
        <w:t xml:space="preserve">.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b/>
          <w:iCs/>
          <w:color w:val="000000"/>
          <w:sz w:val="24"/>
          <w:szCs w:val="24"/>
          <w:shd w:val="clear" w:color="auto" w:fill="FFFFFF"/>
          <w:lang w:val="es-CO"/>
        </w:rPr>
        <w:t xml:space="preserve">iii. </w:t>
      </w:r>
      <w:r w:rsidRPr="0022719B">
        <w:rPr>
          <w:b/>
          <w:i/>
          <w:iCs/>
          <w:color w:val="000000"/>
          <w:sz w:val="24"/>
          <w:szCs w:val="24"/>
          <w:shd w:val="clear" w:color="auto" w:fill="FFFFFF"/>
          <w:lang w:val="es-CO"/>
        </w:rPr>
        <w:t>El derecho a la igualdad y la prohibición de discriminación</w:t>
      </w:r>
      <w:r w:rsidRPr="0022719B">
        <w:rPr>
          <w:b/>
          <w:iCs/>
          <w:color w:val="000000"/>
          <w:sz w:val="24"/>
          <w:szCs w:val="24"/>
          <w:shd w:val="clear" w:color="auto" w:fill="FFFFFF"/>
          <w:lang w:val="es-CO"/>
        </w:rPr>
        <w:t>.</w:t>
      </w:r>
      <w:r w:rsidRPr="0022719B">
        <w:rPr>
          <w:iCs/>
          <w:color w:val="000000"/>
          <w:sz w:val="24"/>
          <w:szCs w:val="24"/>
          <w:shd w:val="clear" w:color="auto" w:fill="FFFFFF"/>
          <w:lang w:val="es-CO"/>
        </w:rPr>
        <w:t xml:space="preserve"> Los artículos 13 constitucional y 24 de la Convención Americana sobre Derechos Humanos, entre otros, consagran el principio de igualdad como un límite infranqueable a la conducta del Estado y de los particulares, al punto de atribuirle entidad de norma de “</w:t>
      </w:r>
      <w:proofErr w:type="spellStart"/>
      <w:r w:rsidRPr="0022719B">
        <w:rPr>
          <w:iCs/>
          <w:color w:val="000000"/>
          <w:sz w:val="24"/>
          <w:szCs w:val="24"/>
          <w:shd w:val="clear" w:color="auto" w:fill="FFFFFF"/>
          <w:lang w:val="es-CO"/>
        </w:rPr>
        <w:t>ius</w:t>
      </w:r>
      <w:proofErr w:type="spellEnd"/>
      <w:r w:rsidRPr="0022719B">
        <w:rPr>
          <w:iCs/>
          <w:color w:val="000000"/>
          <w:sz w:val="24"/>
          <w:szCs w:val="24"/>
          <w:shd w:val="clear" w:color="auto" w:fill="FFFFFF"/>
          <w:lang w:val="es-CO"/>
        </w:rPr>
        <w:t xml:space="preserve"> </w:t>
      </w:r>
      <w:proofErr w:type="spellStart"/>
      <w:r w:rsidRPr="0022719B">
        <w:rPr>
          <w:iCs/>
          <w:color w:val="000000"/>
          <w:sz w:val="24"/>
          <w:szCs w:val="24"/>
          <w:shd w:val="clear" w:color="auto" w:fill="FFFFFF"/>
          <w:lang w:val="es-CO"/>
        </w:rPr>
        <w:t>cogens</w:t>
      </w:r>
      <w:proofErr w:type="spellEnd"/>
      <w:r w:rsidRPr="0022719B">
        <w:rPr>
          <w:iCs/>
          <w:color w:val="000000"/>
          <w:sz w:val="24"/>
          <w:szCs w:val="24"/>
          <w:shd w:val="clear" w:color="auto" w:fill="FFFFFF"/>
          <w:lang w:val="es-CO"/>
        </w:rPr>
        <w:t>” o perteneciente al ámbito del derecho imperativo internacional</w:t>
      </w:r>
      <w:r w:rsidRPr="0022719B">
        <w:rPr>
          <w:iCs/>
          <w:color w:val="000000"/>
          <w:sz w:val="24"/>
          <w:szCs w:val="24"/>
          <w:shd w:val="clear" w:color="auto" w:fill="FFFFFF"/>
          <w:vertAlign w:val="superscript"/>
          <w:lang w:val="es-CO"/>
        </w:rPr>
        <w:footnoteReference w:id="47"/>
      </w:r>
      <w:r w:rsidRPr="0022719B">
        <w:rPr>
          <w:iCs/>
          <w:color w:val="000000"/>
          <w:sz w:val="24"/>
          <w:szCs w:val="24"/>
          <w:shd w:val="clear" w:color="auto" w:fill="FFFFFF"/>
          <w:lang w:val="es-CO"/>
        </w:rPr>
        <w:t xml:space="preserve">. Los pueblos indígenas también son titulares de este derecho y no pueden ser objeto de “ningún tipo de discriminación en el ejercicio de sus derechos, en particular la fundada en su origen o identidad indígenas”, según lo prevé el artículo 2º de la Declaración de las Naciones Unidas sobre los derechos de los pueblos indígenas de 2007. La Corte Constitucional colombiana también ha reconocido que la prohibición de  discriminación “parece evidenciarse no sólo como propia al discurso constitucional de algunos Estados, sino poco a poco, como norma del </w:t>
      </w:r>
      <w:proofErr w:type="spellStart"/>
      <w:r w:rsidRPr="0022719B">
        <w:rPr>
          <w:i/>
          <w:iCs/>
          <w:color w:val="000000"/>
          <w:sz w:val="24"/>
          <w:szCs w:val="24"/>
          <w:shd w:val="clear" w:color="auto" w:fill="FFFFFF"/>
          <w:lang w:val="es-CO"/>
        </w:rPr>
        <w:t>ius</w:t>
      </w:r>
      <w:proofErr w:type="spellEnd"/>
      <w:r w:rsidRPr="0022719B">
        <w:rPr>
          <w:i/>
          <w:iCs/>
          <w:color w:val="000000"/>
          <w:sz w:val="24"/>
          <w:szCs w:val="24"/>
          <w:shd w:val="clear" w:color="auto" w:fill="FFFFFF"/>
          <w:lang w:val="es-CO"/>
        </w:rPr>
        <w:t xml:space="preserve"> </w:t>
      </w:r>
      <w:proofErr w:type="spellStart"/>
      <w:r w:rsidRPr="0022719B">
        <w:rPr>
          <w:i/>
          <w:iCs/>
          <w:color w:val="000000"/>
          <w:sz w:val="24"/>
          <w:szCs w:val="24"/>
          <w:shd w:val="clear" w:color="auto" w:fill="FFFFFF"/>
          <w:lang w:val="es-CO"/>
        </w:rPr>
        <w:t>cogens</w:t>
      </w:r>
      <w:proofErr w:type="spellEnd"/>
      <w:r w:rsidRPr="0022719B">
        <w:rPr>
          <w:iCs/>
          <w:color w:val="000000"/>
          <w:sz w:val="24"/>
          <w:szCs w:val="24"/>
          <w:shd w:val="clear" w:color="auto" w:fill="FFFFFF"/>
          <w:lang w:val="es-CO"/>
        </w:rPr>
        <w:t>, [es decir] aceptada y reconocida por la comunidad internacional como un todo en tanto normas perentorias o imperativas respecto de las que no se permiten derogaciones”</w:t>
      </w:r>
      <w:r w:rsidRPr="0022719B">
        <w:rPr>
          <w:iCs/>
          <w:color w:val="000000"/>
          <w:sz w:val="24"/>
          <w:szCs w:val="24"/>
          <w:shd w:val="clear" w:color="auto" w:fill="FFFFFF"/>
          <w:vertAlign w:val="superscript"/>
          <w:lang w:val="es-CO"/>
        </w:rPr>
        <w:footnoteReference w:id="48"/>
      </w:r>
      <w:r w:rsidRPr="0022719B">
        <w:rPr>
          <w:iCs/>
          <w:color w:val="000000"/>
          <w:sz w:val="24"/>
          <w:szCs w:val="24"/>
          <w:shd w:val="clear" w:color="auto" w:fill="FFFFFF"/>
          <w:lang w:val="es-CO"/>
        </w:rPr>
        <w:t xml:space="preserve">.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b/>
          <w:iCs/>
          <w:color w:val="000000"/>
          <w:sz w:val="24"/>
          <w:szCs w:val="24"/>
          <w:shd w:val="clear" w:color="auto" w:fill="FFFFFF"/>
          <w:lang w:val="es-CO"/>
        </w:rPr>
        <w:lastRenderedPageBreak/>
        <w:t xml:space="preserve">iv. </w:t>
      </w:r>
      <w:r w:rsidRPr="0022719B">
        <w:rPr>
          <w:b/>
          <w:i/>
          <w:iCs/>
          <w:color w:val="000000"/>
          <w:sz w:val="24"/>
          <w:szCs w:val="24"/>
          <w:shd w:val="clear" w:color="auto" w:fill="FFFFFF"/>
          <w:lang w:val="es-CO"/>
        </w:rPr>
        <w:t>Los intereses colectivos a la seguridad, la paz y la vigencia de un orden constitucional y democrático</w:t>
      </w:r>
      <w:r w:rsidRPr="0022719B">
        <w:rPr>
          <w:b/>
          <w:iCs/>
          <w:color w:val="000000"/>
          <w:sz w:val="24"/>
          <w:szCs w:val="24"/>
          <w:shd w:val="clear" w:color="auto" w:fill="FFFFFF"/>
          <w:lang w:val="es-CO"/>
        </w:rPr>
        <w:t>.</w:t>
      </w:r>
      <w:r w:rsidRPr="0022719B">
        <w:rPr>
          <w:iCs/>
          <w:color w:val="000000"/>
          <w:sz w:val="24"/>
          <w:szCs w:val="24"/>
          <w:shd w:val="clear" w:color="auto" w:fill="FFFFFF"/>
          <w:lang w:val="es-CO"/>
        </w:rPr>
        <w:t xml:space="preserve"> La población colombiana, al igual que la mayoría naciones del mundo, es titular de los intereses colectivos a la seguridad, la paz, democracia y el disfrute de un orden social democrático y constitucional. Así se infiere de las normas sobre naturaleza y finalidades del Estado colombiano (por ejemplo, los artículos 1º y 2º de la Constitución Política), y de esa forma lo reconocen los principales instrumentos normativos que estructuran el sistema jurídico internacional, como la Carta de las Naciones Unidas de 1945</w:t>
      </w:r>
      <w:r w:rsidRPr="0022719B">
        <w:rPr>
          <w:iCs/>
          <w:color w:val="000000"/>
          <w:sz w:val="24"/>
          <w:szCs w:val="24"/>
          <w:shd w:val="clear" w:color="auto" w:fill="FFFFFF"/>
          <w:vertAlign w:val="superscript"/>
          <w:lang w:val="es-CO"/>
        </w:rPr>
        <w:footnoteReference w:id="49"/>
      </w:r>
      <w:r w:rsidRPr="0022719B">
        <w:rPr>
          <w:iCs/>
          <w:color w:val="000000"/>
          <w:sz w:val="24"/>
          <w:szCs w:val="24"/>
          <w:shd w:val="clear" w:color="auto" w:fill="FFFFFF"/>
          <w:lang w:val="es-CO"/>
        </w:rPr>
        <w:t>, la Carta de la Organización de los Estados Americanos de 1948 y, más recientemente la Carta Democrática Interamericana de 2001, según la cual, “los pueblos de América tienen derecho a la democracia y sus gobiernos la obligación de promoverla y defenderla”. Corolario de lo anterior, es el deber de asegurar “el mantenimiento de la paz y la seguridad”</w:t>
      </w:r>
      <w:r w:rsidRPr="0022719B">
        <w:rPr>
          <w:iCs/>
          <w:color w:val="000000"/>
          <w:sz w:val="24"/>
          <w:szCs w:val="24"/>
          <w:shd w:val="clear" w:color="auto" w:fill="FFFFFF"/>
          <w:vertAlign w:val="superscript"/>
          <w:lang w:val="es-CO"/>
        </w:rPr>
        <w:footnoteReference w:id="50"/>
      </w:r>
      <w:r w:rsidRPr="0022719B">
        <w:rPr>
          <w:iCs/>
          <w:color w:val="000000"/>
          <w:sz w:val="24"/>
          <w:szCs w:val="24"/>
          <w:shd w:val="clear" w:color="auto" w:fill="FFFFFF"/>
          <w:lang w:val="es-CO"/>
        </w:rPr>
        <w:t xml:space="preserve">, mediante la represión de todas aquellas conductas criminales con la aptitud para destruir, desestabilizar o lesionar la convivencia pacífica de la sociedad. Ahora bien, atendiendo el contexto actual y los desarrollos normativos recientes, parece razonable incluir preliminarmente dentro de este catálogo de </w:t>
      </w:r>
      <w:proofErr w:type="spellStart"/>
      <w:r w:rsidRPr="0022719B">
        <w:rPr>
          <w:iCs/>
          <w:color w:val="000000"/>
          <w:sz w:val="24"/>
          <w:szCs w:val="24"/>
          <w:shd w:val="clear" w:color="auto" w:fill="FFFFFF"/>
          <w:lang w:val="es-CO"/>
        </w:rPr>
        <w:t>de</w:t>
      </w:r>
      <w:proofErr w:type="spellEnd"/>
      <w:r w:rsidRPr="0022719B">
        <w:rPr>
          <w:iCs/>
          <w:color w:val="000000"/>
          <w:sz w:val="24"/>
          <w:szCs w:val="24"/>
          <w:shd w:val="clear" w:color="auto" w:fill="FFFFFF"/>
          <w:lang w:val="es-CO"/>
        </w:rPr>
        <w:t xml:space="preserve"> delitos, aquellos relacionados con el terrorismo</w:t>
      </w:r>
      <w:r w:rsidRPr="0022719B">
        <w:rPr>
          <w:iCs/>
          <w:color w:val="000000"/>
          <w:sz w:val="24"/>
          <w:szCs w:val="24"/>
          <w:shd w:val="clear" w:color="auto" w:fill="FFFFFF"/>
          <w:vertAlign w:val="superscript"/>
          <w:lang w:val="es-CO"/>
        </w:rPr>
        <w:footnoteReference w:id="51"/>
      </w:r>
      <w:r w:rsidRPr="0022719B">
        <w:rPr>
          <w:iCs/>
          <w:color w:val="000000"/>
          <w:sz w:val="24"/>
          <w:szCs w:val="24"/>
          <w:shd w:val="clear" w:color="auto" w:fill="FFFFFF"/>
          <w:lang w:val="es-CO"/>
        </w:rPr>
        <w:t>; las violaciones graves a los derechos humanos, los crímenes de lesa humanidad y las infracciones al Derecho Internacional Humanitario</w:t>
      </w:r>
      <w:r w:rsidRPr="0022719B">
        <w:rPr>
          <w:iCs/>
          <w:color w:val="000000"/>
          <w:sz w:val="24"/>
          <w:szCs w:val="24"/>
          <w:shd w:val="clear" w:color="auto" w:fill="FFFFFF"/>
          <w:vertAlign w:val="superscript"/>
          <w:lang w:val="es-CO"/>
        </w:rPr>
        <w:footnoteReference w:id="52"/>
      </w:r>
      <w:r w:rsidRPr="0022719B">
        <w:rPr>
          <w:iCs/>
          <w:color w:val="000000"/>
          <w:sz w:val="24"/>
          <w:szCs w:val="24"/>
          <w:shd w:val="clear" w:color="auto" w:fill="FFFFFF"/>
          <w:lang w:val="es-CO"/>
        </w:rPr>
        <w:t>; el tráfico de estupefacientes</w:t>
      </w:r>
      <w:r w:rsidRPr="0022719B">
        <w:rPr>
          <w:iCs/>
          <w:color w:val="000000"/>
          <w:sz w:val="24"/>
          <w:szCs w:val="24"/>
          <w:shd w:val="clear" w:color="auto" w:fill="FFFFFF"/>
          <w:vertAlign w:val="superscript"/>
          <w:lang w:val="es-CO"/>
        </w:rPr>
        <w:footnoteReference w:id="53"/>
      </w:r>
      <w:r w:rsidRPr="0022719B">
        <w:rPr>
          <w:iCs/>
          <w:color w:val="000000"/>
          <w:sz w:val="24"/>
          <w:szCs w:val="24"/>
          <w:shd w:val="clear" w:color="auto" w:fill="FFFFFF"/>
          <w:lang w:val="es-CO"/>
        </w:rPr>
        <w:t xml:space="preserve"> y las afrentas contra el orden social, económico y financiero</w:t>
      </w:r>
      <w:r w:rsidRPr="0022719B">
        <w:rPr>
          <w:iCs/>
          <w:color w:val="000000"/>
          <w:sz w:val="24"/>
          <w:szCs w:val="24"/>
          <w:shd w:val="clear" w:color="auto" w:fill="FFFFFF"/>
          <w:vertAlign w:val="superscript"/>
          <w:lang w:val="es-CO"/>
        </w:rPr>
        <w:footnoteReference w:id="54"/>
      </w:r>
      <w:r w:rsidRPr="0022719B">
        <w:rPr>
          <w:iCs/>
          <w:color w:val="000000"/>
          <w:sz w:val="24"/>
          <w:szCs w:val="24"/>
          <w:shd w:val="clear" w:color="auto" w:fill="FFFFFF"/>
          <w:lang w:val="es-CO"/>
        </w:rPr>
        <w:t xml:space="preserve">. Todas estas conductas, por su gravedad </w:t>
      </w:r>
      <w:r w:rsidRPr="0022719B">
        <w:rPr>
          <w:iCs/>
          <w:color w:val="000000"/>
          <w:sz w:val="24"/>
          <w:szCs w:val="24"/>
          <w:shd w:val="clear" w:color="auto" w:fill="FFFFFF"/>
          <w:lang w:val="es-CO"/>
        </w:rPr>
        <w:lastRenderedPageBreak/>
        <w:t xml:space="preserve">intrínseca, la pluralidad de sujetos que afectan y la entidad y número de bienes jurídicos que lesionan, representan ejemplos claros de delitos contrarios a la paz, la estabilidad y el orden político democrático de cualquier país.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b/>
          <w:iCs/>
          <w:color w:val="000000"/>
          <w:sz w:val="24"/>
          <w:szCs w:val="24"/>
          <w:shd w:val="clear" w:color="auto" w:fill="FFFFFF"/>
          <w:lang w:val="es-CO"/>
        </w:rPr>
        <w:t xml:space="preserve">v. </w:t>
      </w:r>
      <w:r w:rsidRPr="0022719B">
        <w:rPr>
          <w:b/>
          <w:i/>
          <w:iCs/>
          <w:color w:val="000000"/>
          <w:sz w:val="24"/>
          <w:szCs w:val="24"/>
          <w:shd w:val="clear" w:color="auto" w:fill="FFFFFF"/>
          <w:lang w:val="es-CO"/>
        </w:rPr>
        <w:t>Los derechos de las víctimas a la verdad, la justicia, la reparación y la no repetición</w:t>
      </w:r>
      <w:r w:rsidRPr="0022719B">
        <w:rPr>
          <w:b/>
          <w:iCs/>
          <w:color w:val="000000"/>
          <w:sz w:val="24"/>
          <w:szCs w:val="24"/>
          <w:shd w:val="clear" w:color="auto" w:fill="FFFFFF"/>
          <w:lang w:val="es-CO"/>
        </w:rPr>
        <w:t>.</w:t>
      </w:r>
      <w:r w:rsidRPr="0022719B">
        <w:rPr>
          <w:iCs/>
          <w:color w:val="000000"/>
          <w:sz w:val="24"/>
          <w:szCs w:val="24"/>
          <w:shd w:val="clear" w:color="auto" w:fill="FFFFFF"/>
          <w:lang w:val="es-CO"/>
        </w:rPr>
        <w:t xml:space="preserve"> Instrumentos internacionales y mandatos constitucionales establecen derechos intangibles a favor de las víctimas de violaciones a los derechos humanos</w:t>
      </w:r>
      <w:r w:rsidRPr="0022719B">
        <w:rPr>
          <w:iCs/>
          <w:color w:val="000000"/>
          <w:sz w:val="24"/>
          <w:szCs w:val="24"/>
          <w:shd w:val="clear" w:color="auto" w:fill="FFFFFF"/>
          <w:vertAlign w:val="superscript"/>
          <w:lang w:val="es-CO"/>
        </w:rPr>
        <w:footnoteReference w:id="55"/>
      </w:r>
      <w:r w:rsidRPr="0022719B">
        <w:rPr>
          <w:iCs/>
          <w:color w:val="000000"/>
          <w:sz w:val="24"/>
          <w:szCs w:val="24"/>
          <w:shd w:val="clear" w:color="auto" w:fill="FFFFFF"/>
          <w:lang w:val="es-CO"/>
        </w:rPr>
        <w:t xml:space="preserve">. Su prevalencia, </w:t>
      </w:r>
      <w:r w:rsidRPr="0022719B">
        <w:rPr>
          <w:i/>
          <w:iCs/>
          <w:color w:val="000000"/>
          <w:sz w:val="24"/>
          <w:szCs w:val="24"/>
          <w:shd w:val="clear" w:color="auto" w:fill="FFFFFF"/>
          <w:lang w:val="es-CO"/>
        </w:rPr>
        <w:t>prima facie</w:t>
      </w:r>
      <w:r w:rsidRPr="0022719B">
        <w:rPr>
          <w:iCs/>
          <w:color w:val="000000"/>
          <w:sz w:val="24"/>
          <w:szCs w:val="24"/>
          <w:shd w:val="clear" w:color="auto" w:fill="FFFFFF"/>
          <w:lang w:val="es-CO"/>
        </w:rPr>
        <w:t xml:space="preserve">, sobre el conjunto de derechos, individuales y colectivos, pareciera haberse consumado en nuestro sistema jurídico en virtud de precedentes tales como los fijados por la Corte Constitucional en la sentencia C-579 de 2013  y la Corte Interamericana de Derechos Humanos en la sentencia Caso </w:t>
      </w:r>
      <w:proofErr w:type="spellStart"/>
      <w:r w:rsidRPr="0022719B">
        <w:rPr>
          <w:iCs/>
          <w:color w:val="000000"/>
          <w:sz w:val="24"/>
          <w:szCs w:val="24"/>
          <w:shd w:val="clear" w:color="auto" w:fill="FFFFFF"/>
          <w:lang w:val="es-CO"/>
        </w:rPr>
        <w:t>Gelman</w:t>
      </w:r>
      <w:proofErr w:type="spellEnd"/>
      <w:r w:rsidRPr="0022719B">
        <w:rPr>
          <w:iCs/>
          <w:color w:val="000000"/>
          <w:sz w:val="24"/>
          <w:szCs w:val="24"/>
          <w:shd w:val="clear" w:color="auto" w:fill="FFFFFF"/>
          <w:lang w:val="es-CO"/>
        </w:rPr>
        <w:t xml:space="preserve"> contra Uruguay (2011). En efecto, mientras la primera corporación calificó como “pilar esencial” del Estado colombiano, entre otras cosas, la garantía del derecho de las víctimas a disfrutar de una investigación penal “seria, imparcial, efectiva, cumplida en un plazo razonable  y con su participación”</w:t>
      </w:r>
      <w:r w:rsidRPr="0022719B">
        <w:rPr>
          <w:iCs/>
          <w:color w:val="000000"/>
          <w:sz w:val="24"/>
          <w:szCs w:val="24"/>
          <w:shd w:val="clear" w:color="auto" w:fill="FFFFFF"/>
          <w:vertAlign w:val="superscript"/>
          <w:lang w:val="es-CO"/>
        </w:rPr>
        <w:footnoteReference w:id="56"/>
      </w:r>
      <w:r w:rsidRPr="0022719B">
        <w:rPr>
          <w:iCs/>
          <w:color w:val="000000"/>
          <w:sz w:val="24"/>
          <w:szCs w:val="24"/>
          <w:shd w:val="clear" w:color="auto" w:fill="FFFFFF"/>
          <w:lang w:val="es-CO"/>
        </w:rPr>
        <w:t>; la segunda aseguró que “la existencia de un verdadero régimen democrático”</w:t>
      </w:r>
      <w:r w:rsidRPr="0022719B">
        <w:rPr>
          <w:iCs/>
          <w:color w:val="000000"/>
          <w:sz w:val="24"/>
          <w:szCs w:val="24"/>
          <w:shd w:val="clear" w:color="auto" w:fill="FFFFFF"/>
          <w:vertAlign w:val="superscript"/>
          <w:lang w:val="es-CO"/>
        </w:rPr>
        <w:footnoteReference w:id="57"/>
      </w:r>
      <w:r w:rsidRPr="0022719B">
        <w:rPr>
          <w:iCs/>
          <w:color w:val="000000"/>
          <w:sz w:val="24"/>
          <w:szCs w:val="24"/>
          <w:shd w:val="clear" w:color="auto" w:fill="FFFFFF"/>
          <w:lang w:val="es-CO"/>
        </w:rPr>
        <w:t xml:space="preserve"> supone la garantía de los derechos de las víctimas a la investigación, sanción y reparación de los agravios que debieron soportar.</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Como se aprecia, este conjunto de derechos e intereses jurídicos tutelados con normas penales de alcance internacional, constituyen límites sustanciales a la soberanía de los Estados y, por ese camino, restringen su discrecionalidad en lo relativo al </w:t>
      </w:r>
      <w:r w:rsidRPr="0022719B">
        <w:rPr>
          <w:i/>
          <w:iCs/>
          <w:color w:val="000000"/>
          <w:sz w:val="24"/>
          <w:szCs w:val="24"/>
          <w:shd w:val="clear" w:color="auto" w:fill="FFFFFF"/>
          <w:lang w:val="es-CO"/>
        </w:rPr>
        <w:t>sí</w:t>
      </w:r>
      <w:r w:rsidRPr="0022719B">
        <w:rPr>
          <w:iCs/>
          <w:color w:val="000000"/>
          <w:sz w:val="24"/>
          <w:szCs w:val="24"/>
          <w:shd w:val="clear" w:color="auto" w:fill="FFFFFF"/>
          <w:lang w:val="es-CO"/>
        </w:rPr>
        <w:t xml:space="preserve"> y al </w:t>
      </w:r>
      <w:r w:rsidRPr="0022719B">
        <w:rPr>
          <w:i/>
          <w:iCs/>
          <w:color w:val="000000"/>
          <w:sz w:val="24"/>
          <w:szCs w:val="24"/>
          <w:shd w:val="clear" w:color="auto" w:fill="FFFFFF"/>
          <w:lang w:val="es-CO"/>
        </w:rPr>
        <w:t>cómo</w:t>
      </w:r>
      <w:r w:rsidRPr="0022719B">
        <w:rPr>
          <w:iCs/>
          <w:color w:val="000000"/>
          <w:sz w:val="24"/>
          <w:szCs w:val="24"/>
          <w:shd w:val="clear" w:color="auto" w:fill="FFFFFF"/>
          <w:lang w:val="es-CO"/>
        </w:rPr>
        <w:t xml:space="preserve"> de la persecución penal. Ante su ocurrencia, las autoridades públicas siempre deberán efectuar una investigación coherente con los estándares </w:t>
      </w:r>
      <w:r w:rsidRPr="0022719B">
        <w:rPr>
          <w:iCs/>
          <w:color w:val="000000"/>
          <w:sz w:val="24"/>
          <w:szCs w:val="24"/>
          <w:shd w:val="clear" w:color="auto" w:fill="FFFFFF"/>
          <w:lang w:val="es-CO"/>
        </w:rPr>
        <w:lastRenderedPageBreak/>
        <w:t xml:space="preserve">nacionales e internacionales aplicables a cada una de esas modalidades delictivas. </w:t>
      </w:r>
      <w:r w:rsidRPr="0022719B">
        <w:rPr>
          <w:iCs/>
          <w:color w:val="000000"/>
          <w:sz w:val="24"/>
          <w:szCs w:val="24"/>
          <w:shd w:val="clear" w:color="auto" w:fill="FFFFFF"/>
          <w:lang w:val="es-CO"/>
        </w:rPr>
        <w:cr/>
      </w: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En otras palabras, los derechos e intereses mencionados demandan acciones específicas de protección por parte de los Estados que disminuyen las posibilidades de que sus afrentas puedan investigarse y juzgarse por la jurisdicción indígena.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Para la muestra, el reconocimiento nacional e internacional de derechos especiales en cabeza de las víctimas condicionan, al punto de impedir, la aplicación de una justicia diferencial ante ciertos delitos. Por ejemplo, el derecho a la </w:t>
      </w:r>
      <w:r w:rsidRPr="0022719B">
        <w:rPr>
          <w:iCs/>
          <w:color w:val="000000"/>
          <w:sz w:val="24"/>
          <w:szCs w:val="24"/>
          <w:u w:val="single"/>
          <w:shd w:val="clear" w:color="auto" w:fill="FFFFFF"/>
          <w:lang w:val="es-CO"/>
        </w:rPr>
        <w:t>verdad</w:t>
      </w:r>
      <w:r w:rsidRPr="0022719B">
        <w:rPr>
          <w:iCs/>
          <w:color w:val="000000"/>
          <w:sz w:val="24"/>
          <w:szCs w:val="24"/>
          <w:shd w:val="clear" w:color="auto" w:fill="FFFFFF"/>
          <w:lang w:val="es-CO"/>
        </w:rPr>
        <w:t xml:space="preserve"> de las víctimas de crímenes sexuales como mujeres y menores de edad, sólo se satisface con la realización de una investigación seria, técnica y eficaz que revele los autores y las circunstancias que rodearon la ocurrencia de los hechos.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Para la Corte Constitucional, las autoridades judiciales tienen deberes positivos durante esta clase de investigaciones, que buscan ofrecer una “protección estatal integral al menor en el curso del proceso penal y por supuesto al término del mismo”</w:t>
      </w:r>
      <w:r w:rsidRPr="0022719B">
        <w:rPr>
          <w:iCs/>
          <w:color w:val="000000"/>
          <w:sz w:val="24"/>
          <w:szCs w:val="24"/>
          <w:shd w:val="clear" w:color="auto" w:fill="FFFFFF"/>
          <w:vertAlign w:val="superscript"/>
          <w:lang w:val="es-CO"/>
        </w:rPr>
        <w:footnoteReference w:id="58"/>
      </w:r>
      <w:r w:rsidRPr="0022719B">
        <w:rPr>
          <w:iCs/>
          <w:color w:val="000000"/>
          <w:sz w:val="24"/>
          <w:szCs w:val="24"/>
          <w:shd w:val="clear" w:color="auto" w:fill="FFFFFF"/>
          <w:lang w:val="es-CO"/>
        </w:rPr>
        <w:t>. Así las cosas, dichas autoridades no pueden relegarse “a  investigar la ocurrencia de los hechos y al establecimiento de responsabilidades”</w:t>
      </w:r>
      <w:r w:rsidRPr="0022719B">
        <w:rPr>
          <w:iCs/>
          <w:color w:val="000000"/>
          <w:sz w:val="24"/>
          <w:szCs w:val="24"/>
          <w:shd w:val="clear" w:color="auto" w:fill="FFFFFF"/>
          <w:vertAlign w:val="superscript"/>
          <w:lang w:val="es-CO"/>
        </w:rPr>
        <w:footnoteReference w:id="59"/>
      </w:r>
      <w:r w:rsidRPr="0022719B">
        <w:rPr>
          <w:iCs/>
          <w:color w:val="000000"/>
          <w:sz w:val="24"/>
          <w:szCs w:val="24"/>
          <w:shd w:val="clear" w:color="auto" w:fill="FFFFFF"/>
          <w:lang w:val="es-CO"/>
        </w:rPr>
        <w:t xml:space="preserve"> sino que además, deben “buscar la forma de proteger integralmente al menor que ha sido abusado sexualmente, desde la </w:t>
      </w:r>
      <w:r w:rsidRPr="0022719B">
        <w:rPr>
          <w:i/>
          <w:iCs/>
          <w:color w:val="000000"/>
          <w:sz w:val="24"/>
          <w:szCs w:val="24"/>
          <w:shd w:val="clear" w:color="auto" w:fill="FFFFFF"/>
          <w:lang w:val="es-CO"/>
        </w:rPr>
        <w:t xml:space="preserve">noticia </w:t>
      </w:r>
      <w:proofErr w:type="spellStart"/>
      <w:r w:rsidRPr="0022719B">
        <w:rPr>
          <w:i/>
          <w:iCs/>
          <w:color w:val="000000"/>
          <w:sz w:val="24"/>
          <w:szCs w:val="24"/>
          <w:shd w:val="clear" w:color="auto" w:fill="FFFFFF"/>
          <w:lang w:val="es-CO"/>
        </w:rPr>
        <w:t>criminis</w:t>
      </w:r>
      <w:proofErr w:type="spellEnd"/>
      <w:r w:rsidRPr="0022719B">
        <w:rPr>
          <w:i/>
          <w:iCs/>
          <w:color w:val="000000"/>
          <w:sz w:val="24"/>
          <w:szCs w:val="24"/>
          <w:shd w:val="clear" w:color="auto" w:fill="FFFFFF"/>
          <w:lang w:val="es-CO"/>
        </w:rPr>
        <w:t>”</w:t>
      </w:r>
      <w:r w:rsidRPr="0022719B">
        <w:rPr>
          <w:iCs/>
          <w:color w:val="000000"/>
          <w:sz w:val="24"/>
          <w:szCs w:val="24"/>
          <w:shd w:val="clear" w:color="auto" w:fill="FFFFFF"/>
          <w:vertAlign w:val="superscript"/>
          <w:lang w:val="es-CO"/>
        </w:rPr>
        <w:footnoteReference w:id="60"/>
      </w:r>
      <w:r w:rsidRPr="0022719B">
        <w:rPr>
          <w:i/>
          <w:iCs/>
          <w:color w:val="000000"/>
          <w:sz w:val="24"/>
          <w:szCs w:val="24"/>
          <w:shd w:val="clear" w:color="auto" w:fill="FFFFFF"/>
          <w:lang w:val="es-CO"/>
        </w:rPr>
        <w:t>.</w:t>
      </w:r>
    </w:p>
    <w:p w:rsidR="007F6D10" w:rsidRPr="0022719B" w:rsidRDefault="007F6D10" w:rsidP="007F6D10">
      <w:pPr>
        <w:rPr>
          <w:iCs/>
          <w:color w:val="000000"/>
          <w:sz w:val="24"/>
          <w:szCs w:val="24"/>
          <w:shd w:val="clear" w:color="auto" w:fill="FFFFFF"/>
          <w:lang w:val="es-CO"/>
        </w:rPr>
      </w:pPr>
      <w:r w:rsidRPr="0022719B">
        <w:rPr>
          <w:i/>
          <w:iCs/>
          <w:color w:val="000000"/>
          <w:sz w:val="24"/>
          <w:szCs w:val="24"/>
          <w:shd w:val="clear" w:color="auto" w:fill="FFFFFF"/>
          <w:lang w:val="es-CO"/>
        </w:rPr>
        <w:t> </w:t>
      </w: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De igual forma, tratándose de muertes violentas con elementos sexuales o sospechas de </w:t>
      </w:r>
      <w:proofErr w:type="spellStart"/>
      <w:r w:rsidRPr="0022719B">
        <w:rPr>
          <w:iCs/>
          <w:color w:val="000000"/>
          <w:sz w:val="24"/>
          <w:szCs w:val="24"/>
          <w:shd w:val="clear" w:color="auto" w:fill="FFFFFF"/>
          <w:lang w:val="es-CO"/>
        </w:rPr>
        <w:t>feminicidio</w:t>
      </w:r>
      <w:proofErr w:type="spellEnd"/>
      <w:r w:rsidRPr="0022719B">
        <w:rPr>
          <w:iCs/>
          <w:color w:val="000000"/>
          <w:sz w:val="24"/>
          <w:szCs w:val="24"/>
          <w:shd w:val="clear" w:color="auto" w:fill="FFFFFF"/>
          <w:lang w:val="es-CO"/>
        </w:rPr>
        <w:t xml:space="preserve">, la Corte Interamericana de Derechos Humanos ha establecido una serie de parámetros que determinan el proceder de las autoridades estatales en las correspondientes investigaciones penales. Su desconocimiento, no sobra recordarlo, puede comprometer la responsabilidad internacional del Estado. A continuación se trascriben algunos de aquellos parámetros </w:t>
      </w:r>
      <w:r w:rsidRPr="0022719B">
        <w:rPr>
          <w:i/>
          <w:iCs/>
          <w:color w:val="000000"/>
          <w:sz w:val="24"/>
          <w:szCs w:val="24"/>
          <w:shd w:val="clear" w:color="auto" w:fill="FFFFFF"/>
          <w:lang w:val="es-CO"/>
        </w:rPr>
        <w:t>in extenso</w:t>
      </w:r>
      <w:r w:rsidRPr="0022719B">
        <w:rPr>
          <w:iCs/>
          <w:color w:val="000000"/>
          <w:sz w:val="24"/>
          <w:szCs w:val="24"/>
          <w:shd w:val="clear" w:color="auto" w:fill="FFFFFF"/>
          <w:lang w:val="es-CO"/>
        </w:rPr>
        <w:t xml:space="preserve">, con el fin de ilustrar la complejidad del asunto: </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ind w:left="720"/>
        <w:rPr>
          <w:iCs/>
          <w:color w:val="000000"/>
          <w:sz w:val="24"/>
          <w:szCs w:val="24"/>
          <w:shd w:val="clear" w:color="auto" w:fill="FFFFFF"/>
          <w:lang w:val="es-CO"/>
        </w:rPr>
      </w:pPr>
      <w:r w:rsidRPr="0022719B">
        <w:rPr>
          <w:iCs/>
          <w:color w:val="000000"/>
          <w:sz w:val="24"/>
          <w:szCs w:val="24"/>
          <w:shd w:val="clear" w:color="auto" w:fill="FFFFFF"/>
          <w:lang w:val="es-CO"/>
        </w:rPr>
        <w:t xml:space="preserve">“Las autoridades estatales que conducen una investigación de este tipo deben intentar como mínimo, </w:t>
      </w:r>
      <w:r w:rsidRPr="0022719B">
        <w:rPr>
          <w:i/>
          <w:iCs/>
          <w:color w:val="000000"/>
          <w:sz w:val="24"/>
          <w:szCs w:val="24"/>
          <w:shd w:val="clear" w:color="auto" w:fill="FFFFFF"/>
          <w:lang w:val="es-CO"/>
        </w:rPr>
        <w:t xml:space="preserve">inter </w:t>
      </w:r>
      <w:proofErr w:type="spellStart"/>
      <w:r w:rsidRPr="0022719B">
        <w:rPr>
          <w:i/>
          <w:iCs/>
          <w:color w:val="000000"/>
          <w:sz w:val="24"/>
          <w:szCs w:val="24"/>
          <w:shd w:val="clear" w:color="auto" w:fill="FFFFFF"/>
          <w:lang w:val="es-CO"/>
        </w:rPr>
        <w:t>alia</w:t>
      </w:r>
      <w:proofErr w:type="spellEnd"/>
      <w:r w:rsidRPr="0022719B">
        <w:rPr>
          <w:iCs/>
          <w:color w:val="000000"/>
          <w:sz w:val="24"/>
          <w:szCs w:val="24"/>
          <w:shd w:val="clear" w:color="auto" w:fill="FFFFFF"/>
          <w:lang w:val="es-CO"/>
        </w:rPr>
        <w:t xml:space="preserve">: i) identificar a la víctima; ii) recuperar y preservar el material probatorio relacionado con la muerte, con el fin de ayudar en cualquier potencial investigación penal de los responsables; iii) identificar posibles testigos y obtener sus declaraciones en relación con la muerte que se  investiga; iv) determinar la causa, forma, lugar y momento de la muerte, así como cualquier patrón o práctica que pueda haber causado la </w:t>
      </w:r>
      <w:r w:rsidRPr="0022719B">
        <w:rPr>
          <w:iCs/>
          <w:color w:val="000000"/>
          <w:sz w:val="24"/>
          <w:szCs w:val="24"/>
          <w:shd w:val="clear" w:color="auto" w:fill="FFFFFF"/>
          <w:lang w:val="es-CO"/>
        </w:rPr>
        <w:lastRenderedPageBreak/>
        <w:t>muerte, y v) distinguir entre muerte natural, muerte accidental, suicidio y homicidio. Además, es necesario investigar exhaustivamente la escena del crimen, se deben realizar autopsias y análisis de restos humanos, en forma rigurosa, por profesionales competentes y empleando los  procedimientos más apropiados […].</w:t>
      </w:r>
    </w:p>
    <w:p w:rsidR="007F6D10" w:rsidRPr="0022719B" w:rsidRDefault="007F6D10" w:rsidP="007F6D10">
      <w:pPr>
        <w:rPr>
          <w:iCs/>
          <w:color w:val="000000"/>
          <w:sz w:val="24"/>
          <w:szCs w:val="24"/>
          <w:shd w:val="clear" w:color="auto" w:fill="FFFFFF"/>
          <w:lang w:val="es-CO"/>
        </w:rPr>
      </w:pPr>
      <w:r w:rsidRPr="0022719B">
        <w:rPr>
          <w:iCs/>
          <w:color w:val="000000"/>
          <w:sz w:val="24"/>
          <w:szCs w:val="24"/>
          <w:shd w:val="clear" w:color="auto" w:fill="FFFFFF"/>
          <w:lang w:val="es-CO"/>
        </w:rPr>
        <w:t xml:space="preserve"> </w:t>
      </w:r>
    </w:p>
    <w:p w:rsidR="007F6D10" w:rsidRPr="0022719B" w:rsidRDefault="007F6D10" w:rsidP="007F6D10">
      <w:pPr>
        <w:ind w:left="720"/>
        <w:rPr>
          <w:iCs/>
          <w:color w:val="000000"/>
          <w:sz w:val="24"/>
          <w:szCs w:val="24"/>
          <w:shd w:val="clear" w:color="auto" w:fill="FFFFFF"/>
          <w:lang w:val="es-CO"/>
        </w:rPr>
      </w:pPr>
      <w:r w:rsidRPr="0022719B">
        <w:rPr>
          <w:iCs/>
          <w:color w:val="000000"/>
          <w:sz w:val="24"/>
          <w:szCs w:val="24"/>
          <w:shd w:val="clear" w:color="auto" w:fill="FFFFFF"/>
          <w:lang w:val="es-CO"/>
        </w:rPr>
        <w:t>301. Además, los estándares internacionales señalan que, en relación con la escena del crimen, los investigadores deben, como mínimo, fotografiar dicha escena, cualquier otra evidencia física y el cuerpo como se encontró y después de moverlo; todas las muestras de sangre, cabello, fibras, hilos u otras pistas deben ser recogidas y conservadas; examinar el área en busca de huellas de zapatos o cualquier otra que tenga naturaleza de evidencia, y hacer un informe detallando cualquier observación de la escena, las acciones de los investigadores y la disposición de toda la evidencia coleccionada […]. El Protocolo de Minnesota establece, entre otras obligaciones, que al investigar una escena del crimen se debe cerrar la zona contigua al cadáver, y prohibir, salvo para el investigador y su equipo, el ingreso a la misma”</w:t>
      </w:r>
      <w:r w:rsidRPr="0022719B">
        <w:rPr>
          <w:iCs/>
          <w:color w:val="000000"/>
          <w:sz w:val="24"/>
          <w:szCs w:val="24"/>
          <w:shd w:val="clear" w:color="auto" w:fill="FFFFFF"/>
          <w:vertAlign w:val="superscript"/>
          <w:lang w:val="es-CO"/>
        </w:rPr>
        <w:footnoteReference w:id="61"/>
      </w:r>
      <w:r w:rsidRPr="0022719B">
        <w:rPr>
          <w:iCs/>
          <w:color w:val="000000"/>
          <w:sz w:val="24"/>
          <w:szCs w:val="24"/>
          <w:shd w:val="clear" w:color="auto" w:fill="FFFFFF"/>
          <w:lang w:val="es-CO"/>
        </w:rPr>
        <w:t>.</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Así las cosas, el derecho a la verdad de las víctimas de crímenes sexuales le impone cargas al Estado en materia de investigación que difícilmente pueden excusarse en la protección del principio de diversidad étnica y cultural y que resultaría desproporcionado descargar en la institucionalidad de las comunidades indígenas colombianas. </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Con relación al derecho de las víctimas a la </w:t>
      </w:r>
      <w:r w:rsidRPr="0022719B">
        <w:rPr>
          <w:iCs/>
          <w:color w:val="000000"/>
          <w:sz w:val="24"/>
          <w:szCs w:val="24"/>
          <w:u w:val="single"/>
          <w:shd w:val="clear" w:color="auto" w:fill="FFFFFF"/>
          <w:lang w:val="es-CO"/>
        </w:rPr>
        <w:t>justicia</w:t>
      </w:r>
      <w:r w:rsidRPr="0022719B">
        <w:rPr>
          <w:iCs/>
          <w:color w:val="000000"/>
          <w:sz w:val="24"/>
          <w:szCs w:val="24"/>
          <w:shd w:val="clear" w:color="auto" w:fill="FFFFFF"/>
          <w:lang w:val="es-CO"/>
        </w:rPr>
        <w:t xml:space="preserve">, la manera en que ha sido concebido tanto por la Corte Interamericana de Derechos Humanos como por diferentes organismos de las Naciones Unidas, supone la apertura de procesos penales a cargo de las autoridades públicas, bajo un marco normativo sustancial y procesal </w:t>
      </w:r>
      <w:r w:rsidRPr="0022719B">
        <w:rPr>
          <w:i/>
          <w:iCs/>
          <w:color w:val="000000"/>
          <w:sz w:val="24"/>
          <w:szCs w:val="24"/>
          <w:shd w:val="clear" w:color="auto" w:fill="FFFFFF"/>
          <w:lang w:val="es-CO"/>
        </w:rPr>
        <w:t>de orden público</w:t>
      </w:r>
      <w:r w:rsidRPr="0022719B">
        <w:rPr>
          <w:iCs/>
          <w:color w:val="000000"/>
          <w:sz w:val="24"/>
          <w:szCs w:val="24"/>
          <w:shd w:val="clear" w:color="auto" w:fill="FFFFFF"/>
          <w:lang w:val="es-CO"/>
        </w:rPr>
        <w:t xml:space="preserve"> que conduzca, si es del caso, a la imposición de penas </w:t>
      </w:r>
      <w:r w:rsidRPr="0022719B">
        <w:rPr>
          <w:i/>
          <w:iCs/>
          <w:color w:val="000000"/>
          <w:sz w:val="24"/>
          <w:szCs w:val="24"/>
          <w:shd w:val="clear" w:color="auto" w:fill="FFFFFF"/>
          <w:lang w:val="es-CO"/>
        </w:rPr>
        <w:t>proporcionales</w:t>
      </w:r>
      <w:r w:rsidRPr="0022719B">
        <w:rPr>
          <w:iCs/>
          <w:color w:val="000000"/>
          <w:sz w:val="24"/>
          <w:szCs w:val="24"/>
          <w:shd w:val="clear" w:color="auto" w:fill="FFFFFF"/>
          <w:lang w:val="es-CO"/>
        </w:rPr>
        <w:t xml:space="preserve"> y al decreto de reparaciones </w:t>
      </w:r>
      <w:r w:rsidRPr="0022719B">
        <w:rPr>
          <w:i/>
          <w:iCs/>
          <w:color w:val="000000"/>
          <w:sz w:val="24"/>
          <w:szCs w:val="24"/>
          <w:shd w:val="clear" w:color="auto" w:fill="FFFFFF"/>
          <w:lang w:val="es-CO"/>
        </w:rPr>
        <w:t xml:space="preserve">integrales </w:t>
      </w:r>
      <w:r w:rsidRPr="0022719B">
        <w:rPr>
          <w:iCs/>
          <w:color w:val="000000"/>
          <w:sz w:val="24"/>
          <w:szCs w:val="24"/>
          <w:shd w:val="clear" w:color="auto" w:fill="FFFFFF"/>
          <w:lang w:val="es-CO"/>
        </w:rPr>
        <w:t xml:space="preserve">al daño ocasionado, en condiciones de </w:t>
      </w:r>
      <w:r w:rsidRPr="0022719B">
        <w:rPr>
          <w:i/>
          <w:iCs/>
          <w:color w:val="000000"/>
          <w:sz w:val="24"/>
          <w:szCs w:val="24"/>
          <w:shd w:val="clear" w:color="auto" w:fill="FFFFFF"/>
          <w:lang w:val="es-CO"/>
        </w:rPr>
        <w:t>igualdad</w:t>
      </w:r>
      <w:r w:rsidRPr="0022719B">
        <w:rPr>
          <w:iCs/>
          <w:color w:val="000000"/>
          <w:sz w:val="24"/>
          <w:szCs w:val="24"/>
          <w:shd w:val="clear" w:color="auto" w:fill="FFFFFF"/>
          <w:lang w:val="es-CO"/>
        </w:rPr>
        <w:t xml:space="preserve"> entre todas las víctimas.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Entre otras cosas, se infiere de lo anterior que la delegación en particulares como las autoridades judiciales indígenas, de la persecución y el castigo de esta clase de criminalidad, junto con la autorización de tipos y sanciones penales diferenciadas, podría eventualmente implicar el desconocimiento del orden constitucional y de las obligaciones internacionales asumidas por el Estado colombiano.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lastRenderedPageBreak/>
        <w:t xml:space="preserve">Con respecto a lo primero, la Corte Constitucional en la sentencia C-370 de 2006 estableció que el derecho de las víctimas a la justicia exige la puesta en funcionamiento del aparato </w:t>
      </w:r>
      <w:r w:rsidRPr="0022719B">
        <w:rPr>
          <w:i/>
          <w:iCs/>
          <w:color w:val="000000"/>
          <w:sz w:val="24"/>
          <w:szCs w:val="24"/>
          <w:shd w:val="clear" w:color="auto" w:fill="FFFFFF"/>
          <w:lang w:val="es-CO"/>
        </w:rPr>
        <w:t>formal</w:t>
      </w:r>
      <w:r w:rsidRPr="0022719B">
        <w:rPr>
          <w:iCs/>
          <w:color w:val="000000"/>
          <w:sz w:val="24"/>
          <w:szCs w:val="24"/>
          <w:shd w:val="clear" w:color="auto" w:fill="FFFFFF"/>
          <w:lang w:val="es-CO"/>
        </w:rPr>
        <w:t xml:space="preserve"> de justicia penal. Así, según este Tribunal: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ind w:left="720"/>
        <w:rPr>
          <w:iCs/>
          <w:color w:val="000000"/>
          <w:sz w:val="24"/>
          <w:szCs w:val="24"/>
          <w:shd w:val="clear" w:color="auto" w:fill="FFFFFF"/>
          <w:lang w:val="es-CO"/>
        </w:rPr>
      </w:pPr>
      <w:r w:rsidRPr="0022719B">
        <w:rPr>
          <w:iCs/>
          <w:color w:val="000000"/>
          <w:sz w:val="24"/>
          <w:szCs w:val="24"/>
          <w:shd w:val="clear" w:color="auto" w:fill="FFFFFF"/>
          <w:lang w:val="es-CO"/>
        </w:rPr>
        <w:t>“</w:t>
      </w:r>
      <w:r w:rsidRPr="0022719B">
        <w:rPr>
          <w:iCs/>
          <w:color w:val="000000"/>
          <w:sz w:val="24"/>
          <w:szCs w:val="24"/>
          <w:u w:val="single"/>
          <w:shd w:val="clear" w:color="auto" w:fill="FFFFFF"/>
          <w:lang w:val="es-CO"/>
        </w:rPr>
        <w:t>La realización concreta del derecho de acceso a la administración de justicia implica que</w:t>
      </w:r>
      <w:r w:rsidRPr="0022719B">
        <w:rPr>
          <w:iCs/>
          <w:color w:val="000000"/>
          <w:sz w:val="24"/>
          <w:szCs w:val="24"/>
          <w:shd w:val="clear" w:color="auto" w:fill="FFFFFF"/>
          <w:lang w:val="es-CO"/>
        </w:rPr>
        <w:t xml:space="preserve"> </w:t>
      </w:r>
      <w:r w:rsidRPr="0022719B">
        <w:rPr>
          <w:iCs/>
          <w:color w:val="000000"/>
          <w:sz w:val="24"/>
          <w:szCs w:val="24"/>
          <w:u w:val="single"/>
          <w:shd w:val="clear" w:color="auto" w:fill="FFFFFF"/>
          <w:lang w:val="es-CO"/>
        </w:rPr>
        <w:t>el Estado asuma a plenitud el deber de investigar los hechos constitutivos de violaciones graves a los derechos humanos</w:t>
      </w:r>
      <w:r w:rsidRPr="0022719B">
        <w:rPr>
          <w:iCs/>
          <w:color w:val="000000"/>
          <w:sz w:val="24"/>
          <w:szCs w:val="24"/>
          <w:shd w:val="clear" w:color="auto" w:fill="FFFFFF"/>
          <w:lang w:val="es-CO"/>
        </w:rPr>
        <w:t xml:space="preserve"> o al derecho internacional humanitario, y que, como consecuencia de tales investigaciones se someta a juzgamiento a los presuntos responsables para imponer, si es del caso </w:t>
      </w:r>
      <w:r w:rsidRPr="0022719B">
        <w:rPr>
          <w:iCs/>
          <w:color w:val="000000"/>
          <w:sz w:val="24"/>
          <w:szCs w:val="24"/>
          <w:u w:val="single"/>
          <w:shd w:val="clear" w:color="auto" w:fill="FFFFFF"/>
          <w:lang w:val="es-CO"/>
        </w:rPr>
        <w:t>las sanciones correspondientes conforme a la ley</w:t>
      </w:r>
      <w:r w:rsidRPr="0022719B">
        <w:rPr>
          <w:iCs/>
          <w:color w:val="000000"/>
          <w:sz w:val="24"/>
          <w:szCs w:val="24"/>
          <w:shd w:val="clear" w:color="auto" w:fill="FFFFFF"/>
          <w:lang w:val="es-CO"/>
        </w:rPr>
        <w:t>” (subraya fuera del original).</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En relación con lo segundo, bajo la óptica del derecho internacional de los derechos humanos, la atribución de sanciones irrisorias o desproporcionales a la gravedad de los delitos, representa una forma de impunidad. Por ejemplo, en el Caso </w:t>
      </w:r>
      <w:proofErr w:type="spellStart"/>
      <w:r w:rsidRPr="0022719B">
        <w:rPr>
          <w:iCs/>
          <w:color w:val="000000"/>
          <w:sz w:val="24"/>
          <w:szCs w:val="24"/>
          <w:shd w:val="clear" w:color="auto" w:fill="FFFFFF"/>
          <w:lang w:val="es-CO"/>
        </w:rPr>
        <w:t>Raxcaco</w:t>
      </w:r>
      <w:proofErr w:type="spellEnd"/>
      <w:r w:rsidRPr="0022719B">
        <w:rPr>
          <w:iCs/>
          <w:color w:val="000000"/>
          <w:sz w:val="24"/>
          <w:szCs w:val="24"/>
          <w:shd w:val="clear" w:color="auto" w:fill="FFFFFF"/>
          <w:lang w:val="es-CO"/>
        </w:rPr>
        <w:t xml:space="preserve"> Reyes de 2005, la Corte Interamericana de Derechos Humanos señaló que: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ind w:left="720"/>
        <w:rPr>
          <w:iCs/>
          <w:color w:val="000000"/>
          <w:sz w:val="24"/>
          <w:szCs w:val="24"/>
          <w:shd w:val="clear" w:color="auto" w:fill="FFFFFF"/>
          <w:lang w:val="es-CO"/>
        </w:rPr>
      </w:pPr>
      <w:r w:rsidRPr="0022719B">
        <w:rPr>
          <w:iCs/>
          <w:color w:val="000000"/>
          <w:sz w:val="24"/>
          <w:szCs w:val="24"/>
          <w:shd w:val="clear" w:color="auto" w:fill="FFFFFF"/>
          <w:lang w:val="es-CO"/>
        </w:rPr>
        <w:t>“El Estado deberá asegurar que la nueva pena sea proporcional a la naturaleza y gravedad del delito que se persigue, y tome en cuenta las circunstancias atenuantes y agravantes que pudieren concurrir en este caso”.</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Derecho a la </w:t>
      </w:r>
      <w:r w:rsidRPr="0022719B">
        <w:rPr>
          <w:iCs/>
          <w:color w:val="000000"/>
          <w:sz w:val="24"/>
          <w:szCs w:val="24"/>
          <w:u w:val="single"/>
          <w:shd w:val="clear" w:color="auto" w:fill="FFFFFF"/>
          <w:lang w:val="es-CO"/>
        </w:rPr>
        <w:t>reparación</w:t>
      </w:r>
      <w:r w:rsidRPr="0022719B">
        <w:rPr>
          <w:iCs/>
          <w:color w:val="000000"/>
          <w:sz w:val="24"/>
          <w:szCs w:val="24"/>
          <w:shd w:val="clear" w:color="auto" w:fill="FFFFFF"/>
          <w:lang w:val="es-CO"/>
        </w:rPr>
        <w:t xml:space="preserve"> le impone al Estado la obligación de garantizar la restitución de los derechos lesionados en la medida de lo posible, y, de forma subsidiaria, el deber de indemnizar el perjuicio sufridos por las víctimas. Tratándose de graves afrentas a los derechos humanos, la reparación integral comprende adicionalmente el derecho a la rehabilitación, tanto física como mental, a recibir medidas de satisfacción encaminadas a restaurar la dignidad de las víctimas y a prevenir la repetición de tales conductas dañinas</w:t>
      </w:r>
      <w:r w:rsidRPr="0022719B">
        <w:rPr>
          <w:iCs/>
          <w:color w:val="000000"/>
          <w:sz w:val="24"/>
          <w:szCs w:val="24"/>
          <w:shd w:val="clear" w:color="auto" w:fill="FFFFFF"/>
          <w:vertAlign w:val="superscript"/>
          <w:lang w:val="es-CO"/>
        </w:rPr>
        <w:footnoteReference w:id="62"/>
      </w:r>
      <w:r w:rsidRPr="0022719B">
        <w:rPr>
          <w:iCs/>
          <w:color w:val="000000"/>
          <w:sz w:val="24"/>
          <w:szCs w:val="24"/>
          <w:shd w:val="clear" w:color="auto" w:fill="FFFFFF"/>
          <w:lang w:val="es-CO"/>
        </w:rPr>
        <w:t xml:space="preserve">. </w:t>
      </w:r>
    </w:p>
    <w:p w:rsidR="007F6D10" w:rsidRPr="0022719B" w:rsidRDefault="007F6D10" w:rsidP="007F6D10">
      <w:pPr>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En el estado actual de desarrollo del derecho internacional, este último derecho a la </w:t>
      </w:r>
      <w:r w:rsidRPr="0022719B">
        <w:rPr>
          <w:iCs/>
          <w:color w:val="000000"/>
          <w:sz w:val="24"/>
          <w:szCs w:val="24"/>
          <w:u w:val="single"/>
          <w:shd w:val="clear" w:color="auto" w:fill="FFFFFF"/>
          <w:lang w:val="es-CO"/>
        </w:rPr>
        <w:t>no repetición</w:t>
      </w:r>
      <w:r w:rsidRPr="0022719B">
        <w:rPr>
          <w:iCs/>
          <w:color w:val="000000"/>
          <w:sz w:val="24"/>
          <w:szCs w:val="24"/>
          <w:shd w:val="clear" w:color="auto" w:fill="FFFFFF"/>
          <w:lang w:val="es-CO"/>
        </w:rPr>
        <w:t xml:space="preserve">, adquirió entidad autónoma y posee dos facetas o dimensiones: una de tipo individual que protege a las víctimas de padecer el mismo delito sufrido, y una colectiva que obliga al Estado a prevenir la comisión futura de los mismos hechos dentro de su jurisdicción. En contextos de transición hacia la paz como el colombiano, la dimensión colectiva del derecho a la no repetición cobra vital importancia, pues de su satisfacción depende la viabilidad del proceso de reconciliación emprendido por los distintos actores del conflicto. Entre otras </w:t>
      </w:r>
      <w:r w:rsidRPr="0022719B">
        <w:rPr>
          <w:iCs/>
          <w:color w:val="000000"/>
          <w:sz w:val="24"/>
          <w:szCs w:val="24"/>
          <w:shd w:val="clear" w:color="auto" w:fill="FFFFFF"/>
          <w:lang w:val="es-CO"/>
        </w:rPr>
        <w:lastRenderedPageBreak/>
        <w:t>acciones, le impone al Estado el deber ajustar e implementar sus políticas criminales y sistemas judiciales de manera que se conviertan en factores  eficaces de prevención de los graves atentados contra los derechos de las personas</w:t>
      </w:r>
      <w:r w:rsidRPr="0022719B">
        <w:rPr>
          <w:iCs/>
          <w:color w:val="000000"/>
          <w:sz w:val="24"/>
          <w:szCs w:val="24"/>
          <w:shd w:val="clear" w:color="auto" w:fill="FFFFFF"/>
          <w:vertAlign w:val="superscript"/>
          <w:lang w:val="es-CO"/>
        </w:rPr>
        <w:footnoteReference w:id="63"/>
      </w:r>
      <w:r w:rsidRPr="0022719B">
        <w:rPr>
          <w:iCs/>
          <w:color w:val="000000"/>
          <w:sz w:val="24"/>
          <w:szCs w:val="24"/>
          <w:shd w:val="clear" w:color="auto" w:fill="FFFFFF"/>
          <w:lang w:val="es-CO"/>
        </w:rPr>
        <w:t xml:space="preserve">.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Según la Corte Constitucional, dicha obligación de prevenir incluye además, los siguientes deberes: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ind w:left="720"/>
        <w:rPr>
          <w:iCs/>
          <w:color w:val="000000"/>
          <w:sz w:val="24"/>
          <w:szCs w:val="24"/>
          <w:shd w:val="clear" w:color="auto" w:fill="FFFFFF"/>
          <w:lang w:val="es-CO"/>
        </w:rPr>
      </w:pPr>
      <w:r w:rsidRPr="0022719B">
        <w:rPr>
          <w:iCs/>
          <w:color w:val="000000"/>
          <w:sz w:val="24"/>
          <w:szCs w:val="24"/>
          <w:shd w:val="clear" w:color="auto" w:fill="FFFFFF"/>
          <w:lang w:val="es-CO"/>
        </w:rPr>
        <w:t>(i) Reconocer a nivel interno los derechos y ofrecer garantías de igualdad ; (ii) Diseñar y poner en marcha estrategias y políticas de prevención integral; (iii) Implementar programas de educación y divulgación dirigidos a eliminar los patrones de violencia y vulneración de derechos, e informar sobre los derechos, sus mecanismos de protección y las consecuencias de su infracción ; (iv) Introducir programas y promover prácticas que permitan actuar de manera eficaz ante las denuncias de violaciones a los DDHH, así como fortalecer las instituciones con funciones en la materia ; (v) Destinar recursos suficientes para apoyar la labor de prevención ; (vi) Adoptar medidas para erradicar los factores de riesgo, lo que incluye el diseño e implementación de instrumentos para facilitar la identificación y notificación de los factores y eventos de riesgo de violación ; (vii) Tomar medidas de prevención específica en casos en los que se detecte que un grupo de personas está en riesgo de que sus derechos sean vulnerados […]”</w:t>
      </w:r>
      <w:r w:rsidRPr="0022719B">
        <w:rPr>
          <w:iCs/>
          <w:color w:val="000000"/>
          <w:sz w:val="24"/>
          <w:szCs w:val="24"/>
          <w:shd w:val="clear" w:color="auto" w:fill="FFFFFF"/>
          <w:vertAlign w:val="superscript"/>
          <w:lang w:val="es-CO"/>
        </w:rPr>
        <w:footnoteReference w:id="64"/>
      </w:r>
      <w:r w:rsidRPr="0022719B">
        <w:rPr>
          <w:iCs/>
          <w:color w:val="000000"/>
          <w:sz w:val="24"/>
          <w:szCs w:val="24"/>
          <w:shd w:val="clear" w:color="auto" w:fill="FFFFFF"/>
          <w:lang w:val="es-CO"/>
        </w:rPr>
        <w:t xml:space="preserve">.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En suma, los derechos de las víctimas a la verdad, la justicia, la reparación integral y la no repetición, tienen como correlato un complejo entramado de deberes y obligaciones suyo responsable principal es el Estado y frente al cual no resultaría lícito a nivel internacional abstenerse de cumplir, aduciendo razones de índole jurídica interna, como la existencia de una jurisdicción indígena que opera al margen del sistema judicial nacional. </w:t>
      </w:r>
    </w:p>
    <w:p w:rsidR="007F6D10" w:rsidRPr="0022719B" w:rsidRDefault="007F6D10" w:rsidP="007F6D10">
      <w:pPr>
        <w:jc w:val="left"/>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Por lo demás, los anteriores planteamientos, y en especial el relativo a la existencia de derechos e intereses colectivos superiores </w:t>
      </w:r>
      <w:r w:rsidRPr="0022719B">
        <w:rPr>
          <w:i/>
          <w:iCs/>
          <w:color w:val="000000"/>
          <w:sz w:val="24"/>
          <w:szCs w:val="24"/>
          <w:shd w:val="clear" w:color="auto" w:fill="FFFFFF"/>
          <w:lang w:val="es-CO"/>
        </w:rPr>
        <w:t>prima facie</w:t>
      </w:r>
      <w:r w:rsidRPr="0022719B">
        <w:rPr>
          <w:iCs/>
          <w:color w:val="000000"/>
          <w:sz w:val="24"/>
          <w:szCs w:val="24"/>
          <w:shd w:val="clear" w:color="auto" w:fill="FFFFFF"/>
          <w:lang w:val="es-CO"/>
        </w:rPr>
        <w:t xml:space="preserve"> al principio de diversidad étnica y cultural, han sido empleado de manera constante y uniforme por esta Sala Jurisdiccional Disciplinaria como herramientas para resolver los conflictos de jurisdicciones entre el sistema penal ordinario y la justicia indígena</w:t>
      </w:r>
      <w:r w:rsidRPr="0022719B">
        <w:rPr>
          <w:iCs/>
          <w:color w:val="000000"/>
          <w:sz w:val="24"/>
          <w:szCs w:val="24"/>
          <w:shd w:val="clear" w:color="auto" w:fill="FFFFFF"/>
          <w:vertAlign w:val="superscript"/>
          <w:lang w:val="es-CO"/>
        </w:rPr>
        <w:footnoteReference w:id="65"/>
      </w:r>
      <w:r w:rsidRPr="0022719B">
        <w:rPr>
          <w:iCs/>
          <w:color w:val="000000"/>
          <w:sz w:val="24"/>
          <w:szCs w:val="24"/>
          <w:shd w:val="clear" w:color="auto" w:fill="FFFFFF"/>
          <w:lang w:val="es-CO"/>
        </w:rPr>
        <w:t>.</w:t>
      </w:r>
    </w:p>
    <w:p w:rsidR="007F6D10" w:rsidRPr="0022719B" w:rsidRDefault="007F6D10" w:rsidP="007F6D10">
      <w:pPr>
        <w:jc w:val="left"/>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En lo anteriores términos, esta corporación reconoce la ampliación del repertorio mínimo de derechos humanos e intereses colectivos no susceptibles de limitación por la jurisdicción indígena, y, por consiguiente, reitera la prevalencia </w:t>
      </w:r>
      <w:r w:rsidRPr="0022719B">
        <w:rPr>
          <w:i/>
          <w:iCs/>
          <w:color w:val="000000"/>
          <w:sz w:val="24"/>
          <w:szCs w:val="24"/>
          <w:shd w:val="clear" w:color="auto" w:fill="FFFFFF"/>
          <w:lang w:val="es-CO"/>
        </w:rPr>
        <w:t>prima facie</w:t>
      </w:r>
      <w:r w:rsidRPr="0022719B">
        <w:rPr>
          <w:iCs/>
          <w:color w:val="000000"/>
          <w:sz w:val="24"/>
          <w:szCs w:val="24"/>
          <w:shd w:val="clear" w:color="auto" w:fill="FFFFFF"/>
          <w:lang w:val="es-CO"/>
        </w:rPr>
        <w:t xml:space="preserve"> del elemento objetivo de la misma, en lo referido a la definición de la jurisdicción competente para investigar y juzgar delitos contrarios a los derechos y principios mencionados. </w:t>
      </w:r>
    </w:p>
    <w:p w:rsidR="007F6D10" w:rsidRPr="0022719B" w:rsidRDefault="007F6D10" w:rsidP="007F6D10">
      <w:pPr>
        <w:jc w:val="left"/>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Antes de finalizar, esta Sala encuentra pertinente efectuar algunas aclaraciones en torno al sentido y los alcances que debe tener el juicio de definición de competencias delegado en la misma por mandato Constitucional. </w:t>
      </w:r>
    </w:p>
    <w:p w:rsidR="007F6D10" w:rsidRPr="0022719B" w:rsidRDefault="007F6D10" w:rsidP="007F6D10">
      <w:pPr>
        <w:jc w:val="left"/>
        <w:rPr>
          <w:iCs/>
          <w:color w:val="000000"/>
          <w:sz w:val="24"/>
          <w:szCs w:val="24"/>
          <w:shd w:val="clear" w:color="auto" w:fill="FFFFFF"/>
          <w:lang w:val="es-CO"/>
        </w:rPr>
      </w:pPr>
    </w:p>
    <w:p w:rsidR="007F6D10" w:rsidRPr="0022719B" w:rsidRDefault="007F6D10" w:rsidP="007F6D10">
      <w:pPr>
        <w:jc w:val="left"/>
        <w:rPr>
          <w:iCs/>
          <w:color w:val="000000"/>
          <w:sz w:val="24"/>
          <w:szCs w:val="24"/>
          <w:shd w:val="clear" w:color="auto" w:fill="FFFFFF"/>
          <w:lang w:val="es-CO"/>
        </w:rPr>
      </w:pPr>
    </w:p>
    <w:p w:rsidR="007F6D10" w:rsidRPr="0022719B" w:rsidRDefault="007F6D10" w:rsidP="007F6D10">
      <w:pPr>
        <w:rPr>
          <w:b/>
          <w:iCs/>
          <w:color w:val="000000"/>
          <w:sz w:val="24"/>
          <w:szCs w:val="24"/>
          <w:shd w:val="clear" w:color="auto" w:fill="FFFFFF"/>
          <w:lang w:val="es-CO"/>
        </w:rPr>
      </w:pPr>
      <w:r w:rsidRPr="0022719B">
        <w:rPr>
          <w:b/>
          <w:iCs/>
          <w:color w:val="000000"/>
          <w:sz w:val="24"/>
          <w:szCs w:val="24"/>
          <w:shd w:val="clear" w:color="auto" w:fill="FFFFFF"/>
          <w:lang w:val="es-CO"/>
        </w:rPr>
        <w:t>d) El proceso judicial encargado de resolver un conflicto de competencia</w:t>
      </w:r>
    </w:p>
    <w:p w:rsidR="007F6D10" w:rsidRPr="0022719B" w:rsidRDefault="007F6D10" w:rsidP="007F6D10">
      <w:pPr>
        <w:jc w:val="left"/>
        <w:rPr>
          <w:iCs/>
          <w:color w:val="000000"/>
          <w:sz w:val="24"/>
          <w:szCs w:val="24"/>
          <w:shd w:val="clear" w:color="auto" w:fill="FFFFFF"/>
          <w:lang w:val="es-CO"/>
        </w:rPr>
      </w:pPr>
    </w:p>
    <w:p w:rsidR="007F6D10" w:rsidRPr="0022719B" w:rsidRDefault="007F6D10" w:rsidP="007F6D10">
      <w:pPr>
        <w:jc w:val="left"/>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Pareciera sencillo advertir la diferencia conceptual existente entre resolver un conflicto de competencias tejido entre diferentes jurisdicciones y aplicar la ley penal. Así, mientras en el primer evento el juez debería limitarse a declarar la autoridad judicial competente para resolver un asunto según las normas procesales y sustanciales aplicables, en la segunda hipótesis el juez de conocimiento desarrolla a profundidad una investigación, dirigida a verificar, entre otras cosas, la ocurrencia del hecho delictivo, la determinación de su o sus posibles autores y responsables, las consecuencias de aquel y la procedencia de imponer una sanción, según la antijuridicidad de la conducta y la culpabilidad del acusado. </w:t>
      </w:r>
    </w:p>
    <w:p w:rsidR="007F6D10" w:rsidRPr="0022719B" w:rsidRDefault="007F6D10" w:rsidP="007F6D10">
      <w:pPr>
        <w:jc w:val="left"/>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No obstante lo anterior, la tendencia observada en reciente jurisprudencia constitucional pareciera perder de vista este sentido del juicio de definición de competencias, confundiéndolo con aquel al interior del cual se efectúa la aplicación de la ley penal.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Como lo advirtió esta Sala en reciente providencia</w:t>
      </w:r>
      <w:r w:rsidRPr="0022719B">
        <w:rPr>
          <w:iCs/>
          <w:color w:val="000000"/>
          <w:sz w:val="24"/>
          <w:szCs w:val="24"/>
          <w:shd w:val="clear" w:color="auto" w:fill="FFFFFF"/>
          <w:vertAlign w:val="superscript"/>
          <w:lang w:val="es-CO"/>
        </w:rPr>
        <w:footnoteReference w:id="66"/>
      </w:r>
      <w:r w:rsidRPr="0022719B">
        <w:rPr>
          <w:iCs/>
          <w:color w:val="000000"/>
          <w:sz w:val="24"/>
          <w:szCs w:val="24"/>
          <w:shd w:val="clear" w:color="auto" w:fill="FFFFFF"/>
          <w:lang w:val="es-CO"/>
        </w:rPr>
        <w:t xml:space="preserve">, la decisión que resuelve un conflicto de competencia no puede pretender “en forma alguna” abordar temáticas propias del juicio penal ni tomar partido en el resultado del mismo, pues con aquella no afecta ni define a favor o en contra de los sujetos procesales, los resultados de la respectiva investigación. En otras palabras, el proceso que define la autoridad </w:t>
      </w:r>
      <w:r w:rsidRPr="0022719B">
        <w:rPr>
          <w:iCs/>
          <w:color w:val="000000"/>
          <w:sz w:val="24"/>
          <w:szCs w:val="24"/>
          <w:shd w:val="clear" w:color="auto" w:fill="FFFFFF"/>
          <w:lang w:val="es-CO"/>
        </w:rPr>
        <w:lastRenderedPageBreak/>
        <w:t xml:space="preserve">judicial competente para resolver un caso de naturaleza criminal carece de entidad para condenar o absolver previamente al sindicado y </w:t>
      </w:r>
      <w:r w:rsidRPr="0022719B">
        <w:rPr>
          <w:i/>
          <w:iCs/>
          <w:color w:val="000000"/>
          <w:sz w:val="24"/>
          <w:szCs w:val="24"/>
          <w:shd w:val="clear" w:color="auto" w:fill="FFFFFF"/>
          <w:lang w:val="es-CO"/>
        </w:rPr>
        <w:t>debe abstenerse de pronunciarse sobre materias reservadas al juez penal</w:t>
      </w:r>
      <w:r w:rsidRPr="0022719B">
        <w:rPr>
          <w:iCs/>
          <w:color w:val="000000"/>
          <w:sz w:val="24"/>
          <w:szCs w:val="24"/>
          <w:shd w:val="clear" w:color="auto" w:fill="FFFFFF"/>
          <w:lang w:val="es-CO"/>
        </w:rPr>
        <w:t xml:space="preserve">, como lo son la eventual tipicidad, antijuridicidad y culpabilidad de una conducta. </w:t>
      </w:r>
    </w:p>
    <w:p w:rsidR="007F6D10" w:rsidRPr="0022719B" w:rsidRDefault="007F6D10" w:rsidP="007F6D10">
      <w:pPr>
        <w:jc w:val="left"/>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Por ende, cuando en la resolución de un conflicto entre las jurisdicciones penal ordinaria e indígena se efectúan estudios antropológicos y </w:t>
      </w:r>
      <w:proofErr w:type="spellStart"/>
      <w:r w:rsidRPr="0022719B">
        <w:rPr>
          <w:iCs/>
          <w:color w:val="000000"/>
          <w:sz w:val="24"/>
          <w:szCs w:val="24"/>
          <w:shd w:val="clear" w:color="auto" w:fill="FFFFFF"/>
          <w:lang w:val="es-CO"/>
        </w:rPr>
        <w:t>sociojuridicos</w:t>
      </w:r>
      <w:proofErr w:type="spellEnd"/>
      <w:r w:rsidRPr="0022719B">
        <w:rPr>
          <w:iCs/>
          <w:color w:val="000000"/>
          <w:sz w:val="24"/>
          <w:szCs w:val="24"/>
          <w:shd w:val="clear" w:color="auto" w:fill="FFFFFF"/>
          <w:lang w:val="es-CO"/>
        </w:rPr>
        <w:t xml:space="preserve"> con el fin de intentar comprender la cosmovisión de un cierto grupo poblacional, se invaden las competencias de otras autoridades judiciales y, con ello, se reducen las garantías procesales de los indígenas involucrados en el asunto.</w:t>
      </w:r>
    </w:p>
    <w:p w:rsidR="007F6D10" w:rsidRPr="0022719B" w:rsidRDefault="007F6D10" w:rsidP="007F6D10">
      <w:pPr>
        <w:jc w:val="left"/>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Con respecto a lo primero, es el juez penal la autoridad que tiene el deber de evaluar la tipicidad, antijuridicidad y culpabilidad de una conducta con base en testimonios, peritajes, dictámenes de especialistas, inspecciones judiciales y demás pruebas recaudadas con todas las formalidades en la investigación, para luego determinar si el individuo perteneciente a la comunidad indígena comprendía o no la ilicitud de su conducta, el daño que causó o si existían justificaciones a la misma, con respaldo en los valores o la cosmovisión ancestral de su específica comunidad.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Según la Corte Constitucional, la protección de las comunidades indígenas en relación con la aplicación del derecho penal, no se limita al fuero y a la jurisdicción especial. También abarca garantías al interior del proceso penal ordinario que buscan adaptar las normas nacionales a la diversidad cultural de cada individuo. Así, en las sentencias T-1238 de 2004 y T-921 de 2013 esta corporación advirtió que las figuras de “inimputabilidad por diversidad sociocultural” y “error invencible de prohibición” por la misma diversidad, le permiten a las autoridades nacionales adecuar el ordenamiento penal general a las situaciones concretas por las cuales atraviesan los indígenas sindicados de cometer un delito. De esta forma se garantizan simultáneamente el respeto por el debido proceso individual y la investigación y el castigo de los delitos que lesionan derechos o intereses superiores a la autonomía de los pueblos indígenas.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Impedirle al juez penal ordinario realizar este análisis técnico y profundo del caso para trasladarle esa responsabilidad al juez que dirime el conflicto de competencia entre la justicia ordinaria y la especial indígena, reduce las garantías penales de los indígenas sindicados, quienes se ven privados de la oportunidad de demostrar en </w:t>
      </w:r>
      <w:r w:rsidRPr="0022719B">
        <w:rPr>
          <w:iCs/>
          <w:color w:val="000000"/>
          <w:sz w:val="24"/>
          <w:szCs w:val="24"/>
          <w:shd w:val="clear" w:color="auto" w:fill="FFFFFF"/>
          <w:lang w:val="es-CO"/>
        </w:rPr>
        <w:lastRenderedPageBreak/>
        <w:t xml:space="preserve">su caso particular, la falta de tipicidad, antijuridicidad y culpabilidad de los hechos que se le imputan. En otras palabras, puede lesionar su derecho a un debido proceso.  </w:t>
      </w:r>
    </w:p>
    <w:p w:rsidR="007F6D10" w:rsidRPr="0022719B" w:rsidRDefault="007F6D10" w:rsidP="007F6D10">
      <w:pPr>
        <w:jc w:val="left"/>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De igual forma, resulta incoherente con el discurso constitucional de protección a la diversidad cultural, obligar al juez que resuelve el conflicto entre jurisdicciones a evaluar en cada uno de los sistemas jurídicos indígenas, entre otras cosas:                   i) cuáles conductas poseen un reproche equiparable al previsto en normas penales nacionales; ii) cuál es el grado de institucionalidad de la comunidad para sancionar determinados delitos y proteger los derechos de las víctimas; iii) </w:t>
      </w:r>
      <w:r>
        <w:rPr>
          <w:iCs/>
          <w:color w:val="000000"/>
          <w:sz w:val="24"/>
          <w:szCs w:val="24"/>
          <w:shd w:val="clear" w:color="auto" w:fill="FFFFFF"/>
          <w:lang w:val="es-CO"/>
        </w:rPr>
        <w:t xml:space="preserve">cuál es </w:t>
      </w:r>
      <w:r w:rsidRPr="0022719B">
        <w:rPr>
          <w:iCs/>
          <w:color w:val="000000"/>
          <w:sz w:val="24"/>
          <w:szCs w:val="24"/>
          <w:shd w:val="clear" w:color="auto" w:fill="FFFFFF"/>
          <w:lang w:val="es-CO"/>
        </w:rPr>
        <w:t xml:space="preserve">el nivel de respeto por el principio de “previsibilidad” penal del cabildo indígena y de acuerdo con visiones alternativas y multiculturales del principio de legalidad penal; e incluso, </w:t>
      </w:r>
      <w:r>
        <w:rPr>
          <w:iCs/>
          <w:color w:val="000000"/>
          <w:sz w:val="24"/>
          <w:szCs w:val="24"/>
          <w:shd w:val="clear" w:color="auto" w:fill="FFFFFF"/>
          <w:lang w:val="es-CO"/>
        </w:rPr>
        <w:t xml:space="preserve">calificar </w:t>
      </w:r>
      <w:r w:rsidRPr="0022719B">
        <w:rPr>
          <w:iCs/>
          <w:color w:val="000000"/>
          <w:sz w:val="24"/>
          <w:szCs w:val="24"/>
          <w:shd w:val="clear" w:color="auto" w:fill="FFFFFF"/>
          <w:lang w:val="es-CO"/>
        </w:rPr>
        <w:t>iv) la validez y legitimidad en sí misma del sistema legal del respectivo pueblo indígena; tal y como lo sugieren algunas decisiones de la Corte Constitucional</w:t>
      </w:r>
      <w:r w:rsidRPr="0022719B">
        <w:rPr>
          <w:iCs/>
          <w:color w:val="000000"/>
          <w:sz w:val="24"/>
          <w:szCs w:val="24"/>
          <w:shd w:val="clear" w:color="auto" w:fill="FFFFFF"/>
          <w:vertAlign w:val="superscript"/>
          <w:lang w:val="es-CO"/>
        </w:rPr>
        <w:footnoteReference w:id="67"/>
      </w:r>
      <w:r w:rsidRPr="0022719B">
        <w:rPr>
          <w:iCs/>
          <w:color w:val="000000"/>
          <w:sz w:val="24"/>
          <w:szCs w:val="24"/>
          <w:shd w:val="clear" w:color="auto" w:fill="FFFFFF"/>
          <w:lang w:val="es-CO"/>
        </w:rPr>
        <w:t xml:space="preserve">. </w:t>
      </w:r>
    </w:p>
    <w:p w:rsidR="007F6D10" w:rsidRPr="0022719B" w:rsidRDefault="007F6D10" w:rsidP="007F6D10">
      <w:pPr>
        <w:jc w:val="left"/>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La incoherencia radica en que el respeto por la diversidad cultural justamente implica evitar cualquier calificación de los sistemas jurídicos indígenas que parta de categorías o parámetros de evaluación “occidentales”</w:t>
      </w:r>
      <w:r>
        <w:rPr>
          <w:iCs/>
          <w:color w:val="000000"/>
          <w:sz w:val="24"/>
          <w:szCs w:val="24"/>
          <w:shd w:val="clear" w:color="auto" w:fill="FFFFFF"/>
          <w:lang w:val="es-CO"/>
        </w:rPr>
        <w:t xml:space="preserve"> o “mayoritarios”</w:t>
      </w:r>
      <w:r w:rsidRPr="0022719B">
        <w:rPr>
          <w:iCs/>
          <w:color w:val="000000"/>
          <w:sz w:val="24"/>
          <w:szCs w:val="24"/>
          <w:shd w:val="clear" w:color="auto" w:fill="FFFFFF"/>
          <w:lang w:val="es-CO"/>
        </w:rPr>
        <w:t xml:space="preserve">, ajenos a la realidad y a las tradiciones ancestrales de los pueblos tribales.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Es contradictorio sostener que se protege la integridad cultural de una comunidad cuando la aplicación de sus usos y costumbres </w:t>
      </w:r>
      <w:r w:rsidRPr="0022719B">
        <w:rPr>
          <w:i/>
          <w:iCs/>
          <w:color w:val="000000"/>
          <w:sz w:val="24"/>
          <w:szCs w:val="24"/>
          <w:shd w:val="clear" w:color="auto" w:fill="FFFFFF"/>
          <w:lang w:val="es-CO"/>
        </w:rPr>
        <w:t>está condicionada a que superen las calificaciones sobre su “validez” que realicen jueces “externos” a partir de conceptos jurídicos ajenos a su propia cosmovisión</w:t>
      </w:r>
      <w:r w:rsidRPr="0022719B">
        <w:rPr>
          <w:iCs/>
          <w:color w:val="000000"/>
          <w:sz w:val="24"/>
          <w:szCs w:val="24"/>
          <w:shd w:val="clear" w:color="auto" w:fill="FFFFFF"/>
          <w:lang w:val="es-CO"/>
        </w:rPr>
        <w:t xml:space="preserve">. Sólo ellos pueden declarar con autoridad qué conductas chocan contra qué normas de su sistema jurídico y de qué manera serán tratadas al interior de su jurisdicción. </w:t>
      </w:r>
    </w:p>
    <w:p w:rsidR="007F6D10" w:rsidRPr="0022719B" w:rsidRDefault="007F6D10" w:rsidP="007F6D10">
      <w:pPr>
        <w:spacing w:line="360" w:lineRule="auto"/>
        <w:rPr>
          <w:iCs/>
          <w:color w:val="000000"/>
          <w:sz w:val="24"/>
          <w:szCs w:val="24"/>
          <w:shd w:val="clear" w:color="auto" w:fill="FFFFFF"/>
          <w:lang w:val="es-CO"/>
        </w:rPr>
      </w:pP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Así las cosas, en aras de potenciar el respeto a la diversidad cultural desde una postura multicultural del derecho, se termina </w:t>
      </w:r>
      <w:r w:rsidRPr="0022719B">
        <w:rPr>
          <w:i/>
          <w:iCs/>
          <w:color w:val="000000"/>
          <w:sz w:val="24"/>
          <w:szCs w:val="24"/>
          <w:shd w:val="clear" w:color="auto" w:fill="FFFFFF"/>
          <w:lang w:val="es-CO"/>
        </w:rPr>
        <w:t>evaluando</w:t>
      </w:r>
      <w:r w:rsidRPr="0022719B">
        <w:rPr>
          <w:iCs/>
          <w:color w:val="000000"/>
          <w:sz w:val="24"/>
          <w:szCs w:val="24"/>
          <w:shd w:val="clear" w:color="auto" w:fill="FFFFFF"/>
          <w:lang w:val="es-CO"/>
        </w:rPr>
        <w:t xml:space="preserve"> el derecho indígena desde una óptica “mayoritaria” que se abroga la competencia de medir, tasar, aprobar y rechazar aspectos tan íntimos de los pueblos ancestrales, como su sistema de valores</w:t>
      </w:r>
      <w:r>
        <w:rPr>
          <w:iCs/>
          <w:color w:val="000000"/>
          <w:sz w:val="24"/>
          <w:szCs w:val="24"/>
          <w:shd w:val="clear" w:color="auto" w:fill="FFFFFF"/>
          <w:lang w:val="es-CO"/>
        </w:rPr>
        <w:t xml:space="preserve"> y sus procedimientos para la aplicación de justicia</w:t>
      </w:r>
      <w:r w:rsidRPr="0022719B">
        <w:rPr>
          <w:iCs/>
          <w:color w:val="000000"/>
          <w:sz w:val="24"/>
          <w:szCs w:val="24"/>
          <w:shd w:val="clear" w:color="auto" w:fill="FFFFFF"/>
          <w:lang w:val="es-CO"/>
        </w:rPr>
        <w:t xml:space="preserve">. Un ejemplo más claro de colonialismo jurídico resulta difícil de concebir. </w:t>
      </w:r>
    </w:p>
    <w:p w:rsidR="007F6D10" w:rsidRPr="0022719B" w:rsidRDefault="007F6D10" w:rsidP="007F6D10">
      <w:pPr>
        <w:jc w:val="left"/>
        <w:rPr>
          <w:iCs/>
          <w:color w:val="000000"/>
          <w:sz w:val="24"/>
          <w:szCs w:val="24"/>
          <w:shd w:val="clear" w:color="auto" w:fill="FFFFFF"/>
          <w:lang w:val="es-CO"/>
        </w:rPr>
      </w:pPr>
      <w:r w:rsidRPr="0022719B">
        <w:rPr>
          <w:iCs/>
          <w:color w:val="000000"/>
          <w:sz w:val="24"/>
          <w:szCs w:val="24"/>
          <w:shd w:val="clear" w:color="auto" w:fill="FFFFFF"/>
          <w:lang w:val="es-CO"/>
        </w:rPr>
        <w:t xml:space="preserve"> </w:t>
      </w:r>
    </w:p>
    <w:p w:rsidR="007F6D10" w:rsidRPr="0022719B" w:rsidRDefault="007F6D10" w:rsidP="007F6D10">
      <w:pPr>
        <w:jc w:val="left"/>
        <w:rPr>
          <w:iCs/>
          <w:color w:val="000000"/>
          <w:sz w:val="24"/>
          <w:szCs w:val="24"/>
          <w:shd w:val="clear" w:color="auto" w:fill="FFFFFF"/>
          <w:lang w:val="es-CO"/>
        </w:rPr>
      </w:pPr>
    </w:p>
    <w:p w:rsidR="007F6D10" w:rsidRPr="0022719B" w:rsidRDefault="007F6D10" w:rsidP="007F6D10">
      <w:pPr>
        <w:jc w:val="left"/>
        <w:rPr>
          <w:b/>
          <w:iCs/>
          <w:color w:val="000000"/>
          <w:sz w:val="24"/>
          <w:szCs w:val="24"/>
          <w:shd w:val="clear" w:color="auto" w:fill="FFFFFF"/>
          <w:lang w:val="es-CO"/>
        </w:rPr>
      </w:pPr>
      <w:r w:rsidRPr="0022719B">
        <w:rPr>
          <w:b/>
          <w:iCs/>
          <w:color w:val="000000"/>
          <w:sz w:val="24"/>
          <w:szCs w:val="24"/>
          <w:shd w:val="clear" w:color="auto" w:fill="FFFFFF"/>
          <w:lang w:val="es-CO"/>
        </w:rPr>
        <w:t xml:space="preserve">Conclusiones </w:t>
      </w:r>
    </w:p>
    <w:p w:rsidR="007F6D10" w:rsidRPr="0022719B" w:rsidRDefault="007F6D10" w:rsidP="007F6D10">
      <w:pPr>
        <w:jc w:val="left"/>
        <w:rPr>
          <w:iCs/>
          <w:color w:val="000000"/>
          <w:sz w:val="24"/>
          <w:szCs w:val="24"/>
          <w:shd w:val="clear" w:color="auto" w:fill="FFFFFF"/>
          <w:lang w:val="es-CO"/>
        </w:rPr>
      </w:pPr>
    </w:p>
    <w:p w:rsidR="007F6D10" w:rsidRPr="0022719B" w:rsidRDefault="007F6D10" w:rsidP="007F6D10">
      <w:pPr>
        <w:jc w:val="left"/>
        <w:rPr>
          <w:iCs/>
          <w:color w:val="000000"/>
          <w:sz w:val="24"/>
          <w:szCs w:val="24"/>
          <w:shd w:val="clear" w:color="auto" w:fill="FFFFFF"/>
          <w:lang w:val="es-CO"/>
        </w:rPr>
      </w:pPr>
    </w:p>
    <w:p w:rsidR="007F6D10" w:rsidRPr="0022719B" w:rsidRDefault="007F6D10" w:rsidP="007F6D10">
      <w:pPr>
        <w:numPr>
          <w:ilvl w:val="0"/>
          <w:numId w:val="2"/>
        </w:numPr>
        <w:spacing w:before="360" w:after="360" w:line="360" w:lineRule="auto"/>
        <w:rPr>
          <w:rFonts w:eastAsia="Times New Roman"/>
          <w:iCs/>
          <w:color w:val="000000"/>
          <w:sz w:val="24"/>
          <w:szCs w:val="24"/>
          <w:shd w:val="clear" w:color="auto" w:fill="FFFFFF"/>
          <w:lang w:eastAsia="es-ES"/>
        </w:rPr>
      </w:pPr>
      <w:r w:rsidRPr="0022719B">
        <w:rPr>
          <w:rFonts w:eastAsia="Times New Roman"/>
          <w:iCs/>
          <w:color w:val="000000"/>
          <w:sz w:val="24"/>
          <w:szCs w:val="24"/>
          <w:shd w:val="clear" w:color="auto" w:fill="FFFFFF"/>
          <w:lang w:eastAsia="es-ES"/>
        </w:rPr>
        <w:t xml:space="preserve">La vigencia de un orden justo en el marco del Estado pluralista creado con la Constitución Política de 1991, no conlleva a un “relativismo axiológico” extremo, que autorice la aplicación de </w:t>
      </w:r>
      <w:r w:rsidRPr="0022719B">
        <w:rPr>
          <w:rFonts w:eastAsia="Times New Roman"/>
          <w:i/>
          <w:iCs/>
          <w:color w:val="000000"/>
          <w:sz w:val="24"/>
          <w:szCs w:val="24"/>
          <w:shd w:val="clear" w:color="auto" w:fill="FFFFFF"/>
          <w:lang w:eastAsia="es-ES"/>
        </w:rPr>
        <w:t>cualquier tipo de justicia</w:t>
      </w:r>
      <w:r w:rsidRPr="0022719B">
        <w:rPr>
          <w:rFonts w:eastAsia="Times New Roman"/>
          <w:iCs/>
          <w:color w:val="000000"/>
          <w:sz w:val="24"/>
          <w:szCs w:val="24"/>
          <w:shd w:val="clear" w:color="auto" w:fill="FFFFFF"/>
          <w:lang w:eastAsia="es-ES"/>
        </w:rPr>
        <w:t xml:space="preserve"> frente a delitos con especial gravedad social. </w:t>
      </w:r>
    </w:p>
    <w:p w:rsidR="007F6D10" w:rsidRPr="0022719B" w:rsidRDefault="007F6D10" w:rsidP="007F6D10">
      <w:pPr>
        <w:numPr>
          <w:ilvl w:val="0"/>
          <w:numId w:val="2"/>
        </w:numPr>
        <w:spacing w:before="360" w:after="360" w:line="360" w:lineRule="auto"/>
        <w:rPr>
          <w:rFonts w:eastAsia="Times New Roman"/>
          <w:iCs/>
          <w:color w:val="000000"/>
          <w:sz w:val="24"/>
          <w:szCs w:val="24"/>
          <w:shd w:val="clear" w:color="auto" w:fill="FFFFFF"/>
          <w:lang w:eastAsia="es-ES"/>
        </w:rPr>
      </w:pPr>
      <w:r w:rsidRPr="0022719B">
        <w:rPr>
          <w:rFonts w:eastAsia="Times New Roman"/>
          <w:iCs/>
          <w:color w:val="000000"/>
          <w:sz w:val="24"/>
          <w:szCs w:val="24"/>
          <w:shd w:val="clear" w:color="auto" w:fill="FFFFFF"/>
          <w:lang w:eastAsia="es-ES"/>
        </w:rPr>
        <w:t>El establecimiento de la jurisdicción indígena por la Constitución tampoco puede entenderse como la renuncia a defender unos “mínimos de convivencia” dentro de todo el territorio nacional y a favor de todos los colombianos, sin distinción de su raza, sexo, edad u origen étnico y cultural.</w:t>
      </w:r>
    </w:p>
    <w:p w:rsidR="007F6D10" w:rsidRPr="0022719B" w:rsidRDefault="007F6D10" w:rsidP="007F6D10">
      <w:pPr>
        <w:numPr>
          <w:ilvl w:val="0"/>
          <w:numId w:val="2"/>
        </w:numPr>
        <w:spacing w:before="360" w:after="360" w:line="360" w:lineRule="auto"/>
        <w:rPr>
          <w:rFonts w:eastAsia="Times New Roman"/>
          <w:iCs/>
          <w:color w:val="000000"/>
          <w:sz w:val="24"/>
          <w:szCs w:val="24"/>
          <w:shd w:val="clear" w:color="auto" w:fill="FFFFFF"/>
          <w:lang w:eastAsia="es-ES"/>
        </w:rPr>
      </w:pPr>
      <w:r w:rsidRPr="0022719B">
        <w:rPr>
          <w:rFonts w:eastAsia="Times New Roman"/>
          <w:iCs/>
          <w:color w:val="000000"/>
          <w:sz w:val="24"/>
          <w:szCs w:val="24"/>
          <w:shd w:val="clear" w:color="auto" w:fill="FFFFFF"/>
          <w:lang w:eastAsia="es-ES"/>
        </w:rPr>
        <w:t xml:space="preserve">El precedente constitucional reconoce la coincidencia de estos mínimos de convivencia con un núcleo o grupo de derechos humanos e intereses colectivos, que limitan la aplicación de la jurisdicción indígena. La definición de este núcleo se actualiza de acuerdo con el desarrollo del derecho interno e internacional de los derechos humanos, razón por la cual, hoy en día lo integran más derechos que la vida, el debido proceso y las prohibiciones de tortura y servidumbre. Entre otros, los derechos de la niñez, de la mujer contra la violencia sexual, a la igualdad, de las víctimas y la protección de la seguridad, la paz y la estabilidad social y económica del sistema democrático, representan nuevos mínimos de convivencia alrededor de los cuales existe un evidente consenso intercultural, ratificado por numerosos instrumentos normativos de alcance global. </w:t>
      </w:r>
    </w:p>
    <w:p w:rsidR="007F6D10" w:rsidRPr="0022719B" w:rsidRDefault="007F6D10" w:rsidP="007F6D10">
      <w:pPr>
        <w:numPr>
          <w:ilvl w:val="0"/>
          <w:numId w:val="2"/>
        </w:numPr>
        <w:spacing w:before="360" w:after="360" w:line="360" w:lineRule="auto"/>
        <w:rPr>
          <w:rFonts w:eastAsia="Times New Roman"/>
          <w:iCs/>
          <w:color w:val="000000"/>
          <w:sz w:val="24"/>
          <w:szCs w:val="24"/>
          <w:shd w:val="clear" w:color="auto" w:fill="FFFFFF"/>
          <w:lang w:eastAsia="es-ES"/>
        </w:rPr>
      </w:pPr>
      <w:r w:rsidRPr="0022719B">
        <w:rPr>
          <w:rFonts w:eastAsia="Times New Roman"/>
          <w:iCs/>
          <w:color w:val="000000"/>
          <w:sz w:val="24"/>
          <w:szCs w:val="24"/>
          <w:shd w:val="clear" w:color="auto" w:fill="FFFFFF"/>
          <w:lang w:eastAsia="es-ES"/>
        </w:rPr>
        <w:t xml:space="preserve">Los elementos a tener en cuenta para la aplicación de la jurisdicción especial indígena (personal, territorial, institucional y objetivo) deberán evaluarse en la resolución de conflictos de competencia penal, teniendo en cuenta la prevalencia </w:t>
      </w:r>
      <w:r w:rsidRPr="0022719B">
        <w:rPr>
          <w:rFonts w:eastAsia="Times New Roman"/>
          <w:i/>
          <w:iCs/>
          <w:color w:val="000000"/>
          <w:sz w:val="24"/>
          <w:szCs w:val="24"/>
          <w:shd w:val="clear" w:color="auto" w:fill="FFFFFF"/>
          <w:lang w:eastAsia="es-ES"/>
        </w:rPr>
        <w:t>prima facie</w:t>
      </w:r>
      <w:r w:rsidRPr="0022719B">
        <w:rPr>
          <w:rFonts w:eastAsia="Times New Roman"/>
          <w:iCs/>
          <w:color w:val="000000"/>
          <w:sz w:val="24"/>
          <w:szCs w:val="24"/>
          <w:shd w:val="clear" w:color="auto" w:fill="FFFFFF"/>
          <w:lang w:eastAsia="es-ES"/>
        </w:rPr>
        <w:t xml:space="preserve"> del relacionado con el tipo o la clase de delito presuntamente cometido por el indígena. Dicho de otra forma, el recuento normativo anterior justifica la adopción de una regla jurisprudencial según la cual debe preferirse el factor objetivo de la jurisdicción indígena al momento de resolver los conflictos que se susciten entre la justicia penal y la indígena, cuando involucren delitos contrarios a derechos fundamentales e intereses </w:t>
      </w:r>
      <w:r w:rsidRPr="0022719B">
        <w:rPr>
          <w:rFonts w:eastAsia="Times New Roman"/>
          <w:iCs/>
          <w:color w:val="000000"/>
          <w:sz w:val="24"/>
          <w:szCs w:val="24"/>
          <w:shd w:val="clear" w:color="auto" w:fill="FFFFFF"/>
          <w:lang w:eastAsia="es-ES"/>
        </w:rPr>
        <w:lastRenderedPageBreak/>
        <w:t xml:space="preserve">colectivos que gozan de reconocimiento y protección reforzada a nivel interno e internacional. </w:t>
      </w:r>
    </w:p>
    <w:p w:rsidR="007F6D10" w:rsidRPr="0022719B" w:rsidRDefault="007F6D10" w:rsidP="007F6D10">
      <w:pPr>
        <w:spacing w:line="360" w:lineRule="auto"/>
        <w:rPr>
          <w:iCs/>
          <w:color w:val="000000"/>
          <w:sz w:val="24"/>
          <w:szCs w:val="24"/>
          <w:shd w:val="clear" w:color="auto" w:fill="FFFFFF"/>
          <w:lang w:val="es-CO"/>
        </w:rPr>
      </w:pPr>
      <w:r w:rsidRPr="0022719B">
        <w:rPr>
          <w:iCs/>
          <w:color w:val="000000"/>
          <w:sz w:val="24"/>
          <w:szCs w:val="24"/>
          <w:shd w:val="clear" w:color="auto" w:fill="FFFFFF"/>
          <w:lang w:val="es-CO"/>
        </w:rPr>
        <w:t xml:space="preserve">De esta manera, las tensiones existentes entre el principio de autogobierno de los públicos indígenas y el catálogo restante de derechos fundamentales, recibirán una respuesta inicial </w:t>
      </w:r>
      <w:r w:rsidRPr="0022719B">
        <w:rPr>
          <w:i/>
          <w:iCs/>
          <w:color w:val="000000"/>
          <w:sz w:val="24"/>
          <w:szCs w:val="24"/>
          <w:shd w:val="clear" w:color="auto" w:fill="FFFFFF"/>
          <w:lang w:val="es-CO"/>
        </w:rPr>
        <w:t>en abstracto</w:t>
      </w:r>
      <w:r w:rsidRPr="0022719B">
        <w:rPr>
          <w:iCs/>
          <w:color w:val="000000"/>
          <w:sz w:val="24"/>
          <w:szCs w:val="24"/>
          <w:shd w:val="clear" w:color="auto" w:fill="FFFFFF"/>
          <w:lang w:val="es-CO"/>
        </w:rPr>
        <w:t xml:space="preserve">, que podrá luego ajustarse a las particularidades  del caso concreto por la autoridad judicial competente. </w:t>
      </w:r>
    </w:p>
    <w:p w:rsidR="007F6D10" w:rsidRPr="0022719B" w:rsidRDefault="007F6D10" w:rsidP="007F6D10">
      <w:pPr>
        <w:jc w:val="left"/>
        <w:rPr>
          <w:iCs/>
          <w:color w:val="000000"/>
          <w:sz w:val="24"/>
          <w:szCs w:val="24"/>
          <w:shd w:val="clear" w:color="auto" w:fill="FFFFFF"/>
          <w:lang w:val="es-CO"/>
        </w:rPr>
      </w:pPr>
    </w:p>
    <w:p w:rsidR="007F6D10" w:rsidRPr="0022719B" w:rsidRDefault="007F6D10" w:rsidP="007F6D10">
      <w:pPr>
        <w:jc w:val="left"/>
        <w:rPr>
          <w:iCs/>
          <w:color w:val="FF0000"/>
          <w:sz w:val="24"/>
          <w:szCs w:val="24"/>
          <w:shd w:val="clear" w:color="auto" w:fill="FFFFFF"/>
          <w:lang w:val="es-CO"/>
        </w:rPr>
      </w:pPr>
    </w:p>
    <w:p w:rsidR="007F6D10" w:rsidRPr="0022719B" w:rsidRDefault="007F6D10" w:rsidP="007F6D10">
      <w:pPr>
        <w:rPr>
          <w:b/>
          <w:iCs/>
          <w:sz w:val="24"/>
          <w:szCs w:val="24"/>
          <w:shd w:val="clear" w:color="auto" w:fill="FFFFFF"/>
          <w:lang w:val="es-CO"/>
        </w:rPr>
      </w:pPr>
      <w:r w:rsidRPr="0022719B">
        <w:rPr>
          <w:b/>
          <w:iCs/>
          <w:sz w:val="24"/>
          <w:szCs w:val="24"/>
          <w:shd w:val="clear" w:color="auto" w:fill="FFFFFF"/>
          <w:lang w:val="es-CO"/>
        </w:rPr>
        <w:t>e) Caso concreto</w:t>
      </w:r>
    </w:p>
    <w:p w:rsidR="007F6D10" w:rsidRPr="0022719B" w:rsidRDefault="007F6D10" w:rsidP="007F6D10">
      <w:pPr>
        <w:autoSpaceDE w:val="0"/>
        <w:autoSpaceDN w:val="0"/>
        <w:adjustRightInd w:val="0"/>
        <w:spacing w:line="360" w:lineRule="auto"/>
        <w:rPr>
          <w:rFonts w:eastAsia="Times New Roman"/>
          <w:bCs/>
          <w:sz w:val="24"/>
          <w:szCs w:val="24"/>
          <w:lang w:val="es-CO" w:eastAsia="es-ES"/>
        </w:rPr>
      </w:pPr>
    </w:p>
    <w:p w:rsidR="007F6D10" w:rsidRPr="0022719B" w:rsidRDefault="007F6D10" w:rsidP="007F6D10">
      <w:pPr>
        <w:autoSpaceDE w:val="0"/>
        <w:autoSpaceDN w:val="0"/>
        <w:adjustRightInd w:val="0"/>
        <w:spacing w:line="360" w:lineRule="auto"/>
        <w:rPr>
          <w:rFonts w:eastAsia="Times New Roman"/>
          <w:sz w:val="24"/>
          <w:szCs w:val="24"/>
          <w:lang w:val="es-ES_tradnl" w:eastAsia="es-CO"/>
        </w:rPr>
      </w:pPr>
      <w:r w:rsidRPr="0022719B">
        <w:rPr>
          <w:rFonts w:eastAsia="Times New Roman"/>
          <w:sz w:val="24"/>
          <w:szCs w:val="24"/>
          <w:lang w:val="es-ES_tradnl" w:eastAsia="es-CO"/>
        </w:rPr>
        <w:t xml:space="preserve">En el presente asunto el indígena </w:t>
      </w:r>
      <w:r>
        <w:rPr>
          <w:rFonts w:eastAsia="Times New Roman"/>
          <w:sz w:val="24"/>
          <w:szCs w:val="24"/>
          <w:lang w:val="es-ES_tradnl" w:eastAsia="es-CO"/>
        </w:rPr>
        <w:t xml:space="preserve">Francisco </w:t>
      </w:r>
      <w:proofErr w:type="spellStart"/>
      <w:r>
        <w:rPr>
          <w:rFonts w:eastAsia="Times New Roman"/>
          <w:sz w:val="24"/>
          <w:szCs w:val="24"/>
          <w:lang w:val="es-ES_tradnl" w:eastAsia="es-CO"/>
        </w:rPr>
        <w:t>Dosanto</w:t>
      </w:r>
      <w:proofErr w:type="spellEnd"/>
      <w:r>
        <w:rPr>
          <w:rFonts w:eastAsia="Times New Roman"/>
          <w:sz w:val="24"/>
          <w:szCs w:val="24"/>
          <w:lang w:val="es-ES_tradnl" w:eastAsia="es-CO"/>
        </w:rPr>
        <w:t xml:space="preserve"> </w:t>
      </w:r>
      <w:proofErr w:type="spellStart"/>
      <w:r>
        <w:rPr>
          <w:rFonts w:eastAsia="Times New Roman"/>
          <w:sz w:val="24"/>
          <w:szCs w:val="24"/>
          <w:lang w:val="es-ES_tradnl" w:eastAsia="es-CO"/>
        </w:rPr>
        <w:t>Aragao</w:t>
      </w:r>
      <w:proofErr w:type="spellEnd"/>
      <w:r>
        <w:rPr>
          <w:rFonts w:eastAsia="Times New Roman"/>
          <w:sz w:val="24"/>
          <w:szCs w:val="24"/>
          <w:lang w:val="es-ES_tradnl" w:eastAsia="es-CO"/>
        </w:rPr>
        <w:t xml:space="preserve"> </w:t>
      </w:r>
      <w:r w:rsidRPr="0022719B">
        <w:rPr>
          <w:rFonts w:eastAsia="Times New Roman"/>
          <w:sz w:val="24"/>
          <w:szCs w:val="24"/>
          <w:lang w:val="es-ES_tradnl" w:eastAsia="es-ES"/>
        </w:rPr>
        <w:t xml:space="preserve">es sindicado por la Fiscalía General de la Nación de cometer, </w:t>
      </w:r>
      <w:r>
        <w:rPr>
          <w:rFonts w:eastAsia="Times New Roman"/>
          <w:sz w:val="24"/>
          <w:szCs w:val="24"/>
          <w:lang w:val="es-ES_tradnl" w:eastAsia="es-ES"/>
        </w:rPr>
        <w:t>durante cerca de tres años</w:t>
      </w:r>
      <w:r w:rsidRPr="0022719B">
        <w:rPr>
          <w:rFonts w:eastAsia="Times New Roman"/>
          <w:sz w:val="24"/>
          <w:szCs w:val="24"/>
          <w:lang w:val="es-ES_tradnl" w:eastAsia="es-ES"/>
        </w:rPr>
        <w:t xml:space="preserve">, el delito de acceso carnal violento agravado en contra de </w:t>
      </w:r>
      <w:r>
        <w:rPr>
          <w:rFonts w:eastAsia="Times New Roman"/>
          <w:sz w:val="24"/>
          <w:szCs w:val="24"/>
          <w:lang w:val="es-ES_tradnl" w:eastAsia="es-ES"/>
        </w:rPr>
        <w:t xml:space="preserve">su hija, la menor de 14 años </w:t>
      </w:r>
      <w:r>
        <w:rPr>
          <w:rFonts w:eastAsia="Times New Roman"/>
          <w:sz w:val="24"/>
          <w:szCs w:val="24"/>
          <w:lang w:val="es-ES_tradnl" w:eastAsia="es-CO"/>
        </w:rPr>
        <w:t xml:space="preserve">Nelly </w:t>
      </w:r>
      <w:proofErr w:type="spellStart"/>
      <w:r>
        <w:rPr>
          <w:rFonts w:eastAsia="Times New Roman"/>
          <w:sz w:val="24"/>
          <w:szCs w:val="24"/>
          <w:lang w:val="es-ES_tradnl" w:eastAsia="es-CO"/>
        </w:rPr>
        <w:t>Dosanto</w:t>
      </w:r>
      <w:proofErr w:type="spellEnd"/>
      <w:r>
        <w:rPr>
          <w:rFonts w:eastAsia="Times New Roman"/>
          <w:sz w:val="24"/>
          <w:szCs w:val="24"/>
          <w:lang w:val="es-ES_tradnl" w:eastAsia="es-CO"/>
        </w:rPr>
        <w:t xml:space="preserve"> Evaristo</w:t>
      </w:r>
      <w:r w:rsidRPr="0022719B">
        <w:rPr>
          <w:rFonts w:eastAsia="Times New Roman"/>
          <w:sz w:val="24"/>
          <w:szCs w:val="24"/>
          <w:lang w:val="es-ES_tradnl" w:eastAsia="es-CO"/>
        </w:rPr>
        <w:t xml:space="preserve">. </w:t>
      </w:r>
    </w:p>
    <w:p w:rsidR="007F6D10" w:rsidRPr="0022719B" w:rsidRDefault="007F6D10" w:rsidP="007F6D10">
      <w:pPr>
        <w:autoSpaceDE w:val="0"/>
        <w:autoSpaceDN w:val="0"/>
        <w:adjustRightInd w:val="0"/>
        <w:spacing w:line="360" w:lineRule="auto"/>
        <w:rPr>
          <w:rFonts w:eastAsia="Times New Roman"/>
          <w:sz w:val="24"/>
          <w:szCs w:val="24"/>
          <w:lang w:val="es-ES_tradnl" w:eastAsia="es-CO"/>
        </w:rPr>
      </w:pPr>
    </w:p>
    <w:p w:rsidR="007F6D10" w:rsidRPr="0022719B" w:rsidRDefault="007F6D10" w:rsidP="007F6D10">
      <w:pPr>
        <w:autoSpaceDE w:val="0"/>
        <w:autoSpaceDN w:val="0"/>
        <w:adjustRightInd w:val="0"/>
        <w:spacing w:line="360" w:lineRule="auto"/>
        <w:rPr>
          <w:rFonts w:eastAsia="Times New Roman"/>
          <w:sz w:val="24"/>
          <w:szCs w:val="24"/>
          <w:lang w:val="es-ES_tradnl" w:eastAsia="es-CO"/>
        </w:rPr>
      </w:pPr>
      <w:r w:rsidRPr="0022719B">
        <w:rPr>
          <w:rFonts w:eastAsia="Times New Roman"/>
          <w:sz w:val="24"/>
          <w:szCs w:val="24"/>
          <w:lang w:val="es-ES_tradnl" w:eastAsia="es-CO"/>
        </w:rPr>
        <w:t xml:space="preserve">Sin embargo, cuando dicha institución </w:t>
      </w:r>
      <w:r>
        <w:rPr>
          <w:rFonts w:eastAsia="Times New Roman"/>
          <w:sz w:val="24"/>
          <w:szCs w:val="24"/>
          <w:lang w:val="es-ES_tradnl" w:eastAsia="es-CO"/>
        </w:rPr>
        <w:t>adelantaba las gestiones necesarias para esclarecer los hechos denunciados</w:t>
      </w:r>
      <w:r w:rsidRPr="0022719B">
        <w:rPr>
          <w:rFonts w:eastAsia="Times New Roman"/>
          <w:sz w:val="24"/>
          <w:szCs w:val="24"/>
          <w:lang w:val="es-ES_tradnl" w:eastAsia="es-CO"/>
        </w:rPr>
        <w:t>,</w:t>
      </w:r>
      <w:r>
        <w:rPr>
          <w:rFonts w:eastAsia="Times New Roman"/>
          <w:sz w:val="24"/>
          <w:szCs w:val="24"/>
          <w:lang w:val="es-ES_tradnl" w:eastAsia="es-CO"/>
        </w:rPr>
        <w:t xml:space="preserve"> el “capitán” comunidad indígena de Galilea le solicitó abstenerse de continuar con el trámite del proceso, aduciendo que aquel crimen ya se sancionó según las costumbres ancestrales de su población</w:t>
      </w:r>
      <w:r w:rsidRPr="0022719B">
        <w:rPr>
          <w:rFonts w:eastAsia="Times New Roman"/>
          <w:sz w:val="24"/>
          <w:szCs w:val="24"/>
          <w:lang w:val="es-ES_tradnl" w:eastAsia="es-CO"/>
        </w:rPr>
        <w:t xml:space="preserve">. </w:t>
      </w:r>
    </w:p>
    <w:p w:rsidR="007F6D10" w:rsidRPr="0022719B" w:rsidRDefault="007F6D10" w:rsidP="007F6D10">
      <w:pPr>
        <w:autoSpaceDE w:val="0"/>
        <w:autoSpaceDN w:val="0"/>
        <w:adjustRightInd w:val="0"/>
        <w:spacing w:line="360" w:lineRule="auto"/>
        <w:rPr>
          <w:rFonts w:eastAsia="Times New Roman"/>
          <w:sz w:val="24"/>
          <w:szCs w:val="24"/>
          <w:lang w:val="es-ES_tradnl" w:eastAsia="es-CO"/>
        </w:rPr>
      </w:pPr>
    </w:p>
    <w:p w:rsidR="007F6D10" w:rsidRDefault="007F6D10" w:rsidP="007F6D10">
      <w:pPr>
        <w:autoSpaceDE w:val="0"/>
        <w:autoSpaceDN w:val="0"/>
        <w:adjustRightInd w:val="0"/>
        <w:spacing w:line="360" w:lineRule="auto"/>
        <w:rPr>
          <w:rFonts w:eastAsia="Times New Roman"/>
          <w:sz w:val="24"/>
          <w:szCs w:val="24"/>
          <w:lang w:val="es-ES_tradnl" w:eastAsia="es-CO"/>
        </w:rPr>
      </w:pPr>
      <w:r w:rsidRPr="0022719B">
        <w:rPr>
          <w:rFonts w:eastAsia="Times New Roman"/>
          <w:sz w:val="24"/>
          <w:szCs w:val="24"/>
          <w:lang w:val="es-ES_tradnl" w:eastAsia="es-CO"/>
        </w:rPr>
        <w:t xml:space="preserve">Ahora bien, teniendo en cuenta las consideraciones jurídicas expuestas en los acápites precedentes, esta Sala asignará el conocimiento del caso a la justicia penal ordinaria, dando alcance a la prevalencia del factor objetivo para la aplicación de la jurisdicción indígena, consistente en apreciar la entidad y el tipo de conducta ilícita presuntamente realizada por el sindicado, pues, como </w:t>
      </w:r>
      <w:r>
        <w:rPr>
          <w:rFonts w:eastAsia="Times New Roman"/>
          <w:sz w:val="24"/>
          <w:szCs w:val="24"/>
          <w:lang w:val="es-ES_tradnl" w:eastAsia="es-CO"/>
        </w:rPr>
        <w:t>lo destacó el Fiscal 33 seccional de Inírida</w:t>
      </w:r>
      <w:r w:rsidRPr="0022719B">
        <w:rPr>
          <w:rFonts w:eastAsia="Times New Roman"/>
          <w:sz w:val="24"/>
          <w:szCs w:val="24"/>
          <w:lang w:val="es-ES_tradnl" w:eastAsia="es-CO"/>
        </w:rPr>
        <w:t xml:space="preserve">, el acceso carnal violento </w:t>
      </w:r>
      <w:r>
        <w:rPr>
          <w:rFonts w:eastAsia="Times New Roman"/>
          <w:sz w:val="24"/>
          <w:szCs w:val="24"/>
          <w:lang w:val="es-ES_tradnl" w:eastAsia="es-CO"/>
        </w:rPr>
        <w:t xml:space="preserve">contra una niña menor de 14 años de edad </w:t>
      </w:r>
      <w:r w:rsidRPr="0022719B">
        <w:rPr>
          <w:rFonts w:eastAsia="Times New Roman"/>
          <w:sz w:val="24"/>
          <w:szCs w:val="24"/>
          <w:lang w:val="es-ES_tradnl" w:eastAsia="es-CO"/>
        </w:rPr>
        <w:t xml:space="preserve">representa un crimen grave, reprochable a nivel internacional, alrededor del cual existe consenso normativo la obligación estatal de garantizar que sus víctimas disfruten de los derechos a la verdad, la justicia y la reparación. </w:t>
      </w:r>
    </w:p>
    <w:p w:rsidR="007F6D10" w:rsidRDefault="007F6D10" w:rsidP="007F6D10">
      <w:pPr>
        <w:autoSpaceDE w:val="0"/>
        <w:autoSpaceDN w:val="0"/>
        <w:adjustRightInd w:val="0"/>
        <w:spacing w:line="360" w:lineRule="auto"/>
        <w:rPr>
          <w:rFonts w:eastAsia="Times New Roman"/>
          <w:sz w:val="24"/>
          <w:szCs w:val="24"/>
          <w:lang w:val="es-ES_tradnl" w:eastAsia="es-CO"/>
        </w:rPr>
      </w:pPr>
    </w:p>
    <w:p w:rsidR="007F6D10" w:rsidRDefault="007F6D10" w:rsidP="007F6D10">
      <w:pPr>
        <w:autoSpaceDE w:val="0"/>
        <w:autoSpaceDN w:val="0"/>
        <w:adjustRightInd w:val="0"/>
        <w:spacing w:line="360" w:lineRule="auto"/>
        <w:rPr>
          <w:rFonts w:eastAsia="Times New Roman"/>
          <w:iCs/>
          <w:sz w:val="24"/>
          <w:szCs w:val="24"/>
          <w:lang w:val="es-CO" w:eastAsia="es-CO"/>
        </w:rPr>
      </w:pPr>
      <w:r>
        <w:rPr>
          <w:rFonts w:eastAsia="Times New Roman"/>
          <w:sz w:val="24"/>
          <w:szCs w:val="24"/>
          <w:lang w:val="es-ES_tradnl" w:eastAsia="es-CO"/>
        </w:rPr>
        <w:t xml:space="preserve">En efecto, teniendo en cuenta el principio fijado por la Corte Constitucional, referido a que </w:t>
      </w:r>
      <w:r w:rsidRPr="003F5590">
        <w:rPr>
          <w:rFonts w:eastAsia="Times New Roman"/>
          <w:i/>
          <w:sz w:val="24"/>
          <w:szCs w:val="24"/>
          <w:lang w:val="es-ES_tradnl" w:eastAsia="es-CO"/>
        </w:rPr>
        <w:t>“</w:t>
      </w:r>
      <w:r w:rsidRPr="003F5590">
        <w:rPr>
          <w:rFonts w:eastAsia="Times New Roman"/>
          <w:i/>
          <w:iCs/>
          <w:sz w:val="24"/>
          <w:szCs w:val="24"/>
          <w:lang w:val="es-CO" w:eastAsia="es-CO"/>
        </w:rPr>
        <w:t>a mayor impacto social y consenso intercultural alrededor de la gravedad de la conducta delictiva, menor probabilidad de delegarse su investigación y castigo en la justicia tradicional indígena”</w:t>
      </w:r>
      <w:r w:rsidRPr="003F5590">
        <w:rPr>
          <w:rFonts w:eastAsia="Times New Roman"/>
          <w:iCs/>
          <w:sz w:val="24"/>
          <w:szCs w:val="24"/>
          <w:vertAlign w:val="superscript"/>
          <w:lang w:val="es-CO" w:eastAsia="es-CO"/>
        </w:rPr>
        <w:footnoteReference w:id="68"/>
      </w:r>
      <w:r>
        <w:rPr>
          <w:rFonts w:eastAsia="Times New Roman"/>
          <w:iCs/>
          <w:sz w:val="24"/>
          <w:szCs w:val="24"/>
          <w:lang w:val="es-CO" w:eastAsia="es-CO"/>
        </w:rPr>
        <w:t xml:space="preserve">, resulta innegable que en estado actual de </w:t>
      </w:r>
      <w:r>
        <w:rPr>
          <w:rFonts w:eastAsia="Times New Roman"/>
          <w:iCs/>
          <w:sz w:val="24"/>
          <w:szCs w:val="24"/>
          <w:lang w:val="es-CO" w:eastAsia="es-CO"/>
        </w:rPr>
        <w:lastRenderedPageBreak/>
        <w:t xml:space="preserve">desarrollo del derecho interno e internacional, existe un claro consenso intercultural en torno al reproche jurídico agravado que merecen las conductas violentas cometidas contra las mujeres y las niñas; situación que elimina cualquier posibilidad de que la investigación de esta clase de delitos se delegue en las autoridades indígenas. </w:t>
      </w:r>
    </w:p>
    <w:p w:rsidR="007F6D10" w:rsidRDefault="007F6D10" w:rsidP="007F6D10">
      <w:pPr>
        <w:autoSpaceDE w:val="0"/>
        <w:autoSpaceDN w:val="0"/>
        <w:adjustRightInd w:val="0"/>
        <w:spacing w:line="360" w:lineRule="auto"/>
        <w:rPr>
          <w:rFonts w:eastAsia="Times New Roman"/>
          <w:iCs/>
          <w:sz w:val="24"/>
          <w:szCs w:val="24"/>
          <w:lang w:val="es-CO" w:eastAsia="es-CO"/>
        </w:rPr>
      </w:pPr>
    </w:p>
    <w:p w:rsidR="007F6D10" w:rsidRDefault="007F6D10" w:rsidP="007F6D10">
      <w:pPr>
        <w:autoSpaceDE w:val="0"/>
        <w:autoSpaceDN w:val="0"/>
        <w:adjustRightInd w:val="0"/>
        <w:spacing w:line="360" w:lineRule="auto"/>
        <w:rPr>
          <w:iCs/>
          <w:color w:val="000000"/>
          <w:sz w:val="24"/>
          <w:szCs w:val="24"/>
          <w:shd w:val="clear" w:color="auto" w:fill="FFFFFF"/>
          <w:lang w:val="es-CO"/>
        </w:rPr>
      </w:pPr>
      <w:r>
        <w:rPr>
          <w:iCs/>
          <w:color w:val="000000"/>
          <w:sz w:val="24"/>
          <w:szCs w:val="24"/>
          <w:shd w:val="clear" w:color="auto" w:fill="FFFFFF"/>
          <w:lang w:val="es-CO"/>
        </w:rPr>
        <w:t xml:space="preserve">Adicionalmente, el derecho a la </w:t>
      </w:r>
      <w:r w:rsidRPr="001C6A85">
        <w:rPr>
          <w:iCs/>
          <w:color w:val="000000"/>
          <w:sz w:val="24"/>
          <w:szCs w:val="24"/>
          <w:shd w:val="clear" w:color="auto" w:fill="FFFFFF"/>
          <w:lang w:val="es-CO"/>
        </w:rPr>
        <w:t>verdad</w:t>
      </w:r>
      <w:r>
        <w:rPr>
          <w:iCs/>
          <w:color w:val="000000"/>
          <w:sz w:val="24"/>
          <w:szCs w:val="24"/>
          <w:shd w:val="clear" w:color="auto" w:fill="FFFFFF"/>
          <w:lang w:val="es-CO"/>
        </w:rPr>
        <w:t xml:space="preserve"> de las víctimas de crímenes sexuales como mujeres y menores de edad, sólo se satisface con la realización de una investigación seria, técnica y eficaz que revele los autores y las circunstancias que rodearon la ocurrencia de los hechos. Dicha actividad de instrucción debe emprenderse por las autoridades estatales con la mayor seriedad y empleando todos los medios técnicos a su alcance de manera que se logre determinar tanto el responsable como las causas y consecuencias que rodearon la victimización. </w:t>
      </w:r>
    </w:p>
    <w:p w:rsidR="007F6D10" w:rsidRDefault="007F6D10" w:rsidP="007F6D10">
      <w:pPr>
        <w:autoSpaceDE w:val="0"/>
        <w:autoSpaceDN w:val="0"/>
        <w:adjustRightInd w:val="0"/>
        <w:spacing w:line="360" w:lineRule="auto"/>
        <w:rPr>
          <w:iCs/>
          <w:color w:val="000000"/>
          <w:sz w:val="24"/>
          <w:szCs w:val="24"/>
          <w:shd w:val="clear" w:color="auto" w:fill="FFFFFF"/>
          <w:lang w:val="es-CO"/>
        </w:rPr>
      </w:pPr>
    </w:p>
    <w:p w:rsidR="007F6D10" w:rsidRPr="003F5590" w:rsidRDefault="007F6D10" w:rsidP="007F6D10">
      <w:pPr>
        <w:autoSpaceDE w:val="0"/>
        <w:autoSpaceDN w:val="0"/>
        <w:adjustRightInd w:val="0"/>
        <w:spacing w:line="360" w:lineRule="auto"/>
        <w:rPr>
          <w:rFonts w:eastAsia="Times New Roman"/>
          <w:sz w:val="24"/>
          <w:szCs w:val="24"/>
          <w:lang w:eastAsia="es-CO"/>
        </w:rPr>
      </w:pPr>
      <w:r>
        <w:rPr>
          <w:iCs/>
          <w:color w:val="000000"/>
          <w:sz w:val="24"/>
          <w:szCs w:val="24"/>
          <w:shd w:val="clear" w:color="auto" w:fill="FFFFFF"/>
          <w:lang w:val="es-CO"/>
        </w:rPr>
        <w:t xml:space="preserve">En el caso de marras, la lacónica respuesta de la autoridad indígena de la comunidad de Galilea frente a los requerimientos de justicia elevados por la Fiscalía General de la Nación, revelan la ausencia de un sistema jurídico y procedimiento judicial idóneo para satisfacer los derechos de la niña </w:t>
      </w:r>
      <w:r>
        <w:rPr>
          <w:rFonts w:eastAsia="Times New Roman"/>
          <w:sz w:val="24"/>
          <w:szCs w:val="24"/>
          <w:lang w:val="es-ES_tradnl" w:eastAsia="es-CO"/>
        </w:rPr>
        <w:t xml:space="preserve">Nelly </w:t>
      </w:r>
      <w:proofErr w:type="spellStart"/>
      <w:r>
        <w:rPr>
          <w:rFonts w:eastAsia="Times New Roman"/>
          <w:sz w:val="24"/>
          <w:szCs w:val="24"/>
          <w:lang w:val="es-ES_tradnl" w:eastAsia="es-CO"/>
        </w:rPr>
        <w:t>Dosanto</w:t>
      </w:r>
      <w:proofErr w:type="spellEnd"/>
      <w:r>
        <w:rPr>
          <w:rFonts w:eastAsia="Times New Roman"/>
          <w:sz w:val="24"/>
          <w:szCs w:val="24"/>
          <w:lang w:val="es-ES_tradnl" w:eastAsia="es-CO"/>
        </w:rPr>
        <w:t xml:space="preserve"> Evaristo, así como la falta de una sanción y reparación proporcional al daño que sufrió en su integridad personal. </w:t>
      </w:r>
      <w:r w:rsidRPr="003F5590">
        <w:rPr>
          <w:rFonts w:eastAsia="Times New Roman"/>
          <w:iCs/>
          <w:sz w:val="24"/>
          <w:szCs w:val="24"/>
          <w:lang w:val="es-CO" w:eastAsia="es-CO"/>
        </w:rPr>
        <w:t xml:space="preserve"> </w:t>
      </w:r>
    </w:p>
    <w:p w:rsidR="007F6D10" w:rsidRPr="0022719B" w:rsidRDefault="007F6D10" w:rsidP="007F6D10">
      <w:pPr>
        <w:autoSpaceDE w:val="0"/>
        <w:autoSpaceDN w:val="0"/>
        <w:adjustRightInd w:val="0"/>
        <w:spacing w:line="360" w:lineRule="auto"/>
        <w:rPr>
          <w:rFonts w:eastAsia="Times New Roman"/>
          <w:sz w:val="24"/>
          <w:szCs w:val="24"/>
          <w:lang w:val="es-ES_tradnl" w:eastAsia="es-CO"/>
        </w:rPr>
      </w:pPr>
    </w:p>
    <w:p w:rsidR="007F6D10" w:rsidRPr="0022719B" w:rsidRDefault="007F6D10" w:rsidP="007F6D10">
      <w:pPr>
        <w:autoSpaceDE w:val="0"/>
        <w:autoSpaceDN w:val="0"/>
        <w:adjustRightInd w:val="0"/>
        <w:spacing w:line="360" w:lineRule="auto"/>
        <w:rPr>
          <w:rFonts w:eastAsia="Times New Roman"/>
          <w:sz w:val="24"/>
          <w:szCs w:val="24"/>
          <w:lang w:val="es-ES_tradnl" w:eastAsia="es-CO"/>
        </w:rPr>
      </w:pPr>
      <w:r>
        <w:rPr>
          <w:rFonts w:eastAsia="Times New Roman"/>
          <w:sz w:val="24"/>
          <w:szCs w:val="24"/>
          <w:lang w:val="es-ES_tradnl" w:eastAsia="es-CO"/>
        </w:rPr>
        <w:t>Se llama también la atención sobre la posible situación de riesgo que enfrenta actualmente la menor en el seno de su comunidad, puesto que la citada autoridad ancestral le indicó a la Fiscalía que aquella se encuentra “aislada” y que ahora “vive con otra familia con el permiso de sus familiares”</w:t>
      </w:r>
      <w:r>
        <w:rPr>
          <w:rStyle w:val="Refdenotaalpie"/>
          <w:sz w:val="24"/>
          <w:szCs w:val="24"/>
          <w:lang w:val="es-ES_tradnl" w:eastAsia="es-CO"/>
        </w:rPr>
        <w:footnoteReference w:id="69"/>
      </w:r>
      <w:r>
        <w:rPr>
          <w:rFonts w:eastAsia="Times New Roman"/>
          <w:sz w:val="24"/>
          <w:szCs w:val="24"/>
          <w:lang w:val="es-ES_tradnl" w:eastAsia="es-CO"/>
        </w:rPr>
        <w:t>. A primera vista, las anteriores afirmaciones sugieren que la menor victimizada no disfruta de condiciones de vida óptimas para el restablecimiento de sus derechos fundamentales, lo cual deberá ser un tema de estudio y decisión por la correspondiente autoridad judicial ordinaria.</w:t>
      </w:r>
    </w:p>
    <w:p w:rsidR="007F6D10" w:rsidRPr="0022719B" w:rsidRDefault="007F6D10" w:rsidP="007F6D10">
      <w:pPr>
        <w:autoSpaceDE w:val="0"/>
        <w:autoSpaceDN w:val="0"/>
        <w:adjustRightInd w:val="0"/>
        <w:spacing w:line="360" w:lineRule="auto"/>
        <w:rPr>
          <w:rFonts w:eastAsia="Times New Roman"/>
          <w:sz w:val="24"/>
          <w:szCs w:val="24"/>
          <w:lang w:val="es-ES_tradnl" w:eastAsia="es-CO"/>
        </w:rPr>
      </w:pPr>
    </w:p>
    <w:p w:rsidR="007F6D10" w:rsidRPr="0022719B" w:rsidRDefault="007F6D10" w:rsidP="007F6D10">
      <w:pPr>
        <w:autoSpaceDE w:val="0"/>
        <w:autoSpaceDN w:val="0"/>
        <w:adjustRightInd w:val="0"/>
        <w:spacing w:line="360" w:lineRule="auto"/>
        <w:rPr>
          <w:rFonts w:eastAsia="Times New Roman"/>
          <w:sz w:val="24"/>
          <w:szCs w:val="24"/>
          <w:lang w:val="es-ES_tradnl" w:eastAsia="es-CO"/>
        </w:rPr>
      </w:pPr>
      <w:r w:rsidRPr="0022719B">
        <w:rPr>
          <w:rFonts w:eastAsia="Times New Roman"/>
          <w:sz w:val="24"/>
          <w:szCs w:val="24"/>
          <w:lang w:val="es-ES_tradnl" w:eastAsia="es-CO"/>
        </w:rPr>
        <w:t xml:space="preserve">Así las cosas, si bien en el caso bajo examen se reúnen los elementos o factores personal y territorial de la jurisdicción indígena, no ocurre lo mismo con respecto al objetivo e institucional, por cuanto, se reitera: </w:t>
      </w:r>
    </w:p>
    <w:p w:rsidR="007F6D10" w:rsidRPr="0022719B" w:rsidRDefault="007F6D10" w:rsidP="007F6D10">
      <w:pPr>
        <w:autoSpaceDE w:val="0"/>
        <w:autoSpaceDN w:val="0"/>
        <w:adjustRightInd w:val="0"/>
        <w:spacing w:line="360" w:lineRule="auto"/>
        <w:ind w:left="720"/>
        <w:contextualSpacing/>
        <w:rPr>
          <w:rFonts w:eastAsia="Times New Roman"/>
          <w:sz w:val="24"/>
          <w:szCs w:val="24"/>
          <w:lang w:val="es-ES_tradnl" w:eastAsia="es-ES"/>
        </w:rPr>
      </w:pPr>
    </w:p>
    <w:p w:rsidR="007F6D10" w:rsidRPr="0022719B" w:rsidRDefault="007F6D10" w:rsidP="007F6D10">
      <w:pPr>
        <w:numPr>
          <w:ilvl w:val="0"/>
          <w:numId w:val="2"/>
        </w:numPr>
        <w:autoSpaceDE w:val="0"/>
        <w:autoSpaceDN w:val="0"/>
        <w:adjustRightInd w:val="0"/>
        <w:spacing w:before="360" w:after="360" w:line="360" w:lineRule="auto"/>
        <w:contextualSpacing/>
        <w:rPr>
          <w:rFonts w:eastAsia="Times New Roman"/>
          <w:sz w:val="24"/>
          <w:szCs w:val="24"/>
          <w:lang w:val="es-ES_tradnl" w:eastAsia="es-ES"/>
        </w:rPr>
      </w:pPr>
      <w:r w:rsidRPr="0022719B">
        <w:rPr>
          <w:rFonts w:eastAsia="Times New Roman"/>
          <w:sz w:val="24"/>
          <w:szCs w:val="24"/>
          <w:lang w:val="es-ES_tradnl" w:eastAsia="es-CO"/>
        </w:rPr>
        <w:lastRenderedPageBreak/>
        <w:t>El acceso carnal violento constituye una afrenta a los derechos a la integridad personal y la libertad sexual, que bajo ninguna óptica podrá ser investigada y juzgada por las autoridades indígenas reconocidas en el país, pues lesiona</w:t>
      </w:r>
      <w:r w:rsidRPr="0022719B">
        <w:rPr>
          <w:iCs/>
          <w:color w:val="000000"/>
          <w:sz w:val="24"/>
          <w:szCs w:val="24"/>
          <w:shd w:val="clear" w:color="auto" w:fill="FFFFFF"/>
          <w:lang w:val="es-CO"/>
        </w:rPr>
        <w:t xml:space="preserve"> bienes jurídicos individuales pertenecientes al </w:t>
      </w:r>
      <w:r w:rsidRPr="0022719B">
        <w:rPr>
          <w:i/>
          <w:iCs/>
          <w:color w:val="000000"/>
          <w:sz w:val="24"/>
          <w:szCs w:val="24"/>
          <w:shd w:val="clear" w:color="auto" w:fill="FFFFFF"/>
          <w:lang w:val="es-CO"/>
        </w:rPr>
        <w:t>“núcleo duro de derechos fundamentales”</w:t>
      </w:r>
      <w:r w:rsidRPr="0022719B">
        <w:rPr>
          <w:iCs/>
          <w:color w:val="000000"/>
          <w:sz w:val="24"/>
          <w:szCs w:val="24"/>
          <w:shd w:val="clear" w:color="auto" w:fill="FFFFFF"/>
          <w:lang w:val="es-CO"/>
        </w:rPr>
        <w:t xml:space="preserve"> contemporáneo, cuyo importancia normativa es siempre superior al derecho colectivo de la jurisdicción indígena.</w:t>
      </w:r>
    </w:p>
    <w:p w:rsidR="007F6D10" w:rsidRPr="0022719B" w:rsidRDefault="007F6D10" w:rsidP="007F6D10">
      <w:pPr>
        <w:autoSpaceDE w:val="0"/>
        <w:autoSpaceDN w:val="0"/>
        <w:adjustRightInd w:val="0"/>
        <w:spacing w:line="360" w:lineRule="auto"/>
        <w:ind w:left="720"/>
        <w:contextualSpacing/>
        <w:rPr>
          <w:rFonts w:eastAsia="Times New Roman"/>
          <w:sz w:val="24"/>
          <w:szCs w:val="24"/>
          <w:lang w:val="es-ES_tradnl" w:eastAsia="es-ES"/>
        </w:rPr>
      </w:pPr>
    </w:p>
    <w:p w:rsidR="007F6D10" w:rsidRPr="0022719B" w:rsidRDefault="007F6D10" w:rsidP="007F6D10">
      <w:pPr>
        <w:numPr>
          <w:ilvl w:val="0"/>
          <w:numId w:val="2"/>
        </w:numPr>
        <w:autoSpaceDE w:val="0"/>
        <w:autoSpaceDN w:val="0"/>
        <w:adjustRightInd w:val="0"/>
        <w:spacing w:before="360" w:after="360" w:line="360" w:lineRule="auto"/>
        <w:contextualSpacing/>
        <w:rPr>
          <w:rFonts w:eastAsia="Times New Roman"/>
          <w:sz w:val="24"/>
          <w:szCs w:val="24"/>
          <w:lang w:val="es-ES_tradnl" w:eastAsia="es-ES"/>
        </w:rPr>
      </w:pPr>
      <w:r w:rsidRPr="0022719B">
        <w:rPr>
          <w:rFonts w:eastAsia="Times New Roman"/>
          <w:sz w:val="24"/>
          <w:szCs w:val="24"/>
          <w:lang w:val="es-ES_tradnl" w:eastAsia="es-ES"/>
        </w:rPr>
        <w:t xml:space="preserve">Las autoridades indígenas </w:t>
      </w:r>
      <w:r>
        <w:rPr>
          <w:rFonts w:eastAsia="Times New Roman"/>
          <w:sz w:val="24"/>
          <w:szCs w:val="24"/>
          <w:lang w:val="es-ES_tradnl" w:eastAsia="es-ES"/>
        </w:rPr>
        <w:t xml:space="preserve">de la </w:t>
      </w:r>
      <w:r>
        <w:rPr>
          <w:rFonts w:eastAsia="Times New Roman"/>
          <w:sz w:val="24"/>
          <w:szCs w:val="24"/>
          <w:lang w:val="es-ES_tradnl" w:eastAsia="es-CO"/>
        </w:rPr>
        <w:t>comunidad indígena de Galilea</w:t>
      </w:r>
      <w:r w:rsidRPr="0022719B">
        <w:rPr>
          <w:rFonts w:eastAsia="Times New Roman"/>
          <w:sz w:val="24"/>
          <w:szCs w:val="24"/>
          <w:lang w:val="es-ES_tradnl" w:eastAsia="es-ES"/>
        </w:rPr>
        <w:t xml:space="preserve"> no demostraron </w:t>
      </w:r>
      <w:r>
        <w:rPr>
          <w:rFonts w:eastAsia="Times New Roman"/>
          <w:sz w:val="24"/>
          <w:szCs w:val="24"/>
          <w:lang w:val="es-ES_tradnl" w:eastAsia="es-ES"/>
        </w:rPr>
        <w:t>haber satisfecho los derechos de la víctima a la verdad, la justicia y la reparación</w:t>
      </w:r>
      <w:r w:rsidRPr="0022719B">
        <w:rPr>
          <w:rFonts w:eastAsia="Times New Roman"/>
          <w:sz w:val="24"/>
          <w:szCs w:val="24"/>
          <w:lang w:val="es-ES_tradnl" w:eastAsia="es-ES"/>
        </w:rPr>
        <w:t>, de conformidad con los estándares internacionales en materia de derechos humanos.</w:t>
      </w:r>
    </w:p>
    <w:p w:rsidR="007F6D10" w:rsidRPr="0022719B" w:rsidRDefault="007F6D10" w:rsidP="007F6D10">
      <w:pPr>
        <w:autoSpaceDE w:val="0"/>
        <w:autoSpaceDN w:val="0"/>
        <w:adjustRightInd w:val="0"/>
        <w:spacing w:line="360" w:lineRule="auto"/>
        <w:rPr>
          <w:rFonts w:eastAsia="Times New Roman"/>
          <w:sz w:val="24"/>
          <w:szCs w:val="24"/>
          <w:lang w:val="es-ES_tradnl" w:eastAsia="es-CO"/>
        </w:rPr>
      </w:pPr>
    </w:p>
    <w:p w:rsidR="007F6D10" w:rsidRPr="0022719B" w:rsidRDefault="007F6D10" w:rsidP="007F6D10">
      <w:pPr>
        <w:autoSpaceDE w:val="0"/>
        <w:autoSpaceDN w:val="0"/>
        <w:adjustRightInd w:val="0"/>
        <w:spacing w:line="360" w:lineRule="auto"/>
        <w:rPr>
          <w:rFonts w:eastAsia="Times New Roman"/>
          <w:iCs/>
          <w:sz w:val="24"/>
          <w:szCs w:val="24"/>
          <w:lang w:val="es-CO" w:eastAsia="es-CO"/>
        </w:rPr>
      </w:pPr>
      <w:r w:rsidRPr="0022719B">
        <w:rPr>
          <w:rFonts w:eastAsia="Times New Roman"/>
          <w:iCs/>
          <w:sz w:val="24"/>
          <w:szCs w:val="24"/>
          <w:lang w:val="es-CO" w:eastAsia="es-CO"/>
        </w:rPr>
        <w:t xml:space="preserve">Con todo, de acuerdo con lo mencionado previamente, se advierte que la conciencia de ilicitud del señor </w:t>
      </w:r>
      <w:r>
        <w:rPr>
          <w:rFonts w:eastAsia="Times New Roman"/>
          <w:sz w:val="24"/>
          <w:szCs w:val="24"/>
          <w:lang w:val="es-ES_tradnl" w:eastAsia="es-CO"/>
        </w:rPr>
        <w:t xml:space="preserve">Francisco </w:t>
      </w:r>
      <w:proofErr w:type="spellStart"/>
      <w:r>
        <w:rPr>
          <w:rFonts w:eastAsia="Times New Roman"/>
          <w:sz w:val="24"/>
          <w:szCs w:val="24"/>
          <w:lang w:val="es-ES_tradnl" w:eastAsia="es-CO"/>
        </w:rPr>
        <w:t>Dosanto</w:t>
      </w:r>
      <w:proofErr w:type="spellEnd"/>
      <w:r>
        <w:rPr>
          <w:rFonts w:eastAsia="Times New Roman"/>
          <w:sz w:val="24"/>
          <w:szCs w:val="24"/>
          <w:lang w:val="es-ES_tradnl" w:eastAsia="es-CO"/>
        </w:rPr>
        <w:t xml:space="preserve"> </w:t>
      </w:r>
      <w:proofErr w:type="spellStart"/>
      <w:r>
        <w:rPr>
          <w:rFonts w:eastAsia="Times New Roman"/>
          <w:sz w:val="24"/>
          <w:szCs w:val="24"/>
          <w:lang w:val="es-ES_tradnl" w:eastAsia="es-CO"/>
        </w:rPr>
        <w:t>Aragao</w:t>
      </w:r>
      <w:proofErr w:type="spellEnd"/>
      <w:r>
        <w:rPr>
          <w:rFonts w:eastAsia="Times New Roman"/>
          <w:sz w:val="24"/>
          <w:szCs w:val="24"/>
          <w:lang w:val="es-ES_tradnl" w:eastAsia="es-CO"/>
        </w:rPr>
        <w:t xml:space="preserve"> </w:t>
      </w:r>
      <w:r w:rsidRPr="0022719B">
        <w:rPr>
          <w:rFonts w:eastAsia="Times New Roman"/>
          <w:iCs/>
          <w:sz w:val="24"/>
          <w:szCs w:val="24"/>
          <w:lang w:val="es-CO" w:eastAsia="es-CO"/>
        </w:rPr>
        <w:t xml:space="preserve">o la posible configuración de una causal de exclusión de responsabilidad penal a su favor, más las diferentes cosmovisiones y costumbres propias </w:t>
      </w:r>
      <w:r>
        <w:rPr>
          <w:rFonts w:eastAsia="Times New Roman"/>
          <w:iCs/>
          <w:sz w:val="24"/>
          <w:szCs w:val="24"/>
          <w:lang w:val="es-CO" w:eastAsia="es-CO"/>
        </w:rPr>
        <w:t>la comunidad indígena</w:t>
      </w:r>
      <w:r w:rsidRPr="0022719B">
        <w:rPr>
          <w:rFonts w:eastAsia="Times New Roman"/>
          <w:iCs/>
          <w:sz w:val="24"/>
          <w:szCs w:val="24"/>
          <w:lang w:val="es-CO" w:eastAsia="es-CO"/>
        </w:rPr>
        <w:t xml:space="preserve"> en cuestión, deberán ser temas de investigación y valoración a profundidad por parte de las autoridades penales ordinarias encargadas de conocer el presente caso, de manera que confirmen o descarten su eventual incursión en un error invencible de prohibición o en una causal de inimputabilidad penal por diversidad sociocultural, que lo eximan de responder en condiciones de igualdad con cualquier otro ciudadano, por cometer la conducta por la que fue objeto de medida de aseguramiento privativa de la libertad.  </w:t>
      </w:r>
    </w:p>
    <w:p w:rsidR="007F6D10" w:rsidRPr="0022719B" w:rsidRDefault="007F6D10" w:rsidP="007F6D10">
      <w:pPr>
        <w:autoSpaceDE w:val="0"/>
        <w:autoSpaceDN w:val="0"/>
        <w:adjustRightInd w:val="0"/>
        <w:spacing w:line="360" w:lineRule="auto"/>
        <w:rPr>
          <w:rFonts w:eastAsia="Times New Roman"/>
          <w:iCs/>
          <w:sz w:val="24"/>
          <w:szCs w:val="24"/>
          <w:lang w:val="es-CO" w:eastAsia="es-CO"/>
        </w:rPr>
      </w:pPr>
    </w:p>
    <w:p w:rsidR="007F6D10" w:rsidRPr="0022719B" w:rsidRDefault="007F6D10" w:rsidP="007F6D10">
      <w:pPr>
        <w:spacing w:line="360" w:lineRule="auto"/>
        <w:rPr>
          <w:rFonts w:eastAsia="Times New Roman"/>
          <w:sz w:val="24"/>
          <w:szCs w:val="24"/>
          <w:lang w:val="es-CO" w:eastAsia="es-ES"/>
        </w:rPr>
      </w:pPr>
      <w:r w:rsidRPr="0022719B">
        <w:rPr>
          <w:rFonts w:eastAsia="Times New Roman"/>
          <w:sz w:val="24"/>
          <w:szCs w:val="24"/>
          <w:lang w:val="es-CO" w:eastAsia="es-ES"/>
        </w:rPr>
        <w:t>Hecha esta anotación, en mérito de lo expuesto, la Sala Jurisdiccional Disciplinaria del Consejo Superior de la Judicatura, administrando justicia en nombre de la República de Colombia y por autoridad de la Ley,</w:t>
      </w:r>
    </w:p>
    <w:p w:rsidR="007F6D10" w:rsidRPr="0022719B" w:rsidRDefault="007F6D10" w:rsidP="007F6D10">
      <w:pPr>
        <w:tabs>
          <w:tab w:val="left" w:pos="567"/>
        </w:tabs>
        <w:spacing w:line="360" w:lineRule="auto"/>
        <w:ind w:right="55"/>
        <w:jc w:val="center"/>
        <w:rPr>
          <w:rFonts w:eastAsia="Times New Roman"/>
          <w:b/>
          <w:bCs/>
          <w:sz w:val="24"/>
          <w:szCs w:val="24"/>
          <w:lang w:val="es-CO" w:eastAsia="es-ES"/>
        </w:rPr>
      </w:pPr>
    </w:p>
    <w:p w:rsidR="007F6D10" w:rsidRPr="0022719B" w:rsidRDefault="007F6D10" w:rsidP="007F6D10">
      <w:pPr>
        <w:tabs>
          <w:tab w:val="left" w:pos="567"/>
        </w:tabs>
        <w:spacing w:line="360" w:lineRule="auto"/>
        <w:ind w:right="55"/>
        <w:jc w:val="center"/>
        <w:rPr>
          <w:rFonts w:eastAsia="Times New Roman"/>
          <w:b/>
          <w:bCs/>
          <w:sz w:val="24"/>
          <w:szCs w:val="24"/>
          <w:lang w:val="es-CO" w:eastAsia="es-ES"/>
        </w:rPr>
      </w:pPr>
      <w:r w:rsidRPr="0022719B">
        <w:rPr>
          <w:rFonts w:eastAsia="Times New Roman"/>
          <w:b/>
          <w:bCs/>
          <w:sz w:val="24"/>
          <w:szCs w:val="24"/>
          <w:lang w:val="es-CO" w:eastAsia="es-ES"/>
        </w:rPr>
        <w:t>RESUELVE:</w:t>
      </w:r>
    </w:p>
    <w:p w:rsidR="007F6D10" w:rsidRPr="0022719B" w:rsidRDefault="007F6D10" w:rsidP="007F6D10">
      <w:pPr>
        <w:tabs>
          <w:tab w:val="left" w:pos="567"/>
        </w:tabs>
        <w:spacing w:line="360" w:lineRule="auto"/>
        <w:ind w:right="55"/>
        <w:rPr>
          <w:rFonts w:eastAsia="Times New Roman"/>
          <w:sz w:val="24"/>
          <w:szCs w:val="24"/>
          <w:lang w:val="es-CO" w:eastAsia="es-ES"/>
        </w:rPr>
      </w:pPr>
    </w:p>
    <w:p w:rsidR="007F6D10" w:rsidRPr="0022719B" w:rsidRDefault="007F6D10" w:rsidP="007F6D10">
      <w:pPr>
        <w:autoSpaceDE w:val="0"/>
        <w:autoSpaceDN w:val="0"/>
        <w:adjustRightInd w:val="0"/>
        <w:spacing w:line="360" w:lineRule="auto"/>
        <w:rPr>
          <w:rFonts w:eastAsia="Times New Roman"/>
          <w:bCs/>
          <w:sz w:val="24"/>
          <w:szCs w:val="24"/>
          <w:lang w:val="es-CO" w:eastAsia="es-ES"/>
        </w:rPr>
      </w:pPr>
      <w:r w:rsidRPr="0022719B">
        <w:rPr>
          <w:rFonts w:eastAsia="Times New Roman"/>
          <w:b/>
          <w:bCs/>
          <w:sz w:val="24"/>
          <w:szCs w:val="24"/>
          <w:lang w:val="es-CO" w:eastAsia="es-ES"/>
        </w:rPr>
        <w:t xml:space="preserve">PRIMERO.- ASIGNAR </w:t>
      </w:r>
      <w:r w:rsidRPr="0022719B">
        <w:rPr>
          <w:rFonts w:eastAsia="Times New Roman"/>
          <w:bCs/>
          <w:sz w:val="24"/>
          <w:szCs w:val="24"/>
          <w:lang w:val="es-CO" w:eastAsia="es-ES"/>
        </w:rPr>
        <w:t>la comp</w:t>
      </w:r>
      <w:r>
        <w:rPr>
          <w:rFonts w:eastAsia="Times New Roman"/>
          <w:bCs/>
          <w:sz w:val="24"/>
          <w:szCs w:val="24"/>
          <w:lang w:val="es-CO" w:eastAsia="es-ES"/>
        </w:rPr>
        <w:t xml:space="preserve">etencia para el conocimiento de los delitos sexuales cometidos contra la niña </w:t>
      </w:r>
      <w:r>
        <w:rPr>
          <w:rFonts w:eastAsia="Times New Roman"/>
          <w:sz w:val="24"/>
          <w:szCs w:val="24"/>
          <w:lang w:val="es-ES_tradnl" w:eastAsia="es-CO"/>
        </w:rPr>
        <w:t xml:space="preserve">Nelly </w:t>
      </w:r>
      <w:proofErr w:type="spellStart"/>
      <w:r>
        <w:rPr>
          <w:rFonts w:eastAsia="Times New Roman"/>
          <w:sz w:val="24"/>
          <w:szCs w:val="24"/>
          <w:lang w:val="es-ES_tradnl" w:eastAsia="es-CO"/>
        </w:rPr>
        <w:t>Dosanto</w:t>
      </w:r>
      <w:proofErr w:type="spellEnd"/>
      <w:r>
        <w:rPr>
          <w:rFonts w:eastAsia="Times New Roman"/>
          <w:sz w:val="24"/>
          <w:szCs w:val="24"/>
          <w:lang w:val="es-ES_tradnl" w:eastAsia="es-CO"/>
        </w:rPr>
        <w:t xml:space="preserve"> Evaristo </w:t>
      </w:r>
      <w:r w:rsidRPr="0022719B">
        <w:rPr>
          <w:rFonts w:eastAsia="Times New Roman"/>
          <w:bCs/>
          <w:sz w:val="24"/>
          <w:szCs w:val="24"/>
          <w:lang w:val="es-CO" w:eastAsia="es-ES"/>
        </w:rPr>
        <w:t xml:space="preserve">en la jurisdicción penal ordinaria, representada por </w:t>
      </w:r>
      <w:r>
        <w:rPr>
          <w:rFonts w:eastAsia="Times New Roman"/>
          <w:bCs/>
          <w:sz w:val="24"/>
          <w:szCs w:val="24"/>
          <w:lang w:val="es-CO" w:eastAsia="es-ES"/>
        </w:rPr>
        <w:t xml:space="preserve">el </w:t>
      </w:r>
      <w:r w:rsidRPr="0022719B">
        <w:rPr>
          <w:rFonts w:eastAsia="Times New Roman"/>
          <w:sz w:val="24"/>
          <w:szCs w:val="24"/>
          <w:lang w:val="es-ES_tradnl" w:eastAsia="es-ES"/>
        </w:rPr>
        <w:t xml:space="preserve">Fiscal 33 </w:t>
      </w:r>
      <w:r>
        <w:rPr>
          <w:rFonts w:eastAsia="Times New Roman"/>
          <w:sz w:val="24"/>
          <w:szCs w:val="24"/>
          <w:lang w:val="es-ES_tradnl" w:eastAsia="es-ES"/>
        </w:rPr>
        <w:t>Seccional de Inírida</w:t>
      </w:r>
      <w:r w:rsidRPr="0022719B">
        <w:rPr>
          <w:rFonts w:eastAsia="Times New Roman"/>
          <w:bCs/>
          <w:sz w:val="24"/>
          <w:szCs w:val="24"/>
          <w:lang w:val="es-CO" w:eastAsia="es-ES"/>
        </w:rPr>
        <w:t xml:space="preserve">, de acuerdo con la parte motiva de esta providencia. </w:t>
      </w:r>
    </w:p>
    <w:p w:rsidR="007F6D10" w:rsidRPr="0022719B" w:rsidRDefault="007F6D10" w:rsidP="007F6D10">
      <w:pPr>
        <w:autoSpaceDE w:val="0"/>
        <w:autoSpaceDN w:val="0"/>
        <w:adjustRightInd w:val="0"/>
        <w:spacing w:line="360" w:lineRule="auto"/>
        <w:rPr>
          <w:rFonts w:eastAsia="Times New Roman"/>
          <w:bCs/>
          <w:sz w:val="24"/>
          <w:szCs w:val="24"/>
          <w:lang w:val="es-CO" w:eastAsia="es-ES"/>
        </w:rPr>
      </w:pPr>
    </w:p>
    <w:p w:rsidR="007F6D10" w:rsidRPr="0022719B" w:rsidRDefault="007F6D10" w:rsidP="007F6D10">
      <w:pPr>
        <w:autoSpaceDE w:val="0"/>
        <w:autoSpaceDN w:val="0"/>
        <w:adjustRightInd w:val="0"/>
        <w:spacing w:line="360" w:lineRule="auto"/>
        <w:rPr>
          <w:rFonts w:eastAsia="Times New Roman"/>
          <w:color w:val="FF0000"/>
          <w:sz w:val="24"/>
          <w:szCs w:val="24"/>
          <w:lang w:val="es-CO" w:eastAsia="es-ES"/>
        </w:rPr>
      </w:pPr>
      <w:r w:rsidRPr="0022719B">
        <w:rPr>
          <w:rFonts w:eastAsia="Times New Roman"/>
          <w:b/>
          <w:bCs/>
          <w:sz w:val="24"/>
          <w:szCs w:val="24"/>
          <w:lang w:val="es-CO" w:eastAsia="es-ES"/>
        </w:rPr>
        <w:lastRenderedPageBreak/>
        <w:t>SEGUNDO.-</w:t>
      </w:r>
      <w:r w:rsidRPr="0022719B">
        <w:rPr>
          <w:rFonts w:eastAsia="Times New Roman"/>
          <w:bCs/>
          <w:sz w:val="24"/>
          <w:szCs w:val="24"/>
          <w:lang w:val="es-CO" w:eastAsia="es-ES"/>
        </w:rPr>
        <w:t xml:space="preserve"> Por la Secretaría de esta Sala, remítase la actuación surtida al mencionado juzgado e infórmesele por ese mismo conducto la presente decisión a los sujetos procesales. </w:t>
      </w:r>
    </w:p>
    <w:p w:rsidR="007F6D10" w:rsidRPr="0022719B" w:rsidRDefault="007F6D10" w:rsidP="007F6D10">
      <w:pPr>
        <w:spacing w:line="360" w:lineRule="auto"/>
        <w:ind w:right="51"/>
        <w:rPr>
          <w:rFonts w:eastAsia="Times New Roman"/>
          <w:color w:val="FF0000"/>
          <w:sz w:val="24"/>
          <w:szCs w:val="24"/>
          <w:lang w:val="es-CO" w:eastAsia="es-ES"/>
        </w:rPr>
      </w:pPr>
    </w:p>
    <w:p w:rsidR="007F6D10" w:rsidRPr="0022719B" w:rsidRDefault="007F6D10" w:rsidP="007F6D10">
      <w:pPr>
        <w:spacing w:line="360" w:lineRule="auto"/>
        <w:ind w:right="51"/>
        <w:rPr>
          <w:rFonts w:eastAsia="Times New Roman"/>
          <w:color w:val="FF0000"/>
          <w:sz w:val="24"/>
          <w:szCs w:val="24"/>
          <w:lang w:val="es-CO" w:eastAsia="es-ES"/>
        </w:rPr>
      </w:pPr>
    </w:p>
    <w:p w:rsidR="007F6D10" w:rsidRPr="003F417B" w:rsidRDefault="007F6D10" w:rsidP="007F6D10">
      <w:pPr>
        <w:tabs>
          <w:tab w:val="left" w:pos="0"/>
          <w:tab w:val="left" w:pos="180"/>
        </w:tabs>
        <w:ind w:right="-91"/>
        <w:jc w:val="center"/>
        <w:rPr>
          <w:rFonts w:eastAsia="Calibri"/>
          <w:b/>
          <w:sz w:val="24"/>
          <w:szCs w:val="24"/>
          <w:lang w:val="es-CO"/>
        </w:rPr>
      </w:pPr>
      <w:r w:rsidRPr="003F417B">
        <w:rPr>
          <w:rFonts w:eastAsia="Calibri"/>
          <w:b/>
          <w:sz w:val="24"/>
          <w:szCs w:val="24"/>
          <w:lang w:val="es-CO"/>
        </w:rPr>
        <w:t>NOTIFÍQUESE Y CÚMPLASE</w:t>
      </w:r>
    </w:p>
    <w:p w:rsidR="007F6D10" w:rsidRPr="0022719B" w:rsidRDefault="007F6D10" w:rsidP="007F6D10">
      <w:pPr>
        <w:tabs>
          <w:tab w:val="left" w:pos="0"/>
          <w:tab w:val="left" w:pos="180"/>
        </w:tabs>
        <w:ind w:right="-91"/>
        <w:jc w:val="center"/>
        <w:rPr>
          <w:rFonts w:eastAsia="Calibri"/>
          <w:b/>
          <w:sz w:val="24"/>
          <w:szCs w:val="24"/>
          <w:lang w:val="es-CO"/>
        </w:rPr>
      </w:pPr>
    </w:p>
    <w:p w:rsidR="007F6D10" w:rsidRDefault="007F6D10" w:rsidP="007F6D10">
      <w:pPr>
        <w:tabs>
          <w:tab w:val="left" w:pos="0"/>
          <w:tab w:val="left" w:pos="180"/>
        </w:tabs>
        <w:ind w:right="-91"/>
        <w:jc w:val="center"/>
        <w:rPr>
          <w:rFonts w:eastAsia="Calibri"/>
          <w:b/>
          <w:sz w:val="24"/>
          <w:szCs w:val="24"/>
          <w:lang w:val="es-CO"/>
        </w:rPr>
      </w:pPr>
    </w:p>
    <w:p w:rsidR="007F6D10" w:rsidRDefault="007F6D10" w:rsidP="007F6D10">
      <w:pPr>
        <w:tabs>
          <w:tab w:val="left" w:pos="0"/>
          <w:tab w:val="left" w:pos="180"/>
        </w:tabs>
        <w:ind w:right="-91"/>
        <w:jc w:val="center"/>
        <w:rPr>
          <w:rFonts w:eastAsia="Calibri"/>
          <w:b/>
          <w:sz w:val="24"/>
          <w:szCs w:val="24"/>
          <w:lang w:val="es-CO"/>
        </w:rPr>
      </w:pPr>
    </w:p>
    <w:p w:rsidR="007F6D10" w:rsidRDefault="007F6D10" w:rsidP="007F6D10">
      <w:pPr>
        <w:tabs>
          <w:tab w:val="left" w:pos="0"/>
          <w:tab w:val="left" w:pos="180"/>
        </w:tabs>
        <w:ind w:right="-91"/>
        <w:jc w:val="center"/>
        <w:rPr>
          <w:rFonts w:eastAsia="Calibri"/>
          <w:b/>
          <w:sz w:val="24"/>
          <w:szCs w:val="24"/>
          <w:lang w:val="es-CO"/>
        </w:rPr>
      </w:pPr>
    </w:p>
    <w:p w:rsidR="007F6D10" w:rsidRDefault="007F6D10" w:rsidP="007F6D10">
      <w:pPr>
        <w:tabs>
          <w:tab w:val="left" w:pos="0"/>
          <w:tab w:val="left" w:pos="180"/>
        </w:tabs>
        <w:ind w:right="-91"/>
        <w:jc w:val="center"/>
        <w:rPr>
          <w:rFonts w:eastAsia="Calibri"/>
          <w:b/>
          <w:sz w:val="24"/>
          <w:szCs w:val="24"/>
          <w:lang w:val="es-CO"/>
        </w:rPr>
      </w:pPr>
    </w:p>
    <w:p w:rsidR="007F6D10" w:rsidRDefault="007F6D10" w:rsidP="007F6D10">
      <w:pPr>
        <w:tabs>
          <w:tab w:val="left" w:pos="0"/>
          <w:tab w:val="left" w:pos="180"/>
        </w:tabs>
        <w:ind w:right="-91"/>
        <w:jc w:val="center"/>
        <w:rPr>
          <w:rFonts w:eastAsia="Calibri"/>
          <w:b/>
          <w:sz w:val="24"/>
          <w:szCs w:val="24"/>
          <w:lang w:val="es-CO"/>
        </w:rPr>
      </w:pPr>
    </w:p>
    <w:p w:rsidR="007F6D10" w:rsidRDefault="007F6D10" w:rsidP="007F6D10">
      <w:pPr>
        <w:tabs>
          <w:tab w:val="left" w:pos="0"/>
          <w:tab w:val="left" w:pos="180"/>
        </w:tabs>
        <w:ind w:right="-91"/>
        <w:jc w:val="center"/>
        <w:rPr>
          <w:rFonts w:eastAsia="Calibri"/>
          <w:b/>
          <w:sz w:val="24"/>
          <w:szCs w:val="24"/>
          <w:lang w:val="es-CO"/>
        </w:rPr>
      </w:pPr>
    </w:p>
    <w:p w:rsidR="007F6D10" w:rsidRPr="0022719B" w:rsidRDefault="007F6D10" w:rsidP="007F6D10">
      <w:pPr>
        <w:tabs>
          <w:tab w:val="left" w:pos="0"/>
          <w:tab w:val="left" w:pos="180"/>
        </w:tabs>
        <w:ind w:right="-91"/>
        <w:jc w:val="center"/>
        <w:rPr>
          <w:rFonts w:eastAsia="Calibri"/>
          <w:b/>
          <w:sz w:val="24"/>
          <w:szCs w:val="24"/>
          <w:lang w:val="es-CO"/>
        </w:rPr>
      </w:pPr>
    </w:p>
    <w:p w:rsidR="007F6D10" w:rsidRPr="0022719B" w:rsidRDefault="007F6D10" w:rsidP="007F6D10">
      <w:pPr>
        <w:rPr>
          <w:rFonts w:eastAsia="Calibri"/>
          <w:b/>
          <w:bCs/>
          <w:sz w:val="22"/>
          <w:szCs w:val="22"/>
        </w:rPr>
      </w:pPr>
      <w:r w:rsidRPr="0022719B">
        <w:rPr>
          <w:rFonts w:eastAsia="Calibri"/>
          <w:b/>
          <w:bCs/>
          <w:sz w:val="22"/>
          <w:szCs w:val="22"/>
          <w:lang w:val="es-CO"/>
        </w:rPr>
        <w:t xml:space="preserve">MARÍA MERCEDES LÓPEZ MORA         PEDRO ALONSO SANABRIA BUITRAGO               </w:t>
      </w:r>
    </w:p>
    <w:p w:rsidR="007F6D10" w:rsidRPr="0022719B" w:rsidRDefault="007F6D10" w:rsidP="007F6D10">
      <w:pPr>
        <w:rPr>
          <w:rFonts w:eastAsia="Calibri"/>
          <w:b/>
          <w:bCs/>
          <w:sz w:val="22"/>
          <w:szCs w:val="22"/>
          <w:lang w:val="es-CO"/>
        </w:rPr>
      </w:pPr>
      <w:r w:rsidRPr="0022719B">
        <w:rPr>
          <w:rFonts w:eastAsia="Calibri"/>
          <w:b/>
          <w:bCs/>
          <w:sz w:val="22"/>
          <w:szCs w:val="22"/>
          <w:lang w:val="es-CO"/>
        </w:rPr>
        <w:t xml:space="preserve">                 PRESIDENTA</w:t>
      </w:r>
      <w:r w:rsidRPr="0022719B">
        <w:rPr>
          <w:rFonts w:eastAsia="Calibri"/>
          <w:b/>
          <w:bCs/>
          <w:sz w:val="22"/>
          <w:szCs w:val="22"/>
          <w:lang w:val="es-CO"/>
        </w:rPr>
        <w:tab/>
      </w:r>
      <w:r w:rsidRPr="0022719B">
        <w:rPr>
          <w:rFonts w:eastAsia="Calibri"/>
          <w:b/>
          <w:bCs/>
          <w:sz w:val="22"/>
          <w:szCs w:val="22"/>
          <w:lang w:val="es-CO"/>
        </w:rPr>
        <w:tab/>
      </w:r>
      <w:r w:rsidRPr="0022719B">
        <w:rPr>
          <w:rFonts w:eastAsia="Calibri"/>
          <w:b/>
          <w:bCs/>
          <w:sz w:val="22"/>
          <w:szCs w:val="22"/>
          <w:lang w:val="es-CO"/>
        </w:rPr>
        <w:tab/>
      </w:r>
      <w:r w:rsidRPr="0022719B">
        <w:rPr>
          <w:rFonts w:eastAsia="Calibri"/>
          <w:b/>
          <w:bCs/>
          <w:sz w:val="22"/>
          <w:szCs w:val="22"/>
          <w:lang w:val="es-CO"/>
        </w:rPr>
        <w:tab/>
        <w:t xml:space="preserve"> VICEPRESIDENTE   </w:t>
      </w:r>
    </w:p>
    <w:p w:rsidR="007F6D10" w:rsidRPr="0022719B" w:rsidRDefault="007F6D10" w:rsidP="007F6D10">
      <w:pPr>
        <w:rPr>
          <w:rFonts w:eastAsia="Calibri"/>
          <w:b/>
          <w:bCs/>
          <w:sz w:val="22"/>
          <w:szCs w:val="22"/>
          <w:lang w:val="es-CO"/>
        </w:rPr>
      </w:pPr>
    </w:p>
    <w:p w:rsidR="007F6D10" w:rsidRPr="0022719B" w:rsidRDefault="007F6D10" w:rsidP="007F6D10">
      <w:pPr>
        <w:rPr>
          <w:rFonts w:eastAsia="Calibri"/>
          <w:b/>
          <w:bCs/>
          <w:sz w:val="22"/>
          <w:szCs w:val="22"/>
          <w:lang w:val="es-CO"/>
        </w:rPr>
      </w:pPr>
    </w:p>
    <w:p w:rsidR="007F6D10" w:rsidRDefault="007F6D10" w:rsidP="007F6D10">
      <w:pPr>
        <w:rPr>
          <w:rFonts w:eastAsia="Calibri"/>
          <w:b/>
          <w:bCs/>
          <w:sz w:val="22"/>
          <w:szCs w:val="22"/>
          <w:lang w:val="es-CO"/>
        </w:rPr>
      </w:pPr>
    </w:p>
    <w:p w:rsidR="007F6D10" w:rsidRDefault="007F6D10" w:rsidP="007F6D10">
      <w:pPr>
        <w:rPr>
          <w:rFonts w:eastAsia="Calibri"/>
          <w:b/>
          <w:bCs/>
          <w:sz w:val="22"/>
          <w:szCs w:val="22"/>
          <w:lang w:val="es-CO"/>
        </w:rPr>
      </w:pPr>
    </w:p>
    <w:p w:rsidR="007F6D10" w:rsidRPr="0022719B" w:rsidRDefault="007F6D10" w:rsidP="007F6D10">
      <w:pPr>
        <w:rPr>
          <w:rFonts w:eastAsia="Calibri"/>
          <w:b/>
          <w:bCs/>
          <w:sz w:val="22"/>
          <w:szCs w:val="22"/>
          <w:lang w:val="es-CO"/>
        </w:rPr>
      </w:pPr>
    </w:p>
    <w:p w:rsidR="007F6D10" w:rsidRPr="0022719B" w:rsidRDefault="007F6D10" w:rsidP="007F6D10">
      <w:pPr>
        <w:rPr>
          <w:rFonts w:eastAsia="Calibri"/>
          <w:b/>
          <w:bCs/>
          <w:sz w:val="22"/>
          <w:szCs w:val="22"/>
          <w:lang w:val="es-CO"/>
        </w:rPr>
      </w:pPr>
    </w:p>
    <w:p w:rsidR="007F6D10" w:rsidRPr="0022719B" w:rsidRDefault="007F6D10" w:rsidP="007F6D10">
      <w:pPr>
        <w:rPr>
          <w:rFonts w:eastAsia="Calibri"/>
          <w:b/>
          <w:bCs/>
          <w:sz w:val="22"/>
          <w:szCs w:val="22"/>
          <w:lang w:val="es-CO"/>
        </w:rPr>
      </w:pPr>
    </w:p>
    <w:p w:rsidR="007F6D10" w:rsidRPr="0022719B" w:rsidRDefault="007F6D10" w:rsidP="007F6D10">
      <w:pPr>
        <w:jc w:val="left"/>
        <w:rPr>
          <w:rFonts w:eastAsia="Calibri"/>
          <w:b/>
          <w:bCs/>
          <w:sz w:val="22"/>
          <w:szCs w:val="22"/>
          <w:lang w:val="es-CO"/>
        </w:rPr>
      </w:pPr>
      <w:r w:rsidRPr="0022719B">
        <w:rPr>
          <w:rFonts w:eastAsia="Calibri"/>
          <w:b/>
          <w:bCs/>
          <w:sz w:val="22"/>
          <w:szCs w:val="22"/>
          <w:lang w:val="es-CO"/>
        </w:rPr>
        <w:t>JOSÉ OVIDIO CLAROS POLANCO        JULIA EMMA GARZÓN DE GÓMEZ</w:t>
      </w:r>
      <w:r w:rsidRPr="0022719B">
        <w:rPr>
          <w:rFonts w:eastAsia="Calibri"/>
          <w:b/>
          <w:bCs/>
          <w:spacing w:val="-3"/>
          <w:sz w:val="22"/>
          <w:szCs w:val="22"/>
          <w:lang w:val="es-CO"/>
        </w:rPr>
        <w:t xml:space="preserve"> </w:t>
      </w:r>
      <w:r w:rsidRPr="0022719B">
        <w:rPr>
          <w:rFonts w:eastAsia="Calibri"/>
          <w:b/>
          <w:bCs/>
          <w:spacing w:val="-3"/>
          <w:sz w:val="22"/>
          <w:szCs w:val="22"/>
          <w:lang w:val="es-CO"/>
        </w:rPr>
        <w:tab/>
      </w:r>
    </w:p>
    <w:p w:rsidR="007F6D10" w:rsidRPr="0022719B" w:rsidRDefault="007F6D10" w:rsidP="007F6D10">
      <w:pPr>
        <w:ind w:left="708"/>
        <w:jc w:val="left"/>
        <w:rPr>
          <w:rFonts w:eastAsia="Calibri"/>
          <w:b/>
          <w:bCs/>
          <w:sz w:val="22"/>
          <w:szCs w:val="22"/>
          <w:lang w:val="es-CO"/>
        </w:rPr>
      </w:pPr>
      <w:r w:rsidRPr="0022719B">
        <w:rPr>
          <w:rFonts w:eastAsia="Calibri"/>
          <w:b/>
          <w:bCs/>
          <w:sz w:val="22"/>
          <w:szCs w:val="22"/>
          <w:lang w:val="es-CO"/>
        </w:rPr>
        <w:t>MAGISTRADO                                                     MAGISTRADA</w:t>
      </w:r>
    </w:p>
    <w:p w:rsidR="007F6D10" w:rsidRPr="0022719B" w:rsidRDefault="007F6D10" w:rsidP="007F6D10">
      <w:pPr>
        <w:jc w:val="left"/>
        <w:rPr>
          <w:rFonts w:eastAsia="Calibri"/>
          <w:b/>
          <w:bCs/>
          <w:sz w:val="22"/>
          <w:szCs w:val="22"/>
          <w:lang w:val="es-CO"/>
        </w:rPr>
      </w:pPr>
    </w:p>
    <w:p w:rsidR="007F6D10" w:rsidRPr="0022719B" w:rsidRDefault="007F6D10" w:rsidP="007F6D10">
      <w:pPr>
        <w:jc w:val="left"/>
        <w:rPr>
          <w:rFonts w:eastAsia="Calibri"/>
          <w:b/>
          <w:bCs/>
          <w:sz w:val="22"/>
          <w:szCs w:val="22"/>
          <w:lang w:val="es-CO"/>
        </w:rPr>
      </w:pPr>
    </w:p>
    <w:p w:rsidR="007F6D10" w:rsidRPr="0022719B" w:rsidRDefault="007F6D10" w:rsidP="007F6D10">
      <w:pPr>
        <w:jc w:val="left"/>
        <w:rPr>
          <w:rFonts w:eastAsia="Calibri"/>
          <w:b/>
          <w:bCs/>
          <w:sz w:val="22"/>
          <w:szCs w:val="22"/>
          <w:lang w:val="es-CO"/>
        </w:rPr>
      </w:pPr>
    </w:p>
    <w:p w:rsidR="007F6D10" w:rsidRPr="0022719B" w:rsidRDefault="007F6D10" w:rsidP="007F6D10">
      <w:pPr>
        <w:jc w:val="left"/>
        <w:rPr>
          <w:rFonts w:eastAsia="Calibri"/>
          <w:b/>
          <w:bCs/>
          <w:sz w:val="22"/>
          <w:szCs w:val="22"/>
          <w:lang w:val="es-CO"/>
        </w:rPr>
      </w:pPr>
    </w:p>
    <w:p w:rsidR="007F6D10" w:rsidRPr="0022719B" w:rsidRDefault="007F6D10" w:rsidP="007F6D10">
      <w:pPr>
        <w:jc w:val="left"/>
        <w:rPr>
          <w:rFonts w:eastAsia="Calibri"/>
          <w:b/>
          <w:bCs/>
          <w:sz w:val="22"/>
          <w:szCs w:val="22"/>
          <w:lang w:val="es-CO"/>
        </w:rPr>
      </w:pPr>
    </w:p>
    <w:p w:rsidR="007F6D10" w:rsidRPr="0022719B" w:rsidRDefault="007F6D10" w:rsidP="007F6D10">
      <w:pPr>
        <w:jc w:val="left"/>
        <w:rPr>
          <w:rFonts w:eastAsia="Calibri"/>
          <w:b/>
          <w:bCs/>
          <w:sz w:val="22"/>
          <w:szCs w:val="22"/>
          <w:lang w:val="es-CO"/>
        </w:rPr>
      </w:pPr>
    </w:p>
    <w:p w:rsidR="007F6D10" w:rsidRPr="0022719B" w:rsidRDefault="007F6D10" w:rsidP="007F6D10">
      <w:pPr>
        <w:jc w:val="left"/>
        <w:rPr>
          <w:rFonts w:eastAsia="Calibri"/>
          <w:b/>
          <w:bCs/>
          <w:sz w:val="22"/>
          <w:szCs w:val="22"/>
          <w:lang w:val="es-CO"/>
        </w:rPr>
      </w:pPr>
    </w:p>
    <w:p w:rsidR="007F6D10" w:rsidRPr="0022719B" w:rsidRDefault="007F6D10" w:rsidP="007F6D10">
      <w:pPr>
        <w:jc w:val="left"/>
        <w:rPr>
          <w:rFonts w:eastAsia="Calibri"/>
          <w:b/>
          <w:bCs/>
          <w:sz w:val="22"/>
          <w:szCs w:val="22"/>
          <w:lang w:val="es-CO"/>
        </w:rPr>
      </w:pPr>
      <w:r w:rsidRPr="0022719B">
        <w:rPr>
          <w:rFonts w:eastAsia="Calibri"/>
          <w:b/>
          <w:bCs/>
          <w:sz w:val="22"/>
          <w:szCs w:val="22"/>
          <w:lang w:val="es-CO"/>
        </w:rPr>
        <w:t xml:space="preserve">   ANGELINO LIZCANO RIVERA</w:t>
      </w:r>
      <w:r w:rsidRPr="0022719B">
        <w:rPr>
          <w:rFonts w:eastAsia="Calibri"/>
          <w:b/>
          <w:bCs/>
          <w:sz w:val="22"/>
          <w:szCs w:val="22"/>
          <w:lang w:val="es-CO"/>
        </w:rPr>
        <w:tab/>
        <w:t xml:space="preserve"> </w:t>
      </w:r>
      <w:r w:rsidRPr="0022719B">
        <w:rPr>
          <w:rFonts w:eastAsia="Calibri"/>
          <w:b/>
          <w:bCs/>
          <w:spacing w:val="-3"/>
          <w:sz w:val="22"/>
          <w:szCs w:val="22"/>
          <w:lang w:val="es-CO"/>
        </w:rPr>
        <w:t xml:space="preserve">       NÉSTOR IVÁN JAVIER OSUNA PATIÑO</w:t>
      </w:r>
    </w:p>
    <w:p w:rsidR="007F6D10" w:rsidRPr="0022719B" w:rsidRDefault="007F6D10" w:rsidP="007F6D10">
      <w:pPr>
        <w:jc w:val="left"/>
        <w:rPr>
          <w:rFonts w:eastAsia="Calibri"/>
          <w:b/>
          <w:bCs/>
          <w:sz w:val="22"/>
          <w:szCs w:val="22"/>
          <w:lang w:val="es-CO"/>
        </w:rPr>
      </w:pPr>
      <w:r w:rsidRPr="0022719B">
        <w:rPr>
          <w:rFonts w:eastAsia="Calibri"/>
          <w:b/>
          <w:bCs/>
          <w:sz w:val="22"/>
          <w:szCs w:val="22"/>
          <w:lang w:val="es-CO"/>
        </w:rPr>
        <w:t xml:space="preserve">                MAGISTRADO                                                </w:t>
      </w:r>
      <w:proofErr w:type="spellStart"/>
      <w:r w:rsidRPr="0022719B">
        <w:rPr>
          <w:rFonts w:eastAsia="Calibri"/>
          <w:b/>
          <w:bCs/>
          <w:sz w:val="22"/>
          <w:szCs w:val="22"/>
          <w:lang w:val="es-CO"/>
        </w:rPr>
        <w:t>MAGISTRADO</w:t>
      </w:r>
      <w:proofErr w:type="spellEnd"/>
      <w:r w:rsidRPr="0022719B">
        <w:rPr>
          <w:rFonts w:eastAsia="Calibri"/>
          <w:b/>
          <w:bCs/>
          <w:sz w:val="22"/>
          <w:szCs w:val="22"/>
          <w:lang w:val="es-CO"/>
        </w:rPr>
        <w:t xml:space="preserve"> </w:t>
      </w:r>
    </w:p>
    <w:p w:rsidR="007F6D10" w:rsidRPr="0022719B" w:rsidRDefault="007F6D10" w:rsidP="007F6D10">
      <w:pPr>
        <w:jc w:val="left"/>
        <w:rPr>
          <w:rFonts w:eastAsia="Calibri"/>
          <w:b/>
          <w:bCs/>
          <w:sz w:val="22"/>
          <w:szCs w:val="22"/>
          <w:lang w:val="es-CO"/>
        </w:rPr>
      </w:pPr>
    </w:p>
    <w:p w:rsidR="007F6D10" w:rsidRPr="0022719B" w:rsidRDefault="007F6D10" w:rsidP="007F6D10">
      <w:pPr>
        <w:jc w:val="left"/>
        <w:rPr>
          <w:rFonts w:eastAsia="Calibri"/>
          <w:b/>
          <w:bCs/>
          <w:sz w:val="22"/>
          <w:szCs w:val="22"/>
          <w:lang w:val="es-CO"/>
        </w:rPr>
      </w:pPr>
    </w:p>
    <w:p w:rsidR="007F6D10" w:rsidRPr="0022719B" w:rsidRDefault="007F6D10" w:rsidP="007F6D10">
      <w:pPr>
        <w:jc w:val="left"/>
        <w:rPr>
          <w:rFonts w:eastAsia="Calibri"/>
          <w:b/>
          <w:bCs/>
          <w:sz w:val="22"/>
          <w:szCs w:val="22"/>
          <w:lang w:val="es-CO"/>
        </w:rPr>
      </w:pPr>
    </w:p>
    <w:p w:rsidR="007F6D10" w:rsidRPr="0022719B" w:rsidRDefault="007F6D10" w:rsidP="007F6D10">
      <w:pPr>
        <w:jc w:val="left"/>
        <w:rPr>
          <w:rFonts w:eastAsia="Calibri"/>
          <w:b/>
          <w:bCs/>
          <w:sz w:val="22"/>
          <w:szCs w:val="22"/>
          <w:lang w:val="es-CO"/>
        </w:rPr>
      </w:pPr>
    </w:p>
    <w:p w:rsidR="007F6D10" w:rsidRPr="0022719B" w:rsidRDefault="007F6D10" w:rsidP="007F6D10">
      <w:pPr>
        <w:ind w:left="708"/>
        <w:jc w:val="center"/>
        <w:rPr>
          <w:rFonts w:eastAsia="Calibri"/>
          <w:b/>
          <w:bCs/>
          <w:sz w:val="22"/>
          <w:szCs w:val="22"/>
          <w:lang w:val="es-CO"/>
        </w:rPr>
      </w:pPr>
    </w:p>
    <w:p w:rsidR="007F6D10" w:rsidRPr="0022719B" w:rsidRDefault="007F6D10" w:rsidP="007F6D10">
      <w:pPr>
        <w:ind w:left="708"/>
        <w:jc w:val="center"/>
        <w:rPr>
          <w:rFonts w:eastAsia="Calibri"/>
          <w:b/>
          <w:bCs/>
          <w:sz w:val="22"/>
          <w:szCs w:val="22"/>
          <w:lang w:val="es-CO"/>
        </w:rPr>
      </w:pPr>
    </w:p>
    <w:p w:rsidR="007F6D10" w:rsidRPr="0022719B" w:rsidRDefault="007F6D10" w:rsidP="007F6D10">
      <w:pPr>
        <w:ind w:left="708"/>
        <w:jc w:val="left"/>
        <w:rPr>
          <w:rFonts w:eastAsia="Calibri"/>
          <w:b/>
          <w:bCs/>
          <w:sz w:val="22"/>
          <w:szCs w:val="22"/>
          <w:lang w:val="es-CO"/>
        </w:rPr>
      </w:pPr>
      <w:r w:rsidRPr="0022719B">
        <w:rPr>
          <w:rFonts w:eastAsia="Calibri"/>
          <w:b/>
          <w:bCs/>
          <w:sz w:val="22"/>
          <w:szCs w:val="22"/>
          <w:lang w:val="es-CO"/>
        </w:rPr>
        <w:t xml:space="preserve">                                       </w:t>
      </w:r>
    </w:p>
    <w:p w:rsidR="007F6D10" w:rsidRPr="0022719B" w:rsidRDefault="007F6D10" w:rsidP="007F6D10">
      <w:pPr>
        <w:ind w:left="2124" w:firstLine="708"/>
        <w:jc w:val="left"/>
        <w:rPr>
          <w:rFonts w:eastAsia="Calibri"/>
          <w:b/>
          <w:bCs/>
          <w:sz w:val="22"/>
          <w:szCs w:val="22"/>
          <w:lang w:val="es-CO"/>
        </w:rPr>
      </w:pPr>
      <w:r w:rsidRPr="0022719B">
        <w:rPr>
          <w:rFonts w:eastAsia="Calibri"/>
          <w:b/>
          <w:bCs/>
          <w:sz w:val="22"/>
          <w:szCs w:val="22"/>
          <w:lang w:val="es-CO"/>
        </w:rPr>
        <w:t xml:space="preserve"> WILSON RUIZ OREJUELA                                                   </w:t>
      </w:r>
    </w:p>
    <w:p w:rsidR="007F6D10" w:rsidRPr="0022719B" w:rsidRDefault="007F6D10" w:rsidP="007F6D10">
      <w:pPr>
        <w:ind w:left="2124" w:firstLine="708"/>
        <w:jc w:val="left"/>
        <w:rPr>
          <w:rFonts w:eastAsia="Calibri"/>
          <w:b/>
          <w:bCs/>
          <w:spacing w:val="-3"/>
          <w:sz w:val="22"/>
          <w:szCs w:val="22"/>
          <w:lang w:val="es-CO"/>
        </w:rPr>
      </w:pPr>
      <w:r w:rsidRPr="0022719B">
        <w:rPr>
          <w:rFonts w:eastAsia="Calibri"/>
          <w:b/>
          <w:bCs/>
          <w:spacing w:val="-3"/>
          <w:sz w:val="22"/>
          <w:szCs w:val="22"/>
          <w:lang w:val="es-CO"/>
        </w:rPr>
        <w:t xml:space="preserve">             MAGISTRADO</w:t>
      </w:r>
    </w:p>
    <w:p w:rsidR="007F6D10" w:rsidRPr="0022719B" w:rsidRDefault="007F6D10" w:rsidP="007F6D10">
      <w:pPr>
        <w:jc w:val="left"/>
        <w:rPr>
          <w:rFonts w:eastAsia="Calibri"/>
          <w:b/>
          <w:bCs/>
          <w:sz w:val="22"/>
          <w:szCs w:val="22"/>
          <w:lang w:val="es-CO"/>
        </w:rPr>
      </w:pPr>
    </w:p>
    <w:p w:rsidR="007F6D10" w:rsidRPr="0022719B" w:rsidRDefault="007F6D10" w:rsidP="007F6D10">
      <w:pPr>
        <w:jc w:val="left"/>
        <w:rPr>
          <w:rFonts w:eastAsia="Calibri"/>
          <w:b/>
          <w:bCs/>
          <w:sz w:val="22"/>
          <w:szCs w:val="22"/>
          <w:lang w:val="es-CO"/>
        </w:rPr>
      </w:pPr>
      <w:r w:rsidRPr="0022719B">
        <w:rPr>
          <w:rFonts w:eastAsia="Calibri"/>
          <w:b/>
          <w:bCs/>
          <w:sz w:val="22"/>
          <w:szCs w:val="22"/>
          <w:lang w:val="es-CO"/>
        </w:rPr>
        <w:t xml:space="preserve">                                                       </w:t>
      </w:r>
    </w:p>
    <w:p w:rsidR="007F6D10" w:rsidRPr="0022719B" w:rsidRDefault="007F6D10" w:rsidP="007F6D10">
      <w:pPr>
        <w:jc w:val="left"/>
        <w:rPr>
          <w:rFonts w:eastAsia="Calibri"/>
          <w:b/>
          <w:bCs/>
          <w:sz w:val="22"/>
          <w:szCs w:val="22"/>
          <w:lang w:val="es-CO"/>
        </w:rPr>
      </w:pPr>
    </w:p>
    <w:p w:rsidR="007F6D10" w:rsidRPr="0022719B" w:rsidRDefault="007F6D10" w:rsidP="007F6D10">
      <w:pPr>
        <w:jc w:val="left"/>
        <w:rPr>
          <w:rFonts w:eastAsia="Calibri"/>
          <w:b/>
          <w:bCs/>
          <w:sz w:val="22"/>
          <w:szCs w:val="22"/>
          <w:lang w:val="es-CO"/>
        </w:rPr>
      </w:pPr>
    </w:p>
    <w:p w:rsidR="007F6D10" w:rsidRPr="0022719B" w:rsidRDefault="007F6D10" w:rsidP="007F6D10">
      <w:pPr>
        <w:jc w:val="left"/>
        <w:rPr>
          <w:rFonts w:eastAsia="Calibri"/>
          <w:b/>
          <w:bCs/>
          <w:sz w:val="22"/>
          <w:szCs w:val="22"/>
          <w:lang w:val="es-CO"/>
        </w:rPr>
      </w:pPr>
    </w:p>
    <w:p w:rsidR="007F6D10" w:rsidRPr="0022719B" w:rsidRDefault="007F6D10" w:rsidP="007F6D10">
      <w:pPr>
        <w:jc w:val="center"/>
        <w:rPr>
          <w:rFonts w:eastAsia="Calibri"/>
          <w:b/>
          <w:bCs/>
          <w:spacing w:val="-3"/>
          <w:sz w:val="22"/>
          <w:szCs w:val="22"/>
          <w:lang w:val="es-CO"/>
        </w:rPr>
      </w:pPr>
      <w:r w:rsidRPr="0022719B">
        <w:rPr>
          <w:rFonts w:eastAsia="Calibri"/>
          <w:b/>
          <w:bCs/>
          <w:spacing w:val="-3"/>
          <w:sz w:val="22"/>
          <w:szCs w:val="22"/>
          <w:lang w:val="es-CO"/>
        </w:rPr>
        <w:t>YIRA LUCÍA OLARTE ÁVILA</w:t>
      </w:r>
    </w:p>
    <w:p w:rsidR="00AE31C2" w:rsidRDefault="007F6D10" w:rsidP="007F6D10">
      <w:pPr>
        <w:jc w:val="center"/>
      </w:pPr>
      <w:r w:rsidRPr="0022719B">
        <w:rPr>
          <w:rFonts w:eastAsia="Calibri"/>
          <w:b/>
          <w:bCs/>
          <w:spacing w:val="-3"/>
          <w:sz w:val="22"/>
          <w:szCs w:val="22"/>
          <w:lang w:val="es-CO"/>
        </w:rPr>
        <w:t xml:space="preserve">SECRETARIA JUDICIAL </w:t>
      </w:r>
    </w:p>
    <w:p w:rsidR="00213F1E" w:rsidRDefault="00213F1E"/>
    <w:sectPr w:rsidR="00213F1E" w:rsidSect="007F6D10">
      <w:headerReference w:type="default" r:id="rId8"/>
      <w:pgSz w:w="12242" w:h="18722" w:code="119"/>
      <w:pgMar w:top="2268" w:right="1701" w:bottom="1701"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928" w:rsidRDefault="00B00928" w:rsidP="007F6D10">
      <w:r>
        <w:separator/>
      </w:r>
    </w:p>
  </w:endnote>
  <w:endnote w:type="continuationSeparator" w:id="0">
    <w:p w:rsidR="00B00928" w:rsidRDefault="00B00928" w:rsidP="007F6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928" w:rsidRDefault="00B00928" w:rsidP="007F6D10">
      <w:r>
        <w:separator/>
      </w:r>
    </w:p>
  </w:footnote>
  <w:footnote w:type="continuationSeparator" w:id="0">
    <w:p w:rsidR="00B00928" w:rsidRDefault="00B00928" w:rsidP="007F6D10">
      <w:r>
        <w:continuationSeparator/>
      </w:r>
    </w:p>
  </w:footnote>
  <w:footnote w:id="1">
    <w:p w:rsidR="007F6D10" w:rsidRDefault="007F6D10" w:rsidP="007F6D10">
      <w:pPr>
        <w:pStyle w:val="Textonotapie"/>
      </w:pPr>
      <w:r>
        <w:rPr>
          <w:rStyle w:val="Refdenotaalpie"/>
        </w:rPr>
        <w:footnoteRef/>
      </w:r>
      <w:r>
        <w:t xml:space="preserve"> Folio 18 Cuaderno Original (C.O.)</w:t>
      </w:r>
    </w:p>
  </w:footnote>
  <w:footnote w:id="2">
    <w:p w:rsidR="007F6D10" w:rsidRDefault="007F6D10" w:rsidP="007F6D10">
      <w:pPr>
        <w:pStyle w:val="Textonotapie"/>
      </w:pPr>
      <w:r>
        <w:rPr>
          <w:rStyle w:val="Refdenotaalpie"/>
        </w:rPr>
        <w:footnoteRef/>
      </w:r>
      <w:r>
        <w:t xml:space="preserve"> Folios 56 a 58 C.O.</w:t>
      </w:r>
    </w:p>
  </w:footnote>
  <w:footnote w:id="3">
    <w:p w:rsidR="007F6D10" w:rsidRDefault="007F6D10" w:rsidP="007F6D10">
      <w:pPr>
        <w:pStyle w:val="Textonotapie"/>
      </w:pPr>
      <w:r>
        <w:rPr>
          <w:rStyle w:val="Refdenotaalpie"/>
        </w:rPr>
        <w:footnoteRef/>
      </w:r>
      <w:r>
        <w:t xml:space="preserve"> Folios 67 y 68 C.O.</w:t>
      </w:r>
    </w:p>
  </w:footnote>
  <w:footnote w:id="4">
    <w:p w:rsidR="007F6D10" w:rsidRDefault="007F6D10" w:rsidP="007F6D10">
      <w:pPr>
        <w:pStyle w:val="Textonotapie"/>
      </w:pPr>
      <w:r>
        <w:rPr>
          <w:rStyle w:val="Refdenotaalpie"/>
        </w:rPr>
        <w:footnoteRef/>
      </w:r>
      <w:r>
        <w:t xml:space="preserve"> Folios 1 a 7 del cuaderno de la Sala.</w:t>
      </w:r>
    </w:p>
  </w:footnote>
  <w:footnote w:id="5">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Ver, entre muchas otras, las sentencias del 19 de agosto de 2010 (expediente 2010-2400), 4 de marzo de 2011 (expediente 2011-0417) y 18 de diciembre de 2013 (expediente 2013-0326).</w:t>
      </w:r>
    </w:p>
  </w:footnote>
  <w:footnote w:id="6">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w:t>
      </w:r>
      <w:r w:rsidRPr="004F7C78">
        <w:rPr>
          <w:rFonts w:cs="Arial"/>
          <w:i/>
        </w:rPr>
        <w:t>Cfr</w:t>
      </w:r>
      <w:r w:rsidRPr="004F7C78">
        <w:rPr>
          <w:rFonts w:cs="Arial"/>
        </w:rPr>
        <w:t xml:space="preserve">., Corte Constitucional, sentencia T-388 de 2009. </w:t>
      </w:r>
    </w:p>
  </w:footnote>
  <w:footnote w:id="7">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Por </w:t>
      </w:r>
      <w:proofErr w:type="spellStart"/>
      <w:r w:rsidRPr="004F7C78">
        <w:rPr>
          <w:rFonts w:cs="Arial"/>
        </w:rPr>
        <w:t>asimilacionismo</w:t>
      </w:r>
      <w:proofErr w:type="spellEnd"/>
      <w:r w:rsidRPr="004F7C78">
        <w:rPr>
          <w:rFonts w:cs="Arial"/>
        </w:rPr>
        <w:t xml:space="preserve"> puede entenderse el “proceso por el que los diferentes grupos étnicos y culturales son absorbidos con la intención de hacerlos iguales al resto de la sociedad que se supone que es homogénea. Esta postura parte del supuesto de que la cultura receptora y dominante es superior a las demás y, por lo tanto, es la única que debe sobrevivir en la confrontación […]. Instituto Interamericano de Derechos Humanos, San José de Costa Rica, s.f. (Disponible en: </w:t>
      </w:r>
      <w:hyperlink r:id="rId1" w:history="1">
        <w:r w:rsidRPr="004F7C78">
          <w:rPr>
            <w:rStyle w:val="Hipervnculo"/>
            <w:rFonts w:cs="Arial"/>
          </w:rPr>
          <w:t>www.iidh.ed.cr/BibliotecaWeb/Varios/Documentos/BD_2084057325/Asimilacionismo.doc?url</w:t>
        </w:r>
      </w:hyperlink>
      <w:r w:rsidRPr="004F7C78">
        <w:rPr>
          <w:rFonts w:cs="Arial"/>
        </w:rPr>
        <w:t>=).</w:t>
      </w:r>
    </w:p>
  </w:footnote>
  <w:footnote w:id="8">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Según la Corte Constitucional, este concepto “comprende no solo a personas que han sido colocadas en una situación de desventaja por decisiones estatales, políticas públicas o prejuicios sociales, sino además a quienes dadas las condiciones reales en que viven, sin importar la causa, están en una situación de exclusión social, no se han incorporado a las actividades económicas acudiendo a las formas ordinarias para ello o están en la imposibilidad material de acceder a los beneficios de una sociedad organizada”. En, sentencia C-741 de 2003.</w:t>
      </w:r>
    </w:p>
  </w:footnote>
  <w:footnote w:id="9">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w:t>
      </w:r>
      <w:r w:rsidRPr="004F7C78">
        <w:rPr>
          <w:rFonts w:cs="Arial"/>
          <w:i/>
        </w:rPr>
        <w:t>Cfr</w:t>
      </w:r>
      <w:r w:rsidRPr="004F7C78">
        <w:rPr>
          <w:rFonts w:cs="Arial"/>
        </w:rPr>
        <w:t xml:space="preserve">., entre otras, la sentencia T-376 de 2012. </w:t>
      </w:r>
    </w:p>
  </w:footnote>
  <w:footnote w:id="10">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Ver, por ejemplo, el Auto 382 de 2010, sobre políticas de prevención, protección y restablecimiento en materia de desplazamiento forzado y comunidades indígenas.</w:t>
      </w:r>
    </w:p>
  </w:footnote>
  <w:footnote w:id="11">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w:t>
      </w:r>
      <w:r w:rsidRPr="004F7C78">
        <w:rPr>
          <w:rFonts w:cs="Arial"/>
          <w:i/>
        </w:rPr>
        <w:t>Cfr</w:t>
      </w:r>
      <w:r w:rsidRPr="004F7C78">
        <w:rPr>
          <w:rFonts w:cs="Arial"/>
        </w:rPr>
        <w:t>., artículos 171 (circunscripción especial indígena en el Senado de la República), 288 (territorios indígenas como entidades territoriales) y parágrafo del 330 (participación en la explotación de los recursos naturales) de la Constitución Política.</w:t>
      </w:r>
    </w:p>
  </w:footnote>
  <w:footnote w:id="12">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Corte Constitucional, sentencia T-009 de 2007.</w:t>
      </w:r>
    </w:p>
  </w:footnote>
  <w:footnote w:id="13">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Aprobado por la ley 21 de 1991.</w:t>
      </w:r>
    </w:p>
  </w:footnote>
  <w:footnote w:id="14">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Resolución No. 61/295 de la Asamblea General, 107a sesión plenaria.</w:t>
      </w:r>
    </w:p>
  </w:footnote>
  <w:footnote w:id="15">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Sentencia T-002 de 2012.</w:t>
      </w:r>
    </w:p>
  </w:footnote>
  <w:footnote w:id="16">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Sentencia T-349 de 1996.</w:t>
      </w:r>
    </w:p>
  </w:footnote>
  <w:footnote w:id="17">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Sentencia T-002 de 2012.</w:t>
      </w:r>
    </w:p>
  </w:footnote>
  <w:footnote w:id="18">
    <w:p w:rsidR="007F6D10" w:rsidRPr="004F7C78" w:rsidRDefault="007F6D10" w:rsidP="007F6D10">
      <w:pPr>
        <w:pStyle w:val="Textonotapie"/>
        <w:rPr>
          <w:rFonts w:cs="Arial"/>
        </w:rPr>
      </w:pPr>
      <w:r w:rsidRPr="004F7C78">
        <w:rPr>
          <w:rStyle w:val="Refdenotaalpie"/>
          <w:rFonts w:cs="Arial"/>
        </w:rPr>
        <w:footnoteRef/>
      </w:r>
      <w:r w:rsidRPr="004F7C78">
        <w:rPr>
          <w:rFonts w:cs="Arial"/>
          <w:lang w:val="es-ES_tradnl" w:eastAsia="en-US"/>
        </w:rPr>
        <w:t>El artículo 1 de la Declaración Universal de los Derechos del Hombre - "Todos los seres humanos nacen libres e iguales en dignidad y derechos y, dotados como están de razón y conciencia, deben comportarse fraternalmente los unos con los otros”- representa el consenso al que los Estados han llegado en materia de Derechos Humanos en torno a la existencia de ciertos derechos esenciales que emanan de la naturaleza humana.</w:t>
      </w:r>
    </w:p>
  </w:footnote>
  <w:footnote w:id="19">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Sentencia T-002 de 2012.</w:t>
      </w:r>
    </w:p>
  </w:footnote>
  <w:footnote w:id="20">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Sentencias T-254 de 1994 y T-811 de 2004.</w:t>
      </w:r>
    </w:p>
  </w:footnote>
  <w:footnote w:id="21">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w:t>
      </w:r>
      <w:r w:rsidRPr="004F7C78">
        <w:rPr>
          <w:rFonts w:cs="Arial"/>
          <w:i/>
        </w:rPr>
        <w:t>Cfr</w:t>
      </w:r>
      <w:r w:rsidRPr="004F7C78">
        <w:rPr>
          <w:rFonts w:cs="Arial"/>
        </w:rPr>
        <w:t>., sentencia T-002 de 2012 de la Corte Constitucional y sentencia del 18 de diciembre de 2013 de la Sala Jurisdiccional Disciplinaria del Consejo Superior de la Judicatura, Radicado No. 2013-03263.</w:t>
      </w:r>
    </w:p>
  </w:footnote>
  <w:footnote w:id="22">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Corte Constitucional, sentencia T-496 de 1996.</w:t>
      </w:r>
    </w:p>
  </w:footnote>
  <w:footnote w:id="23">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Corte Constitucional, sentencia T-1238 de 2004.</w:t>
      </w:r>
    </w:p>
  </w:footnote>
  <w:footnote w:id="24">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Corte Constitucional, </w:t>
      </w:r>
      <w:r w:rsidRPr="004F7C78">
        <w:rPr>
          <w:rStyle w:val="apple-converted-space"/>
          <w:rFonts w:cs="Arial"/>
          <w:iCs/>
          <w:shd w:val="clear" w:color="auto" w:fill="FFFFFF"/>
        </w:rPr>
        <w:t>sentencia T-552 de 2003.</w:t>
      </w:r>
    </w:p>
  </w:footnote>
  <w:footnote w:id="25">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Sobre este punto la Corte enfatizó lo s</w:t>
      </w:r>
      <w:r>
        <w:rPr>
          <w:rFonts w:cs="Arial"/>
        </w:rPr>
        <w:t>iguiente: “Los crímenes de lesa</w:t>
      </w:r>
      <w:r w:rsidRPr="004F7C78">
        <w:rPr>
          <w:rFonts w:cs="Arial"/>
        </w:rPr>
        <w:t xml:space="preserve"> humanidad, el uso de violencia sistemática u organizada o la especial situación de indefensión y vulnerabilidad de la víctima justifican el empleo de criterios más rígidos y exigentes en la verificación de la institucionalidad, sin dejar de lado que ‘el objeto de esta verificación consiste en asegurarse de que existan autoridades internas competentes para adelantar el juzgamiento, usos y costumbres propios que aseguren el principio de legalidad (…) y medidas de protección de las víctimas’ (Sentencia T-617 de 2010)”.</w:t>
      </w:r>
    </w:p>
  </w:footnote>
  <w:footnote w:id="26">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Al respecto, en la sentencia T-1070 de 2005 la Corte Constitucional reconoció que la jurisdicción indígena reviste carácter excepcional y que con su existencia no se desconoce la unidad de jurisdicción que opera en el Estado: “Razones de naturaleza política, </w:t>
      </w:r>
      <w:proofErr w:type="spellStart"/>
      <w:r w:rsidRPr="004F7C78">
        <w:rPr>
          <w:rFonts w:cs="Arial"/>
        </w:rPr>
        <w:t>etno</w:t>
      </w:r>
      <w:proofErr w:type="spellEnd"/>
      <w:r w:rsidRPr="004F7C78">
        <w:rPr>
          <w:rFonts w:cs="Arial"/>
        </w:rPr>
        <w:t>-culturales y de eficiencia en el servicio de administración de justicia, justifican que de forma excepcional la Constitución Nacional haya autorizado la existencia de jurisdicciones especiales, como ocurre por ejemplo en el caso de la jurisdicción indígena, sin que ello implique un rompimiento de la unidad ontológica de la jurisdicción del Estado”.</w:t>
      </w:r>
    </w:p>
  </w:footnote>
  <w:footnote w:id="27">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Sentencia T-254 de 1994.</w:t>
      </w:r>
    </w:p>
  </w:footnote>
  <w:footnote w:id="28">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Ídem.</w:t>
      </w:r>
    </w:p>
  </w:footnote>
  <w:footnote w:id="29">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Caso del </w:t>
      </w:r>
      <w:proofErr w:type="spellStart"/>
      <w:r w:rsidRPr="004F7C78">
        <w:rPr>
          <w:rFonts w:cs="Arial"/>
        </w:rPr>
        <w:t>Refah</w:t>
      </w:r>
      <w:proofErr w:type="spellEnd"/>
      <w:r w:rsidRPr="004F7C78">
        <w:rPr>
          <w:rFonts w:cs="Arial"/>
        </w:rPr>
        <w:t xml:space="preserve"> </w:t>
      </w:r>
      <w:proofErr w:type="spellStart"/>
      <w:r w:rsidRPr="004F7C78">
        <w:rPr>
          <w:rFonts w:cs="Arial"/>
        </w:rPr>
        <w:t>Partisi</w:t>
      </w:r>
      <w:proofErr w:type="spellEnd"/>
      <w:r w:rsidRPr="004F7C78">
        <w:rPr>
          <w:rFonts w:cs="Arial"/>
        </w:rPr>
        <w:t xml:space="preserve"> (</w:t>
      </w:r>
      <w:proofErr w:type="spellStart"/>
      <w:r w:rsidRPr="004F7C78">
        <w:rPr>
          <w:rFonts w:cs="Arial"/>
        </w:rPr>
        <w:t>The</w:t>
      </w:r>
      <w:proofErr w:type="spellEnd"/>
      <w:r w:rsidRPr="004F7C78">
        <w:rPr>
          <w:rFonts w:cs="Arial"/>
        </w:rPr>
        <w:t xml:space="preserve"> </w:t>
      </w:r>
      <w:proofErr w:type="spellStart"/>
      <w:r w:rsidRPr="004F7C78">
        <w:rPr>
          <w:rFonts w:cs="Arial"/>
        </w:rPr>
        <w:t>Welfare</w:t>
      </w:r>
      <w:proofErr w:type="spellEnd"/>
      <w:r w:rsidRPr="004F7C78">
        <w:rPr>
          <w:rFonts w:cs="Arial"/>
        </w:rPr>
        <w:t xml:space="preserve"> </w:t>
      </w:r>
      <w:proofErr w:type="spellStart"/>
      <w:r w:rsidRPr="004F7C78">
        <w:rPr>
          <w:rFonts w:cs="Arial"/>
        </w:rPr>
        <w:t>Party</w:t>
      </w:r>
      <w:proofErr w:type="spellEnd"/>
      <w:r w:rsidRPr="004F7C78">
        <w:rPr>
          <w:rFonts w:cs="Arial"/>
        </w:rPr>
        <w:t>) y otros contra Turquía, sentencia del 31 de julio de 2001, párrafo 70.</w:t>
      </w:r>
    </w:p>
  </w:footnote>
  <w:footnote w:id="30">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Sentencia SU510 de 1998.</w:t>
      </w:r>
    </w:p>
  </w:footnote>
  <w:footnote w:id="31">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Ver, entre otras, la sentencia T-002 de 2012.</w:t>
      </w:r>
    </w:p>
  </w:footnote>
  <w:footnote w:id="32">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Vid., sentencia T-002 de 2012, que en este aspecto cita como apoyo a las sentencias “</w:t>
      </w:r>
      <w:r w:rsidRPr="004F7C78">
        <w:rPr>
          <w:rStyle w:val="apple-style-span"/>
          <w:rFonts w:eastAsiaTheme="majorEastAsia" w:cs="Arial"/>
          <w:shd w:val="clear" w:color="auto" w:fill="FFFFFF"/>
        </w:rPr>
        <w:t>T-254 de 1994, T-349 de 1996 y SU-510 de 1998”.</w:t>
      </w:r>
    </w:p>
  </w:footnote>
  <w:footnote w:id="33">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Sentencias T-349 de 1996 y  T-002 de 2012.</w:t>
      </w:r>
    </w:p>
  </w:footnote>
  <w:footnote w:id="34">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Mediantes sentencias como la T-254 de 1994, la C-139 de 1996 y T-349 del mismo año. </w:t>
      </w:r>
    </w:p>
  </w:footnote>
  <w:footnote w:id="35">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Cfr., sentencia T-921 del 5 de diciembre de 2013, de la Corte Constitucional. M.P.: Jorge </w:t>
      </w:r>
      <w:proofErr w:type="spellStart"/>
      <w:r w:rsidRPr="004F7C78">
        <w:rPr>
          <w:rFonts w:cs="Arial"/>
        </w:rPr>
        <w:t>Pretelt</w:t>
      </w:r>
      <w:proofErr w:type="spellEnd"/>
      <w:r w:rsidRPr="004F7C78">
        <w:rPr>
          <w:rFonts w:cs="Arial"/>
        </w:rPr>
        <w:t xml:space="preserve"> </w:t>
      </w:r>
      <w:proofErr w:type="spellStart"/>
      <w:r w:rsidRPr="004F7C78">
        <w:rPr>
          <w:rFonts w:cs="Arial"/>
        </w:rPr>
        <w:t>Chaljub</w:t>
      </w:r>
      <w:proofErr w:type="spellEnd"/>
      <w:r w:rsidRPr="004F7C78">
        <w:rPr>
          <w:rFonts w:cs="Arial"/>
        </w:rPr>
        <w:t>.</w:t>
      </w:r>
    </w:p>
  </w:footnote>
  <w:footnote w:id="36">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Cfr., la sentencia T-349 de 1996 en donde se respalda la existencia del mencionado consenso intercultural en los siguientes tres estudios: “A</w:t>
      </w:r>
      <w:proofErr w:type="spellStart"/>
      <w:r w:rsidRPr="004F7C78">
        <w:rPr>
          <w:rFonts w:cs="Arial"/>
          <w:lang w:val="es-ES_tradnl"/>
        </w:rPr>
        <w:t>bdullahi</w:t>
      </w:r>
      <w:proofErr w:type="spellEnd"/>
      <w:r w:rsidRPr="004F7C78">
        <w:rPr>
          <w:rFonts w:cs="Arial"/>
          <w:lang w:val="es-ES_tradnl"/>
        </w:rPr>
        <w:t xml:space="preserve"> Ahmed </w:t>
      </w:r>
      <w:proofErr w:type="spellStart"/>
      <w:r w:rsidRPr="004F7C78">
        <w:rPr>
          <w:rFonts w:cs="Arial"/>
          <w:lang w:val="es-ES_tradnl"/>
        </w:rPr>
        <w:t>An-na’im</w:t>
      </w:r>
      <w:proofErr w:type="spellEnd"/>
      <w:r w:rsidRPr="004F7C78">
        <w:rPr>
          <w:rFonts w:cs="Arial"/>
          <w:lang w:val="es-ES_tradnl"/>
        </w:rPr>
        <w:t>, ‘</w:t>
      </w:r>
      <w:proofErr w:type="spellStart"/>
      <w:r w:rsidRPr="004F7C78">
        <w:rPr>
          <w:rFonts w:cs="Arial"/>
          <w:lang w:val="es-ES_tradnl"/>
        </w:rPr>
        <w:t>Toward</w:t>
      </w:r>
      <w:proofErr w:type="spellEnd"/>
      <w:r w:rsidRPr="004F7C78">
        <w:rPr>
          <w:rFonts w:cs="Arial"/>
          <w:lang w:val="es-ES_tradnl"/>
        </w:rPr>
        <w:t xml:space="preserve"> a Cross Cultural </w:t>
      </w:r>
      <w:proofErr w:type="spellStart"/>
      <w:r w:rsidRPr="004F7C78">
        <w:rPr>
          <w:rFonts w:cs="Arial"/>
          <w:lang w:val="es-ES_tradnl"/>
        </w:rPr>
        <w:t>Approach</w:t>
      </w:r>
      <w:proofErr w:type="spellEnd"/>
      <w:r w:rsidRPr="004F7C78">
        <w:rPr>
          <w:rFonts w:cs="Arial"/>
          <w:lang w:val="es-ES_tradnl"/>
        </w:rPr>
        <w:t xml:space="preserve"> </w:t>
      </w:r>
      <w:proofErr w:type="spellStart"/>
      <w:r w:rsidRPr="004F7C78">
        <w:rPr>
          <w:rFonts w:cs="Arial"/>
          <w:lang w:val="es-ES_tradnl"/>
        </w:rPr>
        <w:t>to</w:t>
      </w:r>
      <w:proofErr w:type="spellEnd"/>
      <w:r w:rsidRPr="004F7C78">
        <w:rPr>
          <w:rFonts w:cs="Arial"/>
          <w:lang w:val="es-ES_tradnl"/>
        </w:rPr>
        <w:t xml:space="preserve"> </w:t>
      </w:r>
      <w:proofErr w:type="spellStart"/>
      <w:r w:rsidRPr="004F7C78">
        <w:rPr>
          <w:rFonts w:cs="Arial"/>
          <w:lang w:val="es-ES_tradnl"/>
        </w:rPr>
        <w:t>Defining</w:t>
      </w:r>
      <w:proofErr w:type="spellEnd"/>
      <w:r w:rsidRPr="004F7C78">
        <w:rPr>
          <w:rFonts w:cs="Arial"/>
          <w:lang w:val="es-ES_tradnl"/>
        </w:rPr>
        <w:t xml:space="preserve"> International </w:t>
      </w:r>
      <w:proofErr w:type="spellStart"/>
      <w:r w:rsidRPr="004F7C78">
        <w:rPr>
          <w:rFonts w:cs="Arial"/>
          <w:lang w:val="es-ES_tradnl"/>
        </w:rPr>
        <w:t>Standards</w:t>
      </w:r>
      <w:proofErr w:type="spellEnd"/>
      <w:r w:rsidRPr="004F7C78">
        <w:rPr>
          <w:rFonts w:cs="Arial"/>
          <w:lang w:val="es-ES_tradnl"/>
        </w:rPr>
        <w:t xml:space="preserve"> of Human </w:t>
      </w:r>
      <w:proofErr w:type="spellStart"/>
      <w:r w:rsidRPr="004F7C78">
        <w:rPr>
          <w:rFonts w:cs="Arial"/>
          <w:lang w:val="es-ES_tradnl"/>
        </w:rPr>
        <w:t>Rights</w:t>
      </w:r>
      <w:proofErr w:type="spellEnd"/>
      <w:r w:rsidRPr="004F7C78">
        <w:rPr>
          <w:rFonts w:cs="Arial"/>
          <w:lang w:val="es-ES_tradnl"/>
        </w:rPr>
        <w:t xml:space="preserve">: </w:t>
      </w:r>
      <w:proofErr w:type="spellStart"/>
      <w:r w:rsidRPr="004F7C78">
        <w:rPr>
          <w:rFonts w:cs="Arial"/>
          <w:lang w:val="es-ES_tradnl"/>
        </w:rPr>
        <w:t>The</w:t>
      </w:r>
      <w:proofErr w:type="spellEnd"/>
      <w:r w:rsidRPr="004F7C78">
        <w:rPr>
          <w:rFonts w:cs="Arial"/>
          <w:lang w:val="es-ES_tradnl"/>
        </w:rPr>
        <w:t xml:space="preserve"> </w:t>
      </w:r>
      <w:proofErr w:type="spellStart"/>
      <w:r w:rsidRPr="004F7C78">
        <w:rPr>
          <w:rFonts w:cs="Arial"/>
          <w:lang w:val="es-ES_tradnl"/>
        </w:rPr>
        <w:t>Meaning</w:t>
      </w:r>
      <w:proofErr w:type="spellEnd"/>
      <w:r w:rsidRPr="004F7C78">
        <w:rPr>
          <w:rFonts w:cs="Arial"/>
          <w:lang w:val="es-ES_tradnl"/>
        </w:rPr>
        <w:t xml:space="preserve"> of Cruel, Inhuman, </w:t>
      </w:r>
      <w:proofErr w:type="spellStart"/>
      <w:r w:rsidRPr="004F7C78">
        <w:rPr>
          <w:rFonts w:cs="Arial"/>
          <w:lang w:val="es-ES_tradnl"/>
        </w:rPr>
        <w:t>or</w:t>
      </w:r>
      <w:proofErr w:type="spellEnd"/>
      <w:r w:rsidRPr="004F7C78">
        <w:rPr>
          <w:rFonts w:cs="Arial"/>
          <w:lang w:val="es-ES_tradnl"/>
        </w:rPr>
        <w:t xml:space="preserve"> </w:t>
      </w:r>
      <w:proofErr w:type="spellStart"/>
      <w:r w:rsidRPr="004F7C78">
        <w:rPr>
          <w:rFonts w:cs="Arial"/>
          <w:lang w:val="es-ES_tradnl"/>
        </w:rPr>
        <w:t>Degrading</w:t>
      </w:r>
      <w:proofErr w:type="spellEnd"/>
      <w:r w:rsidRPr="004F7C78">
        <w:rPr>
          <w:rFonts w:cs="Arial"/>
          <w:lang w:val="es-ES_tradnl"/>
        </w:rPr>
        <w:t xml:space="preserve"> </w:t>
      </w:r>
      <w:proofErr w:type="spellStart"/>
      <w:r w:rsidRPr="004F7C78">
        <w:rPr>
          <w:rFonts w:cs="Arial"/>
          <w:lang w:val="es-ES_tradnl"/>
        </w:rPr>
        <w:t>Treatment</w:t>
      </w:r>
      <w:proofErr w:type="spellEnd"/>
      <w:r w:rsidRPr="004F7C78">
        <w:rPr>
          <w:rFonts w:cs="Arial"/>
          <w:lang w:val="es-ES_tradnl"/>
        </w:rPr>
        <w:t xml:space="preserve"> </w:t>
      </w:r>
      <w:proofErr w:type="spellStart"/>
      <w:r w:rsidRPr="004F7C78">
        <w:rPr>
          <w:rFonts w:cs="Arial"/>
          <w:lang w:val="es-ES_tradnl"/>
        </w:rPr>
        <w:t>or</w:t>
      </w:r>
      <w:proofErr w:type="spellEnd"/>
      <w:r w:rsidRPr="004F7C78">
        <w:rPr>
          <w:rFonts w:cs="Arial"/>
          <w:lang w:val="es-ES_tradnl"/>
        </w:rPr>
        <w:t xml:space="preserve"> </w:t>
      </w:r>
      <w:proofErr w:type="spellStart"/>
      <w:r w:rsidRPr="004F7C78">
        <w:rPr>
          <w:rFonts w:cs="Arial"/>
          <w:lang w:val="es-ES_tradnl"/>
        </w:rPr>
        <w:t>Punishment</w:t>
      </w:r>
      <w:proofErr w:type="spellEnd"/>
      <w:r w:rsidRPr="004F7C78">
        <w:rPr>
          <w:rFonts w:cs="Arial"/>
          <w:lang w:val="es-ES_tradnl"/>
        </w:rPr>
        <w:t xml:space="preserve">’ en </w:t>
      </w:r>
      <w:proofErr w:type="spellStart"/>
      <w:r w:rsidRPr="004F7C78">
        <w:rPr>
          <w:rFonts w:cs="Arial"/>
          <w:lang w:val="es-ES_tradnl"/>
        </w:rPr>
        <w:t>Abdullahi</w:t>
      </w:r>
      <w:proofErr w:type="spellEnd"/>
      <w:r w:rsidRPr="004F7C78">
        <w:rPr>
          <w:rFonts w:cs="Arial"/>
          <w:lang w:val="es-ES_tradnl"/>
        </w:rPr>
        <w:t xml:space="preserve"> Ahmed </w:t>
      </w:r>
      <w:proofErr w:type="spellStart"/>
      <w:r w:rsidRPr="004F7C78">
        <w:rPr>
          <w:rFonts w:cs="Arial"/>
          <w:lang w:val="es-ES_tradnl"/>
        </w:rPr>
        <w:t>An-na’im</w:t>
      </w:r>
      <w:proofErr w:type="spellEnd"/>
      <w:r w:rsidRPr="004F7C78">
        <w:rPr>
          <w:rFonts w:cs="Arial"/>
          <w:lang w:val="es-ES_tradnl"/>
        </w:rPr>
        <w:t xml:space="preserve"> (</w:t>
      </w:r>
      <w:proofErr w:type="spellStart"/>
      <w:r w:rsidRPr="004F7C78">
        <w:rPr>
          <w:rFonts w:cs="Arial"/>
          <w:lang w:val="es-ES_tradnl"/>
        </w:rPr>
        <w:t>comp.</w:t>
      </w:r>
      <w:proofErr w:type="spellEnd"/>
      <w:r w:rsidRPr="004F7C78">
        <w:rPr>
          <w:rFonts w:cs="Arial"/>
          <w:lang w:val="es-ES_tradnl"/>
        </w:rPr>
        <w:t>), </w:t>
      </w:r>
      <w:r w:rsidRPr="004F7C78">
        <w:rPr>
          <w:rFonts w:cs="Arial"/>
          <w:i/>
          <w:iCs/>
          <w:u w:val="single"/>
          <w:lang w:val="es-ES_tradnl"/>
        </w:rPr>
        <w:t xml:space="preserve">Human </w:t>
      </w:r>
      <w:proofErr w:type="spellStart"/>
      <w:r w:rsidRPr="004F7C78">
        <w:rPr>
          <w:rFonts w:cs="Arial"/>
          <w:i/>
          <w:iCs/>
          <w:u w:val="single"/>
          <w:lang w:val="es-ES_tradnl"/>
        </w:rPr>
        <w:t>Rigths</w:t>
      </w:r>
      <w:proofErr w:type="spellEnd"/>
      <w:r w:rsidRPr="004F7C78">
        <w:rPr>
          <w:rFonts w:cs="Arial"/>
          <w:i/>
          <w:iCs/>
          <w:u w:val="single"/>
          <w:lang w:val="es-ES_tradnl"/>
        </w:rPr>
        <w:t xml:space="preserve"> in Cross-Cultural </w:t>
      </w:r>
      <w:proofErr w:type="spellStart"/>
      <w:r w:rsidRPr="004F7C78">
        <w:rPr>
          <w:rFonts w:cs="Arial"/>
          <w:i/>
          <w:iCs/>
          <w:u w:val="single"/>
          <w:lang w:val="es-ES_tradnl"/>
        </w:rPr>
        <w:t>Perspectives</w:t>
      </w:r>
      <w:proofErr w:type="spellEnd"/>
      <w:r w:rsidRPr="004F7C78">
        <w:rPr>
          <w:rFonts w:cs="Arial"/>
          <w:lang w:val="es-ES_tradnl"/>
        </w:rPr>
        <w:t xml:space="preserve">, </w:t>
      </w:r>
      <w:proofErr w:type="spellStart"/>
      <w:r w:rsidRPr="004F7C78">
        <w:rPr>
          <w:rFonts w:cs="Arial"/>
          <w:lang w:val="es-ES_tradnl"/>
        </w:rPr>
        <w:t>University</w:t>
      </w:r>
      <w:proofErr w:type="spellEnd"/>
      <w:r w:rsidRPr="004F7C78">
        <w:rPr>
          <w:rFonts w:cs="Arial"/>
          <w:lang w:val="es-ES_tradnl"/>
        </w:rPr>
        <w:t xml:space="preserve"> of Pennsylvania </w:t>
      </w:r>
      <w:proofErr w:type="spellStart"/>
      <w:r w:rsidRPr="004F7C78">
        <w:rPr>
          <w:rFonts w:cs="Arial"/>
          <w:lang w:val="es-ES_tradnl"/>
        </w:rPr>
        <w:t>Press</w:t>
      </w:r>
      <w:proofErr w:type="spellEnd"/>
      <w:r w:rsidRPr="004F7C78">
        <w:rPr>
          <w:rFonts w:cs="Arial"/>
          <w:lang w:val="es-ES_tradnl"/>
        </w:rPr>
        <w:t xml:space="preserve">, </w:t>
      </w:r>
      <w:proofErr w:type="spellStart"/>
      <w:r w:rsidRPr="004F7C78">
        <w:rPr>
          <w:rFonts w:cs="Arial"/>
          <w:lang w:val="es-ES_tradnl"/>
        </w:rPr>
        <w:t>Philadelphia</w:t>
      </w:r>
      <w:proofErr w:type="spellEnd"/>
      <w:r w:rsidRPr="004F7C78">
        <w:rPr>
          <w:rFonts w:cs="Arial"/>
          <w:lang w:val="es-ES_tradnl"/>
        </w:rPr>
        <w:t xml:space="preserve">, 1991; y Richard </w:t>
      </w:r>
      <w:proofErr w:type="spellStart"/>
      <w:r w:rsidRPr="004F7C78">
        <w:rPr>
          <w:rFonts w:cs="Arial"/>
          <w:lang w:val="es-ES_tradnl"/>
        </w:rPr>
        <w:t>Falk</w:t>
      </w:r>
      <w:proofErr w:type="spellEnd"/>
      <w:r w:rsidRPr="004F7C78">
        <w:rPr>
          <w:rFonts w:cs="Arial"/>
          <w:lang w:val="es-ES_tradnl"/>
        </w:rPr>
        <w:t xml:space="preserve">, ‘Cultural </w:t>
      </w:r>
      <w:proofErr w:type="spellStart"/>
      <w:r w:rsidRPr="004F7C78">
        <w:rPr>
          <w:rFonts w:cs="Arial"/>
          <w:lang w:val="es-ES_tradnl"/>
        </w:rPr>
        <w:t>foundations</w:t>
      </w:r>
      <w:proofErr w:type="spellEnd"/>
      <w:r w:rsidRPr="004F7C78">
        <w:rPr>
          <w:rFonts w:cs="Arial"/>
          <w:lang w:val="es-ES_tradnl"/>
        </w:rPr>
        <w:t xml:space="preserve"> </w:t>
      </w:r>
      <w:proofErr w:type="spellStart"/>
      <w:r w:rsidRPr="004F7C78">
        <w:rPr>
          <w:rFonts w:cs="Arial"/>
          <w:lang w:val="es-ES_tradnl"/>
        </w:rPr>
        <w:t>for</w:t>
      </w:r>
      <w:proofErr w:type="spellEnd"/>
      <w:r w:rsidRPr="004F7C78">
        <w:rPr>
          <w:rFonts w:cs="Arial"/>
          <w:lang w:val="es-ES_tradnl"/>
        </w:rPr>
        <w:t xml:space="preserve"> </w:t>
      </w:r>
      <w:proofErr w:type="spellStart"/>
      <w:r w:rsidRPr="004F7C78">
        <w:rPr>
          <w:rFonts w:cs="Arial"/>
          <w:lang w:val="es-ES_tradnl"/>
        </w:rPr>
        <w:t>the</w:t>
      </w:r>
      <w:proofErr w:type="spellEnd"/>
      <w:r w:rsidRPr="004F7C78">
        <w:rPr>
          <w:rFonts w:cs="Arial"/>
          <w:lang w:val="es-ES_tradnl"/>
        </w:rPr>
        <w:t xml:space="preserve"> International </w:t>
      </w:r>
      <w:proofErr w:type="spellStart"/>
      <w:r w:rsidRPr="004F7C78">
        <w:rPr>
          <w:rFonts w:cs="Arial"/>
          <w:lang w:val="es-ES_tradnl"/>
        </w:rPr>
        <w:t>Protection</w:t>
      </w:r>
      <w:proofErr w:type="spellEnd"/>
      <w:r w:rsidRPr="004F7C78">
        <w:rPr>
          <w:rFonts w:cs="Arial"/>
          <w:lang w:val="es-ES_tradnl"/>
        </w:rPr>
        <w:t xml:space="preserve"> of Human </w:t>
      </w:r>
      <w:proofErr w:type="spellStart"/>
      <w:r w:rsidRPr="004F7C78">
        <w:rPr>
          <w:rFonts w:cs="Arial"/>
          <w:lang w:val="es-ES_tradnl"/>
        </w:rPr>
        <w:t>Rights</w:t>
      </w:r>
      <w:proofErr w:type="spellEnd"/>
      <w:r w:rsidRPr="004F7C78">
        <w:rPr>
          <w:rFonts w:cs="Arial"/>
          <w:lang w:val="es-ES_tradnl"/>
        </w:rPr>
        <w:t xml:space="preserve">’, </w:t>
      </w:r>
      <w:proofErr w:type="spellStart"/>
      <w:r w:rsidRPr="004F7C78">
        <w:rPr>
          <w:rFonts w:cs="Arial"/>
          <w:lang w:val="es-ES_tradnl"/>
        </w:rPr>
        <w:t>ibid</w:t>
      </w:r>
      <w:proofErr w:type="spellEnd"/>
      <w:r w:rsidRPr="004F7C78">
        <w:rPr>
          <w:rFonts w:cs="Arial"/>
          <w:lang w:val="es-ES_tradnl"/>
        </w:rPr>
        <w:t xml:space="preserve">. La existencia de un consenso intercultural en torno a estos derechos también sería susceptible de verificación en el contexto colombiano. Por lo menos eso parecen sugerir los estudios relativos al tema, que demuestran que en las comunidades estudiadas se sanciona penalmente el homicidio y no se practican ni la esclavitud, ni la tortura por parte de las autoridades. Carlos César </w:t>
      </w:r>
      <w:proofErr w:type="spellStart"/>
      <w:r w:rsidRPr="004F7C78">
        <w:rPr>
          <w:rFonts w:cs="Arial"/>
          <w:lang w:val="es-ES_tradnl"/>
        </w:rPr>
        <w:t>Perafán</w:t>
      </w:r>
      <w:proofErr w:type="spellEnd"/>
      <w:r w:rsidRPr="004F7C78">
        <w:rPr>
          <w:rFonts w:cs="Arial"/>
          <w:lang w:val="es-ES_tradnl"/>
        </w:rPr>
        <w:t>, </w:t>
      </w:r>
      <w:r w:rsidRPr="004F7C78">
        <w:rPr>
          <w:rFonts w:cs="Arial"/>
          <w:i/>
          <w:iCs/>
          <w:u w:val="single"/>
          <w:lang w:val="es-ES_tradnl"/>
        </w:rPr>
        <w:t xml:space="preserve">Sistemas Jurídicos </w:t>
      </w:r>
      <w:proofErr w:type="spellStart"/>
      <w:r w:rsidRPr="004F7C78">
        <w:rPr>
          <w:rFonts w:cs="Arial"/>
          <w:i/>
          <w:iCs/>
          <w:u w:val="single"/>
          <w:lang w:val="es-ES_tradnl"/>
        </w:rPr>
        <w:t>Paez</w:t>
      </w:r>
      <w:proofErr w:type="spellEnd"/>
      <w:r w:rsidRPr="004F7C78">
        <w:rPr>
          <w:rFonts w:cs="Arial"/>
          <w:i/>
          <w:iCs/>
          <w:u w:val="single"/>
          <w:lang w:val="es-ES_tradnl"/>
        </w:rPr>
        <w:t xml:space="preserve">, </w:t>
      </w:r>
      <w:proofErr w:type="spellStart"/>
      <w:r w:rsidRPr="004F7C78">
        <w:rPr>
          <w:rFonts w:cs="Arial"/>
          <w:i/>
          <w:iCs/>
          <w:u w:val="single"/>
          <w:lang w:val="es-ES_tradnl"/>
        </w:rPr>
        <w:t>Kogi</w:t>
      </w:r>
      <w:proofErr w:type="spellEnd"/>
      <w:r w:rsidRPr="004F7C78">
        <w:rPr>
          <w:rFonts w:cs="Arial"/>
          <w:i/>
          <w:iCs/>
          <w:u w:val="single"/>
          <w:lang w:val="es-ES_tradnl"/>
        </w:rPr>
        <w:t>, Wayuu y Tule</w:t>
      </w:r>
      <w:r w:rsidRPr="004F7C78">
        <w:rPr>
          <w:rFonts w:cs="Arial"/>
          <w:lang w:val="es-ES_tradnl"/>
        </w:rPr>
        <w:t>, Instituto Colombiano de Antropología, 1995”.</w:t>
      </w:r>
    </w:p>
  </w:footnote>
  <w:footnote w:id="37">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Artículo 4º del Pacto de Derechos Civiles y Políticos de 1966 (aprobado por la Ley 74 de 1968).</w:t>
      </w:r>
    </w:p>
  </w:footnote>
  <w:footnote w:id="38">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Artículo 15 de la Convención Europea de Derechos Humanos de 1950.</w:t>
      </w:r>
    </w:p>
  </w:footnote>
  <w:footnote w:id="39">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Convención Americana de Derechos Humanos de 1969 (aprobada por la Ley 16 de 1972).</w:t>
      </w:r>
    </w:p>
  </w:footnote>
  <w:footnote w:id="40">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w:t>
      </w:r>
      <w:r w:rsidRPr="004F7C78">
        <w:rPr>
          <w:rFonts w:cs="Arial"/>
          <w:i/>
        </w:rPr>
        <w:t>Vid</w:t>
      </w:r>
      <w:r w:rsidRPr="004F7C78">
        <w:rPr>
          <w:rFonts w:cs="Arial"/>
        </w:rPr>
        <w:t xml:space="preserve">., Corte Interamericana de Derechos Humanos, Caso de los “Niños de la Calle” (Villagrán Morales y otros) Vs. Guatemala, sentencia de 19 de noviembre de 1999, serie C No. 63, párrafos 192 a 193. Del mismo modo, para el Tribunal Europeo de Derechos Humanos los instrumentos internacionales son textos vivos, cuyo contenido se actualiza de la evolución social y moral de los tiempos modernos. </w:t>
      </w:r>
      <w:r w:rsidRPr="004F7C78">
        <w:rPr>
          <w:rFonts w:cs="Arial"/>
          <w:i/>
        </w:rPr>
        <w:t>Cfr</w:t>
      </w:r>
      <w:r w:rsidRPr="004F7C78">
        <w:rPr>
          <w:rFonts w:cs="Arial"/>
        </w:rPr>
        <w:t>., Caso de  E.B. v. Francia, sentencia del 22 de enero de 2008.</w:t>
      </w:r>
    </w:p>
  </w:footnote>
  <w:footnote w:id="41">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Este concepto alude a las manifestaciones de la comunidad internacional en torno a ciertos puntos de derecho que merecen la atención y respuesta de los Estados. </w:t>
      </w:r>
      <w:r w:rsidRPr="004F7C78">
        <w:rPr>
          <w:rFonts w:cs="Arial"/>
          <w:i/>
        </w:rPr>
        <w:t>Cfr</w:t>
      </w:r>
      <w:r w:rsidRPr="004F7C78">
        <w:rPr>
          <w:rFonts w:cs="Arial"/>
        </w:rPr>
        <w:t xml:space="preserve">. Voto razonado del juez A.A. </w:t>
      </w:r>
      <w:proofErr w:type="spellStart"/>
      <w:r w:rsidRPr="004F7C78">
        <w:rPr>
          <w:rFonts w:cs="Arial"/>
        </w:rPr>
        <w:t>Cançado</w:t>
      </w:r>
      <w:proofErr w:type="spellEnd"/>
      <w:r w:rsidRPr="004F7C78">
        <w:rPr>
          <w:rFonts w:cs="Arial"/>
        </w:rPr>
        <w:t xml:space="preserve"> </w:t>
      </w:r>
      <w:proofErr w:type="spellStart"/>
      <w:r w:rsidRPr="004F7C78">
        <w:rPr>
          <w:rFonts w:cs="Arial"/>
        </w:rPr>
        <w:t>Trindade</w:t>
      </w:r>
      <w:proofErr w:type="spellEnd"/>
      <w:r w:rsidRPr="004F7C78">
        <w:rPr>
          <w:rFonts w:cs="Arial"/>
        </w:rPr>
        <w:t xml:space="preserve">, a la sentencia de la Corte Interamericana de Derechos Humanos Caso de La Comunidad </w:t>
      </w:r>
      <w:proofErr w:type="spellStart"/>
      <w:r w:rsidRPr="004F7C78">
        <w:rPr>
          <w:rFonts w:cs="Arial"/>
        </w:rPr>
        <w:t>Moiwana</w:t>
      </w:r>
      <w:proofErr w:type="spellEnd"/>
      <w:r w:rsidRPr="004F7C78">
        <w:rPr>
          <w:rFonts w:cs="Arial"/>
        </w:rPr>
        <w:t xml:space="preserve"> vs. </w:t>
      </w:r>
      <w:proofErr w:type="spellStart"/>
      <w:r w:rsidRPr="004F7C78">
        <w:rPr>
          <w:rFonts w:cs="Arial"/>
        </w:rPr>
        <w:t>Suriname</w:t>
      </w:r>
      <w:proofErr w:type="spellEnd"/>
      <w:r w:rsidRPr="004F7C78">
        <w:rPr>
          <w:rFonts w:cs="Arial"/>
        </w:rPr>
        <w:t>, Sentencia de 15 de junio de 2005, Corte I.D.H., (Ser. C) No. 124.</w:t>
      </w:r>
    </w:p>
  </w:footnote>
  <w:footnote w:id="42">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Adoptada mediante ley 12 de 1991.</w:t>
      </w:r>
    </w:p>
  </w:footnote>
  <w:footnote w:id="43">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Human </w:t>
      </w:r>
      <w:proofErr w:type="spellStart"/>
      <w:r w:rsidRPr="004F7C78">
        <w:rPr>
          <w:rFonts w:cs="Arial"/>
        </w:rPr>
        <w:t>Rights</w:t>
      </w:r>
      <w:proofErr w:type="spellEnd"/>
      <w:r w:rsidRPr="004F7C78">
        <w:rPr>
          <w:rFonts w:cs="Arial"/>
        </w:rPr>
        <w:t xml:space="preserve"> </w:t>
      </w:r>
      <w:proofErr w:type="spellStart"/>
      <w:r w:rsidRPr="004F7C78">
        <w:rPr>
          <w:rFonts w:cs="Arial"/>
        </w:rPr>
        <w:t>Watch</w:t>
      </w:r>
      <w:proofErr w:type="spellEnd"/>
      <w:r w:rsidRPr="004F7C78">
        <w:rPr>
          <w:rFonts w:cs="Arial"/>
        </w:rPr>
        <w:t>, 2009.</w:t>
      </w:r>
    </w:p>
  </w:footnote>
  <w:footnote w:id="44">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w:t>
      </w:r>
      <w:r w:rsidRPr="004F7C78">
        <w:rPr>
          <w:rFonts w:cs="Arial"/>
          <w:i/>
        </w:rPr>
        <w:t>Cfr</w:t>
      </w:r>
      <w:r w:rsidRPr="004F7C78">
        <w:rPr>
          <w:rFonts w:cs="Arial"/>
        </w:rPr>
        <w:t xml:space="preserve">., Corte Interamericana de Derechos Humanos. Caso </w:t>
      </w:r>
      <w:proofErr w:type="spellStart"/>
      <w:r w:rsidRPr="004F7C78">
        <w:rPr>
          <w:rFonts w:cs="Arial"/>
        </w:rPr>
        <w:t>Atala</w:t>
      </w:r>
      <w:proofErr w:type="spellEnd"/>
      <w:r w:rsidRPr="004F7C78">
        <w:rPr>
          <w:rFonts w:cs="Arial"/>
        </w:rPr>
        <w:t xml:space="preserve"> </w:t>
      </w:r>
      <w:proofErr w:type="spellStart"/>
      <w:r w:rsidRPr="004F7C78">
        <w:rPr>
          <w:rFonts w:cs="Arial"/>
        </w:rPr>
        <w:t>Riffo</w:t>
      </w:r>
      <w:proofErr w:type="spellEnd"/>
      <w:r w:rsidRPr="004F7C78">
        <w:rPr>
          <w:rFonts w:cs="Arial"/>
        </w:rPr>
        <w:t xml:space="preserve"> y Niñas Vs. Chile. Fondo, Reparaciones y Costas. Sentencia del 24 de febrero de 2012. Serie C No. 239.</w:t>
      </w:r>
    </w:p>
  </w:footnote>
  <w:footnote w:id="45">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De acuerdo con su preámbulo, una de las finalidades perseguidas con la aprobación del Estatuto de Roma por los Estados parte en la Organización de Naciones Unidas fue reafirmar </w:t>
      </w:r>
      <w:r w:rsidRPr="004F7C78">
        <w:rPr>
          <w:rFonts w:cs="Arial"/>
          <w:i/>
        </w:rPr>
        <w:t>“que los crímenes más graves de trascendencia para la comunidad internacional en su conjunto no deben quedar sin castigo y que, a tal fin, hay que adoptar medidas en el plano nacional e intensificar la cooperación internacional para asegurar que sean efectivamente sometidos a la acción de la justicia”</w:t>
      </w:r>
      <w:r w:rsidRPr="004F7C78">
        <w:rPr>
          <w:rFonts w:cs="Arial"/>
        </w:rPr>
        <w:t xml:space="preserve">. </w:t>
      </w:r>
    </w:p>
  </w:footnote>
  <w:footnote w:id="46">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Al respecto, debe recordarse que las penas previstas en dicho estatuto abarcan la prisión perpetua, razón por la cual, su ratificación por el Estado colombiano debió incluir la modificación del artículo </w:t>
      </w:r>
    </w:p>
  </w:footnote>
  <w:footnote w:id="47">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Así, en la opinión consultiva  No. 18 de 2003, la Corte Interamericana de Derechos Humanos afirmó lo siguiente: “este Tribunal considera que el principio de igualdad ante la ley, igual protección ante la ley y no discriminación, pertenece al </w:t>
      </w:r>
      <w:proofErr w:type="spellStart"/>
      <w:r w:rsidRPr="004F7C78">
        <w:rPr>
          <w:rFonts w:cs="Arial"/>
        </w:rPr>
        <w:t>jus</w:t>
      </w:r>
      <w:proofErr w:type="spellEnd"/>
      <w:r w:rsidRPr="004F7C78">
        <w:rPr>
          <w:rFonts w:cs="Arial"/>
        </w:rPr>
        <w:t xml:space="preserve"> </w:t>
      </w:r>
      <w:proofErr w:type="spellStart"/>
      <w:r w:rsidRPr="004F7C78">
        <w:rPr>
          <w:rFonts w:cs="Arial"/>
        </w:rPr>
        <w:t>cogens</w:t>
      </w:r>
      <w:proofErr w:type="spellEnd"/>
      <w:r w:rsidRPr="004F7C78">
        <w:rPr>
          <w:rFonts w:cs="Arial"/>
        </w:rPr>
        <w:t xml:space="preserve">,  puesto que sobre él descansa todo el andamiaje jurídico del orden público nacional e internacional y es un principio fundamental que permea todo ordenamiento jurídico. </w:t>
      </w:r>
    </w:p>
    <w:p w:rsidR="007F6D10" w:rsidRPr="004F7C78" w:rsidRDefault="007F6D10" w:rsidP="007F6D10">
      <w:pPr>
        <w:pStyle w:val="Textonotapie"/>
        <w:rPr>
          <w:rFonts w:cs="Arial"/>
        </w:rPr>
      </w:pPr>
      <w:r w:rsidRPr="004F7C78">
        <w:rPr>
          <w:rFonts w:cs="Arial"/>
        </w:rPr>
        <w:t xml:space="preserve">Hoy día no se admite ningún acto jurídico que entre en conflicto con dicho principio  fundamental, no se admiten tratos discriminatorios en perjuicio de ninguna persona,  por motivos de género, raza, color, idioma, religión o convicción, opinión política o de  otra índole, origen nacional, étnico o social, nacionalidad, edad, situación económica,  patrimonio, estado civil, nacimiento o cualquier otra condición. Este principio  (igualdad y no discriminación) forma parte del derecho internacional general. </w:t>
      </w:r>
      <w:r w:rsidRPr="004F7C78">
        <w:rPr>
          <w:rFonts w:cs="Arial"/>
          <w:u w:val="single"/>
        </w:rPr>
        <w:t xml:space="preserve">En la  actual etapa de la evolución del derecho internacional, el principio fundamental de  igualdad y no discriminación ha ingresado en el dominio del </w:t>
      </w:r>
      <w:proofErr w:type="spellStart"/>
      <w:r w:rsidRPr="004F7C78">
        <w:rPr>
          <w:rFonts w:cs="Arial"/>
          <w:u w:val="single"/>
        </w:rPr>
        <w:t>jus</w:t>
      </w:r>
      <w:proofErr w:type="spellEnd"/>
      <w:r w:rsidRPr="004F7C78">
        <w:rPr>
          <w:rFonts w:cs="Arial"/>
          <w:u w:val="single"/>
        </w:rPr>
        <w:t xml:space="preserve"> </w:t>
      </w:r>
      <w:proofErr w:type="spellStart"/>
      <w:r w:rsidRPr="004F7C78">
        <w:rPr>
          <w:rFonts w:cs="Arial"/>
          <w:u w:val="single"/>
        </w:rPr>
        <w:t>cogens</w:t>
      </w:r>
      <w:proofErr w:type="spellEnd"/>
      <w:r w:rsidRPr="004F7C78">
        <w:rPr>
          <w:rFonts w:cs="Arial"/>
        </w:rPr>
        <w:t>”, párrafo 101 (énfasis de la Sala).</w:t>
      </w:r>
    </w:p>
  </w:footnote>
  <w:footnote w:id="48">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Sentencia T-629 de 2010.</w:t>
      </w:r>
    </w:p>
  </w:footnote>
  <w:footnote w:id="49">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Adoptada en San Francisco (California, Estados Unidos), en el marco de la Conferencia de las Naciones Unidas sobre Organización Internacional.</w:t>
      </w:r>
    </w:p>
  </w:footnote>
  <w:footnote w:id="50">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Preámbulo de la </w:t>
      </w:r>
      <w:r w:rsidRPr="004F7C78">
        <w:rPr>
          <w:rFonts w:cs="Arial"/>
          <w:bCs/>
        </w:rPr>
        <w:t>Carta de las Naciones Unidas.</w:t>
      </w:r>
    </w:p>
  </w:footnote>
  <w:footnote w:id="51">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Al respecto, la Asamblea General de la Organización de las Naciones Unidas ha condenado sistemáticamente la realización de actividades terroristas, al considerar que entrañan actos criminales “injustificables dondequiera y por quienquiera que sea cometidos”. </w:t>
      </w:r>
      <w:r w:rsidRPr="004F7C78">
        <w:rPr>
          <w:rFonts w:cs="Arial"/>
          <w:i/>
        </w:rPr>
        <w:t>Vid</w:t>
      </w:r>
      <w:r w:rsidRPr="004F7C78">
        <w:rPr>
          <w:rFonts w:cs="Arial"/>
        </w:rPr>
        <w:t xml:space="preserve">., entre otras, la Resolución 60/105, titulada “Medidas para eliminar el terrorismo internacional”, aprobada por la Asamblea General el 9 de diciembre de 2011. </w:t>
      </w:r>
    </w:p>
  </w:footnote>
  <w:footnote w:id="52">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Este grupo de acciones  representan de lejos los peores ejemplos de violencia y agresión entre congéneres. De allí su castigo unánime por parte de la comunidad internacional y el establecimiento de garantías para su eficaz persecución, como su carácter imprescriptible. </w:t>
      </w:r>
      <w:r w:rsidRPr="004F7C78">
        <w:rPr>
          <w:rFonts w:cs="Arial"/>
          <w:i/>
        </w:rPr>
        <w:t>Cfr</w:t>
      </w:r>
      <w:r w:rsidRPr="004F7C78">
        <w:rPr>
          <w:rFonts w:cs="Arial"/>
        </w:rPr>
        <w:t xml:space="preserve">., Asamblea General de la Organización de Naciones Unidas, “Principios y directrices básicos sobre el derecho de las víctimas de violaciones manifiestas de las normas internacionales de derechos humanos y de violaciones graves del derecho internacional humanitario a interponer recursos y obtener reparaciones”, Resolución 60/147, aprobada por la Asamblea General el 16 de diciembre de 2005. </w:t>
      </w:r>
    </w:p>
  </w:footnote>
  <w:footnote w:id="53">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La Asamblea General de la Organización de las Naciones Unidas también ha reprochado los delitos asociados al narcotráfico, por sus efectos nocivos sobre la generalidad de los Estados. Así, en 1998 destacó lo siguiente: “Las drogas afectan a todos los sectores de la sociedad en todos los países; sobre todo, el uso indebido de drogas afecta a la libertad y al desarrollo de los jóvenes, que son el patrimonio más preciado de la humanidad. </w:t>
      </w:r>
      <w:r w:rsidRPr="004F7C78">
        <w:rPr>
          <w:rFonts w:cs="Arial"/>
          <w:u w:val="single"/>
        </w:rPr>
        <w:t>Las drogas constituyen una grave amenaza para la salud y el bienestar de todo el género humano, para la independencia de los Estados, la democracia, la estabilidad de las naciones, la estructura de todas las sociedades y la dignidad y la esperanza de millones de personas y sus familias</w:t>
      </w:r>
      <w:r w:rsidRPr="004F7C78">
        <w:rPr>
          <w:rFonts w:cs="Arial"/>
        </w:rPr>
        <w:t>” (énfasis agregado). En, “Sesión Especial de la Asamblea General de Naciones Unidas, celebrada en Nueva York los días 8 a 10 de junio de 1998”, (Disponible en: www.pnsd.msc.es/Categoria3/coopera/onu/cooperanacio5.htm).</w:t>
      </w:r>
    </w:p>
  </w:footnote>
  <w:footnote w:id="54">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Sobre la incidencia de estos delitos en el funcionamiento de la sociedad y el Estado, la Corte Constitucional señaló en la sentencia C-083 de 1999, lo siguiente: “Los compromisos constitucionales que en materia económica y social le corresponde cumplir al Estado, exigen de éste la implementación de políticas institucionales y la obtención de los instrumentos idóneos para su realización material […] Esto explica por qué en el ordenamiento jurídico se consagran una serie de medidas administrativas y jurisdiccionales tendientes a proteger ese bien jurídico denominado ‘orden económico social’. Precisamente, el orden legal económico se constituye en objeto de tutela del derecho, particularmente del derecho punitivo, dado el interés que representa para el Estado su conservación. Ciertamente, resulta de singular importancia para la administración pública que el régimen económico establecido por la Constitución y la ley se desenvuelva en condiciones de normalidad, sin alteraciones, buscando asegurar la prestación de los servicios que de él se desprenden”.</w:t>
      </w:r>
    </w:p>
  </w:footnote>
  <w:footnote w:id="55">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Según la Corte Interamericana de Derechos Humanos los derechos de las víctimas se derivan de los artículos 8 (garantías judiciales) y 25 (protección judicial) de la Convención Americana sobre Derechos Humanos (</w:t>
      </w:r>
      <w:r w:rsidRPr="004F7C78">
        <w:rPr>
          <w:rFonts w:cs="Arial"/>
          <w:i/>
        </w:rPr>
        <w:t>Cfr</w:t>
      </w:r>
      <w:r w:rsidRPr="004F7C78">
        <w:rPr>
          <w:rFonts w:cs="Arial"/>
        </w:rPr>
        <w:t xml:space="preserve">., sentencia de fondo y reparaciones en el Caso </w:t>
      </w:r>
      <w:proofErr w:type="spellStart"/>
      <w:r w:rsidRPr="004F7C78">
        <w:rPr>
          <w:rFonts w:cs="Arial"/>
        </w:rPr>
        <w:t>Gelman</w:t>
      </w:r>
      <w:proofErr w:type="spellEnd"/>
      <w:r w:rsidRPr="004F7C78">
        <w:rPr>
          <w:rFonts w:cs="Arial"/>
        </w:rPr>
        <w:t xml:space="preserve"> vs. Uruguay, del 24 de febrero de  2011). Por su lado, la Corte Constitucional colombiana asegura que estos derechos encuentran fundamento jurídico positivo en el artículo 22 superior sobre el derecho a la paz (</w:t>
      </w:r>
      <w:r w:rsidRPr="004F7C78">
        <w:rPr>
          <w:rFonts w:cs="Arial"/>
          <w:i/>
        </w:rPr>
        <w:t>Cfr</w:t>
      </w:r>
      <w:r w:rsidRPr="004F7C78">
        <w:rPr>
          <w:rFonts w:cs="Arial"/>
        </w:rPr>
        <w:t xml:space="preserve">., sentencia T-821 de 2007). </w:t>
      </w:r>
    </w:p>
  </w:footnote>
  <w:footnote w:id="56">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Corte Constitucional, comunicado de prensa No. 34 del 28 de agosto de 2013. </w:t>
      </w:r>
    </w:p>
  </w:footnote>
  <w:footnote w:id="57">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Corte Interamericana de Derechos Humanos, sentencia de fondo y reparaciones en el Caso </w:t>
      </w:r>
      <w:proofErr w:type="spellStart"/>
      <w:r w:rsidRPr="004F7C78">
        <w:rPr>
          <w:rFonts w:cs="Arial"/>
        </w:rPr>
        <w:t>Gelman</w:t>
      </w:r>
      <w:proofErr w:type="spellEnd"/>
      <w:r w:rsidRPr="004F7C78">
        <w:rPr>
          <w:rFonts w:cs="Arial"/>
        </w:rPr>
        <w:t xml:space="preserve"> vs. Uruguay, del 24 de febrero de  2011, párrafo 239.</w:t>
      </w:r>
    </w:p>
  </w:footnote>
  <w:footnote w:id="58">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Sentencia T-554 de 2003.</w:t>
      </w:r>
    </w:p>
  </w:footnote>
  <w:footnote w:id="59">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Ídem. </w:t>
      </w:r>
    </w:p>
  </w:footnote>
  <w:footnote w:id="60">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Ídem. </w:t>
      </w:r>
    </w:p>
  </w:footnote>
  <w:footnote w:id="61">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Corte Interamericana de Derechos Humanos, sentencia del Caso González y otras (“Campo Algodonero”) vs. México, 16 de noviembre de 2009, párrafos 300 y 301.</w:t>
      </w:r>
    </w:p>
  </w:footnote>
  <w:footnote w:id="62">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Corte Constitucional, sentencia C-839 de 2013.</w:t>
      </w:r>
    </w:p>
  </w:footnote>
  <w:footnote w:id="63">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w:t>
      </w:r>
      <w:r w:rsidRPr="004F7C78">
        <w:rPr>
          <w:rFonts w:cs="Arial"/>
          <w:i/>
        </w:rPr>
        <w:t>Cfr</w:t>
      </w:r>
      <w:r w:rsidRPr="004F7C78">
        <w:rPr>
          <w:rFonts w:cs="Arial"/>
        </w:rPr>
        <w:t>., “Principios y directrices básicos sobre el derecho de las víctimas de violaciones manifiestas de las normas internacionales de derechos humanos y de violaciones graves del derecho internacional humanitario a interponer recursos y obtener reparaciones”, Resolución 60/147 aprobada por la Asamblea General de la Organización de las Naciones Unidas el 16 de diciembre de 2005.</w:t>
      </w:r>
    </w:p>
  </w:footnote>
  <w:footnote w:id="64">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Corte Constitucional, sentencia C-839 de 2013.</w:t>
      </w:r>
    </w:p>
  </w:footnote>
  <w:footnote w:id="65">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Ver, entre muchas otras, las sentencias del 22 de junio de 2010 (expediente 2010-1829), 4 de agosto de 2010 (expediente 2010-00226), 19 de agosto de 2010 (expediente 2010-2400), 4 de marzo de 2011 (expediente 2011-417), 11 de mayo de 2011 (expediente 2011-996),  18 de diciembre de 2013 (expediente2013-3263), 20 de noviembre 2013 (expediente 2013-2962) y 6 de noviembre de 2013 (expediente 2013-2852).</w:t>
      </w:r>
    </w:p>
  </w:footnote>
  <w:footnote w:id="66">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Expediente 2014-286, sentencia de 26 de febrero de 2014. </w:t>
      </w:r>
    </w:p>
  </w:footnote>
  <w:footnote w:id="67">
    <w:p w:rsidR="007F6D10" w:rsidRPr="004F7C78" w:rsidRDefault="007F6D10" w:rsidP="007F6D10">
      <w:pPr>
        <w:pStyle w:val="Textonotapie"/>
        <w:rPr>
          <w:rFonts w:cs="Arial"/>
        </w:rPr>
      </w:pPr>
      <w:r w:rsidRPr="004F7C78">
        <w:rPr>
          <w:rStyle w:val="Refdenotaalpie"/>
          <w:rFonts w:cs="Arial"/>
        </w:rPr>
        <w:footnoteRef/>
      </w:r>
      <w:r w:rsidRPr="004F7C78">
        <w:rPr>
          <w:rFonts w:cs="Arial"/>
        </w:rPr>
        <w:t xml:space="preserve"> </w:t>
      </w:r>
      <w:r w:rsidRPr="004F7C78">
        <w:rPr>
          <w:rFonts w:cs="Arial"/>
          <w:i/>
        </w:rPr>
        <w:t>Cfr</w:t>
      </w:r>
      <w:r w:rsidRPr="004F7C78">
        <w:rPr>
          <w:rFonts w:cs="Arial"/>
        </w:rPr>
        <w:t>., entre otras, la sentencia T-002 de 2012.</w:t>
      </w:r>
    </w:p>
  </w:footnote>
  <w:footnote w:id="68">
    <w:p w:rsidR="007F6D10" w:rsidRDefault="007F6D10" w:rsidP="007F6D10">
      <w:pPr>
        <w:pStyle w:val="Textonotapie"/>
        <w:rPr>
          <w:rFonts w:cs="Arial"/>
        </w:rPr>
      </w:pPr>
      <w:r>
        <w:rPr>
          <w:rStyle w:val="Refdenotaalpie"/>
          <w:rFonts w:cs="Arial"/>
        </w:rPr>
        <w:footnoteRef/>
      </w:r>
      <w:r>
        <w:rPr>
          <w:rFonts w:cs="Arial"/>
        </w:rPr>
        <w:t xml:space="preserve"> Corte Constitucional, </w:t>
      </w:r>
      <w:r>
        <w:rPr>
          <w:rStyle w:val="PiedepginaCar"/>
          <w:iCs/>
          <w:shd w:val="clear" w:color="auto" w:fill="FFFFFF"/>
        </w:rPr>
        <w:t>sentencia T-552 de 2003.</w:t>
      </w:r>
    </w:p>
  </w:footnote>
  <w:footnote w:id="69">
    <w:p w:rsidR="007F6D10" w:rsidRDefault="007F6D10" w:rsidP="007F6D10">
      <w:pPr>
        <w:pStyle w:val="Textonotapie"/>
      </w:pPr>
      <w:r>
        <w:rPr>
          <w:rStyle w:val="Refdenotaalpie"/>
        </w:rPr>
        <w:footnoteRef/>
      </w:r>
      <w:r>
        <w:t xml:space="preserve"> Folio 74 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D10" w:rsidRPr="00996C07" w:rsidRDefault="007F6D10" w:rsidP="007F6D10">
    <w:pPr>
      <w:pStyle w:val="Encabezado"/>
      <w:rPr>
        <w:sz w:val="18"/>
        <w:szCs w:val="18"/>
      </w:rPr>
    </w:pPr>
    <w:r>
      <w:rPr>
        <w:sz w:val="18"/>
        <w:szCs w:val="18"/>
      </w:rPr>
      <w:t>Conflicto de jurisdicción ordinaria e indígena</w:t>
    </w:r>
    <w:r w:rsidRPr="00996C07">
      <w:rPr>
        <w:sz w:val="18"/>
        <w:szCs w:val="18"/>
      </w:rPr>
      <w:t xml:space="preserve"> </w:t>
    </w:r>
  </w:p>
  <w:p w:rsidR="007F6D10" w:rsidRPr="00620E4C" w:rsidRDefault="007F6D10" w:rsidP="007F6D10">
    <w:pPr>
      <w:pStyle w:val="Encabezado"/>
      <w:rPr>
        <w:sz w:val="18"/>
        <w:szCs w:val="18"/>
      </w:rPr>
    </w:pPr>
    <w:r w:rsidRPr="00996C07">
      <w:rPr>
        <w:sz w:val="18"/>
        <w:szCs w:val="18"/>
      </w:rPr>
      <w:t>Radi</w:t>
    </w:r>
    <w:r>
      <w:rPr>
        <w:sz w:val="18"/>
        <w:szCs w:val="18"/>
      </w:rPr>
      <w:t xml:space="preserve">cación: </w:t>
    </w:r>
    <w:r w:rsidRPr="00011516">
      <w:rPr>
        <w:bCs/>
        <w:iCs/>
        <w:sz w:val="18"/>
        <w:szCs w:val="18"/>
      </w:rPr>
      <w:t>110010102000201302741 00</w:t>
    </w:r>
  </w:p>
  <w:p w:rsidR="007F6D10" w:rsidRDefault="007F6D10">
    <w:pPr>
      <w:pStyle w:val="Encabezado"/>
    </w:pPr>
  </w:p>
  <w:p w:rsidR="007F6D10" w:rsidRDefault="007F6D1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6B188B"/>
    <w:multiLevelType w:val="hybridMultilevel"/>
    <w:tmpl w:val="6F4AE0CE"/>
    <w:lvl w:ilvl="0" w:tplc="5A0602F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B505AA6"/>
    <w:multiLevelType w:val="hybridMultilevel"/>
    <w:tmpl w:val="D8B07400"/>
    <w:lvl w:ilvl="0" w:tplc="A9EEB84C">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49416F4"/>
    <w:multiLevelType w:val="hybridMultilevel"/>
    <w:tmpl w:val="83A61C22"/>
    <w:lvl w:ilvl="0" w:tplc="A470F5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1C2"/>
    <w:rsid w:val="001E0F04"/>
    <w:rsid w:val="00213F1E"/>
    <w:rsid w:val="002D350D"/>
    <w:rsid w:val="007F6D10"/>
    <w:rsid w:val="009121A3"/>
    <w:rsid w:val="00AA32F3"/>
    <w:rsid w:val="00AB2090"/>
    <w:rsid w:val="00AE31C2"/>
    <w:rsid w:val="00B00928"/>
    <w:rsid w:val="00E752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17925-227C-498F-B51B-5060D64A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D10"/>
    <w:pPr>
      <w:spacing w:after="0" w:line="240" w:lineRule="auto"/>
      <w:jc w:val="both"/>
    </w:pPr>
    <w:rPr>
      <w:rFonts w:ascii="Arial" w:hAnsi="Arial" w:cs="Arial"/>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F6D10"/>
    <w:pPr>
      <w:tabs>
        <w:tab w:val="center" w:pos="4252"/>
        <w:tab w:val="right" w:pos="8504"/>
      </w:tabs>
    </w:pPr>
  </w:style>
  <w:style w:type="character" w:customStyle="1" w:styleId="PiedepginaCar">
    <w:name w:val="Pie de página Car"/>
    <w:basedOn w:val="Fuentedeprrafopredeter"/>
    <w:link w:val="Piedepgina"/>
    <w:uiPriority w:val="99"/>
    <w:rsid w:val="007F6D10"/>
    <w:rPr>
      <w:rFonts w:ascii="Arial" w:hAnsi="Arial" w:cs="Arial"/>
      <w:sz w:val="20"/>
      <w:szCs w:val="20"/>
    </w:rPr>
  </w:style>
  <w:style w:type="character" w:styleId="Refdenotaalpie">
    <w:name w:val="footnote reference"/>
    <w:aliases w:val="Texto de nota al pie,Appel note de bas de page,referencia nota al pie"/>
    <w:uiPriority w:val="99"/>
    <w:unhideWhenUsed/>
    <w:rsid w:val="007F6D10"/>
    <w:rPr>
      <w:rFonts w:ascii="Times New Roman" w:hAnsi="Times New Roman" w:cs="Times New Roman" w:hint="default"/>
      <w:vertAlign w:val="superscript"/>
    </w:rPr>
  </w:style>
  <w:style w:type="paragraph" w:styleId="Textonotapie">
    <w:name w:val="footnote text"/>
    <w:basedOn w:val="Normal"/>
    <w:link w:val="TextonotapieCar"/>
    <w:uiPriority w:val="99"/>
    <w:unhideWhenUsed/>
    <w:rsid w:val="007F6D10"/>
    <w:rPr>
      <w:rFonts w:eastAsia="Times New Roman" w:cs="Times New Roman"/>
      <w:color w:val="000000"/>
      <w:lang w:val="es-CO" w:eastAsia="es-ES"/>
    </w:rPr>
  </w:style>
  <w:style w:type="character" w:customStyle="1" w:styleId="TextonotapieCar">
    <w:name w:val="Texto nota pie Car"/>
    <w:basedOn w:val="Fuentedeprrafopredeter"/>
    <w:link w:val="Textonotapie"/>
    <w:uiPriority w:val="99"/>
    <w:rsid w:val="007F6D10"/>
    <w:rPr>
      <w:rFonts w:ascii="Arial" w:eastAsia="Times New Roman" w:hAnsi="Arial" w:cs="Times New Roman"/>
      <w:color w:val="000000"/>
      <w:sz w:val="20"/>
      <w:szCs w:val="20"/>
      <w:lang w:val="es-CO" w:eastAsia="es-ES"/>
    </w:rPr>
  </w:style>
  <w:style w:type="character" w:styleId="Hipervnculo">
    <w:name w:val="Hyperlink"/>
    <w:uiPriority w:val="99"/>
    <w:unhideWhenUsed/>
    <w:rsid w:val="007F6D10"/>
    <w:rPr>
      <w:color w:val="0563C1"/>
      <w:u w:val="single"/>
    </w:rPr>
  </w:style>
  <w:style w:type="character" w:customStyle="1" w:styleId="apple-converted-space">
    <w:name w:val="apple-converted-space"/>
    <w:basedOn w:val="Fuentedeprrafopredeter"/>
    <w:rsid w:val="007F6D10"/>
  </w:style>
  <w:style w:type="character" w:customStyle="1" w:styleId="apple-style-span">
    <w:name w:val="apple-style-span"/>
    <w:basedOn w:val="Fuentedeprrafopredeter"/>
    <w:rsid w:val="007F6D10"/>
  </w:style>
  <w:style w:type="paragraph" w:styleId="Prrafodelista">
    <w:name w:val="List Paragraph"/>
    <w:basedOn w:val="Normal"/>
    <w:uiPriority w:val="34"/>
    <w:qFormat/>
    <w:rsid w:val="007F6D10"/>
    <w:pPr>
      <w:ind w:left="720"/>
      <w:contextualSpacing/>
    </w:pPr>
  </w:style>
  <w:style w:type="paragraph" w:styleId="Encabezado">
    <w:name w:val="header"/>
    <w:basedOn w:val="Normal"/>
    <w:link w:val="EncabezadoCar"/>
    <w:uiPriority w:val="99"/>
    <w:unhideWhenUsed/>
    <w:rsid w:val="007F6D10"/>
    <w:pPr>
      <w:tabs>
        <w:tab w:val="center" w:pos="4252"/>
        <w:tab w:val="right" w:pos="8504"/>
      </w:tabs>
    </w:pPr>
  </w:style>
  <w:style w:type="character" w:customStyle="1" w:styleId="EncabezadoCar">
    <w:name w:val="Encabezado Car"/>
    <w:basedOn w:val="Fuentedeprrafopredeter"/>
    <w:link w:val="Encabezado"/>
    <w:uiPriority w:val="99"/>
    <w:rsid w:val="007F6D10"/>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idh.ed.cr/BibliotecaWeb/Varios/Documentos/BD_2084057325/Asimilacionismo.doc?ur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32</Pages>
  <Words>9780</Words>
  <Characters>53791</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Marcela Rodriguez Vargas</dc:creator>
  <cp:keywords/>
  <dc:description/>
  <cp:lastModifiedBy>Belkis Izquierdo</cp:lastModifiedBy>
  <cp:revision>3</cp:revision>
  <dcterms:created xsi:type="dcterms:W3CDTF">2014-12-10T15:14:00Z</dcterms:created>
  <dcterms:modified xsi:type="dcterms:W3CDTF">2015-05-26T18:42:00Z</dcterms:modified>
</cp:coreProperties>
</file>