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2541" w14:textId="77777777" w:rsidR="003D4847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5DEBF20C" w14:textId="77777777" w:rsidR="003D4847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3FB1A27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52493">
        <w:rPr>
          <w:rFonts w:ascii="Times New Roman" w:hAnsi="Times New Roman" w:cs="Times New Roman"/>
          <w:sz w:val="20"/>
          <w:szCs w:val="20"/>
          <w:u w:val="single"/>
        </w:rPr>
        <w:t>E D I C T O</w:t>
      </w:r>
    </w:p>
    <w:p w14:paraId="1CB326A5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FDE593E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EL SUSCRITO SECRETARIO DE LA SALA CIVIL – FAMILIA</w:t>
      </w:r>
    </w:p>
    <w:p w14:paraId="30125613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DEL TRIBUNAL SUPERIOR DE BARRANQUILLA</w:t>
      </w:r>
    </w:p>
    <w:p w14:paraId="4A7CD35F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C5AD64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9B2E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HACE SABER:</w:t>
      </w:r>
    </w:p>
    <w:p w14:paraId="2E718FD4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A7832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FE995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Que se ha dictado </w:t>
      </w:r>
      <w:r>
        <w:rPr>
          <w:rFonts w:ascii="Times New Roman" w:hAnsi="Times New Roman" w:cs="Times New Roman"/>
          <w:sz w:val="20"/>
          <w:szCs w:val="20"/>
        </w:rPr>
        <w:t>un SENTENCIA</w:t>
      </w:r>
      <w:r w:rsidRPr="00252493">
        <w:rPr>
          <w:rFonts w:ascii="Times New Roman" w:hAnsi="Times New Roman" w:cs="Times New Roman"/>
          <w:sz w:val="20"/>
          <w:szCs w:val="20"/>
        </w:rPr>
        <w:t xml:space="preserve"> dentro del proceso:</w:t>
      </w:r>
    </w:p>
    <w:p w14:paraId="7890AE40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9C522" w14:textId="60731135" w:rsidR="003D4847" w:rsidRPr="001D7B4B" w:rsidRDefault="003D4847" w:rsidP="001D7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RADICACION N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52493">
        <w:rPr>
          <w:rFonts w:ascii="Times New Roman" w:hAnsi="Times New Roman" w:cs="Times New Roman"/>
          <w:sz w:val="20"/>
          <w:szCs w:val="20"/>
        </w:rPr>
        <w:t xml:space="preserve">. </w:t>
      </w:r>
      <w:r w:rsidR="001D7B4B">
        <w:rPr>
          <w:rFonts w:ascii="Times New Roman" w:hAnsi="Times New Roman" w:cs="Times New Roman"/>
          <w:sz w:val="20"/>
          <w:szCs w:val="20"/>
        </w:rPr>
        <w:t xml:space="preserve">  </w:t>
      </w:r>
      <w:r w:rsidR="001D7B4B" w:rsidRPr="001D7B4B">
        <w:rPr>
          <w:rFonts w:ascii="Times New Roman" w:hAnsi="Times New Roman" w:cs="Times New Roman"/>
          <w:sz w:val="20"/>
          <w:szCs w:val="20"/>
        </w:rPr>
        <w:t>08758311200120240005101</w:t>
      </w:r>
    </w:p>
    <w:p w14:paraId="178C9B2C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96185C" w14:textId="6312D5BD" w:rsidR="003D4847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RAD. INTERNO</w:t>
      </w:r>
      <w:r w:rsidRPr="0025249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bookmarkStart w:id="0" w:name="_GoBack"/>
      <w:r w:rsidR="0014373C">
        <w:rPr>
          <w:rFonts w:ascii="Times New Roman" w:hAnsi="Times New Roman" w:cs="Times New Roman"/>
          <w:b/>
          <w:noProof/>
          <w:sz w:val="20"/>
          <w:szCs w:val="20"/>
        </w:rPr>
        <w:t>T</w:t>
      </w:r>
      <w:r w:rsidR="001D7B4B">
        <w:rPr>
          <w:rFonts w:ascii="Times New Roman" w:hAnsi="Times New Roman" w:cs="Times New Roman"/>
          <w:b/>
          <w:noProof/>
          <w:sz w:val="20"/>
          <w:szCs w:val="20"/>
        </w:rPr>
        <w:t>00187</w:t>
      </w:r>
      <w:r w:rsidR="0014373C" w:rsidRPr="0014373C">
        <w:rPr>
          <w:rFonts w:ascii="Times New Roman" w:hAnsi="Times New Roman" w:cs="Times New Roman"/>
          <w:b/>
          <w:noProof/>
          <w:sz w:val="20"/>
          <w:szCs w:val="20"/>
        </w:rPr>
        <w:t>-2024</w:t>
      </w:r>
      <w:bookmarkEnd w:id="0"/>
    </w:p>
    <w:p w14:paraId="6F961727" w14:textId="77777777" w:rsidR="0014373C" w:rsidRPr="00252493" w:rsidRDefault="0014373C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315472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PROCESO:                 ACCIÓN DE TUTELA</w:t>
      </w:r>
    </w:p>
    <w:p w14:paraId="428156C8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B076D" w14:textId="3B68C2C7" w:rsidR="003D4847" w:rsidRPr="001D7B4B" w:rsidRDefault="003D4847" w:rsidP="001D7B4B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DEMANDANTE</w:t>
      </w:r>
      <w:r w:rsidR="0014373C">
        <w:rPr>
          <w:rFonts w:ascii="Times New Roman" w:hAnsi="Times New Roman" w:cs="Times New Roman"/>
          <w:sz w:val="20"/>
          <w:szCs w:val="20"/>
        </w:rPr>
        <w:t xml:space="preserve">:    </w:t>
      </w:r>
      <w:r w:rsidR="0014373C" w:rsidRPr="0014373C">
        <w:t xml:space="preserve"> </w:t>
      </w:r>
      <w:r w:rsidR="001D7B4B" w:rsidRPr="001D7B4B">
        <w:rPr>
          <w:rFonts w:ascii="Times New Roman" w:hAnsi="Times New Roman" w:cs="Times New Roman"/>
          <w:sz w:val="20"/>
          <w:szCs w:val="20"/>
        </w:rPr>
        <w:t>WILSON DE JESÚS MARTÍNEZ DEL VALLE</w:t>
      </w:r>
      <w:r w:rsidR="0014373C" w:rsidRPr="0014373C">
        <w:rPr>
          <w:rFonts w:ascii="Times New Roman" w:hAnsi="Times New Roman" w:cs="Times New Roman"/>
          <w:sz w:val="20"/>
          <w:szCs w:val="20"/>
        </w:rPr>
        <w:t>.</w:t>
      </w:r>
    </w:p>
    <w:p w14:paraId="3188D975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B36E4" w14:textId="2533FEDD" w:rsidR="003D4847" w:rsidRDefault="003D4847" w:rsidP="0014373C">
      <w:pPr>
        <w:ind w:left="1755" w:hanging="1755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DEMANDADO:</w:t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="001D7B4B" w:rsidRPr="001D7B4B">
        <w:rPr>
          <w:rFonts w:ascii="Times New Roman" w:hAnsi="Times New Roman" w:cs="Times New Roman"/>
          <w:sz w:val="20"/>
          <w:szCs w:val="20"/>
        </w:rPr>
        <w:t>JUZGADO CUARTO DE PEQUEÑAS CAUSAS Y COMPETENCIAS MÚLTIPLES DE SOLEDAD.</w:t>
      </w:r>
    </w:p>
    <w:p w14:paraId="4B45BD6B" w14:textId="65722113" w:rsidR="003D4847" w:rsidRDefault="0014373C" w:rsidP="001D7B4B">
      <w:pPr>
        <w:ind w:left="1755" w:hanging="17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VINCULADOS:   </w:t>
      </w:r>
      <w:r w:rsidR="001D7B4B">
        <w:rPr>
          <w:rFonts w:ascii="Times New Roman" w:hAnsi="Times New Roman" w:cs="Times New Roman"/>
          <w:sz w:val="20"/>
          <w:szCs w:val="20"/>
        </w:rPr>
        <w:t xml:space="preserve">    </w:t>
      </w:r>
      <w:r w:rsidR="001D7B4B" w:rsidRPr="001D7B4B">
        <w:rPr>
          <w:rFonts w:ascii="Times New Roman" w:hAnsi="Times New Roman" w:cs="Times New Roman"/>
          <w:sz w:val="20"/>
          <w:szCs w:val="20"/>
        </w:rPr>
        <w:t>LUIS ALBERTO BARRIO</w:t>
      </w:r>
      <w:r w:rsidR="001D7B4B">
        <w:rPr>
          <w:rFonts w:ascii="Times New Roman" w:hAnsi="Times New Roman" w:cs="Times New Roman"/>
          <w:sz w:val="20"/>
          <w:szCs w:val="20"/>
        </w:rPr>
        <w:t xml:space="preserve">S PINEDO, CLARIBETH DEL ROSARIO </w:t>
      </w:r>
      <w:r w:rsidR="001D7B4B" w:rsidRPr="001D7B4B">
        <w:rPr>
          <w:rFonts w:ascii="Times New Roman" w:hAnsi="Times New Roman" w:cs="Times New Roman"/>
          <w:sz w:val="20"/>
          <w:szCs w:val="20"/>
        </w:rPr>
        <w:t>MARTINEZ DEL VALLE, STHEFANY MORR</w:t>
      </w:r>
      <w:r w:rsidR="001D7B4B">
        <w:rPr>
          <w:rFonts w:ascii="Times New Roman" w:hAnsi="Times New Roman" w:cs="Times New Roman"/>
          <w:sz w:val="20"/>
          <w:szCs w:val="20"/>
        </w:rPr>
        <w:t xml:space="preserve">IS TORRES, INSPECCIÓN CUARTA DE </w:t>
      </w:r>
      <w:r w:rsidR="001D7B4B" w:rsidRPr="001D7B4B">
        <w:rPr>
          <w:rFonts w:ascii="Times New Roman" w:hAnsi="Times New Roman" w:cs="Times New Roman"/>
          <w:sz w:val="20"/>
          <w:szCs w:val="20"/>
        </w:rPr>
        <w:t>POLICIA URBANA DE SOLEDAD, FISCAL</w:t>
      </w:r>
      <w:r w:rsidR="001D7B4B">
        <w:rPr>
          <w:rFonts w:ascii="Times New Roman" w:hAnsi="Times New Roman" w:cs="Times New Roman"/>
          <w:sz w:val="20"/>
          <w:szCs w:val="20"/>
        </w:rPr>
        <w:t xml:space="preserve">IA QUINTA SECCIONAL DE SOLEDAD, </w:t>
      </w:r>
      <w:r w:rsidR="001D7B4B" w:rsidRPr="001D7B4B">
        <w:rPr>
          <w:rFonts w:ascii="Times New Roman" w:hAnsi="Times New Roman" w:cs="Times New Roman"/>
          <w:sz w:val="20"/>
          <w:szCs w:val="20"/>
        </w:rPr>
        <w:t>BRULEHYS ENRIQUE GUTIERREZ MACKENZIE y ALCALDÍA DE SOLEDAD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807DA0" w14:textId="77777777" w:rsidR="003D4847" w:rsidRDefault="003D4847" w:rsidP="003D4847">
      <w:pPr>
        <w:ind w:left="1755" w:hanging="1755"/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</w:pPr>
      <w:r>
        <w:rPr>
          <w:rFonts w:ascii="Times New Roman" w:hAnsi="Times New Roman" w:cs="Times New Roman"/>
          <w:sz w:val="20"/>
          <w:szCs w:val="20"/>
        </w:rPr>
        <w:t xml:space="preserve">MAGISTRADO PONENTE: </w:t>
      </w:r>
      <w:r w:rsidRPr="00204981">
        <w:rPr>
          <w:rFonts w:ascii="Times New Roman" w:hAnsi="Times New Roman" w:cs="Times New Roman"/>
          <w:sz w:val="20"/>
          <w:szCs w:val="20"/>
        </w:rPr>
        <w:t>YAENS CASTELLON GIRALDO</w:t>
      </w:r>
    </w:p>
    <w:p w14:paraId="55602F1A" w14:textId="7B281147" w:rsidR="003D4847" w:rsidRPr="00252493" w:rsidRDefault="003D4847" w:rsidP="003D4847">
      <w:pPr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FECHA </w:t>
      </w:r>
      <w:r>
        <w:rPr>
          <w:rFonts w:ascii="Times New Roman" w:hAnsi="Times New Roman" w:cs="Times New Roman"/>
          <w:sz w:val="20"/>
          <w:szCs w:val="20"/>
        </w:rPr>
        <w:t>DE LA SENTENCIA</w:t>
      </w:r>
      <w:r w:rsidRPr="00252493">
        <w:rPr>
          <w:rFonts w:ascii="Times New Roman" w:hAnsi="Times New Roman" w:cs="Times New Roman"/>
          <w:sz w:val="20"/>
          <w:szCs w:val="20"/>
        </w:rPr>
        <w:t xml:space="preserve">: </w:t>
      </w:r>
      <w:r w:rsidR="001D7B4B">
        <w:rPr>
          <w:rFonts w:ascii="Times New Roman" w:hAnsi="Times New Roman" w:cs="Times New Roman"/>
          <w:sz w:val="20"/>
          <w:szCs w:val="20"/>
        </w:rPr>
        <w:t>17/04</w:t>
      </w:r>
      <w:r w:rsidR="0014373C">
        <w:rPr>
          <w:rFonts w:ascii="Times New Roman" w:hAnsi="Times New Roman" w:cs="Times New Roman"/>
          <w:sz w:val="20"/>
          <w:szCs w:val="20"/>
        </w:rPr>
        <w:t>/2024</w:t>
      </w:r>
    </w:p>
    <w:p w14:paraId="65FBD953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CD400A" w14:textId="558AAC68" w:rsidR="003D4847" w:rsidRPr="00C75229" w:rsidRDefault="003D4847" w:rsidP="001D7B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5229">
        <w:rPr>
          <w:rFonts w:ascii="Times New Roman" w:hAnsi="Times New Roman" w:cs="Times New Roman"/>
          <w:sz w:val="20"/>
          <w:szCs w:val="20"/>
        </w:rPr>
        <w:t xml:space="preserve">Para notificar </w:t>
      </w:r>
      <w:r w:rsidR="001D7B4B">
        <w:rPr>
          <w:rFonts w:ascii="Times New Roman" w:hAnsi="Times New Roman" w:cs="Times New Roman"/>
          <w:sz w:val="20"/>
          <w:szCs w:val="20"/>
        </w:rPr>
        <w:t>a los señores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7B4B">
        <w:rPr>
          <w:rFonts w:ascii="Times New Roman" w:hAnsi="Times New Roman" w:cs="Times New Roman"/>
          <w:sz w:val="20"/>
          <w:szCs w:val="20"/>
        </w:rPr>
        <w:t xml:space="preserve">LUIS ALBERTO BARRIOS PINEDO, </w:t>
      </w:r>
      <w:r w:rsidR="001D7B4B" w:rsidRPr="001D7B4B">
        <w:rPr>
          <w:rFonts w:ascii="Times New Roman" w:hAnsi="Times New Roman" w:cs="Times New Roman"/>
          <w:sz w:val="20"/>
          <w:szCs w:val="20"/>
        </w:rPr>
        <w:t xml:space="preserve">CLARIBETH </w:t>
      </w:r>
      <w:r w:rsidR="001D7B4B">
        <w:rPr>
          <w:rFonts w:ascii="Times New Roman" w:hAnsi="Times New Roman" w:cs="Times New Roman"/>
          <w:sz w:val="20"/>
          <w:szCs w:val="20"/>
        </w:rPr>
        <w:t xml:space="preserve">DEL ROSARIO MARTINEZ DEL VALLE, STHEFANY MORRIS TORRES, </w:t>
      </w:r>
      <w:r w:rsidR="001D7B4B" w:rsidRPr="001D7B4B">
        <w:rPr>
          <w:rFonts w:ascii="Times New Roman" w:hAnsi="Times New Roman" w:cs="Times New Roman"/>
          <w:sz w:val="20"/>
          <w:szCs w:val="20"/>
        </w:rPr>
        <w:t>INSPECCIÓN CUARTA DE POLICIA URBANA DE</w:t>
      </w:r>
      <w:r w:rsidR="001D7B4B">
        <w:rPr>
          <w:rFonts w:ascii="Times New Roman" w:hAnsi="Times New Roman" w:cs="Times New Roman"/>
          <w:sz w:val="20"/>
          <w:szCs w:val="20"/>
        </w:rPr>
        <w:t xml:space="preserve"> SOLEDAD, </w:t>
      </w:r>
      <w:r w:rsidR="001D7B4B" w:rsidRPr="001D7B4B">
        <w:rPr>
          <w:rFonts w:ascii="Times New Roman" w:hAnsi="Times New Roman" w:cs="Times New Roman"/>
          <w:sz w:val="20"/>
          <w:szCs w:val="20"/>
        </w:rPr>
        <w:t>FISCAL</w:t>
      </w:r>
      <w:r w:rsidR="001D7B4B">
        <w:rPr>
          <w:rFonts w:ascii="Times New Roman" w:hAnsi="Times New Roman" w:cs="Times New Roman"/>
          <w:sz w:val="20"/>
          <w:szCs w:val="20"/>
        </w:rPr>
        <w:t xml:space="preserve">IA QUINTA SECCIONAL DE SOLEDAD, </w:t>
      </w:r>
      <w:r w:rsidR="001D7B4B" w:rsidRPr="001D7B4B">
        <w:rPr>
          <w:rFonts w:ascii="Times New Roman" w:hAnsi="Times New Roman" w:cs="Times New Roman"/>
          <w:sz w:val="20"/>
          <w:szCs w:val="20"/>
        </w:rPr>
        <w:t>BRULEH</w:t>
      </w:r>
      <w:r w:rsidR="001D7B4B">
        <w:rPr>
          <w:rFonts w:ascii="Times New Roman" w:hAnsi="Times New Roman" w:cs="Times New Roman"/>
          <w:sz w:val="20"/>
          <w:szCs w:val="20"/>
        </w:rPr>
        <w:t>YS ENRIQUE GUTIERREZ MACKENZIE, ALCALDÍA DE SOLEDAD</w:t>
      </w:r>
      <w:r w:rsidRPr="00626A89">
        <w:rPr>
          <w:rFonts w:ascii="Times New Roman" w:hAnsi="Times New Roman" w:cs="Times New Roman"/>
          <w:sz w:val="20"/>
          <w:szCs w:val="20"/>
        </w:rPr>
        <w:t>,</w:t>
      </w:r>
      <w:r w:rsidRPr="00C75229">
        <w:rPr>
          <w:rFonts w:ascii="Times New Roman" w:hAnsi="Times New Roman" w:cs="Times New Roman"/>
          <w:sz w:val="20"/>
          <w:szCs w:val="20"/>
        </w:rPr>
        <w:t xml:space="preserve"> de una sentencia proferida en desarrollo de la segunda instancia dentro del proceso de 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5229">
        <w:rPr>
          <w:rFonts w:ascii="Times New Roman" w:hAnsi="Times New Roman" w:cs="Times New Roman"/>
          <w:sz w:val="20"/>
          <w:szCs w:val="20"/>
        </w:rPr>
        <w:t>referencia, el cual resolvió: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4373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1E6EEA" w14:textId="77777777" w:rsidR="003D4847" w:rsidRPr="00C75229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835709" w14:textId="401276FF" w:rsidR="001D7B4B" w:rsidRDefault="003D4847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20498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"</w:t>
      </w:r>
      <w:r w:rsidRPr="001F67DE">
        <w:t xml:space="preserve"> </w:t>
      </w:r>
      <w:r w:rsidR="001D7B4B"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PRIMERO: CONFIRMAR el fallo proferido el 12 de marzo</w:t>
      </w:r>
      <w:r w:rsid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de 2024 por el Juzgado Primero </w:t>
      </w:r>
      <w:r w:rsidR="001D7B4B"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Civil del Circuito de Soledad, al interior de la acción de tutela </w:t>
      </w:r>
      <w:r w:rsid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promovida por WILSON DE </w:t>
      </w:r>
      <w:r w:rsidR="001D7B4B"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JESÚS MARTÍNEZ DEL VALLE contr</w:t>
      </w:r>
      <w:r w:rsid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a el JUZGADO CUARTO DE PEQUEÑAS </w:t>
      </w:r>
      <w:r w:rsidR="001D7B4B"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CAUSAS Y COMPETENCIAS MÚLTIPLES DE SOL</w:t>
      </w:r>
      <w:r w:rsid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EDAD, conforme a los argumentos </w:t>
      </w:r>
      <w:r w:rsidR="001D7B4B"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expuestos en esta providencia.</w:t>
      </w:r>
    </w:p>
    <w:p w14:paraId="1F6BF599" w14:textId="77777777" w:rsidR="001D7B4B" w:rsidRPr="001D7B4B" w:rsidRDefault="001D7B4B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</w:p>
    <w:p w14:paraId="2230D7AE" w14:textId="771F5A50" w:rsidR="001D7B4B" w:rsidRPr="001D7B4B" w:rsidRDefault="001D7B4B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SEGUNDO: Notifíquese lo decidido a los sujetos de este trámite y a lo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s vinculados, mediante </w:t>
      </w: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el medio más expedito. Se dispone que las comunicaciones co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rrespondientes, se realicen por </w:t>
      </w: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medio del correo electrón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ico de la secretaría de la Sala </w:t>
      </w: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seccfbqlla@cendoj.ramajudicial.gov.co.</w:t>
      </w:r>
    </w:p>
    <w:p w14:paraId="7BFC5EA8" w14:textId="77777777" w:rsidR="001D7B4B" w:rsidRDefault="001D7B4B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</w:p>
    <w:p w14:paraId="46CEF83D" w14:textId="08D8B09E" w:rsidR="001D7B4B" w:rsidRPr="001D7B4B" w:rsidRDefault="001D7B4B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TERCERO: Remitir oportunamente el expediente a la Corte Constitucional, para la eventual</w:t>
      </w:r>
    </w:p>
    <w:p w14:paraId="2A876F03" w14:textId="0D1627B0" w:rsidR="003D4847" w:rsidRPr="0014373C" w:rsidRDefault="001D7B4B" w:rsidP="001D7B4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1D7B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revisión de este fallo</w:t>
      </w:r>
      <w:r w:rsidR="0014373C" w:rsidRPr="001437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.</w:t>
      </w:r>
      <w:r w:rsidR="003D4847" w:rsidRPr="0020498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"</w:t>
      </w:r>
    </w:p>
    <w:p w14:paraId="28BA845B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5CE72FB" w14:textId="77777777" w:rsidR="0014373C" w:rsidRDefault="0014373C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3B00A2" w14:textId="0DBE9DDD" w:rsidR="003D4847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Se fija el presente EDICTO, en un lugar público de la secretaría por el término de un (1) día, hoy </w:t>
      </w:r>
      <w:r w:rsidR="001D7B4B">
        <w:rPr>
          <w:rFonts w:ascii="Times New Roman" w:hAnsi="Times New Roman" w:cs="Times New Roman"/>
          <w:sz w:val="20"/>
          <w:szCs w:val="20"/>
        </w:rPr>
        <w:t>19 de abril</w:t>
      </w:r>
      <w:r w:rsidR="0014373C">
        <w:rPr>
          <w:rFonts w:ascii="Times New Roman" w:hAnsi="Times New Roman" w:cs="Times New Roman"/>
          <w:sz w:val="20"/>
          <w:szCs w:val="20"/>
        </w:rPr>
        <w:t xml:space="preserve"> de 2024</w:t>
      </w:r>
      <w:r w:rsidRPr="00252493">
        <w:rPr>
          <w:rFonts w:ascii="Times New Roman" w:hAnsi="Times New Roman" w:cs="Times New Roman"/>
          <w:sz w:val="20"/>
          <w:szCs w:val="20"/>
        </w:rPr>
        <w:t>, siendo las ocho de la mañana (8:00 am).</w:t>
      </w:r>
    </w:p>
    <w:p w14:paraId="636DBC68" w14:textId="77777777" w:rsidR="0014373C" w:rsidRPr="00252493" w:rsidRDefault="0014373C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40A37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ab/>
        <w:t>El Secretario,</w:t>
      </w:r>
    </w:p>
    <w:p w14:paraId="2E589EC6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WILLIAM PACHECO BARRANGÀN</w:t>
      </w:r>
    </w:p>
    <w:p w14:paraId="18CFCDA6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062E06" w14:textId="24A69595" w:rsidR="00734996" w:rsidRPr="003D4847" w:rsidRDefault="00734996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734996" w:rsidRPr="003D4847" w:rsidSect="00C603B3">
      <w:headerReference w:type="default" r:id="rId6"/>
      <w:footerReference w:type="default" r:id="rId7"/>
      <w:pgSz w:w="12240" w:h="18720" w:code="14"/>
      <w:pgMar w:top="1701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C9B5" w14:textId="77777777" w:rsidR="00451845" w:rsidRDefault="00451845">
      <w:pPr>
        <w:spacing w:after="0" w:line="240" w:lineRule="auto"/>
      </w:pPr>
      <w:r>
        <w:separator/>
      </w:r>
    </w:p>
  </w:endnote>
  <w:endnote w:type="continuationSeparator" w:id="0">
    <w:p w14:paraId="67E97F89" w14:textId="77777777" w:rsidR="00451845" w:rsidRDefault="0045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25F3" w14:textId="77777777" w:rsidR="006A6D92" w:rsidRDefault="00A71B5E" w:rsidP="00B70D1A">
    <w:pPr>
      <w:spacing w:after="0" w:line="240" w:lineRule="auto"/>
      <w:jc w:val="both"/>
      <w:rPr>
        <w:rFonts w:ascii="Times New Roman" w:hAnsi="Times New Roman" w:cs="Times New Roman"/>
        <w:bCs/>
        <w:iCs/>
        <w:sz w:val="16"/>
        <w:szCs w:val="16"/>
        <w:lang w:val="es-ES"/>
      </w:rPr>
    </w:pPr>
    <w:r>
      <w:rPr>
        <w:rFonts w:ascii="Times New Roman" w:hAnsi="Times New Roman" w:cs="Times New Roman"/>
        <w:bCs/>
        <w:iCs/>
        <w:sz w:val="16"/>
        <w:szCs w:val="16"/>
      </w:rPr>
      <w:t>Dirección: carrera 45 calle 44-12 Primer Piso</w:t>
    </w:r>
  </w:p>
  <w:p w14:paraId="6CEFBF3B" w14:textId="77777777" w:rsidR="006A6D92" w:rsidRDefault="00A71B5E" w:rsidP="00B70D1A">
    <w:pPr>
      <w:spacing w:after="0" w:line="240" w:lineRule="auto"/>
      <w:rPr>
        <w:rFonts w:ascii="Times New Roman" w:hAnsi="Times New Roman" w:cs="Times New Roman"/>
        <w:bCs/>
        <w:iCs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 xml:space="preserve">Telefax: (95) 3402512. </w:t>
    </w:r>
    <w:hyperlink r:id="rId1" w:history="1">
      <w:r>
        <w:rPr>
          <w:rStyle w:val="Hipervnculo"/>
          <w:rFonts w:ascii="Times New Roman" w:hAnsi="Times New Roman" w:cs="Times New Roman"/>
          <w:bCs/>
          <w:iCs/>
          <w:sz w:val="16"/>
          <w:szCs w:val="16"/>
        </w:rPr>
        <w:t>www.ramajudicial.gov.co</w:t>
      </w:r>
    </w:hyperlink>
  </w:p>
  <w:p w14:paraId="44882043" w14:textId="77777777" w:rsidR="006A6D92" w:rsidRDefault="00A71B5E" w:rsidP="00B70D1A">
    <w:pPr>
      <w:spacing w:after="0" w:line="240" w:lineRule="auto"/>
      <w:rPr>
        <w:rFonts w:ascii="Times New Roman" w:hAnsi="Times New Roman" w:cs="Times New Roman"/>
        <w:bCs/>
        <w:iCs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>Correo Electrónico:  seccfbqlla@cendoj.ramajudicial.gov.co</w:t>
    </w:r>
  </w:p>
  <w:p w14:paraId="354A7E7C" w14:textId="77777777" w:rsidR="006A6D92" w:rsidRDefault="00A71B5E" w:rsidP="00B70D1A">
    <w:pPr>
      <w:pStyle w:val="Piedep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>Barranquilla– Atlántico.  Colombia</w:t>
    </w:r>
  </w:p>
  <w:p w14:paraId="05E33437" w14:textId="77777777" w:rsidR="006A6D92" w:rsidRDefault="006A6D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57ED" w14:textId="77777777" w:rsidR="00451845" w:rsidRDefault="00451845">
      <w:pPr>
        <w:spacing w:after="0" w:line="240" w:lineRule="auto"/>
      </w:pPr>
      <w:r>
        <w:separator/>
      </w:r>
    </w:p>
  </w:footnote>
  <w:footnote w:type="continuationSeparator" w:id="0">
    <w:p w14:paraId="3C69FFF4" w14:textId="77777777" w:rsidR="00451845" w:rsidRDefault="0045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7BB8" w14:textId="77777777" w:rsidR="006A6D92" w:rsidRDefault="00A71B5E" w:rsidP="00FA4818">
    <w:pPr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727F117" wp14:editId="1258CA36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3" name="Imagen 1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51564" w14:textId="77777777" w:rsidR="006A6D92" w:rsidRDefault="006A6D92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</w:p>
  <w:p w14:paraId="4112651C" w14:textId="77777777" w:rsidR="006A6D92" w:rsidRDefault="00A71B5E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Rama Judicial del Poder Público</w:t>
    </w:r>
  </w:p>
  <w:p w14:paraId="79BDBD75" w14:textId="77777777" w:rsidR="006A6D92" w:rsidRDefault="00A71B5E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Consejo Seccional de la Judicatura del Atlántico</w:t>
    </w:r>
  </w:p>
  <w:p w14:paraId="7F1A2CFB" w14:textId="77777777" w:rsidR="006A6D92" w:rsidRPr="00516B5E" w:rsidRDefault="00A71B5E" w:rsidP="00FA4818">
    <w:pPr>
      <w:pStyle w:val="Encabezado"/>
      <w:ind w:left="993"/>
      <w:jc w:val="center"/>
      <w:rPr>
        <w:rFonts w:ascii="Arial" w:hAnsi="Arial" w:cs="Arial"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Secretaria de la Sala Civil-Familia del Tribunal Superior de Barranquilla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47"/>
    <w:rsid w:val="0014373C"/>
    <w:rsid w:val="001D7B4B"/>
    <w:rsid w:val="002A1E2D"/>
    <w:rsid w:val="003D4847"/>
    <w:rsid w:val="00451845"/>
    <w:rsid w:val="006A6D92"/>
    <w:rsid w:val="00734996"/>
    <w:rsid w:val="00A71B5E"/>
    <w:rsid w:val="00A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7A90"/>
  <w15:chartTrackingRefBased/>
  <w15:docId w15:val="{46A0C591-B195-4C41-939D-E32E17CC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47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4847"/>
    <w:pPr>
      <w:tabs>
        <w:tab w:val="center" w:pos="4419"/>
        <w:tab w:val="right" w:pos="8838"/>
      </w:tabs>
      <w:spacing w:after="0" w:line="240" w:lineRule="auto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D4847"/>
    <w:rPr>
      <w:rFonts w:ascii="Garamond" w:eastAsia="Times New Roman" w:hAnsi="Garamond" w:cs="Times New Roman"/>
      <w:kern w:val="0"/>
      <w:sz w:val="28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3D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D4847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D48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MILENA MAZA NAVARRO</dc:creator>
  <cp:keywords/>
  <dc:description/>
  <cp:lastModifiedBy>Cintia Milena Maza Navavrro</cp:lastModifiedBy>
  <cp:revision>2</cp:revision>
  <dcterms:created xsi:type="dcterms:W3CDTF">2024-04-17T21:23:00Z</dcterms:created>
  <dcterms:modified xsi:type="dcterms:W3CDTF">2024-04-17T21:23:00Z</dcterms:modified>
</cp:coreProperties>
</file>