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D7A08" w:rsidR="00737B1E" w:rsidP="006F3506" w:rsidRDefault="00737B1E" w14:paraId="35D5FFA9" w14:textId="6BB20B9F">
      <w:pPr>
        <w:keepNext/>
        <w:widowControl w:val="0"/>
        <w:overflowPunct w:val="0"/>
        <w:autoSpaceDE w:val="0"/>
        <w:autoSpaceDN w:val="0"/>
        <w:adjustRightInd w:val="0"/>
        <w:spacing w:after="0" w:line="240" w:lineRule="auto"/>
        <w:jc w:val="both"/>
        <w:outlineLvl w:val="0"/>
        <w:rPr>
          <w:rFonts w:ascii="Tahoma" w:hAnsi="Tahoma" w:eastAsia="Times New Roman" w:cs="Tahoma"/>
          <w:sz w:val="24"/>
          <w:szCs w:val="24"/>
          <w:lang w:eastAsia="es-ES"/>
        </w:rPr>
      </w:pPr>
      <w:r w:rsidRPr="002D7A08">
        <w:rPr>
          <w:rFonts w:ascii="Tahoma" w:hAnsi="Tahoma" w:eastAsia="Times New Roman" w:cs="Tahoma"/>
          <w:sz w:val="24"/>
          <w:szCs w:val="24"/>
          <w:lang w:eastAsia="es-ES"/>
        </w:rPr>
        <w:t>Constancia secretarial. A despacho de la señora juez, el presente proceso para resolver el recurso de reposición</w:t>
      </w:r>
      <w:r w:rsidR="00CA04BF">
        <w:rPr>
          <w:rFonts w:ascii="Tahoma" w:hAnsi="Tahoma" w:eastAsia="Times New Roman" w:cs="Tahoma"/>
          <w:sz w:val="24"/>
          <w:szCs w:val="24"/>
          <w:lang w:eastAsia="es-ES"/>
        </w:rPr>
        <w:t xml:space="preserve"> en subsidio de queja</w:t>
      </w:r>
      <w:r w:rsidRPr="002D7A08">
        <w:rPr>
          <w:rFonts w:ascii="Tahoma" w:hAnsi="Tahoma" w:eastAsia="Times New Roman" w:cs="Tahoma"/>
          <w:sz w:val="24"/>
          <w:szCs w:val="24"/>
          <w:lang w:eastAsia="es-ES"/>
        </w:rPr>
        <w:t xml:space="preserve"> interpuesto por </w:t>
      </w:r>
      <w:r w:rsidR="00CA04BF">
        <w:rPr>
          <w:rFonts w:ascii="Tahoma" w:hAnsi="Tahoma" w:eastAsia="Times New Roman" w:cs="Tahoma"/>
          <w:sz w:val="24"/>
          <w:szCs w:val="24"/>
          <w:lang w:eastAsia="es-ES"/>
        </w:rPr>
        <w:t>e</w:t>
      </w:r>
      <w:r w:rsidRPr="002D7A08">
        <w:rPr>
          <w:rFonts w:ascii="Tahoma" w:hAnsi="Tahoma" w:eastAsia="Times New Roman" w:cs="Tahoma"/>
          <w:sz w:val="24"/>
          <w:szCs w:val="24"/>
          <w:lang w:eastAsia="es-ES"/>
        </w:rPr>
        <w:t xml:space="preserve">l apoderado de la </w:t>
      </w:r>
      <w:r w:rsidR="00CA04BF">
        <w:rPr>
          <w:rFonts w:ascii="Tahoma" w:hAnsi="Tahoma" w:eastAsia="Times New Roman" w:cs="Tahoma"/>
          <w:sz w:val="24"/>
          <w:szCs w:val="24"/>
          <w:lang w:eastAsia="es-ES"/>
        </w:rPr>
        <w:t>demandada Carmenza Benítez Ramírez</w:t>
      </w:r>
      <w:r w:rsidRPr="002D7A08">
        <w:rPr>
          <w:rFonts w:ascii="Tahoma" w:hAnsi="Tahoma" w:eastAsia="Times New Roman" w:cs="Tahoma"/>
          <w:sz w:val="24"/>
          <w:szCs w:val="24"/>
          <w:lang w:eastAsia="es-ES"/>
        </w:rPr>
        <w:t xml:space="preserve"> contra el proveído Nro. </w:t>
      </w:r>
      <w:r w:rsidR="00CA04BF">
        <w:rPr>
          <w:rFonts w:ascii="Tahoma" w:hAnsi="Tahoma" w:eastAsia="Times New Roman" w:cs="Tahoma"/>
          <w:sz w:val="24"/>
          <w:szCs w:val="24"/>
          <w:lang w:eastAsia="es-ES"/>
        </w:rPr>
        <w:t>3880</w:t>
      </w:r>
      <w:r>
        <w:rPr>
          <w:rFonts w:ascii="Tahoma" w:hAnsi="Tahoma" w:eastAsia="Times New Roman" w:cs="Tahoma"/>
          <w:sz w:val="24"/>
          <w:szCs w:val="24"/>
          <w:lang w:eastAsia="es-ES"/>
        </w:rPr>
        <w:t xml:space="preserve"> del </w:t>
      </w:r>
      <w:r w:rsidR="00CA04BF">
        <w:rPr>
          <w:rFonts w:ascii="Tahoma" w:hAnsi="Tahoma" w:eastAsia="Times New Roman" w:cs="Tahoma"/>
          <w:sz w:val="24"/>
          <w:szCs w:val="24"/>
          <w:lang w:eastAsia="es-ES"/>
        </w:rPr>
        <w:t xml:space="preserve">30 </w:t>
      </w:r>
      <w:r>
        <w:rPr>
          <w:rFonts w:ascii="Tahoma" w:hAnsi="Tahoma" w:eastAsia="Times New Roman" w:cs="Tahoma"/>
          <w:sz w:val="24"/>
          <w:szCs w:val="24"/>
          <w:lang w:eastAsia="es-ES"/>
        </w:rPr>
        <w:t xml:space="preserve">de </w:t>
      </w:r>
      <w:r w:rsidR="00CA04BF">
        <w:rPr>
          <w:rFonts w:ascii="Tahoma" w:hAnsi="Tahoma" w:eastAsia="Times New Roman" w:cs="Tahoma"/>
          <w:sz w:val="24"/>
          <w:szCs w:val="24"/>
          <w:lang w:eastAsia="es-ES"/>
        </w:rPr>
        <w:t>noviembre</w:t>
      </w:r>
      <w:r>
        <w:rPr>
          <w:rFonts w:ascii="Tahoma" w:hAnsi="Tahoma" w:eastAsia="Times New Roman" w:cs="Tahoma"/>
          <w:sz w:val="24"/>
          <w:szCs w:val="24"/>
          <w:lang w:eastAsia="es-ES"/>
        </w:rPr>
        <w:t xml:space="preserve"> </w:t>
      </w:r>
      <w:proofErr w:type="spellStart"/>
      <w:r>
        <w:rPr>
          <w:rFonts w:ascii="Tahoma" w:hAnsi="Tahoma" w:eastAsia="Times New Roman" w:cs="Tahoma"/>
          <w:sz w:val="24"/>
          <w:szCs w:val="24"/>
          <w:lang w:eastAsia="es-ES"/>
        </w:rPr>
        <w:t>de</w:t>
      </w:r>
      <w:proofErr w:type="spellEnd"/>
      <w:r>
        <w:rPr>
          <w:rFonts w:ascii="Tahoma" w:hAnsi="Tahoma" w:eastAsia="Times New Roman" w:cs="Tahoma"/>
          <w:sz w:val="24"/>
          <w:szCs w:val="24"/>
          <w:lang w:eastAsia="es-ES"/>
        </w:rPr>
        <w:t xml:space="preserve"> 2022</w:t>
      </w:r>
      <w:r w:rsidRPr="002D7A08">
        <w:rPr>
          <w:rFonts w:ascii="Tahoma" w:hAnsi="Tahoma" w:eastAsia="Times New Roman" w:cs="Tahoma"/>
          <w:sz w:val="24"/>
          <w:szCs w:val="24"/>
          <w:lang w:eastAsia="es-ES"/>
        </w:rPr>
        <w:t xml:space="preserve">. Sírvase proveer. </w:t>
      </w:r>
    </w:p>
    <w:p w:rsidRPr="002D7A08" w:rsidR="00737B1E" w:rsidP="00737B1E" w:rsidRDefault="00737B1E" w14:paraId="6DBDB3E8" w14:textId="77777777">
      <w:pPr>
        <w:overflowPunct w:val="0"/>
        <w:autoSpaceDE w:val="0"/>
        <w:autoSpaceDN w:val="0"/>
        <w:adjustRightInd w:val="0"/>
        <w:spacing w:after="0" w:line="240" w:lineRule="auto"/>
        <w:rPr>
          <w:rFonts w:ascii="Tahoma" w:hAnsi="Tahoma" w:eastAsia="Times New Roman" w:cs="Tahoma"/>
          <w:sz w:val="24"/>
          <w:szCs w:val="20"/>
          <w:lang w:eastAsia="es-ES"/>
        </w:rPr>
      </w:pPr>
    </w:p>
    <w:p w:rsidRPr="002D7A08" w:rsidR="00737B1E" w:rsidP="00737B1E" w:rsidRDefault="00737B1E" w14:paraId="21ABD05B" w14:textId="155037A4">
      <w:pPr>
        <w:keepNext/>
        <w:widowControl w:val="0"/>
        <w:tabs>
          <w:tab w:val="center" w:pos="4419"/>
        </w:tabs>
        <w:overflowPunct w:val="0"/>
        <w:autoSpaceDE w:val="0"/>
        <w:autoSpaceDN w:val="0"/>
        <w:adjustRightInd w:val="0"/>
        <w:spacing w:after="0" w:line="276" w:lineRule="auto"/>
        <w:jc w:val="both"/>
        <w:outlineLvl w:val="0"/>
        <w:rPr>
          <w:rFonts w:ascii="Tahoma" w:hAnsi="Tahoma" w:eastAsia="Times New Roman" w:cs="Tahoma"/>
          <w:sz w:val="24"/>
          <w:szCs w:val="24"/>
          <w:lang w:eastAsia="es-ES"/>
        </w:rPr>
      </w:pPr>
      <w:r w:rsidRPr="002D7A08">
        <w:rPr>
          <w:rFonts w:ascii="Tahoma" w:hAnsi="Tahoma" w:eastAsia="Times New Roman" w:cs="Tahoma"/>
          <w:sz w:val="24"/>
          <w:szCs w:val="24"/>
          <w:lang w:eastAsia="es-ES"/>
        </w:rPr>
        <w:t xml:space="preserve">Cali, </w:t>
      </w:r>
      <w:r w:rsidR="00CA04BF">
        <w:rPr>
          <w:rFonts w:ascii="Tahoma" w:hAnsi="Tahoma" w:eastAsia="Times New Roman" w:cs="Tahoma"/>
          <w:sz w:val="24"/>
          <w:szCs w:val="24"/>
          <w:lang w:eastAsia="es-ES"/>
        </w:rPr>
        <w:t>5</w:t>
      </w:r>
      <w:r>
        <w:rPr>
          <w:rFonts w:ascii="Tahoma" w:hAnsi="Tahoma" w:eastAsia="Times New Roman" w:cs="Tahoma"/>
          <w:sz w:val="24"/>
          <w:szCs w:val="24"/>
          <w:lang w:eastAsia="es-ES"/>
        </w:rPr>
        <w:t xml:space="preserve"> de ma</w:t>
      </w:r>
      <w:r w:rsidR="00CA04BF">
        <w:rPr>
          <w:rFonts w:ascii="Tahoma" w:hAnsi="Tahoma" w:eastAsia="Times New Roman" w:cs="Tahoma"/>
          <w:sz w:val="24"/>
          <w:szCs w:val="24"/>
          <w:lang w:eastAsia="es-ES"/>
        </w:rPr>
        <w:t>y</w:t>
      </w:r>
      <w:r>
        <w:rPr>
          <w:rFonts w:ascii="Tahoma" w:hAnsi="Tahoma" w:eastAsia="Times New Roman" w:cs="Tahoma"/>
          <w:sz w:val="24"/>
          <w:szCs w:val="24"/>
          <w:lang w:eastAsia="es-ES"/>
        </w:rPr>
        <w:t>o de 2023</w:t>
      </w:r>
      <w:r w:rsidRPr="002D7A08">
        <w:rPr>
          <w:rFonts w:ascii="Tahoma" w:hAnsi="Tahoma" w:eastAsia="Times New Roman" w:cs="Tahoma"/>
          <w:sz w:val="24"/>
          <w:szCs w:val="24"/>
          <w:lang w:eastAsia="es-ES"/>
        </w:rPr>
        <w:tab/>
      </w:r>
    </w:p>
    <w:p w:rsidRPr="002D7A08" w:rsidR="00737B1E" w:rsidP="00737B1E" w:rsidRDefault="00737B1E" w14:paraId="5764FD50" w14:textId="77777777">
      <w:pPr>
        <w:overflowPunct w:val="0"/>
        <w:autoSpaceDE w:val="0"/>
        <w:autoSpaceDN w:val="0"/>
        <w:adjustRightInd w:val="0"/>
        <w:spacing w:after="0" w:line="276" w:lineRule="auto"/>
        <w:rPr>
          <w:rFonts w:ascii="Tahoma" w:hAnsi="Tahoma" w:eastAsia="Times New Roman" w:cs="Tahoma"/>
          <w:sz w:val="24"/>
          <w:szCs w:val="24"/>
          <w:lang w:eastAsia="es-ES"/>
        </w:rPr>
      </w:pPr>
    </w:p>
    <w:p w:rsidRPr="002D7A08" w:rsidR="00737B1E" w:rsidP="00CA04BF" w:rsidRDefault="00737B1E" w14:paraId="5856C020" w14:textId="77777777">
      <w:pPr>
        <w:overflowPunct w:val="0"/>
        <w:autoSpaceDE w:val="0"/>
        <w:autoSpaceDN w:val="0"/>
        <w:adjustRightInd w:val="0"/>
        <w:spacing w:after="0" w:line="240" w:lineRule="auto"/>
        <w:rPr>
          <w:rFonts w:ascii="Tahoma" w:hAnsi="Tahoma" w:eastAsia="Times New Roman" w:cs="Tahoma"/>
          <w:b/>
          <w:sz w:val="24"/>
          <w:szCs w:val="24"/>
          <w:lang w:eastAsia="es-ES"/>
        </w:rPr>
      </w:pPr>
      <w:r w:rsidRPr="002D7A08">
        <w:rPr>
          <w:rFonts w:ascii="Tahoma" w:hAnsi="Tahoma" w:eastAsia="Times New Roman" w:cs="Tahoma"/>
          <w:b/>
          <w:sz w:val="24"/>
          <w:szCs w:val="24"/>
          <w:lang w:eastAsia="es-ES"/>
        </w:rPr>
        <w:t>MÓNICA OROZCO GUTIÉRREZ</w:t>
      </w:r>
    </w:p>
    <w:p w:rsidRPr="002D7A08" w:rsidR="00737B1E" w:rsidP="00CA04BF" w:rsidRDefault="00737B1E" w14:paraId="13157234" w14:textId="77777777">
      <w:pPr>
        <w:tabs>
          <w:tab w:val="center" w:pos="4749"/>
        </w:tabs>
        <w:overflowPunct w:val="0"/>
        <w:autoSpaceDE w:val="0"/>
        <w:autoSpaceDN w:val="0"/>
        <w:adjustRightInd w:val="0"/>
        <w:spacing w:after="0" w:line="240" w:lineRule="auto"/>
        <w:rPr>
          <w:rFonts w:ascii="Tahoma" w:hAnsi="Tahoma" w:eastAsia="Times New Roman" w:cs="Tahoma"/>
          <w:b/>
          <w:sz w:val="24"/>
          <w:szCs w:val="24"/>
          <w:lang w:eastAsia="es-ES"/>
        </w:rPr>
      </w:pPr>
      <w:r w:rsidRPr="002D7A08">
        <w:rPr>
          <w:rFonts w:ascii="Tahoma" w:hAnsi="Tahoma" w:eastAsia="Times New Roman" w:cs="Tahoma"/>
          <w:sz w:val="24"/>
          <w:szCs w:val="24"/>
          <w:lang w:eastAsia="es-ES"/>
        </w:rPr>
        <w:t>Secretaria</w:t>
      </w:r>
      <w:r w:rsidRPr="002D7A08">
        <w:rPr>
          <w:rFonts w:ascii="Tahoma" w:hAnsi="Tahoma" w:eastAsia="Times New Roman" w:cs="Tahoma"/>
          <w:sz w:val="24"/>
          <w:szCs w:val="24"/>
          <w:lang w:eastAsia="es-ES"/>
        </w:rPr>
        <w:tab/>
      </w:r>
    </w:p>
    <w:p w:rsidRPr="002D7A08" w:rsidR="00737B1E" w:rsidP="00737B1E" w:rsidRDefault="00133742" w14:paraId="38CB01EB" w14:textId="77777777">
      <w:pPr>
        <w:overflowPunct w:val="0"/>
        <w:autoSpaceDE w:val="0"/>
        <w:autoSpaceDN w:val="0"/>
        <w:adjustRightInd w:val="0"/>
        <w:spacing w:after="0" w:line="276" w:lineRule="auto"/>
        <w:ind w:firstLine="709"/>
        <w:contextualSpacing/>
        <w:jc w:val="center"/>
        <w:rPr>
          <w:rFonts w:ascii="Tahoma" w:hAnsi="Tahoma" w:eastAsia="Times New Roman" w:cs="Tahoma"/>
          <w:sz w:val="24"/>
          <w:szCs w:val="24"/>
          <w:lang w:eastAsia="es-ES"/>
        </w:rPr>
      </w:pPr>
      <w:r w:rsidRPr="00133742">
        <w:rPr>
          <w:rFonts w:ascii="Tahoma" w:hAnsi="Tahoma" w:eastAsia="Times New Roman" w:cs="Tahoma"/>
          <w:noProof/>
          <w:sz w:val="24"/>
          <w:szCs w:val="24"/>
          <w:lang w:eastAsia="es-ES"/>
        </w:rPr>
        <w:object w:dxaOrig="3090" w:dyaOrig="3240" w14:anchorId="1D33D3F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25pt;height:44.25pt;mso-width-percent:0;mso-height-percent:0;mso-width-percent:0;mso-height-percent:0" alt="" o:ole="" type="#_x0000_t75">
            <v:imagedata o:title="" r:id="rId7"/>
          </v:shape>
          <o:OLEObject Type="Embed" ProgID="PBrush" ShapeID="_x0000_i1025" DrawAspect="Content" ObjectID="_1744816868" r:id="rId8"/>
        </w:object>
      </w:r>
    </w:p>
    <w:p w:rsidRPr="002D7A08" w:rsidR="00737B1E" w:rsidP="006F3506" w:rsidRDefault="00737B1E" w14:paraId="5F1563B8" w14:textId="77777777">
      <w:pPr>
        <w:overflowPunct w:val="0"/>
        <w:autoSpaceDE w:val="0"/>
        <w:autoSpaceDN w:val="0"/>
        <w:adjustRightInd w:val="0"/>
        <w:spacing w:after="0" w:line="240" w:lineRule="auto"/>
        <w:ind w:firstLine="709"/>
        <w:contextualSpacing/>
        <w:jc w:val="center"/>
        <w:rPr>
          <w:rFonts w:ascii="Tahoma" w:hAnsi="Tahoma" w:eastAsia="Times New Roman" w:cs="Tahoma"/>
          <w:b/>
          <w:iCs/>
          <w:sz w:val="24"/>
          <w:szCs w:val="24"/>
          <w:lang w:eastAsia="es-ES"/>
        </w:rPr>
      </w:pPr>
      <w:r w:rsidRPr="002D7A08">
        <w:rPr>
          <w:rFonts w:ascii="Tahoma" w:hAnsi="Tahoma" w:eastAsia="Times New Roman" w:cs="Tahoma"/>
          <w:b/>
          <w:iCs/>
          <w:sz w:val="24"/>
          <w:szCs w:val="24"/>
          <w:lang w:eastAsia="es-ES"/>
        </w:rPr>
        <w:t>REPÚBLICA DE COLOMBIA</w:t>
      </w:r>
    </w:p>
    <w:p w:rsidRPr="002D7A08" w:rsidR="00737B1E" w:rsidP="006F3506" w:rsidRDefault="00737B1E" w14:paraId="529F7165" w14:textId="77777777">
      <w:pPr>
        <w:overflowPunct w:val="0"/>
        <w:autoSpaceDE w:val="0"/>
        <w:autoSpaceDN w:val="0"/>
        <w:adjustRightInd w:val="0"/>
        <w:spacing w:after="0" w:line="240" w:lineRule="auto"/>
        <w:ind w:firstLine="709"/>
        <w:contextualSpacing/>
        <w:jc w:val="center"/>
        <w:rPr>
          <w:rFonts w:ascii="Tahoma" w:hAnsi="Tahoma" w:eastAsia="Times New Roman" w:cs="Tahoma"/>
          <w:b/>
          <w:iCs/>
          <w:sz w:val="24"/>
          <w:szCs w:val="24"/>
          <w:lang w:eastAsia="es-ES"/>
        </w:rPr>
      </w:pPr>
      <w:r w:rsidRPr="002D7A08">
        <w:rPr>
          <w:rFonts w:ascii="Tahoma" w:hAnsi="Tahoma" w:eastAsia="Times New Roman" w:cs="Tahoma"/>
          <w:b/>
          <w:iCs/>
          <w:sz w:val="24"/>
          <w:szCs w:val="24"/>
          <w:lang w:eastAsia="es-ES"/>
        </w:rPr>
        <w:t>RAMA JUDICIAL DEL PODER PÚBLICO</w:t>
      </w:r>
    </w:p>
    <w:p w:rsidRPr="002D7A08" w:rsidR="00737B1E" w:rsidP="006F3506" w:rsidRDefault="00737B1E" w14:paraId="49CE0A94" w14:textId="77777777">
      <w:pPr>
        <w:overflowPunct w:val="0"/>
        <w:autoSpaceDE w:val="0"/>
        <w:autoSpaceDN w:val="0"/>
        <w:adjustRightInd w:val="0"/>
        <w:spacing w:after="0" w:line="240" w:lineRule="auto"/>
        <w:ind w:firstLine="709"/>
        <w:contextualSpacing/>
        <w:jc w:val="center"/>
        <w:rPr>
          <w:rFonts w:ascii="Tahoma" w:hAnsi="Tahoma" w:eastAsia="Times New Roman" w:cs="Tahoma"/>
          <w:b/>
          <w:iCs/>
          <w:sz w:val="24"/>
          <w:szCs w:val="24"/>
          <w:lang w:eastAsia="es-ES"/>
        </w:rPr>
      </w:pPr>
      <w:r w:rsidRPr="002D7A08">
        <w:rPr>
          <w:rFonts w:ascii="Tahoma" w:hAnsi="Tahoma" w:eastAsia="Times New Roman" w:cs="Tahoma"/>
          <w:b/>
          <w:iCs/>
          <w:sz w:val="24"/>
          <w:szCs w:val="24"/>
          <w:lang w:eastAsia="es-ES"/>
        </w:rPr>
        <w:t>JUZGADO CATORCE CIVIL MUNICIPAL</w:t>
      </w:r>
    </w:p>
    <w:p w:rsidRPr="002D7A08" w:rsidR="00737B1E" w:rsidP="006F3506" w:rsidRDefault="00737B1E" w14:paraId="0078B646" w14:textId="77777777">
      <w:pPr>
        <w:overflowPunct w:val="0"/>
        <w:autoSpaceDE w:val="0"/>
        <w:autoSpaceDN w:val="0"/>
        <w:adjustRightInd w:val="0"/>
        <w:spacing w:after="0" w:line="240" w:lineRule="auto"/>
        <w:ind w:firstLine="709"/>
        <w:contextualSpacing/>
        <w:jc w:val="center"/>
        <w:rPr>
          <w:rFonts w:ascii="Tahoma" w:hAnsi="Tahoma" w:eastAsia="Times New Roman" w:cs="Tahoma"/>
          <w:b/>
          <w:iCs/>
          <w:sz w:val="24"/>
          <w:szCs w:val="24"/>
          <w:lang w:eastAsia="es-ES"/>
        </w:rPr>
      </w:pPr>
      <w:r w:rsidRPr="002D7A08">
        <w:rPr>
          <w:rFonts w:ascii="Tahoma" w:hAnsi="Tahoma" w:eastAsia="Times New Roman" w:cs="Tahoma"/>
          <w:b/>
          <w:iCs/>
          <w:sz w:val="24"/>
          <w:szCs w:val="24"/>
          <w:lang w:eastAsia="es-ES"/>
        </w:rPr>
        <w:t>SANTIAGO DE CALI</w:t>
      </w:r>
    </w:p>
    <w:p w:rsidRPr="006F3506" w:rsidR="00737B1E" w:rsidP="00737B1E" w:rsidRDefault="00737B1E" w14:paraId="31F53B20" w14:textId="77777777">
      <w:pPr>
        <w:overflowPunct w:val="0"/>
        <w:autoSpaceDE w:val="0"/>
        <w:autoSpaceDN w:val="0"/>
        <w:adjustRightInd w:val="0"/>
        <w:spacing w:after="0" w:line="240" w:lineRule="auto"/>
        <w:ind w:firstLine="709"/>
        <w:contextualSpacing/>
        <w:jc w:val="center"/>
        <w:rPr>
          <w:rFonts w:ascii="Tahoma" w:hAnsi="Tahoma" w:eastAsia="Times New Roman" w:cs="Tahoma"/>
          <w:b/>
          <w:bCs/>
          <w:iCs/>
          <w:sz w:val="24"/>
          <w:szCs w:val="24"/>
          <w:lang w:eastAsia="es-ES"/>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972"/>
        <w:gridCol w:w="5528"/>
      </w:tblGrid>
      <w:tr w:rsidRPr="006F3506" w:rsidR="00737B1E" w:rsidTr="006F3506" w14:paraId="79DB8CBF" w14:textId="77777777">
        <w:trPr>
          <w:jc w:val="center"/>
        </w:trPr>
        <w:tc>
          <w:tcPr>
            <w:tcW w:w="2972" w:type="dxa"/>
            <w:shd w:val="clear" w:color="000000" w:fill="FFFFFF"/>
          </w:tcPr>
          <w:p w:rsidRPr="006F3506" w:rsidR="00737B1E" w:rsidP="00C20FF1" w:rsidRDefault="00737B1E" w14:paraId="27EA0E19" w14:textId="77777777">
            <w:pPr>
              <w:tabs>
                <w:tab w:val="left" w:pos="4214"/>
              </w:tabs>
              <w:contextualSpacing/>
              <w:rPr>
                <w:rFonts w:ascii="Tahoma" w:hAnsi="Tahoma" w:cs="Tahoma"/>
                <w:color w:val="000000"/>
                <w:sz w:val="24"/>
                <w:szCs w:val="24"/>
              </w:rPr>
            </w:pPr>
            <w:r w:rsidRPr="006F3506">
              <w:rPr>
                <w:rFonts w:ascii="Tahoma" w:hAnsi="Tahoma" w:cs="Tahoma"/>
                <w:b/>
                <w:color w:val="000000"/>
                <w:sz w:val="24"/>
                <w:szCs w:val="24"/>
              </w:rPr>
              <w:t>Clase de proceso:</w:t>
            </w:r>
          </w:p>
        </w:tc>
        <w:tc>
          <w:tcPr>
            <w:tcW w:w="5528" w:type="dxa"/>
            <w:shd w:val="clear" w:color="000000" w:fill="FFFFFF"/>
          </w:tcPr>
          <w:p w:rsidRPr="006F3506" w:rsidR="00737B1E" w:rsidP="00C20FF1" w:rsidRDefault="00CA04BF" w14:paraId="592BA165" w14:textId="2DC28CD6">
            <w:pPr>
              <w:tabs>
                <w:tab w:val="left" w:pos="4214"/>
              </w:tabs>
              <w:contextualSpacing/>
              <w:rPr>
                <w:rFonts w:ascii="Tahoma" w:hAnsi="Tahoma" w:cs="Tahoma"/>
                <w:color w:val="000000"/>
                <w:sz w:val="24"/>
                <w:szCs w:val="24"/>
              </w:rPr>
            </w:pPr>
            <w:r w:rsidRPr="00CA04BF">
              <w:rPr>
                <w:rFonts w:ascii="Tahoma" w:hAnsi="Tahoma" w:cs="Tahoma"/>
                <w:color w:val="000000"/>
                <w:sz w:val="24"/>
                <w:szCs w:val="24"/>
              </w:rPr>
              <w:t>DIVISORIO</w:t>
            </w:r>
          </w:p>
        </w:tc>
      </w:tr>
      <w:tr w:rsidRPr="006F3506" w:rsidR="00737B1E" w:rsidTr="006F3506" w14:paraId="10540266" w14:textId="77777777">
        <w:trPr>
          <w:jc w:val="center"/>
        </w:trPr>
        <w:tc>
          <w:tcPr>
            <w:tcW w:w="2972" w:type="dxa"/>
            <w:shd w:val="clear" w:color="000000" w:fill="FFFFFF"/>
          </w:tcPr>
          <w:p w:rsidRPr="006F3506" w:rsidR="00737B1E" w:rsidP="00C20FF1" w:rsidRDefault="00737B1E" w14:paraId="76B376DE" w14:textId="77777777">
            <w:pPr>
              <w:tabs>
                <w:tab w:val="left" w:pos="4214"/>
              </w:tabs>
              <w:contextualSpacing/>
              <w:rPr>
                <w:rFonts w:ascii="Tahoma" w:hAnsi="Tahoma" w:cs="Tahoma"/>
                <w:color w:val="000000"/>
                <w:sz w:val="24"/>
                <w:szCs w:val="24"/>
              </w:rPr>
            </w:pPr>
            <w:r w:rsidRPr="006F3506">
              <w:rPr>
                <w:rFonts w:ascii="Tahoma" w:hAnsi="Tahoma" w:cs="Tahoma"/>
                <w:b/>
                <w:color w:val="000000"/>
                <w:sz w:val="24"/>
                <w:szCs w:val="24"/>
              </w:rPr>
              <w:t xml:space="preserve">Radicación: </w:t>
            </w:r>
          </w:p>
        </w:tc>
        <w:tc>
          <w:tcPr>
            <w:tcW w:w="5528" w:type="dxa"/>
            <w:shd w:val="clear" w:color="000000" w:fill="FFFFFF"/>
          </w:tcPr>
          <w:p w:rsidRPr="006F3506" w:rsidR="00737B1E" w:rsidP="00C20FF1" w:rsidRDefault="00737B1E" w14:paraId="5DE409AC" w14:textId="197D1D51">
            <w:pPr>
              <w:tabs>
                <w:tab w:val="left" w:pos="4214"/>
              </w:tabs>
              <w:contextualSpacing/>
              <w:rPr>
                <w:rFonts w:ascii="Tahoma" w:hAnsi="Tahoma" w:cs="Tahoma"/>
                <w:color w:val="000000"/>
                <w:sz w:val="24"/>
                <w:szCs w:val="24"/>
              </w:rPr>
            </w:pPr>
            <w:r w:rsidRPr="006F3506">
              <w:rPr>
                <w:rFonts w:ascii="Tahoma" w:hAnsi="Tahoma" w:cs="Tahoma"/>
                <w:color w:val="000000"/>
                <w:sz w:val="24"/>
                <w:szCs w:val="24"/>
              </w:rPr>
              <w:t>760014003014-20</w:t>
            </w:r>
            <w:r w:rsidR="00CA04BF">
              <w:rPr>
                <w:rFonts w:ascii="Tahoma" w:hAnsi="Tahoma" w:cs="Tahoma"/>
                <w:color w:val="000000"/>
                <w:sz w:val="24"/>
                <w:szCs w:val="24"/>
              </w:rPr>
              <w:t>18</w:t>
            </w:r>
            <w:r w:rsidRPr="006F3506">
              <w:rPr>
                <w:rFonts w:ascii="Tahoma" w:hAnsi="Tahoma" w:cs="Tahoma"/>
                <w:color w:val="000000"/>
                <w:sz w:val="24"/>
                <w:szCs w:val="24"/>
              </w:rPr>
              <w:t>-00</w:t>
            </w:r>
            <w:r w:rsidR="00CA04BF">
              <w:rPr>
                <w:rFonts w:ascii="Tahoma" w:hAnsi="Tahoma" w:cs="Tahoma"/>
                <w:color w:val="000000"/>
                <w:sz w:val="24"/>
                <w:szCs w:val="24"/>
              </w:rPr>
              <w:t>356</w:t>
            </w:r>
            <w:r w:rsidRPr="006F3506">
              <w:rPr>
                <w:rFonts w:ascii="Tahoma" w:hAnsi="Tahoma" w:cs="Tahoma"/>
                <w:color w:val="000000"/>
                <w:sz w:val="24"/>
                <w:szCs w:val="24"/>
              </w:rPr>
              <w:t>-00</w:t>
            </w:r>
          </w:p>
        </w:tc>
      </w:tr>
      <w:tr w:rsidRPr="006F3506" w:rsidR="00737B1E" w:rsidTr="006F3506" w14:paraId="1A0C1CE6" w14:textId="77777777">
        <w:trPr>
          <w:jc w:val="center"/>
        </w:trPr>
        <w:tc>
          <w:tcPr>
            <w:tcW w:w="2972" w:type="dxa"/>
            <w:shd w:val="clear" w:color="000000" w:fill="FFFFFF"/>
          </w:tcPr>
          <w:p w:rsidRPr="006F3506" w:rsidR="00737B1E" w:rsidP="00C20FF1" w:rsidRDefault="00737B1E" w14:paraId="01ECC0A6" w14:textId="77777777">
            <w:pPr>
              <w:tabs>
                <w:tab w:val="left" w:pos="4214"/>
              </w:tabs>
              <w:contextualSpacing/>
              <w:rPr>
                <w:rFonts w:ascii="Tahoma" w:hAnsi="Tahoma" w:cs="Tahoma"/>
                <w:color w:val="000000"/>
                <w:sz w:val="24"/>
                <w:szCs w:val="24"/>
              </w:rPr>
            </w:pPr>
            <w:r w:rsidRPr="006F3506">
              <w:rPr>
                <w:rFonts w:ascii="Tahoma" w:hAnsi="Tahoma" w:cs="Tahoma"/>
                <w:b/>
                <w:color w:val="000000"/>
                <w:sz w:val="24"/>
                <w:szCs w:val="24"/>
              </w:rPr>
              <w:t>Demandante:</w:t>
            </w:r>
          </w:p>
        </w:tc>
        <w:tc>
          <w:tcPr>
            <w:tcW w:w="5528" w:type="dxa"/>
            <w:shd w:val="clear" w:color="000000" w:fill="FFFFFF"/>
          </w:tcPr>
          <w:p w:rsidRPr="006F3506" w:rsidR="00737B1E" w:rsidP="00C20FF1" w:rsidRDefault="00CA04BF" w14:paraId="72A75F9E" w14:textId="44E4900B">
            <w:pPr>
              <w:contextualSpacing/>
              <w:jc w:val="both"/>
              <w:rPr>
                <w:rFonts w:ascii="Tahoma" w:hAnsi="Tahoma" w:cs="Tahoma"/>
                <w:color w:val="000000"/>
                <w:sz w:val="24"/>
                <w:szCs w:val="24"/>
              </w:rPr>
            </w:pPr>
            <w:r w:rsidRPr="00CA04BF">
              <w:rPr>
                <w:rFonts w:ascii="Tahoma" w:hAnsi="Tahoma" w:cs="Tahoma"/>
                <w:color w:val="000000"/>
                <w:sz w:val="24"/>
                <w:szCs w:val="24"/>
              </w:rPr>
              <w:t>ALBERTINA BENÍTEZ MARMOLEJO</w:t>
            </w:r>
          </w:p>
        </w:tc>
      </w:tr>
      <w:tr w:rsidRPr="006F3506" w:rsidR="00737B1E" w:rsidTr="006F3506" w14:paraId="6EA17F9A" w14:textId="77777777">
        <w:trPr>
          <w:jc w:val="center"/>
        </w:trPr>
        <w:tc>
          <w:tcPr>
            <w:tcW w:w="2972" w:type="dxa"/>
            <w:shd w:val="clear" w:color="000000" w:fill="FFFFFF"/>
          </w:tcPr>
          <w:p w:rsidRPr="006F3506" w:rsidR="00737B1E" w:rsidP="00C20FF1" w:rsidRDefault="00737B1E" w14:paraId="5DBD6EB5" w14:textId="77777777">
            <w:pPr>
              <w:tabs>
                <w:tab w:val="left" w:pos="4214"/>
              </w:tabs>
              <w:contextualSpacing/>
              <w:rPr>
                <w:rFonts w:ascii="Tahoma" w:hAnsi="Tahoma" w:cs="Tahoma"/>
                <w:color w:val="000000"/>
                <w:sz w:val="24"/>
                <w:szCs w:val="24"/>
              </w:rPr>
            </w:pPr>
            <w:r w:rsidRPr="006F3506">
              <w:rPr>
                <w:rFonts w:ascii="Tahoma" w:hAnsi="Tahoma" w:cs="Tahoma"/>
                <w:b/>
                <w:color w:val="000000"/>
                <w:sz w:val="24"/>
                <w:szCs w:val="24"/>
              </w:rPr>
              <w:t>Demandados:</w:t>
            </w:r>
          </w:p>
        </w:tc>
        <w:tc>
          <w:tcPr>
            <w:tcW w:w="5528" w:type="dxa"/>
            <w:shd w:val="clear" w:color="000000" w:fill="FFFFFF"/>
          </w:tcPr>
          <w:p w:rsidRPr="006F3506" w:rsidR="00737B1E" w:rsidP="00C20FF1" w:rsidRDefault="00CA04BF" w14:paraId="474CF6B6" w14:textId="6234C29F">
            <w:pPr>
              <w:tabs>
                <w:tab w:val="left" w:pos="4214"/>
              </w:tabs>
              <w:contextualSpacing/>
              <w:jc w:val="both"/>
              <w:rPr>
                <w:rFonts w:ascii="Tahoma" w:hAnsi="Tahoma" w:cs="Tahoma"/>
                <w:sz w:val="24"/>
                <w:szCs w:val="24"/>
                <w:lang w:val="es-ES"/>
              </w:rPr>
            </w:pPr>
            <w:r w:rsidRPr="00CA04BF">
              <w:rPr>
                <w:rFonts w:ascii="Tahoma" w:hAnsi="Tahoma" w:cs="Tahoma"/>
                <w:color w:val="000000"/>
                <w:sz w:val="24"/>
                <w:szCs w:val="24"/>
              </w:rPr>
              <w:t>CARMENZA BENÍTEZ RAMÍREZ Y MONTACARGAS FERNÁNDEZ Y LOZANO LTDA</w:t>
            </w:r>
          </w:p>
        </w:tc>
      </w:tr>
      <w:tr w:rsidRPr="006F3506" w:rsidR="00737B1E" w:rsidTr="006F3506" w14:paraId="3F39FDD9" w14:textId="77777777">
        <w:trPr>
          <w:jc w:val="center"/>
        </w:trPr>
        <w:tc>
          <w:tcPr>
            <w:tcW w:w="2972" w:type="dxa"/>
            <w:shd w:val="clear" w:color="000000" w:fill="FFFFFF"/>
          </w:tcPr>
          <w:p w:rsidRPr="006F3506" w:rsidR="00737B1E" w:rsidP="00C20FF1" w:rsidRDefault="00737B1E" w14:paraId="44A92ED5" w14:textId="77777777">
            <w:pPr>
              <w:tabs>
                <w:tab w:val="left" w:pos="4214"/>
              </w:tabs>
              <w:contextualSpacing/>
              <w:rPr>
                <w:rFonts w:ascii="Tahoma" w:hAnsi="Tahoma" w:cs="Tahoma"/>
                <w:color w:val="000000"/>
                <w:sz w:val="24"/>
                <w:szCs w:val="24"/>
              </w:rPr>
            </w:pPr>
            <w:r w:rsidRPr="006F3506">
              <w:rPr>
                <w:rFonts w:ascii="Tahoma" w:hAnsi="Tahoma" w:cs="Tahoma"/>
                <w:b/>
                <w:color w:val="000000"/>
                <w:sz w:val="24"/>
                <w:szCs w:val="24"/>
              </w:rPr>
              <w:t xml:space="preserve">Auto Interlocutorio: </w:t>
            </w:r>
          </w:p>
        </w:tc>
        <w:tc>
          <w:tcPr>
            <w:tcW w:w="5528" w:type="dxa"/>
            <w:shd w:val="clear" w:color="000000" w:fill="FFFFFF"/>
          </w:tcPr>
          <w:p w:rsidRPr="006F3506" w:rsidR="00737B1E" w:rsidP="00C20FF1" w:rsidRDefault="00737B1E" w14:paraId="29766CD5" w14:textId="7C7F1167">
            <w:pPr>
              <w:tabs>
                <w:tab w:val="left" w:pos="4214"/>
              </w:tabs>
              <w:contextualSpacing/>
              <w:rPr>
                <w:rFonts w:ascii="Tahoma" w:hAnsi="Tahoma" w:cs="Tahoma"/>
                <w:color w:val="000000"/>
                <w:sz w:val="24"/>
                <w:szCs w:val="24"/>
              </w:rPr>
            </w:pPr>
            <w:r w:rsidRPr="006F3506">
              <w:rPr>
                <w:rFonts w:ascii="Tahoma" w:hAnsi="Tahoma" w:cs="Tahoma"/>
                <w:color w:val="000000"/>
                <w:sz w:val="24"/>
                <w:szCs w:val="24"/>
              </w:rPr>
              <w:t xml:space="preserve">Nro. </w:t>
            </w:r>
            <w:r w:rsidR="00CA04BF">
              <w:rPr>
                <w:rFonts w:ascii="Tahoma" w:hAnsi="Tahoma" w:cs="Tahoma"/>
                <w:color w:val="000000"/>
                <w:sz w:val="24"/>
                <w:szCs w:val="24"/>
              </w:rPr>
              <w:t>1435</w:t>
            </w:r>
          </w:p>
        </w:tc>
      </w:tr>
      <w:tr w:rsidRPr="006F3506" w:rsidR="00737B1E" w:rsidTr="006F3506" w14:paraId="7000E891" w14:textId="77777777">
        <w:trPr>
          <w:jc w:val="center"/>
        </w:trPr>
        <w:tc>
          <w:tcPr>
            <w:tcW w:w="2972" w:type="dxa"/>
            <w:shd w:val="clear" w:color="000000" w:fill="FFFFFF"/>
          </w:tcPr>
          <w:p w:rsidRPr="006F3506" w:rsidR="00737B1E" w:rsidP="00C20FF1" w:rsidRDefault="00737B1E" w14:paraId="2ECC38D6" w14:textId="77777777">
            <w:pPr>
              <w:tabs>
                <w:tab w:val="left" w:pos="4214"/>
              </w:tabs>
              <w:contextualSpacing/>
              <w:rPr>
                <w:rFonts w:ascii="Tahoma" w:hAnsi="Tahoma" w:cs="Tahoma"/>
                <w:color w:val="000000"/>
                <w:sz w:val="24"/>
                <w:szCs w:val="24"/>
              </w:rPr>
            </w:pPr>
            <w:r w:rsidRPr="006F3506">
              <w:rPr>
                <w:rFonts w:ascii="Tahoma" w:hAnsi="Tahoma" w:cs="Tahoma"/>
                <w:b/>
                <w:color w:val="000000"/>
                <w:sz w:val="24"/>
                <w:szCs w:val="24"/>
              </w:rPr>
              <w:t>Fecha:</w:t>
            </w:r>
          </w:p>
        </w:tc>
        <w:tc>
          <w:tcPr>
            <w:tcW w:w="5528" w:type="dxa"/>
            <w:shd w:val="clear" w:color="000000" w:fill="FFFFFF"/>
          </w:tcPr>
          <w:p w:rsidRPr="006F3506" w:rsidR="00737B1E" w:rsidP="00C20FF1" w:rsidRDefault="00737B1E" w14:paraId="6BAD3CC3" w14:textId="1849EF29">
            <w:pPr>
              <w:tabs>
                <w:tab w:val="left" w:pos="4214"/>
              </w:tabs>
              <w:contextualSpacing/>
              <w:jc w:val="both"/>
              <w:rPr>
                <w:rFonts w:ascii="Tahoma" w:hAnsi="Tahoma" w:cs="Tahoma"/>
                <w:color w:val="000000"/>
                <w:sz w:val="24"/>
                <w:szCs w:val="24"/>
              </w:rPr>
            </w:pPr>
            <w:r w:rsidRPr="006F3506">
              <w:rPr>
                <w:rFonts w:ascii="Tahoma" w:hAnsi="Tahoma" w:cs="Tahoma"/>
                <w:color w:val="000000"/>
                <w:sz w:val="24"/>
                <w:szCs w:val="24"/>
              </w:rPr>
              <w:t>Ma</w:t>
            </w:r>
            <w:r w:rsidR="00CA04BF">
              <w:rPr>
                <w:rFonts w:ascii="Tahoma" w:hAnsi="Tahoma" w:cs="Tahoma"/>
                <w:color w:val="000000"/>
                <w:sz w:val="24"/>
                <w:szCs w:val="24"/>
              </w:rPr>
              <w:t>yo</w:t>
            </w:r>
            <w:r w:rsidRPr="006F3506">
              <w:rPr>
                <w:rFonts w:ascii="Tahoma" w:hAnsi="Tahoma" w:cs="Tahoma"/>
                <w:color w:val="000000"/>
                <w:sz w:val="24"/>
                <w:szCs w:val="24"/>
              </w:rPr>
              <w:t xml:space="preserve"> </w:t>
            </w:r>
            <w:r w:rsidR="00CA04BF">
              <w:rPr>
                <w:rFonts w:ascii="Tahoma" w:hAnsi="Tahoma" w:cs="Tahoma"/>
                <w:color w:val="000000"/>
                <w:sz w:val="24"/>
                <w:szCs w:val="24"/>
              </w:rPr>
              <w:t>cinco</w:t>
            </w:r>
            <w:r w:rsidRPr="006F3506">
              <w:rPr>
                <w:rFonts w:ascii="Tahoma" w:hAnsi="Tahoma" w:cs="Tahoma"/>
                <w:color w:val="000000"/>
                <w:sz w:val="24"/>
                <w:szCs w:val="24"/>
              </w:rPr>
              <w:t xml:space="preserve"> (</w:t>
            </w:r>
            <w:r w:rsidR="00CA04BF">
              <w:rPr>
                <w:rFonts w:ascii="Tahoma" w:hAnsi="Tahoma" w:cs="Tahoma"/>
                <w:color w:val="000000"/>
                <w:sz w:val="24"/>
                <w:szCs w:val="24"/>
              </w:rPr>
              <w:t>5</w:t>
            </w:r>
            <w:r w:rsidRPr="006F3506">
              <w:rPr>
                <w:rFonts w:ascii="Tahoma" w:hAnsi="Tahoma" w:cs="Tahoma"/>
                <w:color w:val="000000"/>
                <w:sz w:val="24"/>
                <w:szCs w:val="24"/>
              </w:rPr>
              <w:t>) de dos mil veintitrés (2023)</w:t>
            </w:r>
          </w:p>
        </w:tc>
      </w:tr>
    </w:tbl>
    <w:p w:rsidRPr="002D7A08" w:rsidR="00737B1E" w:rsidP="00737B1E" w:rsidRDefault="00737B1E" w14:paraId="6DE6F9E2" w14:textId="77777777">
      <w:pPr>
        <w:keepNext/>
        <w:keepLines/>
        <w:suppressLineNumbers/>
        <w:overflowPunct w:val="0"/>
        <w:autoSpaceDE w:val="0"/>
        <w:autoSpaceDN w:val="0"/>
        <w:adjustRightInd w:val="0"/>
        <w:spacing w:after="0" w:line="276" w:lineRule="auto"/>
        <w:ind w:firstLine="851"/>
        <w:contextualSpacing/>
        <w:jc w:val="both"/>
        <w:rPr>
          <w:rFonts w:ascii="Tahoma" w:hAnsi="Tahoma" w:eastAsia="Times New Roman" w:cs="Tahoma"/>
          <w:sz w:val="24"/>
          <w:szCs w:val="24"/>
          <w:lang w:eastAsia="es-ES"/>
        </w:rPr>
      </w:pPr>
    </w:p>
    <w:p w:rsidRPr="002D7A08" w:rsidR="00737B1E" w:rsidP="006F3506" w:rsidRDefault="00737B1E" w14:paraId="510D5301" w14:textId="141A51B8">
      <w:pPr>
        <w:tabs>
          <w:tab w:val="left" w:pos="851"/>
        </w:tabs>
        <w:overflowPunct w:val="0"/>
        <w:autoSpaceDE w:val="0"/>
        <w:autoSpaceDN w:val="0"/>
        <w:adjustRightInd w:val="0"/>
        <w:spacing w:after="0" w:line="240" w:lineRule="auto"/>
        <w:contextualSpacing/>
        <w:jc w:val="both"/>
        <w:rPr>
          <w:rFonts w:ascii="Tahoma" w:hAnsi="Tahoma" w:eastAsia="Times New Roman" w:cs="Tahoma"/>
          <w:b/>
          <w:szCs w:val="20"/>
          <w:lang w:eastAsia="es-ES"/>
        </w:rPr>
      </w:pPr>
      <w:r w:rsidRPr="002D7A08">
        <w:rPr>
          <w:rFonts w:ascii="Tahoma" w:hAnsi="Tahoma" w:eastAsia="Times New Roman" w:cs="Tahoma"/>
          <w:b/>
          <w:szCs w:val="20"/>
          <w:lang w:eastAsia="es-ES"/>
        </w:rPr>
        <w:t xml:space="preserve">ASUNTO </w:t>
      </w:r>
    </w:p>
    <w:p w:rsidRPr="002D7A08" w:rsidR="00737B1E" w:rsidP="006F3506" w:rsidRDefault="00737B1E" w14:paraId="0736299B" w14:textId="77777777">
      <w:pPr>
        <w:tabs>
          <w:tab w:val="left" w:pos="851"/>
        </w:tabs>
        <w:overflowPunct w:val="0"/>
        <w:autoSpaceDE w:val="0"/>
        <w:autoSpaceDN w:val="0"/>
        <w:adjustRightInd w:val="0"/>
        <w:spacing w:after="0" w:line="240" w:lineRule="auto"/>
        <w:contextualSpacing/>
        <w:jc w:val="both"/>
        <w:rPr>
          <w:rFonts w:ascii="Tahoma" w:hAnsi="Tahoma" w:eastAsia="Times New Roman" w:cs="Tahoma"/>
          <w:b/>
          <w:sz w:val="20"/>
          <w:szCs w:val="20"/>
          <w:lang w:eastAsia="es-ES"/>
        </w:rPr>
      </w:pPr>
    </w:p>
    <w:p w:rsidRPr="007B1524" w:rsidR="00737B1E" w:rsidP="00256EB9" w:rsidRDefault="00256EB9" w14:paraId="459DBC15" w14:textId="38259037">
      <w:pPr>
        <w:overflowPunct w:val="0"/>
        <w:autoSpaceDE w:val="0"/>
        <w:autoSpaceDN w:val="0"/>
        <w:adjustRightInd w:val="0"/>
        <w:spacing w:after="0" w:line="240" w:lineRule="auto"/>
        <w:jc w:val="both"/>
        <w:rPr>
          <w:rFonts w:ascii="Tahoma" w:hAnsi="Tahoma" w:eastAsia="Times New Roman" w:cs="Tahoma"/>
          <w:sz w:val="24"/>
          <w:szCs w:val="24"/>
          <w:lang w:eastAsia="es-ES"/>
        </w:rPr>
      </w:pPr>
      <w:r w:rsidRPr="007B1524">
        <w:rPr>
          <w:rFonts w:ascii="Tahoma" w:hAnsi="Tahoma" w:eastAsia="Times New Roman" w:cs="Tahoma"/>
          <w:sz w:val="24"/>
          <w:szCs w:val="24"/>
          <w:lang w:eastAsia="es-ES"/>
        </w:rPr>
        <w:t xml:space="preserve">Visto el informe secretarial que antecede se observa que el apoderado judicial de la demandada </w:t>
      </w:r>
      <w:r w:rsidRPr="007B1524">
        <w:rPr>
          <w:rFonts w:ascii="Tahoma" w:hAnsi="Tahoma" w:eastAsia="Times New Roman" w:cs="Tahoma"/>
          <w:b/>
          <w:sz w:val="24"/>
          <w:szCs w:val="24"/>
          <w:lang w:eastAsia="es-ES"/>
        </w:rPr>
        <w:t xml:space="preserve">CARMENZA BENÍTEZ RAMÍREZ, </w:t>
      </w:r>
      <w:r w:rsidRPr="007B1524">
        <w:rPr>
          <w:rFonts w:ascii="Tahoma" w:hAnsi="Tahoma" w:eastAsia="Times New Roman" w:cs="Tahoma"/>
          <w:sz w:val="24"/>
          <w:szCs w:val="24"/>
          <w:lang w:eastAsia="es-ES"/>
        </w:rPr>
        <w:t xml:space="preserve">presenta recurso de reposición en subsidio de queja frente al proveído </w:t>
      </w:r>
      <w:r w:rsidRPr="007B1524">
        <w:rPr>
          <w:rFonts w:ascii="Tahoma" w:hAnsi="Tahoma" w:eastAsia="Times New Roman" w:cs="Tahoma"/>
          <w:sz w:val="24"/>
          <w:szCs w:val="24"/>
          <w:lang w:eastAsia="es-ES"/>
        </w:rPr>
        <w:t>Nro. 3880 del 30 de noviembre de 2022</w:t>
      </w:r>
      <w:r w:rsidRPr="007B1524">
        <w:rPr>
          <w:rFonts w:ascii="Tahoma" w:hAnsi="Tahoma" w:eastAsia="Times New Roman" w:cs="Tahoma"/>
          <w:sz w:val="24"/>
          <w:szCs w:val="24"/>
          <w:lang w:eastAsia="es-ES"/>
        </w:rPr>
        <w:t>, mediante el cual este despacho denegó el recurso de apelación interpuesto frente al auto</w:t>
      </w:r>
      <w:r w:rsidR="007B1524">
        <w:rPr>
          <w:rFonts w:ascii="Tahoma" w:hAnsi="Tahoma" w:eastAsia="Times New Roman" w:cs="Tahoma"/>
          <w:sz w:val="24"/>
          <w:szCs w:val="24"/>
          <w:lang w:eastAsia="es-ES"/>
        </w:rPr>
        <w:t xml:space="preserve"> Nro. 1017 </w:t>
      </w:r>
      <w:r w:rsidRPr="007B1524" w:rsidR="007B1524">
        <w:rPr>
          <w:rFonts w:ascii="Tahoma" w:hAnsi="Tahoma" w:eastAsia="Times New Roman" w:cs="Tahoma"/>
          <w:sz w:val="24"/>
          <w:szCs w:val="24"/>
          <w:lang w:eastAsia="es-ES"/>
        </w:rPr>
        <w:t>de fecha 8 de abril de 2022</w:t>
      </w:r>
      <w:r w:rsidR="007B1524">
        <w:rPr>
          <w:rFonts w:ascii="Tahoma" w:hAnsi="Tahoma" w:eastAsia="Times New Roman" w:cs="Tahoma"/>
          <w:sz w:val="24"/>
          <w:szCs w:val="24"/>
          <w:lang w:eastAsia="es-ES"/>
        </w:rPr>
        <w:t xml:space="preserve">, en el cual se </w:t>
      </w:r>
      <w:r w:rsidRPr="007B1524">
        <w:rPr>
          <w:rFonts w:ascii="Tahoma" w:hAnsi="Tahoma" w:cs="Tahoma"/>
          <w:sz w:val="24"/>
          <w:szCs w:val="24"/>
        </w:rPr>
        <w:t>ordenó allegar el avalúo actualizado</w:t>
      </w:r>
      <w:r w:rsidR="007B1524">
        <w:rPr>
          <w:rFonts w:ascii="Tahoma" w:hAnsi="Tahoma" w:eastAsia="Times New Roman" w:cs="Tahoma"/>
          <w:sz w:val="24"/>
          <w:szCs w:val="24"/>
          <w:lang w:eastAsia="es-ES"/>
        </w:rPr>
        <w:t xml:space="preserve">. </w:t>
      </w:r>
    </w:p>
    <w:p w:rsidRPr="002D7A08" w:rsidR="00737B1E" w:rsidP="00A00347" w:rsidRDefault="00737B1E" w14:paraId="30954A75" w14:textId="77777777">
      <w:pPr>
        <w:overflowPunct w:val="0"/>
        <w:autoSpaceDE w:val="0"/>
        <w:autoSpaceDN w:val="0"/>
        <w:adjustRightInd w:val="0"/>
        <w:spacing w:after="0" w:line="240" w:lineRule="auto"/>
        <w:jc w:val="both"/>
        <w:rPr>
          <w:rFonts w:ascii="Tahoma" w:hAnsi="Tahoma" w:eastAsia="Times New Roman" w:cs="Tahoma"/>
          <w:sz w:val="24"/>
          <w:szCs w:val="24"/>
          <w:lang w:eastAsia="es-ES"/>
        </w:rPr>
      </w:pPr>
    </w:p>
    <w:p w:rsidR="00737B1E" w:rsidP="00A00347" w:rsidRDefault="00737B1E" w14:paraId="6A56308F" w14:textId="77777777">
      <w:pPr>
        <w:overflowPunct w:val="0"/>
        <w:autoSpaceDE w:val="0"/>
        <w:autoSpaceDN w:val="0"/>
        <w:adjustRightInd w:val="0"/>
        <w:spacing w:after="0" w:line="240" w:lineRule="auto"/>
        <w:jc w:val="both"/>
        <w:rPr>
          <w:rFonts w:ascii="Tahoma" w:hAnsi="Tahoma" w:eastAsia="Times New Roman" w:cs="Tahoma"/>
          <w:b/>
          <w:sz w:val="24"/>
          <w:szCs w:val="24"/>
          <w:lang w:eastAsia="es-ES"/>
        </w:rPr>
      </w:pPr>
      <w:r w:rsidRPr="002D7A08">
        <w:rPr>
          <w:rFonts w:ascii="Tahoma" w:hAnsi="Tahoma" w:eastAsia="Times New Roman" w:cs="Tahoma"/>
          <w:b/>
          <w:sz w:val="24"/>
          <w:szCs w:val="24"/>
          <w:lang w:eastAsia="es-ES"/>
        </w:rPr>
        <w:t>III.- Consideraciones</w:t>
      </w:r>
    </w:p>
    <w:p w:rsidRPr="002D7A08" w:rsidR="00737B1E" w:rsidP="006F3506" w:rsidRDefault="00737B1E" w14:paraId="0791D7C9" w14:textId="77777777">
      <w:pPr>
        <w:overflowPunct w:val="0"/>
        <w:autoSpaceDE w:val="0"/>
        <w:autoSpaceDN w:val="0"/>
        <w:adjustRightInd w:val="0"/>
        <w:spacing w:after="0" w:line="240" w:lineRule="auto"/>
        <w:ind w:firstLine="851"/>
        <w:jc w:val="both"/>
        <w:rPr>
          <w:rFonts w:ascii="Tahoma" w:hAnsi="Tahoma" w:eastAsia="Times New Roman" w:cs="Tahoma"/>
          <w:b/>
          <w:sz w:val="24"/>
          <w:szCs w:val="24"/>
          <w:lang w:eastAsia="es-ES"/>
        </w:rPr>
      </w:pPr>
    </w:p>
    <w:p w:rsidR="00737B1E" w:rsidP="00A00347" w:rsidRDefault="00737B1E" w14:paraId="010FFAD6" w14:textId="7A73611F">
      <w:pPr>
        <w:pStyle w:val="Ttulo1"/>
        <w:spacing w:before="0" w:beforeAutospacing="0" w:after="0" w:afterAutospacing="0"/>
        <w:jc w:val="both"/>
        <w:textAlignment w:val="baseline"/>
        <w:rPr>
          <w:rFonts w:ascii="Tahoma" w:hAnsi="Tahoma" w:cs="Tahoma"/>
          <w:b w:val="0"/>
          <w:i/>
          <w:sz w:val="24"/>
          <w:szCs w:val="24"/>
          <w:lang w:eastAsia="es-ES"/>
        </w:rPr>
      </w:pPr>
      <w:r w:rsidRPr="00A00347">
        <w:rPr>
          <w:rFonts w:ascii="Tahoma" w:hAnsi="Tahoma" w:cs="Tahoma"/>
          <w:b w:val="0"/>
          <w:bCs w:val="0"/>
          <w:kern w:val="0"/>
          <w:sz w:val="24"/>
          <w:szCs w:val="24"/>
          <w:lang w:eastAsia="es-ES"/>
        </w:rPr>
        <w:t xml:space="preserve">Establece el artículo </w:t>
      </w:r>
      <w:r w:rsidRPr="00A00347" w:rsidR="00A00347">
        <w:rPr>
          <w:rFonts w:ascii="Tahoma" w:hAnsi="Tahoma" w:cs="Tahoma"/>
          <w:b w:val="0"/>
          <w:bCs w:val="0"/>
          <w:kern w:val="0"/>
          <w:sz w:val="24"/>
          <w:szCs w:val="24"/>
          <w:lang w:eastAsia="es-ES"/>
        </w:rPr>
        <w:t>352</w:t>
      </w:r>
      <w:r w:rsidRPr="00A00347">
        <w:rPr>
          <w:rFonts w:ascii="Tahoma" w:hAnsi="Tahoma" w:cs="Tahoma"/>
          <w:b w:val="0"/>
          <w:bCs w:val="0"/>
          <w:kern w:val="0"/>
          <w:sz w:val="24"/>
          <w:szCs w:val="24"/>
          <w:lang w:eastAsia="es-ES"/>
        </w:rPr>
        <w:t xml:space="preserve"> del Código General del Proceso que</w:t>
      </w:r>
      <w:r w:rsidRPr="00A00347" w:rsidR="00A00347">
        <w:rPr>
          <w:rFonts w:ascii="Tahoma" w:hAnsi="Tahoma" w:cs="Tahoma"/>
          <w:b w:val="0"/>
          <w:bCs w:val="0"/>
          <w:kern w:val="0"/>
          <w:sz w:val="24"/>
          <w:szCs w:val="24"/>
          <w:lang w:eastAsia="es-ES"/>
        </w:rPr>
        <w:t>:</w:t>
      </w:r>
      <w:r w:rsidRPr="00A00347">
        <w:rPr>
          <w:rFonts w:ascii="Tahoma" w:hAnsi="Tahoma" w:cs="Tahoma"/>
          <w:b w:val="0"/>
          <w:bCs w:val="0"/>
          <w:kern w:val="0"/>
          <w:sz w:val="24"/>
          <w:szCs w:val="24"/>
          <w:lang w:eastAsia="es-ES"/>
        </w:rPr>
        <w:t xml:space="preserve"> </w:t>
      </w:r>
      <w:r w:rsidRPr="00A00347" w:rsidR="00A00347">
        <w:rPr>
          <w:rFonts w:ascii="Tahoma" w:hAnsi="Tahoma" w:cs="Tahoma"/>
          <w:b w:val="0"/>
          <w:bCs w:val="0"/>
          <w:i/>
          <w:kern w:val="0"/>
          <w:sz w:val="22"/>
          <w:szCs w:val="22"/>
          <w:lang w:eastAsia="es-ES"/>
        </w:rPr>
        <w:t>“</w:t>
      </w:r>
      <w:r w:rsidRPr="00A00347" w:rsidR="00A00347">
        <w:rPr>
          <w:rFonts w:ascii="Tahoma" w:hAnsi="Tahoma" w:cs="Tahoma"/>
          <w:bCs w:val="0"/>
          <w:i/>
          <w:kern w:val="0"/>
          <w:sz w:val="22"/>
          <w:szCs w:val="22"/>
          <w:lang w:eastAsia="es-ES"/>
        </w:rPr>
        <w:t>Procedencia.</w:t>
      </w:r>
      <w:r w:rsidRPr="00A00347" w:rsidR="00A00347">
        <w:rPr>
          <w:rFonts w:ascii="Tahoma" w:hAnsi="Tahoma" w:cs="Tahoma"/>
          <w:b w:val="0"/>
          <w:bCs w:val="0"/>
          <w:i/>
          <w:kern w:val="0"/>
          <w:sz w:val="22"/>
          <w:szCs w:val="22"/>
          <w:lang w:eastAsia="es-ES"/>
        </w:rPr>
        <w:t xml:space="preserve"> </w:t>
      </w:r>
      <w:r w:rsidRPr="00A00347" w:rsidR="00A00347">
        <w:rPr>
          <w:rFonts w:ascii="Tahoma" w:hAnsi="Tahoma" w:cs="Tahoma"/>
          <w:b w:val="0"/>
          <w:i/>
          <w:sz w:val="22"/>
          <w:szCs w:val="22"/>
          <w:lang w:eastAsia="es-ES"/>
        </w:rPr>
        <w:t>Cuando el juez de primera instancia deniegue el recurso de apelación, el recurrente podrá interponer el de queja para que el superior lo conceda si fuere procedente. El mismo recurso procede cuando se deniegue el de casación”.</w:t>
      </w:r>
    </w:p>
    <w:p w:rsidR="00A00347" w:rsidP="00A00347" w:rsidRDefault="00A00347" w14:paraId="3761E264" w14:textId="4136E12F">
      <w:pPr>
        <w:pStyle w:val="Ttulo1"/>
        <w:spacing w:before="0" w:beforeAutospacing="0" w:after="0" w:afterAutospacing="0"/>
        <w:jc w:val="both"/>
        <w:textAlignment w:val="baseline"/>
        <w:rPr>
          <w:rFonts w:ascii="Tahoma" w:hAnsi="Tahoma" w:cs="Tahoma"/>
          <w:b w:val="0"/>
          <w:bCs w:val="0"/>
          <w:kern w:val="0"/>
          <w:sz w:val="24"/>
          <w:szCs w:val="24"/>
          <w:lang w:eastAsia="es-ES"/>
        </w:rPr>
      </w:pPr>
    </w:p>
    <w:p w:rsidRPr="00A00347" w:rsidR="00A00347" w:rsidP="00A00347" w:rsidRDefault="00A00347" w14:paraId="55179AA5" w14:textId="57EADC7C">
      <w:pPr>
        <w:pStyle w:val="NormalWeb"/>
        <w:spacing w:before="0" w:beforeAutospacing="0" w:after="0" w:afterAutospacing="0"/>
        <w:jc w:val="both"/>
        <w:rPr>
          <w:rFonts w:ascii="Tahoma" w:hAnsi="Tahoma" w:cs="Tahoma"/>
        </w:rPr>
      </w:pPr>
      <w:r w:rsidRPr="00A00347">
        <w:rPr>
          <w:rFonts w:ascii="Tahoma" w:hAnsi="Tahoma" w:cs="Tahoma"/>
          <w:bCs/>
          <w:lang w:eastAsia="es-ES"/>
        </w:rPr>
        <w:t>Igualmente, el</w:t>
      </w:r>
      <w:r w:rsidRPr="00A00347">
        <w:rPr>
          <w:rFonts w:ascii="Tahoma" w:hAnsi="Tahoma" w:cs="Tahoma"/>
          <w:b/>
          <w:bCs/>
          <w:lang w:eastAsia="es-ES"/>
        </w:rPr>
        <w:t xml:space="preserve"> </w:t>
      </w:r>
      <w:r w:rsidRPr="00A00347">
        <w:rPr>
          <w:rFonts w:ascii="Tahoma" w:hAnsi="Tahoma" w:cs="Tahoma"/>
          <w:bCs/>
          <w:shd w:val="clear" w:color="auto" w:fill="FFFFFF"/>
        </w:rPr>
        <w:t>artículo 353 del CG del P. prevé:</w:t>
      </w:r>
      <w:r w:rsidRPr="00A00347">
        <w:rPr>
          <w:rFonts w:ascii="Tahoma" w:hAnsi="Tahoma" w:cs="Tahoma"/>
          <w:b/>
          <w:bCs/>
          <w:shd w:val="clear" w:color="auto" w:fill="FFFFFF"/>
        </w:rPr>
        <w:t xml:space="preserve"> </w:t>
      </w:r>
      <w:r w:rsidRPr="00A00347">
        <w:rPr>
          <w:rFonts w:ascii="Tahoma" w:hAnsi="Tahoma" w:cs="Tahoma"/>
          <w:b/>
          <w:bCs/>
          <w:i/>
          <w:shd w:val="clear" w:color="auto" w:fill="FFFFFF"/>
        </w:rPr>
        <w:t>“</w:t>
      </w:r>
      <w:r w:rsidRPr="00A00347">
        <w:rPr>
          <w:rFonts w:ascii="Tahoma" w:hAnsi="Tahoma" w:cs="Tahoma"/>
          <w:b/>
          <w:bCs/>
          <w:i/>
          <w:iCs/>
          <w:shd w:val="clear" w:color="auto" w:fill="FFFFFF"/>
        </w:rPr>
        <w:t>Interposición y trámite</w:t>
      </w:r>
      <w:r w:rsidRPr="00A00347">
        <w:rPr>
          <w:rFonts w:ascii="Tahoma" w:hAnsi="Tahoma" w:cs="Tahoma"/>
          <w:b/>
          <w:bCs/>
          <w:i/>
          <w:shd w:val="clear" w:color="auto" w:fill="FFFFFF"/>
        </w:rPr>
        <w:t xml:space="preserve">. </w:t>
      </w:r>
      <w:r w:rsidRPr="00A00347">
        <w:rPr>
          <w:rFonts w:ascii="Tahoma" w:hAnsi="Tahoma" w:cs="Tahoma"/>
          <w:i/>
        </w:rPr>
        <w:t xml:space="preserve">El recurso de queja </w:t>
      </w:r>
      <w:r w:rsidRPr="00A00347">
        <w:rPr>
          <w:rFonts w:ascii="Tahoma" w:hAnsi="Tahoma" w:cs="Tahoma"/>
          <w:b/>
          <w:i/>
        </w:rPr>
        <w:t xml:space="preserve">deberá interponerse en subsidio del de reposición contra el auto que denegó la apelación </w:t>
      </w:r>
      <w:r w:rsidRPr="00A00347">
        <w:rPr>
          <w:rFonts w:ascii="Tahoma" w:hAnsi="Tahoma" w:cs="Tahoma"/>
          <w:i/>
        </w:rPr>
        <w:t xml:space="preserve">o la casación, salvo cuando este sea consecuencia de la reposición interpuesta por la parte contraria, caso en el cual deberá interponerse directamente dentro de la ejecutoria. Denegada la reposición, o interpuesta la queja, según el caso, </w:t>
      </w:r>
      <w:r w:rsidRPr="00A00347">
        <w:rPr>
          <w:rFonts w:ascii="Tahoma" w:hAnsi="Tahoma" w:cs="Tahoma"/>
          <w:b/>
          <w:i/>
        </w:rPr>
        <w:t>el juez ordenará la reproducción de las piezas procesales necesarias, para lo cual se procederá en la forma prevista para el trámite de la apelación</w:t>
      </w:r>
      <w:r w:rsidRPr="00A00347">
        <w:rPr>
          <w:rStyle w:val="Refdenotaalpie"/>
          <w:rFonts w:ascii="Tahoma" w:hAnsi="Tahoma" w:cs="Tahoma"/>
          <w:b/>
          <w:i/>
        </w:rPr>
        <w:footnoteReference w:id="1"/>
      </w:r>
      <w:r w:rsidRPr="00A00347">
        <w:rPr>
          <w:rFonts w:ascii="Tahoma" w:hAnsi="Tahoma" w:cs="Tahoma"/>
          <w:b/>
          <w:i/>
        </w:rPr>
        <w:t xml:space="preserve">. Expedidas las copias se remitirán </w:t>
      </w:r>
      <w:r w:rsidRPr="00A00347">
        <w:rPr>
          <w:rFonts w:ascii="Tahoma" w:hAnsi="Tahoma" w:cs="Tahoma"/>
          <w:b/>
          <w:i/>
        </w:rPr>
        <w:lastRenderedPageBreak/>
        <w:t xml:space="preserve">al superior, quien podrá ordenar al inferior que remita copias de otras piezas del expediente. </w:t>
      </w:r>
      <w:r w:rsidRPr="00A00347">
        <w:rPr>
          <w:rFonts w:ascii="Tahoma" w:hAnsi="Tahoma" w:cs="Tahoma"/>
          <w:i/>
        </w:rPr>
        <w:t xml:space="preserve">El escrito se mantendrá en la secretaría por tres (3) días a disposición de la otra parte para que manifieste lo que estime oportuno, y surtido el traslado se decidirá el recurso. Si </w:t>
      </w:r>
      <w:proofErr w:type="gramStart"/>
      <w:r w:rsidRPr="00A00347">
        <w:rPr>
          <w:rFonts w:ascii="Tahoma" w:hAnsi="Tahoma" w:cs="Tahoma"/>
          <w:i/>
        </w:rPr>
        <w:t>el superior estima indebida</w:t>
      </w:r>
      <w:proofErr w:type="gramEnd"/>
      <w:r w:rsidRPr="00A00347">
        <w:rPr>
          <w:rFonts w:ascii="Tahoma" w:hAnsi="Tahoma" w:cs="Tahoma"/>
          <w:i/>
        </w:rPr>
        <w:t xml:space="preserve"> la denegación de la apelación o de la casación, la admitirá y comunicará su decisión al inferior, con indicación del efecto en que corresponda en el primer caso</w:t>
      </w:r>
      <w:r w:rsidRPr="00A00347">
        <w:rPr>
          <w:rFonts w:ascii="Tahoma" w:hAnsi="Tahoma" w:cs="Tahoma"/>
        </w:rPr>
        <w:t>” (</w:t>
      </w:r>
      <w:r w:rsidRPr="00A00347">
        <w:rPr>
          <w:rFonts w:ascii="Tahoma" w:hAnsi="Tahoma" w:cs="Tahoma"/>
          <w:b/>
        </w:rPr>
        <w:t>negrita fuera de texto</w:t>
      </w:r>
      <w:r w:rsidRPr="00A00347">
        <w:rPr>
          <w:rFonts w:ascii="Tahoma" w:hAnsi="Tahoma" w:cs="Tahoma"/>
        </w:rPr>
        <w:t>)</w:t>
      </w:r>
    </w:p>
    <w:p w:rsidRPr="00A00347" w:rsidR="00A00347" w:rsidP="00A00347" w:rsidRDefault="00A00347" w14:paraId="71698D28" w14:textId="143BE23A">
      <w:pPr>
        <w:pStyle w:val="Ttulo1"/>
        <w:spacing w:before="0" w:beforeAutospacing="0" w:after="0" w:afterAutospacing="0"/>
        <w:jc w:val="both"/>
        <w:textAlignment w:val="baseline"/>
        <w:rPr>
          <w:rFonts w:ascii="Tahoma" w:hAnsi="Tahoma" w:cs="Tahoma"/>
          <w:b w:val="0"/>
          <w:bCs w:val="0"/>
          <w:kern w:val="0"/>
          <w:sz w:val="24"/>
          <w:szCs w:val="24"/>
          <w:lang w:eastAsia="es-ES"/>
        </w:rPr>
      </w:pPr>
    </w:p>
    <w:p w:rsidR="00A00347" w:rsidP="00A00347" w:rsidRDefault="00A00347" w14:paraId="596EE68F" w14:textId="25D25650">
      <w:pPr>
        <w:spacing w:after="0" w:line="240" w:lineRule="auto"/>
        <w:jc w:val="both"/>
        <w:rPr>
          <w:rFonts w:ascii="Tahoma" w:hAnsi="Tahoma" w:cs="Tahoma"/>
          <w:sz w:val="24"/>
          <w:szCs w:val="24"/>
        </w:rPr>
      </w:pPr>
      <w:r w:rsidRPr="00A00347">
        <w:rPr>
          <w:rFonts w:ascii="Tahoma" w:hAnsi="Tahoma" w:cs="Tahoma"/>
          <w:sz w:val="24"/>
          <w:szCs w:val="24"/>
        </w:rPr>
        <w:t xml:space="preserve">A su vez, el artículo </w:t>
      </w:r>
      <w:r w:rsidRPr="00A00347">
        <w:rPr>
          <w:rFonts w:ascii="Tahoma" w:hAnsi="Tahoma" w:cs="Tahoma"/>
          <w:sz w:val="24"/>
          <w:szCs w:val="24"/>
        </w:rPr>
        <w:t>321</w:t>
      </w:r>
      <w:r w:rsidRPr="00A00347">
        <w:rPr>
          <w:rFonts w:ascii="Tahoma" w:hAnsi="Tahoma" w:cs="Tahoma"/>
          <w:sz w:val="24"/>
          <w:szCs w:val="24"/>
        </w:rPr>
        <w:t xml:space="preserve"> </w:t>
      </w:r>
      <w:proofErr w:type="spellStart"/>
      <w:r w:rsidRPr="00A00347">
        <w:rPr>
          <w:rFonts w:ascii="Tahoma" w:hAnsi="Tahoma" w:cs="Tahoma"/>
          <w:sz w:val="24"/>
          <w:szCs w:val="24"/>
        </w:rPr>
        <w:t>ibídem</w:t>
      </w:r>
      <w:proofErr w:type="spellEnd"/>
      <w:r w:rsidRPr="00A00347">
        <w:rPr>
          <w:rFonts w:ascii="Tahoma" w:hAnsi="Tahoma" w:cs="Tahoma"/>
          <w:sz w:val="24"/>
          <w:szCs w:val="24"/>
        </w:rPr>
        <w:t xml:space="preserve">, señala que los </w:t>
      </w:r>
      <w:r w:rsidRPr="00A00347">
        <w:rPr>
          <w:rFonts w:ascii="Tahoma" w:hAnsi="Tahoma" w:cs="Tahoma"/>
          <w:b/>
          <w:sz w:val="24"/>
          <w:szCs w:val="24"/>
        </w:rPr>
        <w:t xml:space="preserve">autos susceptibles de apelación y proferidos </w:t>
      </w:r>
      <w:r w:rsidRPr="00A00347">
        <w:rPr>
          <w:rFonts w:ascii="Tahoma" w:hAnsi="Tahoma" w:cs="Tahoma"/>
          <w:b/>
          <w:sz w:val="24"/>
          <w:szCs w:val="24"/>
        </w:rPr>
        <w:t>en primera instancia</w:t>
      </w:r>
      <w:r w:rsidRPr="00A00347">
        <w:rPr>
          <w:rFonts w:ascii="Tahoma" w:hAnsi="Tahoma" w:cs="Tahoma"/>
          <w:b/>
          <w:sz w:val="24"/>
          <w:szCs w:val="24"/>
        </w:rPr>
        <w:t xml:space="preserve"> son</w:t>
      </w:r>
      <w:r w:rsidRPr="00A00347">
        <w:rPr>
          <w:rFonts w:ascii="Tahoma" w:hAnsi="Tahoma" w:cs="Tahoma"/>
          <w:sz w:val="24"/>
          <w:szCs w:val="24"/>
        </w:rPr>
        <w:t>:</w:t>
      </w:r>
    </w:p>
    <w:p w:rsidRPr="00A00347" w:rsidR="00A00347" w:rsidP="00A00347" w:rsidRDefault="00A00347" w14:paraId="1145FBE1" w14:textId="44DC9EC9">
      <w:pPr>
        <w:spacing w:after="0" w:line="240" w:lineRule="auto"/>
        <w:jc w:val="both"/>
        <w:rPr>
          <w:rFonts w:ascii="Tahoma" w:hAnsi="Tahoma" w:eastAsia="Times New Roman" w:cs="Tahoma"/>
          <w:i/>
          <w:sz w:val="24"/>
          <w:szCs w:val="24"/>
          <w:lang w:eastAsia="es-CO"/>
        </w:rPr>
      </w:pPr>
    </w:p>
    <w:p w:rsidR="0058200B" w:rsidP="0058200B" w:rsidRDefault="00A00347" w14:paraId="28EED8B2" w14:textId="77777777">
      <w:pPr>
        <w:spacing w:after="0" w:line="240" w:lineRule="auto"/>
        <w:jc w:val="both"/>
        <w:rPr>
          <w:rFonts w:ascii="Arial" w:hAnsi="Arial" w:cs="Arial"/>
        </w:rPr>
      </w:pPr>
      <w:r w:rsidRPr="00A00347">
        <w:rPr>
          <w:rFonts w:ascii="Tahoma" w:hAnsi="Tahoma" w:eastAsia="Times New Roman" w:cs="Tahoma"/>
          <w:i/>
          <w:lang w:eastAsia="es-CO"/>
        </w:rPr>
        <w:t>“</w:t>
      </w:r>
      <w:r w:rsidRPr="00A00347">
        <w:rPr>
          <w:rFonts w:ascii="Tahoma" w:hAnsi="Tahoma" w:eastAsia="Times New Roman" w:cs="Tahoma"/>
          <w:i/>
          <w:lang w:eastAsia="es-CO"/>
        </w:rPr>
        <w:t>1. El que rechace la demanda, su reforma o la contestación a cualquiera de ellas.</w:t>
      </w:r>
      <w:r w:rsidRPr="00A00347">
        <w:rPr>
          <w:rFonts w:ascii="Tahoma" w:hAnsi="Tahoma" w:eastAsia="Times New Roman" w:cs="Tahoma"/>
          <w:i/>
          <w:lang w:eastAsia="es-CO"/>
        </w:rPr>
        <w:br/>
      </w:r>
      <w:r w:rsidRPr="00A00347">
        <w:rPr>
          <w:rFonts w:ascii="Tahoma" w:hAnsi="Tahoma" w:eastAsia="Times New Roman" w:cs="Tahoma"/>
          <w:i/>
          <w:lang w:eastAsia="es-CO"/>
        </w:rPr>
        <w:t>2. El que niegue la intervención de sucesores procesales o de terceros.</w:t>
      </w:r>
      <w:r w:rsidRPr="00A00347">
        <w:rPr>
          <w:rFonts w:ascii="Tahoma" w:hAnsi="Tahoma" w:eastAsia="Times New Roman" w:cs="Tahoma"/>
          <w:i/>
          <w:lang w:eastAsia="es-CO"/>
        </w:rPr>
        <w:br/>
      </w:r>
      <w:r w:rsidRPr="00A00347">
        <w:rPr>
          <w:rFonts w:ascii="Tahoma" w:hAnsi="Tahoma" w:eastAsia="Times New Roman" w:cs="Tahoma"/>
          <w:i/>
          <w:lang w:eastAsia="es-CO"/>
        </w:rPr>
        <w:t>3. El que niegue el decreto o la práctica de pruebas.</w:t>
      </w:r>
      <w:r w:rsidRPr="00A00347">
        <w:rPr>
          <w:rFonts w:ascii="Tahoma" w:hAnsi="Tahoma" w:eastAsia="Times New Roman" w:cs="Tahoma"/>
          <w:i/>
          <w:lang w:eastAsia="es-CO"/>
        </w:rPr>
        <w:br/>
      </w:r>
      <w:r w:rsidRPr="00A00347">
        <w:rPr>
          <w:rFonts w:ascii="Tahoma" w:hAnsi="Tahoma" w:eastAsia="Times New Roman" w:cs="Tahoma"/>
          <w:i/>
          <w:lang w:eastAsia="es-CO"/>
        </w:rPr>
        <w:t>4. El que niegue total o parcialmente el mandamiento de pago y el que rechace de plano las excepciones de mérito en el proceso ejecutivo.</w:t>
      </w:r>
      <w:r w:rsidRPr="00A00347">
        <w:rPr>
          <w:rFonts w:ascii="Tahoma" w:hAnsi="Tahoma" w:eastAsia="Times New Roman" w:cs="Tahoma"/>
          <w:i/>
          <w:lang w:eastAsia="es-CO"/>
        </w:rPr>
        <w:br/>
      </w:r>
      <w:r w:rsidRPr="00A00347">
        <w:rPr>
          <w:rFonts w:ascii="Tahoma" w:hAnsi="Tahoma" w:eastAsia="Times New Roman" w:cs="Tahoma"/>
          <w:i/>
          <w:lang w:eastAsia="es-CO"/>
        </w:rPr>
        <w:t>5. El que rechace de plano un incidente y el que lo resuelva.</w:t>
      </w:r>
      <w:r w:rsidRPr="00A00347">
        <w:rPr>
          <w:rFonts w:ascii="Tahoma" w:hAnsi="Tahoma" w:eastAsia="Times New Roman" w:cs="Tahoma"/>
          <w:i/>
          <w:lang w:eastAsia="es-CO"/>
        </w:rPr>
        <w:br/>
      </w:r>
      <w:r w:rsidRPr="00A00347">
        <w:rPr>
          <w:rFonts w:ascii="Tahoma" w:hAnsi="Tahoma" w:eastAsia="Times New Roman" w:cs="Tahoma"/>
          <w:i/>
          <w:lang w:eastAsia="es-CO"/>
        </w:rPr>
        <w:t>6. El que niegue el trámite de una nulidad procesal y el que la resuelva.</w:t>
      </w:r>
      <w:r w:rsidRPr="00A00347">
        <w:rPr>
          <w:rFonts w:ascii="Tahoma" w:hAnsi="Tahoma" w:eastAsia="Times New Roman" w:cs="Tahoma"/>
          <w:i/>
          <w:lang w:eastAsia="es-CO"/>
        </w:rPr>
        <w:br/>
      </w:r>
      <w:r w:rsidRPr="00A00347">
        <w:rPr>
          <w:rFonts w:ascii="Tahoma" w:hAnsi="Tahoma" w:eastAsia="Times New Roman" w:cs="Tahoma"/>
          <w:i/>
          <w:lang w:eastAsia="es-CO"/>
        </w:rPr>
        <w:t>7. El que por cualquier causa le ponga fin al proceso.</w:t>
      </w:r>
      <w:r w:rsidRPr="00A00347">
        <w:rPr>
          <w:rFonts w:ascii="Tahoma" w:hAnsi="Tahoma" w:eastAsia="Times New Roman" w:cs="Tahoma"/>
          <w:i/>
          <w:lang w:eastAsia="es-CO"/>
        </w:rPr>
        <w:br/>
      </w:r>
      <w:r w:rsidRPr="00A00347">
        <w:rPr>
          <w:rFonts w:ascii="Tahoma" w:hAnsi="Tahoma" w:eastAsia="Times New Roman" w:cs="Tahoma"/>
          <w:i/>
          <w:lang w:eastAsia="es-CO"/>
        </w:rPr>
        <w:t>8. El que resuelva sobre una medida cautelar, o fije el monto de la caución para decretarla, impedirla o levantarla.</w:t>
      </w:r>
      <w:r w:rsidRPr="00A00347">
        <w:rPr>
          <w:rFonts w:ascii="Tahoma" w:hAnsi="Tahoma" w:eastAsia="Times New Roman" w:cs="Tahoma"/>
          <w:i/>
          <w:lang w:eastAsia="es-CO"/>
        </w:rPr>
        <w:br/>
      </w:r>
      <w:r w:rsidRPr="00A00347">
        <w:rPr>
          <w:rFonts w:ascii="Tahoma" w:hAnsi="Tahoma" w:eastAsia="Times New Roman" w:cs="Tahoma"/>
          <w:i/>
          <w:lang w:eastAsia="es-CO"/>
        </w:rPr>
        <w:t xml:space="preserve">9. El que resuelva sobre la oposición a la entrega de bienes, y el que </w:t>
      </w:r>
      <w:proofErr w:type="gramStart"/>
      <w:r w:rsidRPr="00A00347">
        <w:rPr>
          <w:rFonts w:ascii="Tahoma" w:hAnsi="Tahoma" w:eastAsia="Times New Roman" w:cs="Tahoma"/>
          <w:i/>
          <w:lang w:eastAsia="es-CO"/>
        </w:rPr>
        <w:t>la rechace</w:t>
      </w:r>
      <w:proofErr w:type="gramEnd"/>
      <w:r w:rsidRPr="00A00347">
        <w:rPr>
          <w:rFonts w:ascii="Tahoma" w:hAnsi="Tahoma" w:eastAsia="Times New Roman" w:cs="Tahoma"/>
          <w:i/>
          <w:lang w:eastAsia="es-CO"/>
        </w:rPr>
        <w:t xml:space="preserve"> de plano.</w:t>
      </w:r>
      <w:r w:rsidRPr="00A00347">
        <w:rPr>
          <w:rFonts w:ascii="Tahoma" w:hAnsi="Tahoma" w:eastAsia="Times New Roman" w:cs="Tahoma"/>
          <w:i/>
          <w:lang w:eastAsia="es-CO"/>
        </w:rPr>
        <w:br/>
      </w:r>
      <w:r w:rsidRPr="00A00347">
        <w:rPr>
          <w:rFonts w:ascii="Tahoma" w:hAnsi="Tahoma" w:eastAsia="Times New Roman" w:cs="Tahoma"/>
          <w:i/>
          <w:lang w:eastAsia="es-CO"/>
        </w:rPr>
        <w:t>10. Los demás expresamente señalados en este código</w:t>
      </w:r>
      <w:r w:rsidRPr="00A00347">
        <w:rPr>
          <w:rFonts w:ascii="Tahoma" w:hAnsi="Tahoma" w:eastAsia="Times New Roman" w:cs="Tahoma"/>
          <w:i/>
          <w:lang w:eastAsia="es-CO"/>
        </w:rPr>
        <w:t>”</w:t>
      </w:r>
      <w:r w:rsidRPr="00A00347">
        <w:rPr>
          <w:rFonts w:ascii="Tahoma" w:hAnsi="Tahoma" w:eastAsia="Times New Roman" w:cs="Tahoma"/>
          <w:i/>
          <w:lang w:eastAsia="es-CO"/>
        </w:rPr>
        <w:t>.</w:t>
      </w:r>
      <w:r w:rsidRPr="00A00347">
        <w:rPr>
          <w:rFonts w:ascii="Arial" w:hAnsi="Arial" w:cs="Arial"/>
          <w:color w:val="333333"/>
        </w:rPr>
        <w:br/>
      </w:r>
      <w:r w:rsidRPr="00A00347">
        <w:rPr>
          <w:rFonts w:ascii="Arial" w:hAnsi="Arial" w:cs="Arial"/>
          <w:bdr w:val="none" w:color="auto" w:sz="0" w:space="0" w:frame="1"/>
        </w:rPr>
        <w:br/>
      </w:r>
    </w:p>
    <w:p w:rsidR="00A00347" w:rsidP="0058200B" w:rsidRDefault="00B853B6" w14:paraId="5EC459C3" w14:textId="28CD9518">
      <w:pPr>
        <w:spacing w:after="0" w:line="240" w:lineRule="auto"/>
        <w:jc w:val="both"/>
        <w:rPr>
          <w:rFonts w:ascii="Tahoma" w:hAnsi="Tahoma" w:cs="Tahoma"/>
          <w:sz w:val="24"/>
          <w:szCs w:val="24"/>
        </w:rPr>
      </w:pPr>
      <w:r w:rsidRPr="4869C98C" w:rsidR="00B853B6">
        <w:rPr>
          <w:rFonts w:ascii="Tahoma" w:hAnsi="Tahoma" w:cs="Tahoma"/>
          <w:sz w:val="24"/>
          <w:szCs w:val="24"/>
        </w:rPr>
        <w:t>En el caso bajo estudio la providencia recurrida solo es susceptible del recurso de reposición, como</w:t>
      </w:r>
      <w:r w:rsidRPr="4869C98C" w:rsidR="0058200B">
        <w:rPr>
          <w:rFonts w:ascii="Tahoma" w:hAnsi="Tahoma" w:cs="Tahoma"/>
          <w:sz w:val="24"/>
          <w:szCs w:val="24"/>
        </w:rPr>
        <w:t xml:space="preserve"> </w:t>
      </w:r>
      <w:r w:rsidRPr="4869C98C" w:rsidR="00B853B6">
        <w:rPr>
          <w:rFonts w:ascii="Tahoma" w:hAnsi="Tahoma" w:cs="Tahoma"/>
          <w:sz w:val="24"/>
          <w:szCs w:val="24"/>
        </w:rPr>
        <w:t xml:space="preserve">quiera que no </w:t>
      </w:r>
      <w:r w:rsidRPr="4869C98C" w:rsidR="00B853B6">
        <w:rPr>
          <w:rFonts w:ascii="Tahoma" w:hAnsi="Tahoma" w:cs="Tahoma"/>
          <w:sz w:val="24"/>
          <w:szCs w:val="24"/>
        </w:rPr>
        <w:t>está</w:t>
      </w:r>
      <w:r w:rsidRPr="4869C98C" w:rsidR="00B853B6">
        <w:rPr>
          <w:rFonts w:ascii="Tahoma" w:hAnsi="Tahoma" w:cs="Tahoma"/>
          <w:sz w:val="24"/>
          <w:szCs w:val="24"/>
        </w:rPr>
        <w:t xml:space="preserve"> dentro de aquellos autos que son objeto del recurso de apelación</w:t>
      </w:r>
      <w:r w:rsidRPr="4869C98C" w:rsidR="3602B069">
        <w:rPr>
          <w:rFonts w:ascii="Tahoma" w:hAnsi="Tahoma" w:cs="Tahoma"/>
          <w:sz w:val="24"/>
          <w:szCs w:val="24"/>
        </w:rPr>
        <w:t xml:space="preserve"> según lo dispuesto en el mencionado art. 321</w:t>
      </w:r>
      <w:r w:rsidRPr="4869C98C" w:rsidR="00B853B6">
        <w:rPr>
          <w:rFonts w:ascii="Tahoma" w:hAnsi="Tahoma" w:cs="Tahoma"/>
          <w:sz w:val="24"/>
          <w:szCs w:val="24"/>
        </w:rPr>
        <w:t>, ni tampoco existe otra norma que así lo indique</w:t>
      </w:r>
      <w:r w:rsidRPr="4869C98C" w:rsidR="0058200B">
        <w:rPr>
          <w:rFonts w:ascii="Tahoma" w:hAnsi="Tahoma" w:cs="Tahoma"/>
          <w:sz w:val="24"/>
          <w:szCs w:val="24"/>
        </w:rPr>
        <w:t>.</w:t>
      </w:r>
    </w:p>
    <w:p w:rsidR="0058200B" w:rsidP="0058200B" w:rsidRDefault="0058200B" w14:paraId="4BAAB06A" w14:textId="6E3EB111">
      <w:pPr>
        <w:spacing w:after="0" w:line="240" w:lineRule="auto"/>
        <w:jc w:val="both"/>
        <w:rPr>
          <w:rFonts w:ascii="Tahoma" w:hAnsi="Tahoma" w:cs="Tahoma"/>
          <w:sz w:val="24"/>
          <w:szCs w:val="24"/>
        </w:rPr>
      </w:pPr>
    </w:p>
    <w:p w:rsidR="008E3F87" w:rsidP="00FA3E15" w:rsidRDefault="0058200B" w14:paraId="5A3C3219" w14:textId="2A31AB0B">
      <w:pPr>
        <w:spacing w:after="0" w:line="240" w:lineRule="auto"/>
        <w:jc w:val="both"/>
        <w:rPr>
          <w:rFonts w:ascii="Tahoma" w:hAnsi="Tahoma" w:cs="Tahoma"/>
          <w:sz w:val="24"/>
          <w:szCs w:val="24"/>
        </w:rPr>
      </w:pPr>
      <w:r w:rsidRPr="0058200B">
        <w:rPr>
          <w:rFonts w:ascii="Tahoma" w:hAnsi="Tahoma" w:cs="Tahoma"/>
          <w:sz w:val="24"/>
          <w:szCs w:val="24"/>
        </w:rPr>
        <w:t>El apoderado de la parte demandante solicita a este Despacho que se revoque el auto que negó el recurso de apelación y en su lugar se conceda para que el superior ejerza control sobre las actuaciones adelantadas dentro del presente proceso, para el actor el auto que ordenó allegar el avalúo actualizado</w:t>
      </w:r>
      <w:r w:rsidR="008E3F87">
        <w:rPr>
          <w:rFonts w:ascii="Tahoma" w:hAnsi="Tahoma" w:cs="Tahoma"/>
          <w:sz w:val="24"/>
          <w:szCs w:val="24"/>
        </w:rPr>
        <w:t xml:space="preserve"> </w:t>
      </w:r>
      <w:r w:rsidRPr="008E3F87" w:rsidR="008E3F87">
        <w:rPr>
          <w:rFonts w:ascii="Tahoma" w:hAnsi="Tahoma" w:cs="Tahoma"/>
          <w:sz w:val="24"/>
          <w:szCs w:val="24"/>
        </w:rPr>
        <w:t>del bien inmueble objeto</w:t>
      </w:r>
      <w:r w:rsidRPr="008E3F87" w:rsidR="008E3F87">
        <w:rPr>
          <w:rFonts w:ascii="Tahoma" w:hAnsi="Tahoma" w:cs="Tahoma"/>
          <w:sz w:val="24"/>
          <w:szCs w:val="24"/>
        </w:rPr>
        <w:t xml:space="preserve"> de </w:t>
      </w:r>
      <w:r w:rsidR="008E3F87">
        <w:rPr>
          <w:rFonts w:ascii="Tahoma" w:hAnsi="Tahoma" w:cs="Tahoma"/>
          <w:sz w:val="24"/>
          <w:szCs w:val="24"/>
        </w:rPr>
        <w:t>venta</w:t>
      </w:r>
      <w:r w:rsidRPr="0058200B">
        <w:rPr>
          <w:rFonts w:ascii="Tahoma" w:hAnsi="Tahoma" w:cs="Tahoma"/>
          <w:sz w:val="24"/>
          <w:szCs w:val="24"/>
        </w:rPr>
        <w:t xml:space="preserve"> es apelable</w:t>
      </w:r>
      <w:r w:rsidR="008E3F87">
        <w:rPr>
          <w:rFonts w:ascii="Tahoma" w:hAnsi="Tahoma" w:cs="Tahoma"/>
          <w:sz w:val="24"/>
          <w:szCs w:val="24"/>
        </w:rPr>
        <w:t>.</w:t>
      </w:r>
    </w:p>
    <w:p w:rsidR="008E3F87" w:rsidP="00FA3E15" w:rsidRDefault="008E3F87" w14:paraId="4E7B83C9" w14:textId="737B9819">
      <w:pPr>
        <w:spacing w:after="0" w:line="240" w:lineRule="auto"/>
        <w:jc w:val="both"/>
        <w:rPr>
          <w:rFonts w:ascii="Tahoma" w:hAnsi="Tahoma" w:cs="Tahoma"/>
          <w:sz w:val="24"/>
          <w:szCs w:val="24"/>
        </w:rPr>
      </w:pPr>
    </w:p>
    <w:p w:rsidR="008E3F87" w:rsidP="00FA3E15" w:rsidRDefault="008E3F87" w14:paraId="3E736C95" w14:textId="11A349B6">
      <w:pPr>
        <w:spacing w:after="0" w:line="240" w:lineRule="auto"/>
        <w:jc w:val="both"/>
        <w:rPr>
          <w:rFonts w:ascii="Tahoma" w:hAnsi="Tahoma" w:cs="Tahoma"/>
          <w:sz w:val="24"/>
          <w:szCs w:val="24"/>
        </w:rPr>
      </w:pPr>
      <w:r w:rsidRPr="4869C98C" w:rsidR="008E3F87">
        <w:rPr>
          <w:rFonts w:ascii="Tahoma" w:hAnsi="Tahoma" w:cs="Tahoma"/>
          <w:sz w:val="24"/>
          <w:szCs w:val="24"/>
        </w:rPr>
        <w:t>Este Despacho no comparte los argumentos del recurrente, pues como se anotó en providencia</w:t>
      </w:r>
      <w:r w:rsidRPr="4869C98C" w:rsidR="008E3F87">
        <w:rPr>
          <w:rFonts w:ascii="Tahoma" w:hAnsi="Tahoma" w:cs="Tahoma"/>
          <w:sz w:val="24"/>
          <w:szCs w:val="24"/>
        </w:rPr>
        <w:t xml:space="preserve"> Nro. </w:t>
      </w:r>
      <w:r w:rsidRPr="4869C98C" w:rsidR="008E3F87">
        <w:rPr>
          <w:rFonts w:ascii="Tahoma" w:hAnsi="Tahoma" w:eastAsia="Times New Roman" w:cs="Tahoma"/>
          <w:sz w:val="24"/>
          <w:szCs w:val="24"/>
          <w:lang w:eastAsia="es-ES"/>
        </w:rPr>
        <w:t>3880 del 30 de noviembre de 2022</w:t>
      </w:r>
      <w:r w:rsidRPr="4869C98C" w:rsidR="008E3F87">
        <w:rPr>
          <w:rFonts w:ascii="Tahoma" w:hAnsi="Tahoma" w:eastAsia="Times New Roman" w:cs="Tahoma"/>
          <w:sz w:val="24"/>
          <w:szCs w:val="24"/>
          <w:lang w:eastAsia="es-ES"/>
        </w:rPr>
        <w:t xml:space="preserve"> </w:t>
      </w:r>
      <w:r w:rsidRPr="4869C98C" w:rsidR="008E3F87">
        <w:rPr>
          <w:rFonts w:ascii="Tahoma" w:hAnsi="Tahoma" w:cs="Tahoma"/>
          <w:sz w:val="24"/>
          <w:szCs w:val="24"/>
        </w:rPr>
        <w:t xml:space="preserve">el recurso de apelación es taxativo, es decir, solo es procedente para los asuntos que la ley </w:t>
      </w:r>
      <w:r w:rsidRPr="4869C98C" w:rsidR="1319E4BA">
        <w:rPr>
          <w:rFonts w:ascii="Tahoma" w:hAnsi="Tahoma" w:cs="Tahoma"/>
          <w:sz w:val="24"/>
          <w:szCs w:val="24"/>
        </w:rPr>
        <w:t>h</w:t>
      </w:r>
      <w:r w:rsidRPr="4869C98C" w:rsidR="008E3F87">
        <w:rPr>
          <w:rFonts w:ascii="Tahoma" w:hAnsi="Tahoma" w:cs="Tahoma"/>
          <w:sz w:val="24"/>
          <w:szCs w:val="24"/>
        </w:rPr>
        <w:t xml:space="preserve">a determinado y que están dentro del artículo </w:t>
      </w:r>
      <w:r w:rsidRPr="4869C98C" w:rsidR="008E3F87">
        <w:rPr>
          <w:rFonts w:ascii="Tahoma" w:hAnsi="Tahoma" w:cs="Tahoma"/>
          <w:sz w:val="24"/>
          <w:szCs w:val="24"/>
        </w:rPr>
        <w:t>321</w:t>
      </w:r>
      <w:r w:rsidRPr="4869C98C" w:rsidR="008E3F87">
        <w:rPr>
          <w:rFonts w:ascii="Tahoma" w:hAnsi="Tahoma" w:cs="Tahoma"/>
          <w:sz w:val="24"/>
          <w:szCs w:val="24"/>
        </w:rPr>
        <w:t xml:space="preserve"> del Código </w:t>
      </w:r>
      <w:r w:rsidRPr="4869C98C" w:rsidR="008E3F87">
        <w:rPr>
          <w:rFonts w:ascii="Tahoma" w:hAnsi="Tahoma" w:cs="Tahoma"/>
          <w:sz w:val="24"/>
          <w:szCs w:val="24"/>
        </w:rPr>
        <w:t>General del Proceso</w:t>
      </w:r>
      <w:r w:rsidRPr="4869C98C" w:rsidR="18BC664E">
        <w:rPr>
          <w:rFonts w:ascii="Tahoma" w:hAnsi="Tahoma" w:cs="Tahoma"/>
          <w:sz w:val="24"/>
          <w:szCs w:val="24"/>
        </w:rPr>
        <w:t xml:space="preserve"> o en norma especial, no siendo éste el caso</w:t>
      </w:r>
      <w:r w:rsidRPr="4869C98C" w:rsidR="008E3F87">
        <w:rPr>
          <w:rFonts w:ascii="Tahoma" w:hAnsi="Tahoma" w:cs="Tahoma"/>
          <w:sz w:val="24"/>
          <w:szCs w:val="24"/>
        </w:rPr>
        <w:t>.</w:t>
      </w:r>
    </w:p>
    <w:p w:rsidR="00FA3E15" w:rsidP="00FA3E15" w:rsidRDefault="00FA3E15" w14:paraId="4B6FC8D4" w14:textId="77777777">
      <w:pPr>
        <w:spacing w:after="0" w:line="240" w:lineRule="auto"/>
        <w:jc w:val="both"/>
        <w:rPr>
          <w:rFonts w:ascii="Tahoma" w:hAnsi="Tahoma" w:cs="Tahoma"/>
          <w:sz w:val="24"/>
          <w:szCs w:val="24"/>
        </w:rPr>
      </w:pPr>
    </w:p>
    <w:p w:rsidRPr="0058200B" w:rsidR="0058200B" w:rsidP="00FA3E15" w:rsidRDefault="00FA3E15" w14:paraId="761BBBDA" w14:textId="103D980D">
      <w:pPr>
        <w:spacing w:line="240" w:lineRule="auto"/>
        <w:ind w:right="-1"/>
        <w:jc w:val="both"/>
        <w:rPr>
          <w:rFonts w:ascii="Tahoma" w:hAnsi="Tahoma" w:cs="Tahoma"/>
          <w:sz w:val="24"/>
          <w:szCs w:val="24"/>
        </w:rPr>
      </w:pPr>
      <w:r w:rsidRPr="4869C98C" w:rsidR="00FA3E15">
        <w:rPr>
          <w:rFonts w:ascii="Tahoma" w:hAnsi="Tahoma" w:cs="Tahoma"/>
          <w:sz w:val="24"/>
          <w:szCs w:val="24"/>
        </w:rPr>
        <w:t>Así las cosas</w:t>
      </w:r>
      <w:r w:rsidRPr="4869C98C" w:rsidR="00FA3E15">
        <w:rPr>
          <w:rFonts w:ascii="Tahoma" w:hAnsi="Tahoma" w:cs="Tahoma"/>
          <w:sz w:val="24"/>
          <w:szCs w:val="24"/>
        </w:rPr>
        <w:t>, se confirmará la providencia proferida</w:t>
      </w:r>
      <w:r w:rsidRPr="4869C98C" w:rsidR="00FA3E15">
        <w:rPr>
          <w:rFonts w:ascii="Tahoma" w:hAnsi="Tahoma" w:cs="Tahoma"/>
          <w:sz w:val="24"/>
          <w:szCs w:val="24"/>
        </w:rPr>
        <w:t xml:space="preserve"> Nro.</w:t>
      </w:r>
      <w:r w:rsidRPr="4869C98C" w:rsidR="00FA3E15">
        <w:rPr>
          <w:rFonts w:ascii="Tahoma" w:hAnsi="Tahoma" w:cs="Tahoma"/>
          <w:sz w:val="24"/>
          <w:szCs w:val="24"/>
        </w:rPr>
        <w:t xml:space="preserve"> </w:t>
      </w:r>
      <w:r w:rsidRPr="4869C98C" w:rsidR="00FA3E15">
        <w:rPr>
          <w:rFonts w:ascii="Tahoma" w:hAnsi="Tahoma" w:eastAsia="Times New Roman" w:cs="Tahoma"/>
          <w:sz w:val="24"/>
          <w:szCs w:val="24"/>
          <w:lang w:eastAsia="es-ES"/>
        </w:rPr>
        <w:t>3880 del 30 de noviembre de 2022</w:t>
      </w:r>
      <w:r w:rsidRPr="4869C98C" w:rsidR="00FA3E15">
        <w:rPr>
          <w:rFonts w:ascii="Tahoma" w:hAnsi="Tahoma" w:eastAsia="Times New Roman" w:cs="Tahoma"/>
          <w:sz w:val="24"/>
          <w:szCs w:val="24"/>
          <w:lang w:eastAsia="es-ES"/>
        </w:rPr>
        <w:t xml:space="preserve"> </w:t>
      </w:r>
      <w:r w:rsidRPr="4869C98C" w:rsidR="00FA3E15">
        <w:rPr>
          <w:rFonts w:ascii="Tahoma" w:hAnsi="Tahoma" w:cs="Tahoma"/>
          <w:sz w:val="24"/>
          <w:szCs w:val="24"/>
        </w:rPr>
        <w:t>y teni</w:t>
      </w:r>
      <w:r w:rsidRPr="4869C98C" w:rsidR="00FA3E15">
        <w:rPr>
          <w:rFonts w:ascii="Tahoma" w:hAnsi="Tahoma" w:cs="Tahoma"/>
          <w:sz w:val="24"/>
          <w:szCs w:val="24"/>
        </w:rPr>
        <w:t>endo</w:t>
      </w:r>
      <w:r w:rsidRPr="4869C98C" w:rsidR="00FA3E15">
        <w:rPr>
          <w:rFonts w:ascii="Tahoma" w:hAnsi="Tahoma" w:cs="Tahoma"/>
          <w:sz w:val="24"/>
          <w:szCs w:val="24"/>
        </w:rPr>
        <w:t xml:space="preserve"> en cuenta el recurso de queja interpuesto, se ordenará la </w:t>
      </w:r>
      <w:r w:rsidRPr="4869C98C" w:rsidR="07CB5163">
        <w:rPr>
          <w:rFonts w:ascii="Tahoma" w:hAnsi="Tahoma" w:cs="Tahoma"/>
          <w:sz w:val="24"/>
          <w:szCs w:val="24"/>
        </w:rPr>
        <w:t>remisión del expediente al superior</w:t>
      </w:r>
      <w:r w:rsidRPr="4869C98C" w:rsidR="00FA3E15">
        <w:rPr>
          <w:rFonts w:ascii="Tahoma" w:hAnsi="Tahoma" w:cs="Tahoma"/>
          <w:sz w:val="24"/>
          <w:szCs w:val="24"/>
        </w:rPr>
        <w:t xml:space="preserve"> para tramitar el recurso de queja de conformidad con lo dispuesto en el artículo 353 del C.G.P.</w:t>
      </w:r>
      <w:r w:rsidRPr="4869C98C" w:rsidR="1CF298CD">
        <w:rPr>
          <w:rFonts w:ascii="Tahoma" w:hAnsi="Tahoma" w:cs="Tahoma"/>
          <w:sz w:val="24"/>
          <w:szCs w:val="24"/>
        </w:rPr>
        <w:t xml:space="preserve"> y la ley 2213 de 2022.</w:t>
      </w:r>
    </w:p>
    <w:p w:rsidR="00FA3E15" w:rsidP="00FA3E15" w:rsidRDefault="00737B1E" w14:paraId="17DE049F" w14:textId="77777777">
      <w:pPr>
        <w:tabs>
          <w:tab w:val="left" w:pos="851"/>
          <w:tab w:val="left" w:pos="1418"/>
        </w:tabs>
        <w:spacing w:after="0" w:line="240" w:lineRule="auto"/>
        <w:jc w:val="both"/>
        <w:rPr>
          <w:rFonts w:ascii="Tahoma" w:hAnsi="Tahoma" w:cs="Tahoma"/>
          <w:sz w:val="24"/>
          <w:szCs w:val="24"/>
        </w:rPr>
      </w:pPr>
      <w:r w:rsidRPr="00CC5D64">
        <w:rPr>
          <w:rFonts w:ascii="Tahoma" w:hAnsi="Tahoma" w:cs="Tahoma"/>
          <w:sz w:val="24"/>
          <w:szCs w:val="24"/>
        </w:rPr>
        <w:t>Por lo expuesto, el Juzgado Catorce Civil Municipal de Cali, Valle:</w:t>
      </w:r>
    </w:p>
    <w:p w:rsidR="00FA3E15" w:rsidP="00FA3E15" w:rsidRDefault="00FA3E15" w14:paraId="14896702" w14:textId="77777777">
      <w:pPr>
        <w:tabs>
          <w:tab w:val="left" w:pos="851"/>
          <w:tab w:val="left" w:pos="1418"/>
        </w:tabs>
        <w:spacing w:after="0" w:line="240" w:lineRule="auto"/>
        <w:jc w:val="both"/>
        <w:rPr>
          <w:rFonts w:ascii="Tahoma" w:hAnsi="Tahoma" w:cs="Tahoma"/>
          <w:b/>
          <w:sz w:val="24"/>
          <w:szCs w:val="24"/>
        </w:rPr>
      </w:pPr>
    </w:p>
    <w:p w:rsidR="00FA3E15" w:rsidP="00FA3E15" w:rsidRDefault="00FA3E15" w14:paraId="473BD5BE" w14:textId="77777777">
      <w:pPr>
        <w:tabs>
          <w:tab w:val="left" w:pos="851"/>
          <w:tab w:val="left" w:pos="1418"/>
        </w:tabs>
        <w:spacing w:after="0" w:line="240" w:lineRule="auto"/>
        <w:jc w:val="both"/>
        <w:rPr>
          <w:rFonts w:ascii="Tahoma" w:hAnsi="Tahoma" w:cs="Tahoma"/>
          <w:b/>
          <w:sz w:val="24"/>
          <w:szCs w:val="24"/>
        </w:rPr>
      </w:pPr>
    </w:p>
    <w:p w:rsidR="00FA3E15" w:rsidP="00FA3E15" w:rsidRDefault="00FA3E15" w14:paraId="217DEC9D" w14:textId="77777777">
      <w:pPr>
        <w:tabs>
          <w:tab w:val="left" w:pos="851"/>
          <w:tab w:val="left" w:pos="1418"/>
        </w:tabs>
        <w:spacing w:after="0" w:line="240" w:lineRule="auto"/>
        <w:jc w:val="both"/>
        <w:rPr>
          <w:rFonts w:ascii="Tahoma" w:hAnsi="Tahoma" w:cs="Tahoma"/>
          <w:b/>
          <w:sz w:val="24"/>
          <w:szCs w:val="24"/>
        </w:rPr>
      </w:pPr>
    </w:p>
    <w:p w:rsidRPr="00FA3E15" w:rsidR="00737B1E" w:rsidP="00FA3E15" w:rsidRDefault="00737B1E" w14:paraId="366E3E00" w14:textId="5D83B9DB">
      <w:pPr>
        <w:tabs>
          <w:tab w:val="left" w:pos="851"/>
          <w:tab w:val="left" w:pos="1418"/>
        </w:tabs>
        <w:spacing w:after="0" w:line="240" w:lineRule="auto"/>
        <w:jc w:val="both"/>
        <w:rPr>
          <w:rFonts w:ascii="Tahoma" w:hAnsi="Tahoma" w:cs="Tahoma"/>
          <w:sz w:val="24"/>
          <w:szCs w:val="24"/>
        </w:rPr>
      </w:pPr>
      <w:r w:rsidRPr="00CC5D64">
        <w:rPr>
          <w:rFonts w:ascii="Tahoma" w:hAnsi="Tahoma" w:cs="Tahoma"/>
          <w:b/>
          <w:sz w:val="24"/>
          <w:szCs w:val="24"/>
        </w:rPr>
        <w:lastRenderedPageBreak/>
        <w:t>DISPONE:</w:t>
      </w:r>
    </w:p>
    <w:p w:rsidRPr="00FA3E15" w:rsidR="00737B1E" w:rsidP="006F3506" w:rsidRDefault="00737B1E" w14:paraId="3E4D6070" w14:textId="77777777">
      <w:pPr>
        <w:tabs>
          <w:tab w:val="left" w:pos="1800"/>
        </w:tabs>
        <w:spacing w:after="0" w:line="240" w:lineRule="auto"/>
        <w:ind w:firstLine="851"/>
        <w:jc w:val="both"/>
        <w:rPr>
          <w:rFonts w:ascii="Tahoma" w:hAnsi="Tahoma" w:cs="Tahoma"/>
          <w:b/>
          <w:sz w:val="24"/>
          <w:szCs w:val="24"/>
        </w:rPr>
      </w:pPr>
    </w:p>
    <w:p w:rsidR="00737B1E" w:rsidP="00FA3E15" w:rsidRDefault="00FA3E15" w14:paraId="06F2D6D0" w14:textId="669298AF">
      <w:pPr>
        <w:spacing w:after="0" w:line="240" w:lineRule="auto"/>
        <w:jc w:val="both"/>
        <w:rPr>
          <w:rFonts w:ascii="Tahoma" w:hAnsi="Tahoma" w:cs="Tahoma"/>
          <w:sz w:val="24"/>
          <w:szCs w:val="24"/>
        </w:rPr>
      </w:pPr>
      <w:r w:rsidRPr="00FA3E15">
        <w:rPr>
          <w:rFonts w:ascii="Tahoma" w:hAnsi="Tahoma" w:cs="Tahoma"/>
          <w:b/>
          <w:sz w:val="24"/>
          <w:szCs w:val="24"/>
        </w:rPr>
        <w:t>PRIMERO: CONFÍRMESE</w:t>
      </w:r>
      <w:r w:rsidRPr="00FA3E15">
        <w:rPr>
          <w:rFonts w:ascii="Tahoma" w:hAnsi="Tahoma" w:cs="Tahoma"/>
          <w:sz w:val="24"/>
          <w:szCs w:val="24"/>
        </w:rPr>
        <w:t xml:space="preserve"> </w:t>
      </w:r>
      <w:r w:rsidRPr="00FA3E15">
        <w:rPr>
          <w:rFonts w:ascii="Tahoma" w:hAnsi="Tahoma" w:cs="Tahoma"/>
          <w:sz w:val="24"/>
          <w:szCs w:val="24"/>
        </w:rPr>
        <w:t>la providencia</w:t>
      </w:r>
      <w:r>
        <w:rPr>
          <w:rFonts w:ascii="Tahoma" w:hAnsi="Tahoma" w:cs="Tahoma"/>
          <w:sz w:val="24"/>
          <w:szCs w:val="24"/>
        </w:rPr>
        <w:t xml:space="preserve"> Nro. </w:t>
      </w:r>
      <w:r w:rsidRPr="007B1524">
        <w:rPr>
          <w:rFonts w:ascii="Tahoma" w:hAnsi="Tahoma" w:eastAsia="Times New Roman" w:cs="Tahoma"/>
          <w:sz w:val="24"/>
          <w:szCs w:val="24"/>
          <w:lang w:eastAsia="es-ES"/>
        </w:rPr>
        <w:t>3880 del 30 de noviembre de 2022</w:t>
      </w:r>
      <w:r w:rsidRPr="00FA3E15">
        <w:rPr>
          <w:rFonts w:ascii="Tahoma" w:hAnsi="Tahoma" w:cs="Tahoma"/>
          <w:sz w:val="24"/>
          <w:szCs w:val="24"/>
        </w:rPr>
        <w:t>, de conformidad con lo anotado en la parte motiva de la presente providencia.</w:t>
      </w:r>
    </w:p>
    <w:p w:rsidR="00FA3E15" w:rsidP="00FA3E15" w:rsidRDefault="00FA3E15" w14:paraId="20F8644B" w14:textId="742C483E">
      <w:pPr>
        <w:spacing w:after="0" w:line="240" w:lineRule="auto"/>
        <w:jc w:val="both"/>
        <w:rPr>
          <w:rFonts w:ascii="Tahoma" w:hAnsi="Tahoma" w:cs="Tahoma"/>
          <w:sz w:val="24"/>
          <w:szCs w:val="24"/>
        </w:rPr>
      </w:pPr>
    </w:p>
    <w:p w:rsidR="00FA3E15" w:rsidP="00FA3E15" w:rsidRDefault="00FA3E15" w14:paraId="61DC58CC" w14:textId="582696EB">
      <w:pPr>
        <w:spacing w:after="0" w:line="240" w:lineRule="auto"/>
        <w:jc w:val="both"/>
        <w:rPr>
          <w:rFonts w:ascii="Tahoma" w:hAnsi="Tahoma" w:eastAsia="Times New Roman" w:cs="Tahoma"/>
          <w:sz w:val="24"/>
          <w:szCs w:val="24"/>
          <w:lang w:eastAsia="es-ES"/>
        </w:rPr>
      </w:pPr>
      <w:r w:rsidRPr="00C8658C">
        <w:rPr>
          <w:rFonts w:ascii="Tahoma" w:hAnsi="Tahoma" w:cs="Tahoma"/>
          <w:b/>
          <w:sz w:val="24"/>
          <w:szCs w:val="24"/>
        </w:rPr>
        <w:t>SEGUNDO: CONCEDER</w:t>
      </w:r>
      <w:r>
        <w:rPr>
          <w:rFonts w:ascii="Tahoma" w:hAnsi="Tahoma" w:cs="Tahoma"/>
          <w:sz w:val="24"/>
          <w:szCs w:val="24"/>
        </w:rPr>
        <w:t xml:space="preserve"> el recurso de queja incoado frente al auto </w:t>
      </w:r>
      <w:r>
        <w:rPr>
          <w:rFonts w:ascii="Tahoma" w:hAnsi="Tahoma" w:cs="Tahoma"/>
          <w:sz w:val="24"/>
          <w:szCs w:val="24"/>
        </w:rPr>
        <w:t xml:space="preserve">Nro. </w:t>
      </w:r>
      <w:r w:rsidRPr="007B1524">
        <w:rPr>
          <w:rFonts w:ascii="Tahoma" w:hAnsi="Tahoma" w:eastAsia="Times New Roman" w:cs="Tahoma"/>
          <w:sz w:val="24"/>
          <w:szCs w:val="24"/>
          <w:lang w:eastAsia="es-ES"/>
        </w:rPr>
        <w:t>3880 del 30 de noviembre de 2022</w:t>
      </w:r>
      <w:r>
        <w:rPr>
          <w:rFonts w:ascii="Tahoma" w:hAnsi="Tahoma" w:eastAsia="Times New Roman" w:cs="Tahoma"/>
          <w:sz w:val="24"/>
          <w:szCs w:val="24"/>
          <w:lang w:eastAsia="es-ES"/>
        </w:rPr>
        <w:t xml:space="preserve">, en </w:t>
      </w:r>
      <w:r w:rsidR="00C8658C">
        <w:rPr>
          <w:rFonts w:ascii="Tahoma" w:hAnsi="Tahoma" w:eastAsia="Times New Roman" w:cs="Tahoma"/>
          <w:sz w:val="24"/>
          <w:szCs w:val="24"/>
          <w:lang w:eastAsia="es-ES"/>
        </w:rPr>
        <w:t>consecuencia,</w:t>
      </w:r>
      <w:r>
        <w:rPr>
          <w:rFonts w:ascii="Tahoma" w:hAnsi="Tahoma" w:eastAsia="Times New Roman" w:cs="Tahoma"/>
          <w:sz w:val="24"/>
          <w:szCs w:val="24"/>
          <w:lang w:eastAsia="es-ES"/>
        </w:rPr>
        <w:t xml:space="preserve"> de conformidad al articulo 353 del </w:t>
      </w:r>
      <w:r w:rsidR="00C8658C">
        <w:rPr>
          <w:rFonts w:ascii="Tahoma" w:hAnsi="Tahoma" w:eastAsia="Times New Roman" w:cs="Tahoma"/>
          <w:sz w:val="24"/>
          <w:szCs w:val="24"/>
          <w:lang w:eastAsia="es-ES"/>
        </w:rPr>
        <w:t>Código</w:t>
      </w:r>
      <w:r>
        <w:rPr>
          <w:rFonts w:ascii="Tahoma" w:hAnsi="Tahoma" w:eastAsia="Times New Roman" w:cs="Tahoma"/>
          <w:sz w:val="24"/>
          <w:szCs w:val="24"/>
          <w:lang w:eastAsia="es-ES"/>
        </w:rPr>
        <w:t xml:space="preserve"> General del Proceso, REMÍTASE al JUEZ CIVIL DEL CIRCUITO</w:t>
      </w:r>
      <w:r w:rsidR="00C8658C">
        <w:rPr>
          <w:rFonts w:ascii="Tahoma" w:hAnsi="Tahoma" w:eastAsia="Times New Roman" w:cs="Tahoma"/>
          <w:sz w:val="24"/>
          <w:szCs w:val="24"/>
          <w:lang w:eastAsia="es-ES"/>
        </w:rPr>
        <w:t xml:space="preserve"> de Cali la actuación vía digital en armonía a la Ley 2213 de 2022 para surtirse el trámite de ley.  </w:t>
      </w:r>
      <w:r>
        <w:rPr>
          <w:rFonts w:ascii="Tahoma" w:hAnsi="Tahoma" w:eastAsia="Times New Roman" w:cs="Tahoma"/>
          <w:sz w:val="24"/>
          <w:szCs w:val="24"/>
          <w:lang w:eastAsia="es-ES"/>
        </w:rPr>
        <w:t xml:space="preserve"> </w:t>
      </w:r>
    </w:p>
    <w:p w:rsidR="00DE1748" w:rsidP="00FA3E15" w:rsidRDefault="00DE1748" w14:paraId="5B78985A" w14:textId="3C798C83">
      <w:pPr>
        <w:spacing w:after="0" w:line="240" w:lineRule="auto"/>
        <w:jc w:val="both"/>
        <w:rPr>
          <w:rFonts w:ascii="Tahoma" w:hAnsi="Tahoma" w:cs="Tahoma"/>
          <w:sz w:val="24"/>
          <w:szCs w:val="24"/>
        </w:rPr>
      </w:pPr>
    </w:p>
    <w:p w:rsidRPr="00394FBF" w:rsidR="0023516E" w:rsidP="0023516E" w:rsidRDefault="0023516E" w14:paraId="39056D65" w14:textId="77777777">
      <w:pPr>
        <w:ind w:firstLine="851"/>
        <w:jc w:val="both"/>
        <w:rPr>
          <w:rFonts w:ascii="Tahoma" w:hAnsi="Tahoma" w:cs="Tahoma"/>
          <w:b/>
          <w:sz w:val="24"/>
          <w:szCs w:val="24"/>
        </w:rPr>
      </w:pPr>
      <w:r w:rsidRPr="4869C98C" w:rsidR="0023516E">
        <w:rPr>
          <w:rFonts w:ascii="Tahoma" w:hAnsi="Tahoma" w:cs="Tahoma"/>
          <w:b w:val="1"/>
          <w:bCs w:val="1"/>
          <w:sz w:val="24"/>
          <w:szCs w:val="24"/>
        </w:rPr>
        <w:t>NOTIFÍQUESE</w:t>
      </w:r>
    </w:p>
    <w:p w:rsidR="76BBF773" w:rsidP="4869C98C" w:rsidRDefault="76BBF773" w14:paraId="7840008C" w14:textId="6604F0EF">
      <w:pPr>
        <w:pStyle w:val="Normal"/>
        <w:ind w:firstLine="851"/>
        <w:jc w:val="center"/>
      </w:pPr>
      <w:r w:rsidR="76BBF773">
        <w:drawing>
          <wp:inline wp14:editId="435ED902" wp14:anchorId="5481E648">
            <wp:extent cx="4572000" cy="2476500"/>
            <wp:effectExtent l="0" t="0" r="0" b="0"/>
            <wp:docPr id="266634012" name="" title=""/>
            <wp:cNvGraphicFramePr>
              <a:graphicFrameLocks noChangeAspect="1"/>
            </wp:cNvGraphicFramePr>
            <a:graphic>
              <a:graphicData uri="http://schemas.openxmlformats.org/drawingml/2006/picture">
                <pic:pic>
                  <pic:nvPicPr>
                    <pic:cNvPr id="0" name=""/>
                    <pic:cNvPicPr/>
                  </pic:nvPicPr>
                  <pic:blipFill>
                    <a:blip r:embed="R215d981ed2d441c2">
                      <a:extLst>
                        <a:ext xmlns:a="http://schemas.openxmlformats.org/drawingml/2006/main" uri="{28A0092B-C50C-407E-A947-70E740481C1C}">
                          <a14:useLocalDpi val="0"/>
                        </a:ext>
                      </a:extLst>
                    </a:blip>
                    <a:stretch>
                      <a:fillRect/>
                    </a:stretch>
                  </pic:blipFill>
                  <pic:spPr>
                    <a:xfrm>
                      <a:off x="0" y="0"/>
                      <a:ext cx="4572000" cy="2476500"/>
                    </a:xfrm>
                    <a:prstGeom prst="rect">
                      <a:avLst/>
                    </a:prstGeom>
                  </pic:spPr>
                </pic:pic>
              </a:graphicData>
            </a:graphic>
          </wp:inline>
        </w:drawing>
      </w:r>
    </w:p>
    <w:p w:rsidRPr="0080163F" w:rsidR="0023516E" w:rsidP="0023516E" w:rsidRDefault="0023516E" w14:paraId="2D8C60E6" w14:textId="77777777">
      <w:pPr>
        <w:jc w:val="center"/>
        <w:rPr>
          <w:rFonts w:ascii="Tahoma" w:hAnsi="Tahoma" w:cs="Tahoma"/>
          <w:b/>
          <w:szCs w:val="24"/>
        </w:rPr>
      </w:pPr>
    </w:p>
    <w:p w:rsidRPr="0001007E" w:rsidR="0023516E" w:rsidP="0023516E" w:rsidRDefault="0023516E" w14:paraId="7D6E24CD" w14:textId="77777777">
      <w:pPr>
        <w:jc w:val="both"/>
        <w:rPr>
          <w:rFonts w:ascii="Tahoma" w:hAnsi="Tahoma" w:cs="Tahoma"/>
          <w:bCs/>
          <w:sz w:val="16"/>
          <w:szCs w:val="16"/>
        </w:rPr>
      </w:pPr>
      <w:r w:rsidRPr="0001007E">
        <w:rPr>
          <w:rFonts w:ascii="Tahoma" w:hAnsi="Tahoma" w:cs="Tahoma"/>
          <w:bCs/>
          <w:sz w:val="16"/>
          <w:szCs w:val="16"/>
        </w:rPr>
        <w:t>0</w:t>
      </w:r>
      <w:r>
        <w:rPr>
          <w:rFonts w:ascii="Tahoma" w:hAnsi="Tahoma" w:cs="Tahoma"/>
          <w:bCs/>
          <w:sz w:val="16"/>
          <w:szCs w:val="16"/>
        </w:rPr>
        <w:t>2.</w:t>
      </w:r>
    </w:p>
    <w:p w:rsidRPr="00784063" w:rsidR="0023516E" w:rsidP="0023516E" w:rsidRDefault="0023516E" w14:paraId="0586D718" w14:textId="77777777">
      <w:pPr>
        <w:ind w:firstLine="851"/>
        <w:jc w:val="both"/>
        <w:rPr>
          <w:rFonts w:ascii="Tahoma" w:hAnsi="Tahoma" w:cs="Tahoma"/>
          <w:sz w:val="24"/>
          <w:szCs w:val="24"/>
        </w:rPr>
      </w:pPr>
    </w:p>
    <w:p w:rsidRPr="00FA3E15" w:rsidR="00DE1748" w:rsidP="00FA3E15" w:rsidRDefault="00DE1748" w14:paraId="1E1052F0" w14:textId="77777777">
      <w:pPr>
        <w:spacing w:after="0" w:line="240" w:lineRule="auto"/>
        <w:jc w:val="both"/>
        <w:rPr>
          <w:rFonts w:ascii="Tahoma" w:hAnsi="Tahoma" w:cs="Tahoma"/>
          <w:sz w:val="24"/>
          <w:szCs w:val="24"/>
        </w:rPr>
      </w:pPr>
      <w:bookmarkStart w:name="_GoBack" w:id="0"/>
      <w:bookmarkEnd w:id="0"/>
    </w:p>
    <w:p w:rsidR="00FA3E15" w:rsidP="006F3506" w:rsidRDefault="00FA3E15" w14:paraId="082253E1" w14:textId="77777777">
      <w:pPr>
        <w:spacing w:after="0" w:line="240" w:lineRule="auto"/>
        <w:ind w:firstLine="851"/>
        <w:jc w:val="both"/>
        <w:rPr>
          <w:rFonts w:ascii="Tahoma" w:hAnsi="Tahoma" w:cs="Tahoma"/>
          <w:b/>
          <w:sz w:val="24"/>
          <w:szCs w:val="24"/>
          <w:lang w:val="en-US"/>
        </w:rPr>
      </w:pPr>
    </w:p>
    <w:p w:rsidR="00FA3E15" w:rsidP="006F3506" w:rsidRDefault="00FA3E15" w14:paraId="0841974D" w14:textId="77777777">
      <w:pPr>
        <w:spacing w:after="0" w:line="240" w:lineRule="auto"/>
        <w:ind w:firstLine="851"/>
        <w:jc w:val="both"/>
        <w:rPr>
          <w:rFonts w:ascii="Tahoma" w:hAnsi="Tahoma" w:cs="Tahoma"/>
          <w:b/>
          <w:sz w:val="24"/>
          <w:szCs w:val="24"/>
          <w:lang w:val="en-US"/>
        </w:rPr>
      </w:pPr>
    </w:p>
    <w:p w:rsidRPr="009F2269" w:rsidR="00737B1E" w:rsidP="00737B1E" w:rsidRDefault="00737B1E" w14:paraId="0337A107" w14:textId="77777777">
      <w:pPr>
        <w:rPr>
          <w:rFonts w:ascii="Tahoma" w:hAnsi="Tahoma" w:cs="Tahoma"/>
          <w:lang w:val="en-US"/>
        </w:rPr>
      </w:pPr>
    </w:p>
    <w:p w:rsidRPr="009F2269" w:rsidR="00737B1E" w:rsidP="00737B1E" w:rsidRDefault="00737B1E" w14:paraId="08292C77" w14:textId="77777777">
      <w:pPr>
        <w:rPr>
          <w:lang w:val="en-US"/>
        </w:rPr>
      </w:pPr>
    </w:p>
    <w:p w:rsidR="008F6DA4" w:rsidRDefault="008F6DA4" w14:paraId="2E9B7713" w14:textId="77777777"/>
    <w:sectPr w:rsidR="008F6DA4" w:rsidSect="00A00347">
      <w:headerReference w:type="default" r:id="rId9"/>
      <w:pgSz w:w="12240" w:h="18720" w:orient="portrait" w:code="14"/>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33A" w:rsidP="00737B1E" w:rsidRDefault="00D3533A" w14:paraId="595B0877" w14:textId="77777777">
      <w:pPr>
        <w:spacing w:after="0" w:line="240" w:lineRule="auto"/>
      </w:pPr>
      <w:r>
        <w:separator/>
      </w:r>
    </w:p>
  </w:endnote>
  <w:endnote w:type="continuationSeparator" w:id="0">
    <w:p w:rsidR="00D3533A" w:rsidP="00737B1E" w:rsidRDefault="00D3533A" w14:paraId="5BFD17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33A" w:rsidP="00737B1E" w:rsidRDefault="00D3533A" w14:paraId="2A54BF38" w14:textId="77777777">
      <w:pPr>
        <w:spacing w:after="0" w:line="240" w:lineRule="auto"/>
      </w:pPr>
      <w:r>
        <w:separator/>
      </w:r>
    </w:p>
  </w:footnote>
  <w:footnote w:type="continuationSeparator" w:id="0">
    <w:p w:rsidR="00D3533A" w:rsidP="00737B1E" w:rsidRDefault="00D3533A" w14:paraId="65B7CED3" w14:textId="77777777">
      <w:pPr>
        <w:spacing w:after="0" w:line="240" w:lineRule="auto"/>
      </w:pPr>
      <w:r>
        <w:continuationSeparator/>
      </w:r>
    </w:p>
  </w:footnote>
  <w:footnote w:id="1">
    <w:p w:rsidRPr="00653209" w:rsidR="00A00347" w:rsidP="00A00347" w:rsidRDefault="00A00347" w14:paraId="05949811" w14:textId="77777777">
      <w:pPr>
        <w:pStyle w:val="NormalWeb"/>
        <w:spacing w:before="0" w:beforeAutospacing="0" w:after="0" w:afterAutospacing="0"/>
        <w:jc w:val="both"/>
        <w:rPr>
          <w:rFonts w:ascii="Tahoma" w:hAnsi="Tahoma" w:cs="Tahoma"/>
          <w:i/>
          <w:color w:val="000000"/>
          <w:sz w:val="12"/>
          <w:szCs w:val="12"/>
        </w:rPr>
      </w:pPr>
      <w:r w:rsidRPr="00653209">
        <w:rPr>
          <w:rStyle w:val="Refdenotaalpie"/>
          <w:rFonts w:ascii="Tahoma" w:hAnsi="Tahoma" w:cs="Tahoma"/>
          <w:i/>
          <w:sz w:val="12"/>
          <w:szCs w:val="12"/>
        </w:rPr>
        <w:footnoteRef/>
      </w:r>
      <w:r w:rsidRPr="00653209">
        <w:rPr>
          <w:rFonts w:ascii="Tahoma" w:hAnsi="Tahoma" w:cs="Tahoma"/>
          <w:i/>
          <w:sz w:val="12"/>
          <w:szCs w:val="12"/>
        </w:rPr>
        <w:t xml:space="preserve"> </w:t>
      </w:r>
      <w:r w:rsidRPr="00653209">
        <w:rPr>
          <w:rFonts w:ascii="Tahoma" w:hAnsi="Tahoma" w:cs="Tahoma"/>
          <w:b/>
          <w:bCs/>
          <w:i/>
          <w:color w:val="000000"/>
          <w:sz w:val="12"/>
          <w:szCs w:val="12"/>
          <w:shd w:val="clear" w:color="auto" w:fill="FFFFFF"/>
        </w:rPr>
        <w:t>Artículo 324.</w:t>
      </w:r>
      <w:r>
        <w:rPr>
          <w:rStyle w:val="apple-converted-space"/>
          <w:rFonts w:ascii="Tahoma" w:hAnsi="Tahoma" w:eastAsia="Calibri" w:cs="Tahoma"/>
          <w:b/>
          <w:bCs/>
          <w:i/>
          <w:color w:val="000000"/>
          <w:sz w:val="12"/>
          <w:szCs w:val="12"/>
          <w:shd w:val="clear" w:color="auto" w:fill="FFFFFF"/>
        </w:rPr>
        <w:t xml:space="preserve"> DEL CODIGO GENERAL DEL PROCESO </w:t>
      </w:r>
      <w:r w:rsidRPr="00653209">
        <w:rPr>
          <w:rFonts w:ascii="Tahoma" w:hAnsi="Tahoma" w:cs="Tahoma"/>
          <w:b/>
          <w:bCs/>
          <w:i/>
          <w:iCs/>
          <w:color w:val="000000"/>
          <w:sz w:val="12"/>
          <w:szCs w:val="12"/>
          <w:shd w:val="clear" w:color="auto" w:fill="FFFFFF"/>
        </w:rPr>
        <w:t>Remisión del expediente o de sus copias</w:t>
      </w:r>
      <w:r w:rsidRPr="00653209">
        <w:rPr>
          <w:rFonts w:ascii="Tahoma" w:hAnsi="Tahoma" w:cs="Tahoma"/>
          <w:b/>
          <w:bCs/>
          <w:i/>
          <w:color w:val="000000"/>
          <w:sz w:val="12"/>
          <w:szCs w:val="12"/>
          <w:shd w:val="clear" w:color="auto" w:fill="FFFFFF"/>
        </w:rPr>
        <w:t>.</w:t>
      </w:r>
      <w:r>
        <w:rPr>
          <w:rFonts w:ascii="Tahoma" w:hAnsi="Tahoma" w:cs="Tahoma"/>
          <w:b/>
          <w:bCs/>
          <w:i/>
          <w:color w:val="000000"/>
          <w:sz w:val="12"/>
          <w:szCs w:val="12"/>
          <w:shd w:val="clear" w:color="auto" w:fill="FFFFFF"/>
        </w:rPr>
        <w:t xml:space="preserve"> </w:t>
      </w:r>
      <w:r w:rsidRPr="00653209">
        <w:rPr>
          <w:rFonts w:ascii="Tahoma" w:hAnsi="Tahoma" w:cs="Tahoma"/>
          <w:i/>
          <w:color w:val="000000"/>
          <w:sz w:val="12"/>
          <w:szCs w:val="12"/>
        </w:rPr>
        <w:t>Tratándose de apelación de autos, la remisión del expediente o de sus copias al superior, se hará una vez surtido el traslado del escrito de sustentación, según lo previsto en el artículo 326. En el caso de las sentencias, el envío se hará una vez presentado el escrito al que se refiere el numeral 3 del artículo 322.</w:t>
      </w:r>
      <w:r>
        <w:rPr>
          <w:rFonts w:ascii="Tahoma" w:hAnsi="Tahoma" w:cs="Tahoma"/>
          <w:i/>
          <w:color w:val="000000"/>
          <w:sz w:val="12"/>
          <w:szCs w:val="12"/>
        </w:rPr>
        <w:t xml:space="preserve"> </w:t>
      </w:r>
      <w:r w:rsidRPr="00653209">
        <w:rPr>
          <w:rFonts w:ascii="Tahoma" w:hAnsi="Tahoma" w:cs="Tahoma"/>
          <w:b/>
          <w:i/>
          <w:color w:val="000000"/>
          <w:sz w:val="12"/>
          <w:szCs w:val="12"/>
        </w:rPr>
        <w:t>Sin embargo, cuando el juez de primera instancia conserve competencia para adelantar cualquier trámite, en el auto que conceda la apelación se ordenará que antes de remitirse el expediente se deje una reproducción de las piezas que el juez señale, a costa del recurrente, quien deberá suministrar las expensas necesarias en el término de cinco (5) días, so pena de ser declarado desierto</w:t>
      </w:r>
      <w:r w:rsidRPr="00653209">
        <w:rPr>
          <w:rFonts w:ascii="Tahoma" w:hAnsi="Tahoma" w:cs="Tahoma"/>
          <w:i/>
          <w:color w:val="000000"/>
          <w:sz w:val="12"/>
          <w:szCs w:val="12"/>
        </w:rPr>
        <w:t>. Suministradas oportunamente las expensas, el secretario deberá expedirlas dentro de los tres (3) días siguientes.</w:t>
      </w:r>
      <w:r>
        <w:rPr>
          <w:rFonts w:ascii="Tahoma" w:hAnsi="Tahoma" w:cs="Tahoma"/>
          <w:i/>
          <w:color w:val="000000"/>
          <w:sz w:val="12"/>
          <w:szCs w:val="12"/>
        </w:rPr>
        <w:t xml:space="preserve"> </w:t>
      </w:r>
      <w:r w:rsidRPr="00653209">
        <w:rPr>
          <w:rFonts w:ascii="Tahoma" w:hAnsi="Tahoma" w:cs="Tahoma"/>
          <w:b/>
          <w:i/>
          <w:color w:val="000000"/>
          <w:sz w:val="12"/>
          <w:szCs w:val="12"/>
        </w:rPr>
        <w:t>Cuando se trate de apelación de un auto en el efecto diferido o devolutivo, se remitirá al superior una reproducción de las piezas que el juez señale, para cuya expedición se seguirá el mismo procedimiento</w:t>
      </w:r>
      <w:r w:rsidRPr="00653209">
        <w:rPr>
          <w:rFonts w:ascii="Tahoma" w:hAnsi="Tahoma" w:cs="Tahoma"/>
          <w:i/>
          <w:color w:val="000000"/>
          <w:sz w:val="12"/>
          <w:szCs w:val="12"/>
        </w:rPr>
        <w:t>. Si el superior considera necesarias otras piezas procesales deberá solicitárselas al juez de primera instancia por auto que no tendrá recurso y por el medio más expedito, quien procederá en la forma prevista en el inciso anterior.</w:t>
      </w:r>
      <w:r>
        <w:rPr>
          <w:rFonts w:ascii="Tahoma" w:hAnsi="Tahoma" w:cs="Tahoma"/>
          <w:i/>
          <w:color w:val="000000"/>
          <w:sz w:val="12"/>
          <w:szCs w:val="12"/>
        </w:rPr>
        <w:t xml:space="preserve"> </w:t>
      </w:r>
      <w:r w:rsidRPr="00653209">
        <w:rPr>
          <w:rFonts w:ascii="Tahoma" w:hAnsi="Tahoma" w:cs="Tahoma"/>
          <w:i/>
          <w:color w:val="000000"/>
          <w:sz w:val="12"/>
          <w:szCs w:val="12"/>
        </w:rPr>
        <w:t>El secretario deberá remitir el expediente o la reproducción al superior dentro del término máximo de cinco (5) días contados a partir del momento previsto en el inciso primero, o a partir del día siguiente a aquel en que el recurrente pague el valor de la reproducción, según el caso. El incumplimiento de este deber se considerará falta gravísima.</w:t>
      </w:r>
      <w:r>
        <w:rPr>
          <w:rFonts w:ascii="Tahoma" w:hAnsi="Tahoma" w:cs="Tahoma"/>
          <w:i/>
          <w:color w:val="000000"/>
          <w:sz w:val="12"/>
          <w:szCs w:val="12"/>
        </w:rPr>
        <w:t xml:space="preserve"> </w:t>
      </w:r>
      <w:r w:rsidRPr="00653209">
        <w:rPr>
          <w:rFonts w:ascii="Tahoma" w:hAnsi="Tahoma" w:cs="Tahoma"/>
          <w:b/>
          <w:bCs/>
          <w:i/>
          <w:color w:val="000000"/>
          <w:sz w:val="12"/>
          <w:szCs w:val="12"/>
          <w:shd w:val="clear" w:color="auto" w:fill="FFFFFF"/>
        </w:rPr>
        <w:t>Parágrafo.</w:t>
      </w:r>
      <w:r>
        <w:rPr>
          <w:rFonts w:ascii="Tahoma" w:hAnsi="Tahoma" w:cs="Tahoma"/>
          <w:b/>
          <w:bCs/>
          <w:i/>
          <w:color w:val="000000"/>
          <w:sz w:val="12"/>
          <w:szCs w:val="12"/>
          <w:shd w:val="clear" w:color="auto" w:fill="FFFFFF"/>
        </w:rPr>
        <w:t xml:space="preserve"> </w:t>
      </w:r>
      <w:r w:rsidRPr="00653209">
        <w:rPr>
          <w:rFonts w:ascii="Tahoma" w:hAnsi="Tahoma" w:cs="Tahoma"/>
          <w:i/>
          <w:color w:val="000000"/>
          <w:sz w:val="12"/>
          <w:szCs w:val="12"/>
        </w:rPr>
        <w:t>Cuando el juez de primera instancia tenga habilitado el Plan de Justicia Digital, el conocimiento del asunto en segunda instancia sólo podrá ser asignado a un despacho que haga parte del mismo sistema. En ningún caso podrá ordenarse la impresión del expediente digital.</w:t>
      </w:r>
    </w:p>
    <w:p w:rsidRPr="00653209" w:rsidR="00A00347" w:rsidP="00A00347" w:rsidRDefault="00A00347" w14:paraId="309A7BC6" w14:textId="77777777">
      <w:pPr>
        <w:pStyle w:val="Textonotapie"/>
        <w:jc w:val="both"/>
        <w:rPr>
          <w:rFonts w:ascii="Tahoma" w:hAnsi="Tahoma" w:cs="Tahoma"/>
          <w:i/>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356290"/>
      <w:docPartObj>
        <w:docPartGallery w:val="Page Numbers (Top of Page)"/>
        <w:docPartUnique/>
      </w:docPartObj>
    </w:sdtPr>
    <w:sdtEndPr/>
    <w:sdtContent>
      <w:p w:rsidR="00FA5AD9" w:rsidRDefault="00C2729D" w14:paraId="4826018C" w14:textId="77777777">
        <w:pPr>
          <w:pStyle w:val="Encabezado"/>
          <w:jc w:val="right"/>
        </w:pPr>
        <w:r>
          <w:fldChar w:fldCharType="begin"/>
        </w:r>
        <w:r>
          <w:instrText>PAGE   \* MERGEFORMAT</w:instrText>
        </w:r>
        <w:r>
          <w:fldChar w:fldCharType="separate"/>
        </w:r>
        <w:r w:rsidRPr="00C72C02">
          <w:rPr>
            <w:noProof/>
            <w:lang w:val="es-ES"/>
          </w:rPr>
          <w:t>6</w:t>
        </w:r>
        <w:r>
          <w:fldChar w:fldCharType="end"/>
        </w:r>
      </w:p>
    </w:sdtContent>
  </w:sdt>
  <w:p w:rsidR="00FA5AD9" w:rsidRDefault="00D3533A" w14:paraId="75164002" w14:textId="77777777">
    <w:pPr>
      <w:pStyle w:val="Encabezado"/>
    </w:pPr>
  </w:p>
  <w:p w:rsidR="00325D94" w:rsidRDefault="00D3533A" w14:paraId="71A278FF" w14:textId="77777777"/>
  <w:p w:rsidR="00325D94" w:rsidRDefault="00D3533A" w14:paraId="0108BA9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B05C0"/>
    <w:multiLevelType w:val="hybridMultilevel"/>
    <w:tmpl w:val="910E40EA"/>
    <w:lvl w:ilvl="0" w:tplc="DCA65B4A">
      <w:start w:val="1"/>
      <w:numFmt w:val="upperRoman"/>
      <w:lvlText w:val="%1."/>
      <w:lvlJc w:val="left"/>
      <w:pPr>
        <w:ind w:left="1571" w:hanging="72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65A9614B"/>
    <w:multiLevelType w:val="hybridMultilevel"/>
    <w:tmpl w:val="A9525FB6"/>
    <w:lvl w:ilvl="0" w:tplc="21065AD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1E"/>
    <w:rsid w:val="00120FC4"/>
    <w:rsid w:val="00133742"/>
    <w:rsid w:val="001C6AC6"/>
    <w:rsid w:val="0023516E"/>
    <w:rsid w:val="00256EB9"/>
    <w:rsid w:val="00537FB9"/>
    <w:rsid w:val="0058200B"/>
    <w:rsid w:val="006F3506"/>
    <w:rsid w:val="00737B1E"/>
    <w:rsid w:val="007B1524"/>
    <w:rsid w:val="008E3F87"/>
    <w:rsid w:val="008F6DA4"/>
    <w:rsid w:val="00A00347"/>
    <w:rsid w:val="00B853B6"/>
    <w:rsid w:val="00C2729D"/>
    <w:rsid w:val="00C4063C"/>
    <w:rsid w:val="00C8658C"/>
    <w:rsid w:val="00CA04BF"/>
    <w:rsid w:val="00D139D6"/>
    <w:rsid w:val="00D3533A"/>
    <w:rsid w:val="00DE1748"/>
    <w:rsid w:val="00FA3E15"/>
    <w:rsid w:val="07CB5163"/>
    <w:rsid w:val="0C59E9C3"/>
    <w:rsid w:val="1319E4BA"/>
    <w:rsid w:val="18BC664E"/>
    <w:rsid w:val="1CF298CD"/>
    <w:rsid w:val="3602B069"/>
    <w:rsid w:val="4869C98C"/>
    <w:rsid w:val="76BBF773"/>
    <w:rsid w:val="78DA5A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85D6"/>
  <w15:chartTrackingRefBased/>
  <w15:docId w15:val="{3C1816CD-AB0A-A64E-9FCE-1E162E1F4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37B1E"/>
    <w:pPr>
      <w:spacing w:after="160" w:line="259" w:lineRule="auto"/>
    </w:pPr>
    <w:rPr>
      <w:sz w:val="22"/>
      <w:szCs w:val="22"/>
    </w:rPr>
  </w:style>
  <w:style w:type="paragraph" w:styleId="Ttulo1">
    <w:name w:val="heading 1"/>
    <w:basedOn w:val="Normal"/>
    <w:link w:val="Ttulo1Car"/>
    <w:uiPriority w:val="9"/>
    <w:qFormat/>
    <w:rsid w:val="00A00347"/>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semiHidden/>
    <w:unhideWhenUsed/>
    <w:rsid w:val="00737B1E"/>
    <w:pPr>
      <w:spacing w:after="120"/>
    </w:pPr>
  </w:style>
  <w:style w:type="character" w:styleId="TextoindependienteCar" w:customStyle="1">
    <w:name w:val="Texto independiente Car"/>
    <w:basedOn w:val="Fuentedeprrafopredeter"/>
    <w:link w:val="Textoindependiente"/>
    <w:uiPriority w:val="99"/>
    <w:semiHidden/>
    <w:rsid w:val="00737B1E"/>
    <w:rPr>
      <w:sz w:val="22"/>
      <w:szCs w:val="22"/>
    </w:rPr>
  </w:style>
  <w:style w:type="paragraph" w:styleId="Textoindependiente2">
    <w:name w:val="Body Text 2"/>
    <w:basedOn w:val="Normal"/>
    <w:link w:val="Textoindependiente2Car"/>
    <w:uiPriority w:val="99"/>
    <w:semiHidden/>
    <w:unhideWhenUsed/>
    <w:rsid w:val="00737B1E"/>
    <w:pPr>
      <w:spacing w:after="120" w:line="480" w:lineRule="auto"/>
    </w:pPr>
  </w:style>
  <w:style w:type="character" w:styleId="Textoindependiente2Car" w:customStyle="1">
    <w:name w:val="Texto independiente 2 Car"/>
    <w:basedOn w:val="Fuentedeprrafopredeter"/>
    <w:link w:val="Textoindependiente2"/>
    <w:uiPriority w:val="99"/>
    <w:semiHidden/>
    <w:rsid w:val="00737B1E"/>
    <w:rPr>
      <w:sz w:val="22"/>
      <w:szCs w:val="22"/>
    </w:rPr>
  </w:style>
  <w:style w:type="paragraph" w:styleId="Encabezado">
    <w:name w:val="header"/>
    <w:basedOn w:val="Normal"/>
    <w:link w:val="EncabezadoCar"/>
    <w:uiPriority w:val="99"/>
    <w:unhideWhenUsed/>
    <w:rsid w:val="00737B1E"/>
    <w:pPr>
      <w:tabs>
        <w:tab w:val="center" w:pos="4419"/>
        <w:tab w:val="right" w:pos="8838"/>
      </w:tabs>
      <w:overflowPunct w:val="0"/>
      <w:autoSpaceDE w:val="0"/>
      <w:autoSpaceDN w:val="0"/>
      <w:adjustRightInd w:val="0"/>
      <w:spacing w:after="0" w:line="240" w:lineRule="auto"/>
    </w:pPr>
    <w:rPr>
      <w:rFonts w:ascii="Times New Roman" w:hAnsi="Times New Roman" w:eastAsia="Times New Roman" w:cs="Times New Roman"/>
      <w:sz w:val="24"/>
      <w:szCs w:val="20"/>
      <w:lang w:eastAsia="es-ES"/>
    </w:rPr>
  </w:style>
  <w:style w:type="character" w:styleId="EncabezadoCar" w:customStyle="1">
    <w:name w:val="Encabezado Car"/>
    <w:basedOn w:val="Fuentedeprrafopredeter"/>
    <w:link w:val="Encabezado"/>
    <w:uiPriority w:val="99"/>
    <w:rsid w:val="00737B1E"/>
    <w:rPr>
      <w:rFonts w:ascii="Times New Roman" w:hAnsi="Times New Roman" w:eastAsia="Times New Roman" w:cs="Times New Roman"/>
      <w:szCs w:val="20"/>
      <w:lang w:eastAsia="es-ES"/>
    </w:rPr>
  </w:style>
  <w:style w:type="paragraph" w:styleId="Prrafodelista">
    <w:name w:val="List Paragraph"/>
    <w:basedOn w:val="Normal"/>
    <w:uiPriority w:val="34"/>
    <w:qFormat/>
    <w:rsid w:val="00737B1E"/>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737B1E"/>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737B1E"/>
    <w:rPr>
      <w:sz w:val="20"/>
      <w:szCs w:val="20"/>
    </w:rPr>
  </w:style>
  <w:style w:type="character" w:styleId="Refdenotaalpie">
    <w:name w:val="footnote reference"/>
    <w:aliases w:val="Pie de Página,FC,Texto de nota al pie,Ref. de nota al pie 2"/>
    <w:basedOn w:val="Fuentedeprrafopredeter"/>
    <w:uiPriority w:val="99"/>
    <w:unhideWhenUsed/>
    <w:rsid w:val="00737B1E"/>
    <w:rPr>
      <w:vertAlign w:val="superscript"/>
    </w:rPr>
  </w:style>
  <w:style w:type="paragraph" w:styleId="NormalWeb">
    <w:name w:val="Normal (Web)"/>
    <w:basedOn w:val="Normal"/>
    <w:uiPriority w:val="99"/>
    <w:unhideWhenUsed/>
    <w:rsid w:val="00737B1E"/>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markedcontent" w:customStyle="1">
    <w:name w:val="markedcontent"/>
    <w:basedOn w:val="Fuentedeprrafopredeter"/>
    <w:rsid w:val="00737B1E"/>
  </w:style>
  <w:style w:type="character" w:styleId="highlight" w:customStyle="1">
    <w:name w:val="highlight"/>
    <w:basedOn w:val="Fuentedeprrafopredeter"/>
    <w:rsid w:val="00737B1E"/>
  </w:style>
  <w:style w:type="paragraph" w:styleId="Sinespaciado">
    <w:name w:val="No Spacing"/>
    <w:uiPriority w:val="1"/>
    <w:qFormat/>
    <w:rsid w:val="006F3506"/>
    <w:rPr>
      <w:rFonts w:ascii="Calibri" w:hAnsi="Calibri" w:eastAsia="Calibri" w:cs="Times New Roman"/>
      <w:sz w:val="22"/>
      <w:szCs w:val="22"/>
    </w:rPr>
  </w:style>
  <w:style w:type="character" w:styleId="Ttulo1Car" w:customStyle="1">
    <w:name w:val="Título 1 Car"/>
    <w:basedOn w:val="Fuentedeprrafopredeter"/>
    <w:link w:val="Ttulo1"/>
    <w:uiPriority w:val="9"/>
    <w:rsid w:val="00A00347"/>
    <w:rPr>
      <w:rFonts w:ascii="Times New Roman" w:hAnsi="Times New Roman" w:eastAsia="Times New Roman" w:cs="Times New Roman"/>
      <w:b/>
      <w:bCs/>
      <w:kern w:val="36"/>
      <w:sz w:val="48"/>
      <w:szCs w:val="48"/>
      <w:lang w:eastAsia="es-CO"/>
    </w:rPr>
  </w:style>
  <w:style w:type="character" w:styleId="apple-converted-space" w:customStyle="1">
    <w:name w:val="apple-converted-space"/>
    <w:basedOn w:val="Fuentedeprrafopredeter"/>
    <w:rsid w:val="00A00347"/>
  </w:style>
  <w:style w:type="character" w:styleId="Hipervnculo">
    <w:name w:val="Hyperlink"/>
    <w:basedOn w:val="Fuentedeprrafopredeter"/>
    <w:uiPriority w:val="99"/>
    <w:semiHidden/>
    <w:unhideWhenUsed/>
    <w:rsid w:val="00A00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2.png" Id="R215d981ed2d441c2" /><Relationship Type="http://schemas.openxmlformats.org/officeDocument/2006/relationships/glossaryDocument" Target="glossary/document.xml" Id="R9c72159571b144e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eab462-c531-4d62-94c6-0cbca55ff4bf}"/>
      </w:docPartPr>
      <w:docPartBody>
        <w:p w14:paraId="0A22EC4D">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Stephany Bowers Hernandez</dc:creator>
  <keywords/>
  <dc:description/>
  <lastModifiedBy>Estephany Alexandra Bowers Hernandez</lastModifiedBy>
  <revision>12</revision>
  <lastPrinted>2023-03-06T19:23:00.0000000Z</lastPrinted>
  <dcterms:created xsi:type="dcterms:W3CDTF">2023-03-06T19:21:00.0000000Z</dcterms:created>
  <dcterms:modified xsi:type="dcterms:W3CDTF">2023-05-08T18:23:21.5542074Z</dcterms:modified>
</coreProperties>
</file>