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B6B3" w14:textId="77777777" w:rsidR="000E7A6E" w:rsidRDefault="000E7A6E" w:rsidP="000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F21B6C8" w14:textId="77777777" w:rsidR="000E7A6E" w:rsidRDefault="000E7A6E" w:rsidP="000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8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60"/>
        <w:gridCol w:w="1252"/>
        <w:gridCol w:w="1380"/>
        <w:gridCol w:w="1560"/>
        <w:gridCol w:w="1480"/>
      </w:tblGrid>
      <w:tr w:rsidR="000E7A6E" w:rsidRPr="002C3B65" w14:paraId="7A787CB3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AFA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Afiliado(a): 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E0A1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ANA MARIA GISELE SILVA BETANCOURT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B6A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2C3B65" w14:paraId="151C163B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CBE5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Radicación 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D8B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760013105015201900582-01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95A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546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D7A1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2C3B65" w14:paraId="692FCBBE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87A2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4683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08BF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7C93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F08A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AF81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2C3B65" w14:paraId="1FF19A40" w14:textId="77777777" w:rsidTr="00CD14B4">
        <w:trPr>
          <w:trHeight w:val="20"/>
        </w:trPr>
        <w:tc>
          <w:tcPr>
            <w:tcW w:w="5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16BB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 EVOLUCIÓN DE MESADAS PENSIONALES.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48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9F4A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2C3B65" w14:paraId="69085715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3DDA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9B4E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INCREMENTO ANUAL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C146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MESADA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6E46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DIFERENCIA</w:t>
            </w:r>
          </w:p>
        </w:tc>
      </w:tr>
      <w:tr w:rsidR="000E7A6E" w:rsidRPr="002C3B65" w14:paraId="7068AB64" w14:textId="77777777" w:rsidTr="00CD14B4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B0CD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AÑO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8B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</w:t>
            </w:r>
            <w:proofErr w:type="spellStart"/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Increm</w:t>
            </w:r>
            <w:proofErr w:type="spellEnd"/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. %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B082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proofErr w:type="spellStart"/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Incre</w:t>
            </w:r>
            <w:proofErr w:type="spellEnd"/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. Fijo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06A3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OTORGADA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82EC7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CALCULADA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75DDC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Adeudada</w:t>
            </w:r>
          </w:p>
        </w:tc>
      </w:tr>
      <w:tr w:rsidR="000E7A6E" w:rsidRPr="002C3B65" w14:paraId="587ADBC2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1FDF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2.006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AA7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0,0448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7042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EF7AC8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$ 2.514.522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63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$ 3.030.927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20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$ 516.405</w:t>
            </w:r>
          </w:p>
        </w:tc>
      </w:tr>
      <w:tr w:rsidR="000E7A6E" w:rsidRPr="002C3B65" w14:paraId="528172B5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83C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2.007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322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0,0569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D644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DA7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$ 2.627.173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F68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$ 3.166.713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3C9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$ 539.540</w:t>
            </w:r>
          </w:p>
        </w:tc>
      </w:tr>
      <w:tr w:rsidR="000E7A6E" w:rsidRPr="002C3B65" w14:paraId="1073881E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6684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2.008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AAD9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0,0767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8F4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257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$ 2.776.659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9530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$ 3.346.899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FA14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$ 570.240</w:t>
            </w:r>
          </w:p>
        </w:tc>
      </w:tr>
      <w:tr w:rsidR="000E7A6E" w:rsidRPr="002C3B65" w14:paraId="5824F867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8E0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2.009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923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0,0200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5C6F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FB6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$ 2.989.628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23B2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$ 3.603.606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25D4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$ 613.978</w:t>
            </w:r>
          </w:p>
        </w:tc>
      </w:tr>
      <w:tr w:rsidR="000E7A6E" w:rsidRPr="002C3B65" w14:paraId="3F34A271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EB6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70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0,0317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9369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AF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$ 3.049.421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90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$ 3.675.678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44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$ 626.257</w:t>
            </w:r>
          </w:p>
        </w:tc>
      </w:tr>
      <w:tr w:rsidR="000E7A6E" w:rsidRPr="002C3B65" w14:paraId="3F974658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8E6F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19CF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0,0373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D9B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02B2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$ 3.146.088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B1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$ 3.792.197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8A0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$ 646.110</w:t>
            </w:r>
          </w:p>
        </w:tc>
      </w:tr>
      <w:tr w:rsidR="000E7A6E" w:rsidRPr="002C3B65" w14:paraId="506C349F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7E1A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8702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0,0244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039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9BA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$ 3.263.437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12B0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$ 3.933.646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E34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$ 670.210</w:t>
            </w:r>
          </w:p>
        </w:tc>
      </w:tr>
      <w:tr w:rsidR="000E7A6E" w:rsidRPr="002C3B65" w14:paraId="5ADA82EA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8E14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8B2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0,0194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1FE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AA1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$ 3.343.065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9929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$ 4.029.627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FD9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$ 686.563</w:t>
            </w:r>
          </w:p>
        </w:tc>
      </w:tr>
      <w:tr w:rsidR="000E7A6E" w:rsidRPr="002C3B65" w14:paraId="24C5BE64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5DC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ED26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0,0366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56E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9D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$ 3.407.920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ABB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$ 4.107.802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A189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</w:tr>
      <w:tr w:rsidR="000E7A6E" w:rsidRPr="002C3B65" w14:paraId="23891F45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FF4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A460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0,0677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BD75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0F6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$ 3.532.650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39A9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$ 4.258.148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310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</w:tr>
      <w:tr w:rsidR="000E7A6E" w:rsidRPr="002C3B65" w14:paraId="5CB74043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6777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26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0,0575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C2F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BD7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$ 3.771.810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9FD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$ 4.546.425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4052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</w:tr>
      <w:tr w:rsidR="000E7A6E" w:rsidRPr="002C3B65" w14:paraId="49ABD87D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2633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6E4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0,0409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161E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35D8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$ 3.988.689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B1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$ 4.807.844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5B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</w:tr>
      <w:tr w:rsidR="000E7A6E" w:rsidRPr="002C3B65" w14:paraId="36C3FABB" w14:textId="77777777" w:rsidTr="00CD14B4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048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2.018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114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0,0318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445B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  -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15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$ 4.151.827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FAD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$ 5.004.485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9B7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$ 852.658</w:t>
            </w:r>
          </w:p>
        </w:tc>
      </w:tr>
    </w:tbl>
    <w:p w14:paraId="17769620" w14:textId="77777777" w:rsidR="000E7A6E" w:rsidRDefault="000E7A6E" w:rsidP="000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259"/>
        <w:gridCol w:w="807"/>
        <w:gridCol w:w="409"/>
        <w:gridCol w:w="505"/>
        <w:gridCol w:w="643"/>
        <w:gridCol w:w="248"/>
        <w:gridCol w:w="957"/>
        <w:gridCol w:w="75"/>
        <w:gridCol w:w="839"/>
        <w:gridCol w:w="501"/>
        <w:gridCol w:w="229"/>
        <w:gridCol w:w="976"/>
        <w:gridCol w:w="55"/>
        <w:gridCol w:w="780"/>
        <w:gridCol w:w="1260"/>
      </w:tblGrid>
      <w:tr w:rsidR="000E7A6E" w:rsidRPr="002C3B65" w14:paraId="7080ADAD" w14:textId="77777777" w:rsidTr="00CD14B4">
        <w:trPr>
          <w:gridAfter w:val="3"/>
          <w:wAfter w:w="2095" w:type="dxa"/>
          <w:trHeight w:val="20"/>
        </w:trPr>
        <w:tc>
          <w:tcPr>
            <w:tcW w:w="7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1A53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LIQUIDACION DE RETROACTIVIDAD  DE MESADAS PENSIONALES CON INTERESES DE MORA</w:t>
            </w:r>
          </w:p>
        </w:tc>
      </w:tr>
      <w:tr w:rsidR="000E7A6E" w:rsidRPr="002C3B65" w14:paraId="3DB5E530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C9A6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C43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60B3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B57B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EC4D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1DCB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A3BA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EC2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1286BC8C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408D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Afiliado(a): </w:t>
            </w:r>
          </w:p>
        </w:tc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1A19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lang w:eastAsia="es-CO"/>
              </w:rPr>
              <w:t xml:space="preserve"> ANA MARIA GISELE SILVA BETANCOURT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DF63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73203A4E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9B2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Radicación </w:t>
            </w:r>
          </w:p>
        </w:tc>
        <w:tc>
          <w:tcPr>
            <w:tcW w:w="2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CC67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760013105015201900582-01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3F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88D8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BF8E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7270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702847D6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B9D9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8E2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11C9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EAAA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60C4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03FC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101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A3D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61222820" w14:textId="77777777" w:rsidTr="00CD14B4">
        <w:trPr>
          <w:gridAfter w:val="3"/>
          <w:wAfter w:w="2095" w:type="dxa"/>
          <w:trHeight w:val="20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6F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es-CO"/>
              </w:rPr>
              <w:t xml:space="preserve"> EVOLUCIÓN DE MESADAS PENSIONALES.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7A0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3EAA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A4D8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EF4C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41DF2799" w14:textId="77777777" w:rsidTr="00CD14B4">
        <w:trPr>
          <w:gridAfter w:val="3"/>
          <w:wAfter w:w="2095" w:type="dxa"/>
          <w:trHeight w:val="20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A34A7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CALCULADA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F37C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FF6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EA21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50D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746B9A90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E66F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AÑO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FF99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</w:t>
            </w:r>
            <w:proofErr w:type="spellStart"/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Increm</w:t>
            </w:r>
            <w:proofErr w:type="spellEnd"/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. %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12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proofErr w:type="spellStart"/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Incre</w:t>
            </w:r>
            <w:proofErr w:type="spellEnd"/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. Fijo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E3745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MESADA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11D5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E1F5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5C1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50A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6E995325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713C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2.014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C6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0,0366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056F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     -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196C7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$ 699.882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FF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EB0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12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C6D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3F905E55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B4D2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2.015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1D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0,0677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042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     -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B6B3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$ 725.498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F01C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80C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ED7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56B6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3443FBE3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108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2.016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4B0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0,0575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0A66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     -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CB8F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$ 774.615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2B5B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0605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BDFD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7A62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1851AF9D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F7BA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2.017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040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0,0409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749C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     -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33CE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$ 819.155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22FA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B30E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895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A452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2C3B65" w14:paraId="0F256FA0" w14:textId="77777777" w:rsidTr="00CD14B4">
        <w:trPr>
          <w:gridAfter w:val="3"/>
          <w:wAfter w:w="2095" w:type="dxa"/>
          <w:trHeight w:val="2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DB00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2.018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4FB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0,0318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40D" w14:textId="77777777" w:rsidR="000E7A6E" w:rsidRPr="002C3B65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 xml:space="preserve">                   -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FBA7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  <w:r w:rsidRPr="002C3B65"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  <w:t>$ 852.658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A11" w14:textId="77777777" w:rsidR="000E7A6E" w:rsidRPr="002C3B65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es-C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68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5B6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634" w14:textId="77777777" w:rsidR="000E7A6E" w:rsidRPr="002C3B65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0E7A6E" w:rsidRPr="001C097F" w14:paraId="7630551E" w14:textId="77777777" w:rsidTr="00CD14B4">
        <w:trPr>
          <w:trHeight w:val="20"/>
        </w:trPr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296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DATOS DETERMINANTES DEL CÁLCULO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C694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FD8C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BF4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AFC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2E075FBE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5C5B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Deben mesadas desde: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9DDA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12/09/2014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649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BDC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79C1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AAF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FDD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72FD0C6B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C72D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Deben mesadas hasta: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5EA4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28/02/2018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DF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8E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C295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A559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0B4A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3448C940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4C7F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Intereses de mora desde: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D861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12/09/2014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39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439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14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9D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EB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40B8B095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D5CC3" w14:textId="77777777" w:rsidR="000E7A6E" w:rsidRPr="001C097F" w:rsidRDefault="000E7A6E" w:rsidP="00CD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Intereses de mora hasta: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C8DB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es-CO"/>
              </w:rPr>
            </w:pPr>
            <w:r w:rsidRPr="001C097F">
              <w:rPr>
                <w:rFonts w:ascii="Arial" w:eastAsia="Times New Roman" w:hAnsi="Arial" w:cs="Arial"/>
                <w:sz w:val="16"/>
                <w:szCs w:val="20"/>
                <w:lang w:eastAsia="es-CO"/>
              </w:rPr>
              <w:t>28/02/2018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0E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9D83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DE7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95BD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3FF0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08D79A21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B082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No. Mesadas al año: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50A6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CE6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670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BDC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C5D4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0884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79524482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639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86E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D0C5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E0DE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938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EBE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614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650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4BCA0AC4" w14:textId="77777777" w:rsidTr="00CD14B4">
        <w:trPr>
          <w:trHeight w:val="20"/>
        </w:trPr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2B4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 INTERES MORATORIOS A APLICAR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47C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041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DD9A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FAC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234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0037190A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CBA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Trimestre: 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91C12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febrero de 2018  </w:t>
            </w:r>
          </w:p>
        </w:tc>
        <w:tc>
          <w:tcPr>
            <w:tcW w:w="46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DBE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Resolución No. 131 del 31 de enero de 2018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14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 </w:t>
            </w:r>
          </w:p>
        </w:tc>
      </w:tr>
      <w:tr w:rsidR="000E7A6E" w:rsidRPr="001C097F" w14:paraId="7D5B19BC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E5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Interés Corriente anual: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D7CA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21,01000%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1F7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0F5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7E97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740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5C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 </w:t>
            </w:r>
          </w:p>
        </w:tc>
      </w:tr>
      <w:tr w:rsidR="000E7A6E" w:rsidRPr="001C097F" w14:paraId="5749BEBE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29F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Interés de mora anual: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05D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31,51500%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789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8D53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6E8A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5F40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028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 </w:t>
            </w:r>
          </w:p>
        </w:tc>
      </w:tr>
      <w:tr w:rsidR="000E7A6E" w:rsidRPr="001C097F" w14:paraId="4FF80150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26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Interés de mora mensual: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BD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2,30918%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881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750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A6F3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A4B2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3A7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 </w:t>
            </w:r>
          </w:p>
        </w:tc>
      </w:tr>
      <w:tr w:rsidR="000E7A6E" w:rsidRPr="001C097F" w14:paraId="45212E92" w14:textId="77777777" w:rsidTr="00CD14B4">
        <w:trPr>
          <w:trHeight w:val="20"/>
        </w:trPr>
        <w:tc>
          <w:tcPr>
            <w:tcW w:w="95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388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Nota: El cálculo técnico de la tasa mensual debe ser ((1 + interés de mora anual) elevado a la 1/12) - 1.   </w:t>
            </w:r>
          </w:p>
        </w:tc>
      </w:tr>
      <w:tr w:rsidR="000E7A6E" w:rsidRPr="001C097F" w14:paraId="6F4367F6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D78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23A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C82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A0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5362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9996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F82B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9F1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54461120" w14:textId="77777777" w:rsidTr="00CD14B4">
        <w:trPr>
          <w:trHeight w:val="20"/>
        </w:trPr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A7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 MESADAS ADEUDADAS CON INTERES MORATORIO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731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6DEE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A39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72BA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69FD9AC9" w14:textId="77777777" w:rsidTr="00CD14B4">
        <w:trPr>
          <w:trHeight w:val="20"/>
        </w:trPr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E460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PERIODO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F1FF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Mesada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32D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Días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063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Número de 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40B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Deuda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7D0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Días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AC8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Deuda </w:t>
            </w:r>
          </w:p>
        </w:tc>
      </w:tr>
      <w:tr w:rsidR="000E7A6E" w:rsidRPr="001C097F" w14:paraId="51902DF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2F2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Inicio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668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Final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B1C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adeudada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E61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Periodo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6CC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mesadas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AA57E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mesadas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441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mora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785" w14:textId="77777777" w:rsidR="000E7A6E" w:rsidRPr="001C097F" w:rsidRDefault="000E7A6E" w:rsidP="00CD1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</w:t>
            </w:r>
            <w:proofErr w:type="spellStart"/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Ints</w:t>
            </w:r>
            <w:proofErr w:type="spellEnd"/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. mora </w:t>
            </w:r>
          </w:p>
        </w:tc>
      </w:tr>
      <w:tr w:rsidR="000E7A6E" w:rsidRPr="001C097F" w14:paraId="11D29A69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375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12/09/2014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358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30/09/2014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B6C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035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19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AF7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0,63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5A8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$ 443.259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4DD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1.247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4D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$ 425.462</w:t>
            </w:r>
          </w:p>
        </w:tc>
      </w:tr>
      <w:tr w:rsidR="000E7A6E" w:rsidRPr="001C097F" w14:paraId="46B9C25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637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01/10/2014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BF3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31/10/2014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ECF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30C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2B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A1D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84A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1.216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38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$ 655.081</w:t>
            </w:r>
          </w:p>
        </w:tc>
      </w:tr>
      <w:tr w:rsidR="000E7A6E" w:rsidRPr="001C097F" w14:paraId="3F62B198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F3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01/11/2014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F33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30/11/2014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FD4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85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7C1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3DC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$ 1.399.764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BB9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1.186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74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$ 1.277.839</w:t>
            </w:r>
          </w:p>
        </w:tc>
      </w:tr>
      <w:tr w:rsidR="000E7A6E" w:rsidRPr="001C097F" w14:paraId="7A8B6AF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F3E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01/12/2014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BD0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31/12/2014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2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9C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309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297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$ 699.882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53F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1.155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DD0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$ 622.219</w:t>
            </w:r>
          </w:p>
        </w:tc>
      </w:tr>
      <w:tr w:rsidR="000E7A6E" w:rsidRPr="001C097F" w14:paraId="55B57AC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73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01/01/2015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F77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31/01/2015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4F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D37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1928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B8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E1A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1.124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8E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$ 627.681</w:t>
            </w:r>
          </w:p>
        </w:tc>
      </w:tr>
      <w:tr w:rsidR="000E7A6E" w:rsidRPr="001C097F" w14:paraId="7EC6E648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0F7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01/02/2015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83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28/02/2015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20B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5F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28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788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9D2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AD0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1.096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BA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$ 612.045</w:t>
            </w:r>
          </w:p>
        </w:tc>
      </w:tr>
      <w:tr w:rsidR="000E7A6E" w:rsidRPr="001C097F" w14:paraId="45F73F13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19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01/03/2015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235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31/03/2015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796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24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505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A2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27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1.065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58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$ 594.734</w:t>
            </w:r>
          </w:p>
        </w:tc>
      </w:tr>
      <w:tr w:rsidR="000E7A6E" w:rsidRPr="001C097F" w14:paraId="099979F9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A42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01/04/2015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52D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30/04/2015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D00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F3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87A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BF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257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1.035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C94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$ 577.981</w:t>
            </w:r>
          </w:p>
        </w:tc>
      </w:tr>
      <w:tr w:rsidR="000E7A6E" w:rsidRPr="001C097F" w14:paraId="74CFEB1B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079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01/05/2015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212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31/05/2015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61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380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972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7E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A5D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1.004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EF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$ 560.669</w:t>
            </w:r>
          </w:p>
        </w:tc>
      </w:tr>
      <w:tr w:rsidR="000E7A6E" w:rsidRPr="001C097F" w14:paraId="624ADF1C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568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01/06/2015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73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30/06/2015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9CD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F71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ECD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CEE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C6D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974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61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$ 543.916</w:t>
            </w:r>
          </w:p>
        </w:tc>
      </w:tr>
      <w:tr w:rsidR="000E7A6E" w:rsidRPr="001C097F" w14:paraId="72638272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133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01/07/2015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B08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31/07/2015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74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29C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B598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51F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A6E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943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AF2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$ 526.605</w:t>
            </w:r>
          </w:p>
        </w:tc>
      </w:tr>
      <w:tr w:rsidR="000E7A6E" w:rsidRPr="001C097F" w14:paraId="1165467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55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01/08/2015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3F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31/08/2015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AB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018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A96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E30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6B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912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B01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$ 509.293</w:t>
            </w:r>
          </w:p>
        </w:tc>
      </w:tr>
      <w:tr w:rsidR="000E7A6E" w:rsidRPr="001C097F" w14:paraId="5D412B0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103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01/09/2015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98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30/09/2015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94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EC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AA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7E5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B7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882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BA2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$ 492.540</w:t>
            </w:r>
          </w:p>
        </w:tc>
      </w:tr>
      <w:tr w:rsidR="000E7A6E" w:rsidRPr="001C097F" w14:paraId="6C4CD66D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9D7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01/10/2015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AED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31/10/2015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C1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7C7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5B0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48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C5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851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CD3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$ 475.229</w:t>
            </w:r>
          </w:p>
        </w:tc>
      </w:tr>
      <w:tr w:rsidR="000E7A6E" w:rsidRPr="001C097F" w14:paraId="1055452B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1D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01/11/2015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904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30/11/2015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BF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FD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BC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37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$ 1.450.996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0EF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821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030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$ 916.951</w:t>
            </w:r>
          </w:p>
        </w:tc>
      </w:tr>
      <w:tr w:rsidR="000E7A6E" w:rsidRPr="001C097F" w14:paraId="480710D9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456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01/12/2015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946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31/12/2015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D3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BB7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76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B72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$ 725.498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A01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790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8AC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$ 441.164</w:t>
            </w:r>
          </w:p>
        </w:tc>
      </w:tr>
      <w:tr w:rsidR="000E7A6E" w:rsidRPr="001C097F" w14:paraId="165F5D60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332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01/01/2016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C66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31/01/2016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FF5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513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72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928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B08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759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744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$ 452.548</w:t>
            </w:r>
          </w:p>
        </w:tc>
      </w:tr>
      <w:tr w:rsidR="000E7A6E" w:rsidRPr="001C097F" w14:paraId="085E1BE3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EB5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01/02/2016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3CA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29/02/2016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B0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8C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29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83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46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F09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730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36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$ 435.257</w:t>
            </w:r>
          </w:p>
        </w:tc>
      </w:tr>
      <w:tr w:rsidR="000E7A6E" w:rsidRPr="001C097F" w14:paraId="4575ACDA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70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01/03/2016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8A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31/03/2016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BC4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BB5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63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75F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E50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699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A7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$ 416.773</w:t>
            </w:r>
          </w:p>
        </w:tc>
      </w:tr>
      <w:tr w:rsidR="000E7A6E" w:rsidRPr="001C097F" w14:paraId="5FEC644A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FBA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01/04/2016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914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30/04/2016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9D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BA4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35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EF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B73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669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3F3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$ 398.886</w:t>
            </w:r>
          </w:p>
        </w:tc>
      </w:tr>
      <w:tr w:rsidR="000E7A6E" w:rsidRPr="001C097F" w14:paraId="0E86048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4B3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01/05/2016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53A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31/05/2016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139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5CD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09E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0D0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C5A4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638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C1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$ 380.402</w:t>
            </w:r>
          </w:p>
        </w:tc>
      </w:tr>
      <w:tr w:rsidR="000E7A6E" w:rsidRPr="001C097F" w14:paraId="425E0EF0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B4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01/06/2016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156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30/06/2016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FC9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F7F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8BE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20B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F9B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608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27F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$ 362.515</w:t>
            </w:r>
          </w:p>
        </w:tc>
      </w:tr>
      <w:tr w:rsidR="000E7A6E" w:rsidRPr="001C097F" w14:paraId="20E01861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EFB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01/07/2016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3A3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31/07/2016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17B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E4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533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BA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9D8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577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A50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$ 344.032</w:t>
            </w:r>
          </w:p>
        </w:tc>
      </w:tr>
      <w:tr w:rsidR="000E7A6E" w:rsidRPr="001C097F" w14:paraId="39B77430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F23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01/08/2016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066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31/08/2016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52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47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F5E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68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D90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546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EF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$ 325.548</w:t>
            </w:r>
          </w:p>
        </w:tc>
      </w:tr>
      <w:tr w:rsidR="000E7A6E" w:rsidRPr="001C097F" w14:paraId="794989C4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1E5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01/09/2016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E5B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30/09/2016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9B5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22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574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CCE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B34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516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4E9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$ 307.661</w:t>
            </w:r>
          </w:p>
        </w:tc>
      </w:tr>
      <w:tr w:rsidR="000E7A6E" w:rsidRPr="001C097F" w14:paraId="2677FCFB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0EF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01/10/2016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08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31/10/2016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7DA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18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944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219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6CE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485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A5D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$ 289.177</w:t>
            </w:r>
          </w:p>
        </w:tc>
      </w:tr>
      <w:tr w:rsidR="000E7A6E" w:rsidRPr="001C097F" w14:paraId="43FCD349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00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01/11/2016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40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30/11/2016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EF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29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9D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54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$ 1.549.229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2DA7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455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41F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$ 542.580</w:t>
            </w:r>
          </w:p>
        </w:tc>
      </w:tr>
      <w:tr w:rsidR="000E7A6E" w:rsidRPr="001C097F" w14:paraId="3CEB70CC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6BA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lastRenderedPageBreak/>
              <w:t>01/12/2016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31E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31/12/2016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0A6A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831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CEB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40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$ 774.615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89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424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AF7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$ 252.807</w:t>
            </w:r>
          </w:p>
        </w:tc>
      </w:tr>
      <w:tr w:rsidR="000E7A6E" w:rsidRPr="001C097F" w14:paraId="6F331A61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076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01/01/2017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E6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31/01/2017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8F9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C7C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622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6C5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5C7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393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00D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$ 247.796</w:t>
            </w:r>
          </w:p>
        </w:tc>
      </w:tr>
      <w:tr w:rsidR="000E7A6E" w:rsidRPr="001C097F" w14:paraId="298ADD9F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EDF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01/02/2017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71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28/02/2017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12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25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28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AE7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589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2DC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365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856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$ 230.142</w:t>
            </w:r>
          </w:p>
        </w:tc>
      </w:tr>
      <w:tr w:rsidR="000E7A6E" w:rsidRPr="001C097F" w14:paraId="3397E64C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36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01/03/2017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06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31/03/2017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52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D4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30F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38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74B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334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42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$ 210.595</w:t>
            </w:r>
          </w:p>
        </w:tc>
      </w:tr>
      <w:tr w:rsidR="000E7A6E" w:rsidRPr="001C097F" w14:paraId="2375C2DE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C66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01/04/2017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351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30/04/2017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7A7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0F4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4EF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1FA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55E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304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31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$ 191.680</w:t>
            </w:r>
          </w:p>
        </w:tc>
      </w:tr>
      <w:tr w:rsidR="000E7A6E" w:rsidRPr="001C097F" w14:paraId="28F79574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8A3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01/05/2017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9DA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31/05/2017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8C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5785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3FA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448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DF1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273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B44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$ 172.133</w:t>
            </w:r>
          </w:p>
        </w:tc>
      </w:tr>
      <w:tr w:rsidR="000E7A6E" w:rsidRPr="001C097F" w14:paraId="674F59EF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3F7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01/06/2017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4DD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30/06/2017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40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B49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D3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643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4FE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243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1F4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$ 153.218</w:t>
            </w:r>
          </w:p>
        </w:tc>
      </w:tr>
      <w:tr w:rsidR="000E7A6E" w:rsidRPr="001C097F" w14:paraId="4B14C878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0FE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01/07/2017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B25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31/07/2017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DA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5EC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FD9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341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015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212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30A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$ 133.671</w:t>
            </w:r>
          </w:p>
        </w:tc>
      </w:tr>
      <w:tr w:rsidR="000E7A6E" w:rsidRPr="001C097F" w14:paraId="67B01997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DD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01/08/2017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7E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31/08/2017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F2E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FC56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65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DCA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06B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181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E51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$ 114.125</w:t>
            </w:r>
          </w:p>
        </w:tc>
      </w:tr>
      <w:tr w:rsidR="000E7A6E" w:rsidRPr="001C097F" w14:paraId="62253859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2E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01/09/2017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748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30/09/2017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323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96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47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8AD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793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151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5ED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$ 95.209</w:t>
            </w:r>
          </w:p>
        </w:tc>
      </w:tr>
      <w:tr w:rsidR="000E7A6E" w:rsidRPr="001C097F" w14:paraId="2E0298B2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60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01/10/2017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9B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31/10/2017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7932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39F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1E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AF6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F11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120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E3C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$ 75.663</w:t>
            </w:r>
          </w:p>
        </w:tc>
      </w:tr>
      <w:tr w:rsidR="000E7A6E" w:rsidRPr="001C097F" w14:paraId="1E1BE233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B61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01/11/2017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B05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30/11/2017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096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A569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3B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C8E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$ 1.638.309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618B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F59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$ 113.495</w:t>
            </w:r>
          </w:p>
        </w:tc>
      </w:tr>
      <w:tr w:rsidR="000E7A6E" w:rsidRPr="001C097F" w14:paraId="09AE14F4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7C6B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01/12/2017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F00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31/12/2017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B76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9C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B8C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8FE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$ 819.155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4FD0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59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BACC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$ 37.201</w:t>
            </w:r>
          </w:p>
        </w:tc>
      </w:tr>
      <w:tr w:rsidR="000E7A6E" w:rsidRPr="001C097F" w14:paraId="356F227C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D3E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01/01/2018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41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31/01/2018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379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$ 852.658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AD5D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31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F3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479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$ 852.658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3E9A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28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01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$ 18.377</w:t>
            </w:r>
          </w:p>
        </w:tc>
      </w:tr>
      <w:tr w:rsidR="000E7A6E" w:rsidRPr="001C097F" w14:paraId="394ADB31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B0C3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01/02/2018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7C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28/02/2018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D50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$ 852.658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9ED1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28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A013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       1,00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E52D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$ 852.658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4E2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 xml:space="preserve">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B2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$ 0</w:t>
            </w:r>
          </w:p>
        </w:tc>
      </w:tr>
      <w:tr w:rsidR="000E7A6E" w:rsidRPr="001C097F" w14:paraId="2BA8A250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C29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E1E4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A2CD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413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702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8867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C48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6DC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</w:tr>
      <w:tr w:rsidR="000E7A6E" w:rsidRPr="001C097F" w14:paraId="3CE64043" w14:textId="77777777" w:rsidTr="00CD14B4">
        <w:trPr>
          <w:trHeight w:val="20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977F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Totales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EB6E" w14:textId="77777777" w:rsidR="000E7A6E" w:rsidRPr="001C097F" w:rsidRDefault="000E7A6E" w:rsidP="00CD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C462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D33F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E417" w14:textId="77777777" w:rsidR="000E7A6E" w:rsidRPr="001C097F" w:rsidRDefault="000E7A6E" w:rsidP="00CD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s-C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15C7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6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color w:val="FFFFFF"/>
                <w:sz w:val="16"/>
                <w:lang w:eastAsia="es-CO"/>
              </w:rPr>
              <w:t>$ 35.098.580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1CF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6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2D3F68" w14:textId="77777777" w:rsidR="000E7A6E" w:rsidRPr="001C097F" w:rsidRDefault="000E7A6E" w:rsidP="00CD1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u w:val="single"/>
                <w:lang w:eastAsia="es-CO"/>
              </w:rPr>
            </w:pPr>
            <w:r w:rsidRPr="001C09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u w:val="single"/>
                <w:lang w:eastAsia="es-CO"/>
              </w:rPr>
              <w:t>$ 16.160.886</w:t>
            </w:r>
          </w:p>
        </w:tc>
      </w:tr>
    </w:tbl>
    <w:p w14:paraId="683C2F1E" w14:textId="77777777" w:rsidR="000E7A6E" w:rsidRDefault="000E7A6E" w:rsidP="000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7E87780" w14:textId="77777777" w:rsidR="000E7A6E" w:rsidRPr="002C3B65" w:rsidRDefault="000E7A6E" w:rsidP="000E7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s-MX"/>
        </w:rPr>
      </w:pPr>
      <w:r w:rsidRPr="002C3B65">
        <w:rPr>
          <w:rFonts w:ascii="Arial" w:hAnsi="Arial" w:cs="Arial"/>
          <w:b/>
          <w:sz w:val="16"/>
          <w:szCs w:val="16"/>
          <w:lang w:val="es-MX"/>
        </w:rPr>
        <w:t>Bogotá, enero 31 de 2018</w:t>
      </w:r>
    </w:p>
    <w:p w14:paraId="5C3D4F07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  <w:sz w:val="16"/>
          <w:szCs w:val="16"/>
          <w:lang w:val="es-MX"/>
        </w:rPr>
      </w:pPr>
    </w:p>
    <w:p w14:paraId="370D9E1A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0000"/>
          <w:sz w:val="16"/>
          <w:szCs w:val="16"/>
        </w:rPr>
      </w:pPr>
    </w:p>
    <w:p w14:paraId="20772E21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0000"/>
          <w:sz w:val="16"/>
          <w:szCs w:val="16"/>
        </w:rPr>
      </w:pPr>
      <w:r w:rsidRPr="002C3B65">
        <w:rPr>
          <w:rFonts w:ascii="Arial" w:hAnsi="Arial" w:cs="Arial"/>
          <w:b/>
          <w:bCs/>
          <w:color w:val="800000"/>
          <w:sz w:val="16"/>
          <w:szCs w:val="16"/>
        </w:rPr>
        <w:t>CERTIFICACIÓN DEL INTERÉS BANCARIO CORRIENTE PARA LA MODALIDAD DE CRÉDITO DE CONSUMO Y ORDINARIO</w:t>
      </w:r>
    </w:p>
    <w:p w14:paraId="173163EF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D38749" w14:textId="77777777" w:rsidR="000E7A6E" w:rsidRPr="002C3B65" w:rsidRDefault="000E7A6E" w:rsidP="000E7A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 xml:space="preserve">La Superintendencia Financiera de Colombia, en ejercicio de sus atribuciones legales y en especial de lo dispuesto en </w:t>
      </w:r>
      <w:r w:rsidRPr="002C3B65">
        <w:rPr>
          <w:rFonts w:ascii="Arial" w:hAnsi="Arial" w:cs="Arial"/>
          <w:sz w:val="16"/>
          <w:szCs w:val="16"/>
        </w:rPr>
        <w:t xml:space="preserve">los artículos 11.2.5.1.1 y siguientes del Decreto 2555 de 2010, expidió el 31 de enero de 2018 la </w:t>
      </w:r>
      <w:hyperlink r:id="rId8" w:history="1">
        <w:r w:rsidRPr="002C3B65">
          <w:rPr>
            <w:rStyle w:val="Hipervnculo"/>
            <w:b/>
            <w:color w:val="800000"/>
            <w:sz w:val="16"/>
            <w:szCs w:val="16"/>
          </w:rPr>
          <w:t xml:space="preserve">Resolución No. 131 </w:t>
        </w:r>
      </w:hyperlink>
      <w:r w:rsidRPr="002C3B65">
        <w:rPr>
          <w:rFonts w:ascii="Arial" w:hAnsi="Arial" w:cs="Arial"/>
          <w:b/>
          <w:color w:val="800000"/>
          <w:sz w:val="16"/>
          <w:szCs w:val="16"/>
        </w:rPr>
        <w:t xml:space="preserve"> </w:t>
      </w:r>
      <w:r w:rsidRPr="002C3B65">
        <w:rPr>
          <w:rFonts w:ascii="Arial" w:hAnsi="Arial" w:cs="Arial"/>
          <w:sz w:val="16"/>
          <w:szCs w:val="16"/>
        </w:rPr>
        <w:t>por medio de la cual certifica el Interés Bancario Corriente para el siguiente período y modalidad de crédito:</w:t>
      </w:r>
    </w:p>
    <w:p w14:paraId="39F9F5F4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5D63D6" w14:textId="77777777" w:rsidR="000E7A6E" w:rsidRPr="002C3B65" w:rsidRDefault="000E7A6E" w:rsidP="000E7A6E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>Consumo y Ordinario: entre el 1 y el 28 de febrero de 2018.</w:t>
      </w:r>
    </w:p>
    <w:p w14:paraId="2ACBEC8C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6C3E8E99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 xml:space="preserve">Con la mencionada Resolución se certifica el Interés Bancario Corriente efectivo anual para la modalidad de crédito de consumo y ordinario en </w:t>
      </w:r>
      <w:r w:rsidRPr="002C3B65">
        <w:rPr>
          <w:rFonts w:ascii="Arial" w:hAnsi="Arial" w:cs="Arial"/>
          <w:b/>
          <w:color w:val="000000"/>
          <w:sz w:val="16"/>
          <w:szCs w:val="16"/>
        </w:rPr>
        <w:t xml:space="preserve">21.01%, </w:t>
      </w:r>
      <w:r w:rsidRPr="002C3B65">
        <w:rPr>
          <w:rFonts w:ascii="Arial" w:hAnsi="Arial" w:cs="Arial"/>
          <w:color w:val="000000"/>
          <w:sz w:val="16"/>
          <w:szCs w:val="16"/>
        </w:rPr>
        <w:t>lo cual representa un aumento de 32 puntos básicos (0.32%)</w:t>
      </w:r>
      <w:r w:rsidRPr="002C3B6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C3B65">
        <w:rPr>
          <w:rFonts w:ascii="Arial" w:hAnsi="Arial" w:cs="Arial"/>
          <w:color w:val="000000"/>
          <w:sz w:val="16"/>
          <w:szCs w:val="16"/>
        </w:rPr>
        <w:t xml:space="preserve">en relación con la anterior certificación </w:t>
      </w:r>
      <w:r w:rsidRPr="002C3B65">
        <w:rPr>
          <w:rFonts w:ascii="Arial" w:hAnsi="Arial" w:cs="Arial"/>
          <w:b/>
          <w:color w:val="000000"/>
          <w:sz w:val="16"/>
          <w:szCs w:val="16"/>
        </w:rPr>
        <w:t>(20.69%).</w:t>
      </w:r>
    </w:p>
    <w:p w14:paraId="36F17852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16"/>
          <w:szCs w:val="16"/>
        </w:rPr>
      </w:pPr>
    </w:p>
    <w:p w14:paraId="68A1BBA0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  <w:sz w:val="16"/>
          <w:szCs w:val="16"/>
        </w:rPr>
      </w:pPr>
      <w:r w:rsidRPr="002C3B65">
        <w:rPr>
          <w:rFonts w:ascii="Arial" w:hAnsi="Arial" w:cs="Arial"/>
          <w:b/>
          <w:bCs/>
          <w:color w:val="800000"/>
          <w:sz w:val="16"/>
          <w:szCs w:val="16"/>
        </w:rPr>
        <w:t>INTERÉS REMUNERATORIO Y DE MORA</w:t>
      </w:r>
    </w:p>
    <w:p w14:paraId="1FA7E12A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 xml:space="preserve">En atención a lo dispuesto en el artículo 884 del Código de Comercio, en concordancia con lo señalado en los artículos 11.2.5.1.2 y 11.2.5.1.3 del </w:t>
      </w:r>
      <w:r w:rsidRPr="002C3B65">
        <w:rPr>
          <w:rFonts w:ascii="Arial" w:hAnsi="Arial" w:cs="Arial"/>
          <w:sz w:val="16"/>
          <w:szCs w:val="16"/>
        </w:rPr>
        <w:t>Decreto 2555 de 2010</w:t>
      </w:r>
      <w:r w:rsidRPr="002C3B65">
        <w:rPr>
          <w:rFonts w:ascii="Arial" w:hAnsi="Arial" w:cs="Arial"/>
          <w:color w:val="000000"/>
          <w:sz w:val="16"/>
          <w:szCs w:val="16"/>
        </w:rPr>
        <w:t>,</w:t>
      </w:r>
      <w:r w:rsidRPr="002C3B65">
        <w:rPr>
          <w:rFonts w:ascii="Arial" w:hAnsi="Arial" w:cs="Arial"/>
          <w:sz w:val="16"/>
          <w:szCs w:val="16"/>
        </w:rPr>
        <w:t xml:space="preserve"> lo</w:t>
      </w:r>
      <w:r w:rsidRPr="002C3B65">
        <w:rPr>
          <w:rFonts w:ascii="Arial" w:hAnsi="Arial" w:cs="Arial"/>
          <w:color w:val="000000"/>
          <w:sz w:val="16"/>
          <w:szCs w:val="16"/>
        </w:rPr>
        <w:t xml:space="preserve">s intereses remuneratorio y moratorio no podrán exceder 1.5 veces el Interés Bancario Corriente, es decir, el </w:t>
      </w:r>
      <w:r w:rsidRPr="002C3B65">
        <w:rPr>
          <w:rFonts w:ascii="Arial" w:hAnsi="Arial" w:cs="Arial"/>
          <w:b/>
          <w:sz w:val="16"/>
          <w:szCs w:val="16"/>
        </w:rPr>
        <w:t>31.52</w:t>
      </w:r>
      <w:r w:rsidRPr="002C3B65">
        <w:rPr>
          <w:rFonts w:ascii="Arial" w:hAnsi="Arial" w:cs="Arial"/>
          <w:b/>
          <w:color w:val="000000"/>
          <w:sz w:val="16"/>
          <w:szCs w:val="16"/>
        </w:rPr>
        <w:t xml:space="preserve">% </w:t>
      </w:r>
      <w:r w:rsidRPr="002C3B65">
        <w:rPr>
          <w:rFonts w:ascii="Arial" w:hAnsi="Arial" w:cs="Arial"/>
          <w:color w:val="000000"/>
          <w:sz w:val="16"/>
          <w:szCs w:val="16"/>
        </w:rPr>
        <w:t>efectivo anual</w:t>
      </w:r>
      <w:r w:rsidRPr="002C3B6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C3B65">
        <w:rPr>
          <w:rFonts w:ascii="Arial" w:hAnsi="Arial" w:cs="Arial"/>
          <w:color w:val="000000"/>
          <w:sz w:val="16"/>
          <w:szCs w:val="16"/>
        </w:rPr>
        <w:t>para la modalidad de crédito de consumo y ordinario.</w:t>
      </w:r>
    </w:p>
    <w:p w14:paraId="0675BB4A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  <w:sz w:val="16"/>
          <w:szCs w:val="16"/>
        </w:rPr>
      </w:pPr>
    </w:p>
    <w:p w14:paraId="6D9EADBE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  <w:sz w:val="16"/>
          <w:szCs w:val="16"/>
        </w:rPr>
      </w:pPr>
      <w:r w:rsidRPr="002C3B65">
        <w:rPr>
          <w:rFonts w:ascii="Arial" w:hAnsi="Arial" w:cs="Arial"/>
          <w:b/>
          <w:bCs/>
          <w:color w:val="800000"/>
          <w:sz w:val="16"/>
          <w:szCs w:val="16"/>
        </w:rPr>
        <w:t>USURA</w:t>
      </w:r>
    </w:p>
    <w:p w14:paraId="7B7C4423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>Para los efectos de la norma sobre usura (Artículo 305 del Código Penal), puede incurrir en este delito el que reciba o cobre, directa o indirectamente, a cambio de préstamo de dinero o por concepto de venta de bienes o servicios a plazo, utilidad o ventaja que exceda en la mitad del Interés Bancario Corriente que para los períodos correspondientes estén cobrando los bancos, cifra que para el período señalado se sitúa</w:t>
      </w:r>
      <w:r w:rsidRPr="002C3B6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C3B65">
        <w:rPr>
          <w:rFonts w:ascii="Arial" w:hAnsi="Arial" w:cs="Arial"/>
          <w:color w:val="000000"/>
          <w:sz w:val="16"/>
          <w:szCs w:val="16"/>
        </w:rPr>
        <w:t xml:space="preserve">en </w:t>
      </w:r>
      <w:r w:rsidRPr="002C3B65">
        <w:rPr>
          <w:rFonts w:ascii="Arial" w:hAnsi="Arial" w:cs="Arial"/>
          <w:b/>
          <w:color w:val="000000"/>
          <w:sz w:val="16"/>
          <w:szCs w:val="16"/>
        </w:rPr>
        <w:t>31.52%</w:t>
      </w:r>
      <w:r w:rsidRPr="002C3B65"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</w:t>
      </w:r>
      <w:r w:rsidRPr="002C3B65">
        <w:rPr>
          <w:rFonts w:ascii="Arial" w:hAnsi="Arial" w:cs="Arial"/>
          <w:color w:val="000000"/>
          <w:sz w:val="16"/>
          <w:szCs w:val="16"/>
        </w:rPr>
        <w:t xml:space="preserve">efectivo anual para la modalidad de crédito de consumo y ordinario, </w:t>
      </w:r>
      <w:r w:rsidRPr="002C3B65">
        <w:rPr>
          <w:rFonts w:ascii="Arial" w:hAnsi="Arial" w:cs="Arial"/>
          <w:sz w:val="16"/>
          <w:szCs w:val="16"/>
        </w:rPr>
        <w:t>resultado que representa un aumento de 48 puntos básicos (0.48%)</w:t>
      </w:r>
      <w:r w:rsidRPr="002C3B65">
        <w:rPr>
          <w:rFonts w:ascii="Arial" w:hAnsi="Arial" w:cs="Arial"/>
          <w:b/>
          <w:sz w:val="16"/>
          <w:szCs w:val="16"/>
        </w:rPr>
        <w:t xml:space="preserve"> </w:t>
      </w:r>
      <w:r w:rsidRPr="002C3B65">
        <w:rPr>
          <w:rFonts w:ascii="Arial" w:hAnsi="Arial" w:cs="Arial"/>
          <w:sz w:val="16"/>
          <w:szCs w:val="16"/>
        </w:rPr>
        <w:t xml:space="preserve">con respecto al periodo anterior </w:t>
      </w:r>
      <w:r w:rsidRPr="002C3B65">
        <w:rPr>
          <w:rFonts w:ascii="Arial" w:hAnsi="Arial" w:cs="Arial"/>
          <w:b/>
          <w:sz w:val="16"/>
          <w:szCs w:val="16"/>
        </w:rPr>
        <w:t>(31.04%)</w:t>
      </w:r>
      <w:r w:rsidRPr="002C3B65">
        <w:rPr>
          <w:rFonts w:ascii="Arial" w:hAnsi="Arial" w:cs="Arial"/>
          <w:sz w:val="16"/>
          <w:szCs w:val="16"/>
        </w:rPr>
        <w:t>.</w:t>
      </w:r>
    </w:p>
    <w:p w14:paraId="694EE521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  <w:sz w:val="16"/>
          <w:szCs w:val="16"/>
        </w:rPr>
      </w:pPr>
    </w:p>
    <w:p w14:paraId="12B90AEB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  <w:sz w:val="16"/>
          <w:szCs w:val="16"/>
        </w:rPr>
      </w:pPr>
      <w:r w:rsidRPr="002C3B65">
        <w:rPr>
          <w:rFonts w:ascii="Arial" w:hAnsi="Arial" w:cs="Arial"/>
          <w:b/>
          <w:bCs/>
          <w:color w:val="800000"/>
          <w:sz w:val="16"/>
          <w:szCs w:val="16"/>
        </w:rPr>
        <w:t>OTRAS CERTIFICACIONES VIGENTES</w:t>
      </w:r>
    </w:p>
    <w:p w14:paraId="5FE48A5F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C3B65">
        <w:rPr>
          <w:rFonts w:ascii="Arial" w:hAnsi="Arial" w:cs="Arial"/>
          <w:color w:val="000000"/>
          <w:sz w:val="16"/>
          <w:szCs w:val="16"/>
        </w:rPr>
        <w:t>Vale la pena recordar que la Superintendencia Financiera, en desarrollo de sus atribuciones legales y reglamentarias, mediante las Resoluciones 1890 y 1298 de 2017 certificaron el interés bancario corriente para la modalidad de microcrédito y consumo de bajo monto, en los siguientes términos:</w:t>
      </w:r>
    </w:p>
    <w:p w14:paraId="5D9D56C5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816B1DC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89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602"/>
        <w:gridCol w:w="1372"/>
        <w:gridCol w:w="3768"/>
      </w:tblGrid>
      <w:tr w:rsidR="000E7A6E" w:rsidRPr="002C3B65" w14:paraId="42EDB806" w14:textId="77777777" w:rsidTr="00CD14B4">
        <w:trPr>
          <w:trHeight w:val="206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22D26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Modalidad de crédito que aplica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AD7C1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Interés Bancario Corriente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3F5DB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Usura</w:t>
            </w:r>
          </w:p>
        </w:tc>
        <w:tc>
          <w:tcPr>
            <w:tcW w:w="3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BBE3B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Vigencia</w:t>
            </w:r>
          </w:p>
        </w:tc>
      </w:tr>
      <w:tr w:rsidR="000E7A6E" w:rsidRPr="002C3B65" w14:paraId="1198A5E0" w14:textId="77777777" w:rsidTr="00CD14B4">
        <w:trPr>
          <w:trHeight w:val="322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988CF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Microcrédito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243BE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36.78%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DA1FE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55.17%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C8289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 de enero al 31 de marzo de 2018</w:t>
            </w:r>
          </w:p>
        </w:tc>
      </w:tr>
      <w:tr w:rsidR="000E7A6E" w:rsidRPr="002C3B65" w14:paraId="58AF427A" w14:textId="77777777" w:rsidTr="00CD14B4">
        <w:trPr>
          <w:trHeight w:val="252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04FA1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Consumo de bajo monto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B9160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37.55%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5116D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56.33%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5EAF" w14:textId="77777777" w:rsidR="000E7A6E" w:rsidRPr="002C3B65" w:rsidRDefault="000E7A6E" w:rsidP="00CD1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2C3B6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 de octubre de 2017 al 30 de septiembre de 2018</w:t>
            </w:r>
          </w:p>
        </w:tc>
      </w:tr>
    </w:tbl>
    <w:p w14:paraId="56963988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C29EFDF" w14:textId="77777777" w:rsidR="000E7A6E" w:rsidRPr="002C3B65" w:rsidRDefault="000E7A6E" w:rsidP="000E7A6E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hyperlink r:id="rId9" w:history="1">
        <w:r w:rsidRPr="002C3B65">
          <w:rPr>
            <w:rStyle w:val="Hipervnculo"/>
            <w:b/>
            <w:color w:val="808000"/>
            <w:sz w:val="16"/>
            <w:szCs w:val="16"/>
          </w:rPr>
          <w:t>Consulte aquí</w:t>
        </w:r>
      </w:hyperlink>
      <w:r w:rsidRPr="002C3B65">
        <w:rPr>
          <w:rFonts w:ascii="Arial" w:hAnsi="Arial" w:cs="Arial"/>
          <w:b/>
          <w:color w:val="808000"/>
          <w:sz w:val="16"/>
          <w:szCs w:val="16"/>
        </w:rPr>
        <w:t xml:space="preserve"> </w:t>
      </w:r>
      <w:r w:rsidRPr="002C3B65">
        <w:rPr>
          <w:rFonts w:ascii="Arial" w:hAnsi="Arial" w:cs="Arial"/>
          <w:color w:val="000000"/>
          <w:sz w:val="16"/>
          <w:szCs w:val="16"/>
        </w:rPr>
        <w:t>la información histórica del Interés Bancario Corriente.</w:t>
      </w:r>
      <w:r w:rsidRPr="002C3B65">
        <w:rPr>
          <w:sz w:val="16"/>
          <w:szCs w:val="16"/>
        </w:rPr>
        <w:t xml:space="preserve"> </w:t>
      </w:r>
    </w:p>
    <w:p w14:paraId="4FE41334" w14:textId="77777777" w:rsidR="000E7A6E" w:rsidRPr="002C3B65" w:rsidRDefault="000E7A6E" w:rsidP="000E7A6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7BC19FE2" w14:textId="77777777" w:rsidR="000E7A6E" w:rsidRPr="002C3B65" w:rsidRDefault="000E7A6E" w:rsidP="000E7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9531673" w14:textId="77777777" w:rsidR="00463C35" w:rsidRPr="000E7A6E" w:rsidRDefault="00463C35" w:rsidP="000E7A6E"/>
    <w:sectPr w:rsidR="00463C35" w:rsidRPr="000E7A6E" w:rsidSect="001B4CAF">
      <w:headerReference w:type="default" r:id="rId10"/>
      <w:footerReference w:type="default" r:id="rId11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55AF" w14:textId="77777777" w:rsidR="00027AD6" w:rsidRDefault="00027AD6">
      <w:pPr>
        <w:spacing w:after="0" w:line="240" w:lineRule="auto"/>
      </w:pPr>
      <w:r>
        <w:separator/>
      </w:r>
    </w:p>
  </w:endnote>
  <w:endnote w:type="continuationSeparator" w:id="0">
    <w:p w14:paraId="5D3C849C" w14:textId="77777777" w:rsidR="00027AD6" w:rsidRDefault="0002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4780"/>
      <w:docPartObj>
        <w:docPartGallery w:val="Page Numbers (Bottom of Page)"/>
        <w:docPartUnique/>
      </w:docPartObj>
    </w:sdtPr>
    <w:sdtEndPr/>
    <w:sdtContent>
      <w:p w14:paraId="6599B721" w14:textId="77777777" w:rsidR="00FC6377" w:rsidRDefault="00FC637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AC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5135D01" w14:textId="77777777" w:rsidR="00FC6377" w:rsidRPr="00C06974" w:rsidRDefault="00FC6377">
    <w:pPr>
      <w:pStyle w:val="Piedep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4FF8" w14:textId="77777777" w:rsidR="00027AD6" w:rsidRDefault="00027AD6">
      <w:pPr>
        <w:spacing w:after="0" w:line="240" w:lineRule="auto"/>
      </w:pPr>
      <w:r>
        <w:separator/>
      </w:r>
    </w:p>
  </w:footnote>
  <w:footnote w:type="continuationSeparator" w:id="0">
    <w:p w14:paraId="6FEADF88" w14:textId="77777777" w:rsidR="00027AD6" w:rsidRDefault="0002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9754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89F3780" w14:textId="77777777" w:rsidR="00FC6377" w:rsidRPr="00580211" w:rsidRDefault="00027AD6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FDBF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86471589" r:id="rId2"/>
      </w:object>
    </w:r>
  </w:p>
  <w:p w14:paraId="1F20F601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E8A494C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2A2AC6A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613803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52A4A0A" w14:textId="77777777" w:rsidR="00FC6377" w:rsidRPr="00580211" w:rsidRDefault="00FC6377" w:rsidP="00EA20DC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72676B33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4887041" w14:textId="77777777" w:rsidR="00FC6377" w:rsidRPr="00C73A1C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147104F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1E495E00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520E"/>
    <w:multiLevelType w:val="hybridMultilevel"/>
    <w:tmpl w:val="0A34D278"/>
    <w:lvl w:ilvl="0" w:tplc="08F607F4">
      <w:start w:val="18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C0"/>
    <w:rsid w:val="00006FF4"/>
    <w:rsid w:val="00014D6C"/>
    <w:rsid w:val="00017FBB"/>
    <w:rsid w:val="00023B5D"/>
    <w:rsid w:val="00023B96"/>
    <w:rsid w:val="000254FD"/>
    <w:rsid w:val="00027307"/>
    <w:rsid w:val="00027AD6"/>
    <w:rsid w:val="00033EE5"/>
    <w:rsid w:val="00035417"/>
    <w:rsid w:val="0003618B"/>
    <w:rsid w:val="00036519"/>
    <w:rsid w:val="00036828"/>
    <w:rsid w:val="0004632F"/>
    <w:rsid w:val="00047F6D"/>
    <w:rsid w:val="0005056A"/>
    <w:rsid w:val="00050EC4"/>
    <w:rsid w:val="00055AB3"/>
    <w:rsid w:val="00057FE3"/>
    <w:rsid w:val="0006148E"/>
    <w:rsid w:val="000643AB"/>
    <w:rsid w:val="000650CE"/>
    <w:rsid w:val="00073797"/>
    <w:rsid w:val="00073B40"/>
    <w:rsid w:val="00075E4E"/>
    <w:rsid w:val="00076527"/>
    <w:rsid w:val="000777B0"/>
    <w:rsid w:val="000851D8"/>
    <w:rsid w:val="00091B42"/>
    <w:rsid w:val="000932A8"/>
    <w:rsid w:val="0009377C"/>
    <w:rsid w:val="00094DA8"/>
    <w:rsid w:val="000957C7"/>
    <w:rsid w:val="000A352D"/>
    <w:rsid w:val="000A4D82"/>
    <w:rsid w:val="000A6B68"/>
    <w:rsid w:val="000B206F"/>
    <w:rsid w:val="000B7EAD"/>
    <w:rsid w:val="000C057B"/>
    <w:rsid w:val="000C3DD7"/>
    <w:rsid w:val="000C4DE6"/>
    <w:rsid w:val="000D04BE"/>
    <w:rsid w:val="000D29FC"/>
    <w:rsid w:val="000D2B0F"/>
    <w:rsid w:val="000E1997"/>
    <w:rsid w:val="000E3A5E"/>
    <w:rsid w:val="000E5EF7"/>
    <w:rsid w:val="000E6C71"/>
    <w:rsid w:val="000E7A6E"/>
    <w:rsid w:val="000F09FD"/>
    <w:rsid w:val="000F1E47"/>
    <w:rsid w:val="00100ADC"/>
    <w:rsid w:val="00103C87"/>
    <w:rsid w:val="00114BB9"/>
    <w:rsid w:val="00115156"/>
    <w:rsid w:val="0011626E"/>
    <w:rsid w:val="0012079C"/>
    <w:rsid w:val="0012170A"/>
    <w:rsid w:val="00123031"/>
    <w:rsid w:val="001251C4"/>
    <w:rsid w:val="00125FCA"/>
    <w:rsid w:val="0012634D"/>
    <w:rsid w:val="00127D62"/>
    <w:rsid w:val="00132878"/>
    <w:rsid w:val="00133EB3"/>
    <w:rsid w:val="00134E05"/>
    <w:rsid w:val="00135B8E"/>
    <w:rsid w:val="00137234"/>
    <w:rsid w:val="001421FB"/>
    <w:rsid w:val="00143D1A"/>
    <w:rsid w:val="001521F6"/>
    <w:rsid w:val="001555AC"/>
    <w:rsid w:val="00161339"/>
    <w:rsid w:val="00164BC6"/>
    <w:rsid w:val="00165C44"/>
    <w:rsid w:val="00171557"/>
    <w:rsid w:val="00176D4C"/>
    <w:rsid w:val="00180571"/>
    <w:rsid w:val="00181BE6"/>
    <w:rsid w:val="0018545B"/>
    <w:rsid w:val="001909C8"/>
    <w:rsid w:val="00193475"/>
    <w:rsid w:val="001B0350"/>
    <w:rsid w:val="001B4CAF"/>
    <w:rsid w:val="001B74FF"/>
    <w:rsid w:val="001C0527"/>
    <w:rsid w:val="001C097F"/>
    <w:rsid w:val="001C0D05"/>
    <w:rsid w:val="001C306F"/>
    <w:rsid w:val="001C5AC6"/>
    <w:rsid w:val="001D19FA"/>
    <w:rsid w:val="001D2345"/>
    <w:rsid w:val="001D2749"/>
    <w:rsid w:val="001D3443"/>
    <w:rsid w:val="001D4304"/>
    <w:rsid w:val="001D458D"/>
    <w:rsid w:val="001D4E3B"/>
    <w:rsid w:val="001E0932"/>
    <w:rsid w:val="001E262F"/>
    <w:rsid w:val="001E28AF"/>
    <w:rsid w:val="001E3949"/>
    <w:rsid w:val="001E5608"/>
    <w:rsid w:val="001E6A36"/>
    <w:rsid w:val="001E6D4B"/>
    <w:rsid w:val="001E7C5D"/>
    <w:rsid w:val="001F0624"/>
    <w:rsid w:val="001F3A82"/>
    <w:rsid w:val="0020437D"/>
    <w:rsid w:val="002116D3"/>
    <w:rsid w:val="00212530"/>
    <w:rsid w:val="00212D48"/>
    <w:rsid w:val="00216114"/>
    <w:rsid w:val="00216C1F"/>
    <w:rsid w:val="00217559"/>
    <w:rsid w:val="0022592D"/>
    <w:rsid w:val="00230EEA"/>
    <w:rsid w:val="002338C0"/>
    <w:rsid w:val="00234D06"/>
    <w:rsid w:val="00247F59"/>
    <w:rsid w:val="0025001E"/>
    <w:rsid w:val="002506D3"/>
    <w:rsid w:val="00260DCB"/>
    <w:rsid w:val="00263BB9"/>
    <w:rsid w:val="002658C1"/>
    <w:rsid w:val="00276B24"/>
    <w:rsid w:val="0028247D"/>
    <w:rsid w:val="00294E64"/>
    <w:rsid w:val="002A053B"/>
    <w:rsid w:val="002A3407"/>
    <w:rsid w:val="002A4B9D"/>
    <w:rsid w:val="002C0B5F"/>
    <w:rsid w:val="002C1394"/>
    <w:rsid w:val="002C31CE"/>
    <w:rsid w:val="002C3B65"/>
    <w:rsid w:val="002D3B66"/>
    <w:rsid w:val="002D4CC4"/>
    <w:rsid w:val="002D6FCD"/>
    <w:rsid w:val="002E1218"/>
    <w:rsid w:val="002E355B"/>
    <w:rsid w:val="002E38A0"/>
    <w:rsid w:val="002E41F1"/>
    <w:rsid w:val="002E6726"/>
    <w:rsid w:val="002F47A3"/>
    <w:rsid w:val="0030072D"/>
    <w:rsid w:val="00307F97"/>
    <w:rsid w:val="0031687F"/>
    <w:rsid w:val="00317756"/>
    <w:rsid w:val="00324E86"/>
    <w:rsid w:val="00331BBD"/>
    <w:rsid w:val="003373B5"/>
    <w:rsid w:val="00343532"/>
    <w:rsid w:val="0034638F"/>
    <w:rsid w:val="003473F3"/>
    <w:rsid w:val="00351462"/>
    <w:rsid w:val="003515DE"/>
    <w:rsid w:val="003554C2"/>
    <w:rsid w:val="00355831"/>
    <w:rsid w:val="00356619"/>
    <w:rsid w:val="00360AF7"/>
    <w:rsid w:val="0036329B"/>
    <w:rsid w:val="0036529C"/>
    <w:rsid w:val="00365C62"/>
    <w:rsid w:val="003720D4"/>
    <w:rsid w:val="00374E1A"/>
    <w:rsid w:val="00376310"/>
    <w:rsid w:val="003828D9"/>
    <w:rsid w:val="00383446"/>
    <w:rsid w:val="0038352E"/>
    <w:rsid w:val="003842DD"/>
    <w:rsid w:val="003843FE"/>
    <w:rsid w:val="00384685"/>
    <w:rsid w:val="0039049D"/>
    <w:rsid w:val="00391CF0"/>
    <w:rsid w:val="00393906"/>
    <w:rsid w:val="00397BA2"/>
    <w:rsid w:val="003A05C5"/>
    <w:rsid w:val="003A060D"/>
    <w:rsid w:val="003A1B75"/>
    <w:rsid w:val="003A76F4"/>
    <w:rsid w:val="003B05DF"/>
    <w:rsid w:val="003C7374"/>
    <w:rsid w:val="003D0BF3"/>
    <w:rsid w:val="003D17B8"/>
    <w:rsid w:val="003D19F7"/>
    <w:rsid w:val="003D4526"/>
    <w:rsid w:val="003E3305"/>
    <w:rsid w:val="003E4231"/>
    <w:rsid w:val="003E77E0"/>
    <w:rsid w:val="003F3EED"/>
    <w:rsid w:val="003F758E"/>
    <w:rsid w:val="00400C47"/>
    <w:rsid w:val="00400F81"/>
    <w:rsid w:val="00407C0B"/>
    <w:rsid w:val="00410BE1"/>
    <w:rsid w:val="004147C4"/>
    <w:rsid w:val="00417602"/>
    <w:rsid w:val="00423F6F"/>
    <w:rsid w:val="00424799"/>
    <w:rsid w:val="0043137E"/>
    <w:rsid w:val="0043211D"/>
    <w:rsid w:val="00440D71"/>
    <w:rsid w:val="0044106D"/>
    <w:rsid w:val="00441565"/>
    <w:rsid w:val="0044223B"/>
    <w:rsid w:val="0044571D"/>
    <w:rsid w:val="004476D8"/>
    <w:rsid w:val="00454437"/>
    <w:rsid w:val="00456C88"/>
    <w:rsid w:val="00463C35"/>
    <w:rsid w:val="00464C75"/>
    <w:rsid w:val="00466156"/>
    <w:rsid w:val="004664A6"/>
    <w:rsid w:val="0046777B"/>
    <w:rsid w:val="00472CA5"/>
    <w:rsid w:val="00482517"/>
    <w:rsid w:val="00485687"/>
    <w:rsid w:val="0048673B"/>
    <w:rsid w:val="00491592"/>
    <w:rsid w:val="00496A4F"/>
    <w:rsid w:val="00497860"/>
    <w:rsid w:val="004979A1"/>
    <w:rsid w:val="004A177E"/>
    <w:rsid w:val="004A4B1C"/>
    <w:rsid w:val="004B0B49"/>
    <w:rsid w:val="004B15F5"/>
    <w:rsid w:val="004B30B2"/>
    <w:rsid w:val="004B77E3"/>
    <w:rsid w:val="004C0C9D"/>
    <w:rsid w:val="004C0E2B"/>
    <w:rsid w:val="004D0DAF"/>
    <w:rsid w:val="004D2F83"/>
    <w:rsid w:val="004D43A1"/>
    <w:rsid w:val="004D5286"/>
    <w:rsid w:val="004E357E"/>
    <w:rsid w:val="004E52A0"/>
    <w:rsid w:val="004E54C3"/>
    <w:rsid w:val="004F11E1"/>
    <w:rsid w:val="004F29FE"/>
    <w:rsid w:val="004F40A6"/>
    <w:rsid w:val="004F427E"/>
    <w:rsid w:val="004F6759"/>
    <w:rsid w:val="00503FF1"/>
    <w:rsid w:val="00506492"/>
    <w:rsid w:val="00523E06"/>
    <w:rsid w:val="0053371C"/>
    <w:rsid w:val="00535BFD"/>
    <w:rsid w:val="005374BA"/>
    <w:rsid w:val="005400ED"/>
    <w:rsid w:val="00542865"/>
    <w:rsid w:val="00545A9F"/>
    <w:rsid w:val="00547A18"/>
    <w:rsid w:val="005519F4"/>
    <w:rsid w:val="0055426D"/>
    <w:rsid w:val="0055444A"/>
    <w:rsid w:val="005611D4"/>
    <w:rsid w:val="00572148"/>
    <w:rsid w:val="005747ED"/>
    <w:rsid w:val="005774D8"/>
    <w:rsid w:val="00583E25"/>
    <w:rsid w:val="00587AC9"/>
    <w:rsid w:val="005924B9"/>
    <w:rsid w:val="005929CD"/>
    <w:rsid w:val="00596751"/>
    <w:rsid w:val="005A05B8"/>
    <w:rsid w:val="005A0788"/>
    <w:rsid w:val="005B06C4"/>
    <w:rsid w:val="005B31E1"/>
    <w:rsid w:val="005B39C8"/>
    <w:rsid w:val="005C317F"/>
    <w:rsid w:val="005C43D1"/>
    <w:rsid w:val="005D7BF6"/>
    <w:rsid w:val="005E3B96"/>
    <w:rsid w:val="005E5D87"/>
    <w:rsid w:val="005E636C"/>
    <w:rsid w:val="005F107F"/>
    <w:rsid w:val="005F353E"/>
    <w:rsid w:val="005F5DB7"/>
    <w:rsid w:val="00601FEF"/>
    <w:rsid w:val="00612DC5"/>
    <w:rsid w:val="0061396B"/>
    <w:rsid w:val="00615051"/>
    <w:rsid w:val="00617FB9"/>
    <w:rsid w:val="00627D46"/>
    <w:rsid w:val="00632BFE"/>
    <w:rsid w:val="0063567C"/>
    <w:rsid w:val="0064430A"/>
    <w:rsid w:val="0064450D"/>
    <w:rsid w:val="00646506"/>
    <w:rsid w:val="00647128"/>
    <w:rsid w:val="00653B6B"/>
    <w:rsid w:val="00654193"/>
    <w:rsid w:val="00661E44"/>
    <w:rsid w:val="00663C24"/>
    <w:rsid w:val="00670847"/>
    <w:rsid w:val="00675645"/>
    <w:rsid w:val="00676D67"/>
    <w:rsid w:val="00677EB2"/>
    <w:rsid w:val="00681318"/>
    <w:rsid w:val="006874D4"/>
    <w:rsid w:val="006906A6"/>
    <w:rsid w:val="0069131D"/>
    <w:rsid w:val="00696434"/>
    <w:rsid w:val="0069687E"/>
    <w:rsid w:val="006A2AC3"/>
    <w:rsid w:val="006A4736"/>
    <w:rsid w:val="006A707E"/>
    <w:rsid w:val="006A7ADB"/>
    <w:rsid w:val="006B05DF"/>
    <w:rsid w:val="006B5C0E"/>
    <w:rsid w:val="006B6895"/>
    <w:rsid w:val="006B71DE"/>
    <w:rsid w:val="006B78CB"/>
    <w:rsid w:val="006C2E91"/>
    <w:rsid w:val="006C3EBB"/>
    <w:rsid w:val="006D604B"/>
    <w:rsid w:val="006D608A"/>
    <w:rsid w:val="006E018B"/>
    <w:rsid w:val="006E15F6"/>
    <w:rsid w:val="006E4B7F"/>
    <w:rsid w:val="006E7EF4"/>
    <w:rsid w:val="006F5960"/>
    <w:rsid w:val="006F626C"/>
    <w:rsid w:val="0070077B"/>
    <w:rsid w:val="00700A93"/>
    <w:rsid w:val="007102A5"/>
    <w:rsid w:val="0071289A"/>
    <w:rsid w:val="00724E05"/>
    <w:rsid w:val="00726D79"/>
    <w:rsid w:val="00733DCA"/>
    <w:rsid w:val="00733FC2"/>
    <w:rsid w:val="00737CFC"/>
    <w:rsid w:val="0074043D"/>
    <w:rsid w:val="00741F8F"/>
    <w:rsid w:val="00742012"/>
    <w:rsid w:val="00744F19"/>
    <w:rsid w:val="00745A04"/>
    <w:rsid w:val="00745B4A"/>
    <w:rsid w:val="00745C65"/>
    <w:rsid w:val="00753297"/>
    <w:rsid w:val="00760A06"/>
    <w:rsid w:val="00761854"/>
    <w:rsid w:val="00761AAF"/>
    <w:rsid w:val="00764EDA"/>
    <w:rsid w:val="0077279C"/>
    <w:rsid w:val="0077283A"/>
    <w:rsid w:val="007739B8"/>
    <w:rsid w:val="0078209B"/>
    <w:rsid w:val="007904C9"/>
    <w:rsid w:val="00792A77"/>
    <w:rsid w:val="0079612B"/>
    <w:rsid w:val="007A1F3A"/>
    <w:rsid w:val="007A4DFB"/>
    <w:rsid w:val="007B07D4"/>
    <w:rsid w:val="007B5566"/>
    <w:rsid w:val="007B589B"/>
    <w:rsid w:val="007C3245"/>
    <w:rsid w:val="007C3CCD"/>
    <w:rsid w:val="007D09FC"/>
    <w:rsid w:val="007D10F7"/>
    <w:rsid w:val="007E3C58"/>
    <w:rsid w:val="007E4CA9"/>
    <w:rsid w:val="007F4F68"/>
    <w:rsid w:val="007F768E"/>
    <w:rsid w:val="0080035C"/>
    <w:rsid w:val="008171CE"/>
    <w:rsid w:val="00820509"/>
    <w:rsid w:val="008220BC"/>
    <w:rsid w:val="00825F60"/>
    <w:rsid w:val="00827F87"/>
    <w:rsid w:val="00833414"/>
    <w:rsid w:val="00837EB8"/>
    <w:rsid w:val="0085228D"/>
    <w:rsid w:val="00854199"/>
    <w:rsid w:val="008548DB"/>
    <w:rsid w:val="0085569A"/>
    <w:rsid w:val="00855916"/>
    <w:rsid w:val="00861024"/>
    <w:rsid w:val="0086148B"/>
    <w:rsid w:val="00861AFF"/>
    <w:rsid w:val="00864FD7"/>
    <w:rsid w:val="008671C4"/>
    <w:rsid w:val="008758CC"/>
    <w:rsid w:val="00891270"/>
    <w:rsid w:val="00893927"/>
    <w:rsid w:val="008A01CE"/>
    <w:rsid w:val="008A0C29"/>
    <w:rsid w:val="008A2C90"/>
    <w:rsid w:val="008A3F75"/>
    <w:rsid w:val="008A5584"/>
    <w:rsid w:val="008A5994"/>
    <w:rsid w:val="008A69B7"/>
    <w:rsid w:val="008B6B6D"/>
    <w:rsid w:val="008B6FD1"/>
    <w:rsid w:val="008C23FB"/>
    <w:rsid w:val="008D228A"/>
    <w:rsid w:val="008D3831"/>
    <w:rsid w:val="008D55DF"/>
    <w:rsid w:val="008E1C6F"/>
    <w:rsid w:val="008E2F51"/>
    <w:rsid w:val="008E5350"/>
    <w:rsid w:val="008E667A"/>
    <w:rsid w:val="008F26CB"/>
    <w:rsid w:val="008F4CCA"/>
    <w:rsid w:val="008F6E81"/>
    <w:rsid w:val="00901A7A"/>
    <w:rsid w:val="0090268F"/>
    <w:rsid w:val="009069C6"/>
    <w:rsid w:val="0090762D"/>
    <w:rsid w:val="00907F9D"/>
    <w:rsid w:val="0092471E"/>
    <w:rsid w:val="009262EA"/>
    <w:rsid w:val="009338F4"/>
    <w:rsid w:val="0093468B"/>
    <w:rsid w:val="009352BE"/>
    <w:rsid w:val="00944CF4"/>
    <w:rsid w:val="009526D1"/>
    <w:rsid w:val="0095670D"/>
    <w:rsid w:val="00960CC5"/>
    <w:rsid w:val="00960DA4"/>
    <w:rsid w:val="00971801"/>
    <w:rsid w:val="00972245"/>
    <w:rsid w:val="00973CAA"/>
    <w:rsid w:val="00973EAC"/>
    <w:rsid w:val="009747E3"/>
    <w:rsid w:val="00986582"/>
    <w:rsid w:val="00991BE5"/>
    <w:rsid w:val="00994181"/>
    <w:rsid w:val="00995774"/>
    <w:rsid w:val="0099729D"/>
    <w:rsid w:val="009A487D"/>
    <w:rsid w:val="009A54FA"/>
    <w:rsid w:val="009A59A7"/>
    <w:rsid w:val="009A69C0"/>
    <w:rsid w:val="009A7493"/>
    <w:rsid w:val="009B28C5"/>
    <w:rsid w:val="009B39E8"/>
    <w:rsid w:val="009B651E"/>
    <w:rsid w:val="009B6F96"/>
    <w:rsid w:val="009C11BA"/>
    <w:rsid w:val="009C5B00"/>
    <w:rsid w:val="009D5317"/>
    <w:rsid w:val="009E1CF2"/>
    <w:rsid w:val="009E4F28"/>
    <w:rsid w:val="009E5369"/>
    <w:rsid w:val="009E7E91"/>
    <w:rsid w:val="009F09EE"/>
    <w:rsid w:val="009F1920"/>
    <w:rsid w:val="009F32F9"/>
    <w:rsid w:val="009F45EB"/>
    <w:rsid w:val="009F4D3C"/>
    <w:rsid w:val="00A0007B"/>
    <w:rsid w:val="00A11DC1"/>
    <w:rsid w:val="00A12B6E"/>
    <w:rsid w:val="00A146A9"/>
    <w:rsid w:val="00A15765"/>
    <w:rsid w:val="00A21B97"/>
    <w:rsid w:val="00A2667A"/>
    <w:rsid w:val="00A33E71"/>
    <w:rsid w:val="00A37DDD"/>
    <w:rsid w:val="00A412DD"/>
    <w:rsid w:val="00A42DA5"/>
    <w:rsid w:val="00A47623"/>
    <w:rsid w:val="00A47E13"/>
    <w:rsid w:val="00A52451"/>
    <w:rsid w:val="00A52A5A"/>
    <w:rsid w:val="00A66335"/>
    <w:rsid w:val="00A66B01"/>
    <w:rsid w:val="00A72CDE"/>
    <w:rsid w:val="00A73BAA"/>
    <w:rsid w:val="00A73F85"/>
    <w:rsid w:val="00A76376"/>
    <w:rsid w:val="00A76C59"/>
    <w:rsid w:val="00A878E3"/>
    <w:rsid w:val="00A93BD2"/>
    <w:rsid w:val="00AA5689"/>
    <w:rsid w:val="00AA614E"/>
    <w:rsid w:val="00AB29EA"/>
    <w:rsid w:val="00AB2CD5"/>
    <w:rsid w:val="00AB519B"/>
    <w:rsid w:val="00AB5291"/>
    <w:rsid w:val="00AB56B5"/>
    <w:rsid w:val="00AC3962"/>
    <w:rsid w:val="00AC3BC2"/>
    <w:rsid w:val="00AC7614"/>
    <w:rsid w:val="00AD0422"/>
    <w:rsid w:val="00AD1DDE"/>
    <w:rsid w:val="00AD444D"/>
    <w:rsid w:val="00AD5666"/>
    <w:rsid w:val="00AE2CD5"/>
    <w:rsid w:val="00AE3C37"/>
    <w:rsid w:val="00AE48FF"/>
    <w:rsid w:val="00AE61CD"/>
    <w:rsid w:val="00AF1690"/>
    <w:rsid w:val="00AF2572"/>
    <w:rsid w:val="00AF77AD"/>
    <w:rsid w:val="00B029BD"/>
    <w:rsid w:val="00B043AF"/>
    <w:rsid w:val="00B107AF"/>
    <w:rsid w:val="00B144F9"/>
    <w:rsid w:val="00B16E00"/>
    <w:rsid w:val="00B21BF3"/>
    <w:rsid w:val="00B22221"/>
    <w:rsid w:val="00B2490E"/>
    <w:rsid w:val="00B252B9"/>
    <w:rsid w:val="00B25415"/>
    <w:rsid w:val="00B2729D"/>
    <w:rsid w:val="00B33BB9"/>
    <w:rsid w:val="00B365D5"/>
    <w:rsid w:val="00B426CF"/>
    <w:rsid w:val="00B4443B"/>
    <w:rsid w:val="00B45C49"/>
    <w:rsid w:val="00B477D4"/>
    <w:rsid w:val="00B518EE"/>
    <w:rsid w:val="00B5215B"/>
    <w:rsid w:val="00B53479"/>
    <w:rsid w:val="00B64E86"/>
    <w:rsid w:val="00B721AF"/>
    <w:rsid w:val="00B74F08"/>
    <w:rsid w:val="00B805FC"/>
    <w:rsid w:val="00B81A9D"/>
    <w:rsid w:val="00B85B63"/>
    <w:rsid w:val="00BA2FB4"/>
    <w:rsid w:val="00BA57CB"/>
    <w:rsid w:val="00BA6D61"/>
    <w:rsid w:val="00BB4520"/>
    <w:rsid w:val="00BB4CA1"/>
    <w:rsid w:val="00BB73DE"/>
    <w:rsid w:val="00BC1AD0"/>
    <w:rsid w:val="00BD019D"/>
    <w:rsid w:val="00BD1040"/>
    <w:rsid w:val="00BD2178"/>
    <w:rsid w:val="00BD44EF"/>
    <w:rsid w:val="00BD4FD6"/>
    <w:rsid w:val="00BD6B99"/>
    <w:rsid w:val="00BE58B5"/>
    <w:rsid w:val="00BF1676"/>
    <w:rsid w:val="00BF1935"/>
    <w:rsid w:val="00BF3B3A"/>
    <w:rsid w:val="00BF474A"/>
    <w:rsid w:val="00BF4A98"/>
    <w:rsid w:val="00BF6014"/>
    <w:rsid w:val="00BF7E30"/>
    <w:rsid w:val="00C01E94"/>
    <w:rsid w:val="00C1197E"/>
    <w:rsid w:val="00C17E1C"/>
    <w:rsid w:val="00C21FAC"/>
    <w:rsid w:val="00C25A7F"/>
    <w:rsid w:val="00C2706F"/>
    <w:rsid w:val="00C33A0D"/>
    <w:rsid w:val="00C35174"/>
    <w:rsid w:val="00C538B0"/>
    <w:rsid w:val="00C60D0D"/>
    <w:rsid w:val="00C62307"/>
    <w:rsid w:val="00C623C2"/>
    <w:rsid w:val="00C634EA"/>
    <w:rsid w:val="00C63DE1"/>
    <w:rsid w:val="00C64514"/>
    <w:rsid w:val="00C6690B"/>
    <w:rsid w:val="00C720B0"/>
    <w:rsid w:val="00C750E1"/>
    <w:rsid w:val="00C7755E"/>
    <w:rsid w:val="00C779AE"/>
    <w:rsid w:val="00C80C6B"/>
    <w:rsid w:val="00C9010D"/>
    <w:rsid w:val="00C90603"/>
    <w:rsid w:val="00C931A3"/>
    <w:rsid w:val="00C93E68"/>
    <w:rsid w:val="00C94680"/>
    <w:rsid w:val="00C954FE"/>
    <w:rsid w:val="00C96834"/>
    <w:rsid w:val="00CA1024"/>
    <w:rsid w:val="00CA2E9A"/>
    <w:rsid w:val="00CB0D17"/>
    <w:rsid w:val="00CB2202"/>
    <w:rsid w:val="00CB2381"/>
    <w:rsid w:val="00CB4E8A"/>
    <w:rsid w:val="00CB6D37"/>
    <w:rsid w:val="00CC6FFF"/>
    <w:rsid w:val="00CD2F91"/>
    <w:rsid w:val="00CD37D6"/>
    <w:rsid w:val="00CD59FF"/>
    <w:rsid w:val="00CE1F7D"/>
    <w:rsid w:val="00CE2267"/>
    <w:rsid w:val="00CE7903"/>
    <w:rsid w:val="00CF1BED"/>
    <w:rsid w:val="00CF4523"/>
    <w:rsid w:val="00CF4D62"/>
    <w:rsid w:val="00CF51C2"/>
    <w:rsid w:val="00CF52FF"/>
    <w:rsid w:val="00CF7C60"/>
    <w:rsid w:val="00D040BF"/>
    <w:rsid w:val="00D12C92"/>
    <w:rsid w:val="00D2236A"/>
    <w:rsid w:val="00D23C4A"/>
    <w:rsid w:val="00D25EA9"/>
    <w:rsid w:val="00D31D6E"/>
    <w:rsid w:val="00D51CF8"/>
    <w:rsid w:val="00D5722F"/>
    <w:rsid w:val="00D60EF3"/>
    <w:rsid w:val="00D620F4"/>
    <w:rsid w:val="00D62F2D"/>
    <w:rsid w:val="00D65AD6"/>
    <w:rsid w:val="00D65C0A"/>
    <w:rsid w:val="00D70234"/>
    <w:rsid w:val="00D772E5"/>
    <w:rsid w:val="00D816C0"/>
    <w:rsid w:val="00D81D03"/>
    <w:rsid w:val="00D83C31"/>
    <w:rsid w:val="00D865B6"/>
    <w:rsid w:val="00D86F64"/>
    <w:rsid w:val="00DA0E6A"/>
    <w:rsid w:val="00DA3D5C"/>
    <w:rsid w:val="00DB60DD"/>
    <w:rsid w:val="00DB70C5"/>
    <w:rsid w:val="00DB71FC"/>
    <w:rsid w:val="00DC3E3B"/>
    <w:rsid w:val="00DC75F4"/>
    <w:rsid w:val="00DD0964"/>
    <w:rsid w:val="00DD183E"/>
    <w:rsid w:val="00DD2A82"/>
    <w:rsid w:val="00DD46B0"/>
    <w:rsid w:val="00DD6FD4"/>
    <w:rsid w:val="00DE070F"/>
    <w:rsid w:val="00DE146D"/>
    <w:rsid w:val="00DE3249"/>
    <w:rsid w:val="00DE36C9"/>
    <w:rsid w:val="00DE5775"/>
    <w:rsid w:val="00DE625A"/>
    <w:rsid w:val="00DF3B97"/>
    <w:rsid w:val="00DF5766"/>
    <w:rsid w:val="00E03392"/>
    <w:rsid w:val="00E044CB"/>
    <w:rsid w:val="00E0633F"/>
    <w:rsid w:val="00E118ED"/>
    <w:rsid w:val="00E122BF"/>
    <w:rsid w:val="00E13B90"/>
    <w:rsid w:val="00E17BBC"/>
    <w:rsid w:val="00E20D9B"/>
    <w:rsid w:val="00E247FE"/>
    <w:rsid w:val="00E252BA"/>
    <w:rsid w:val="00E2669F"/>
    <w:rsid w:val="00E343D4"/>
    <w:rsid w:val="00E35E50"/>
    <w:rsid w:val="00E40143"/>
    <w:rsid w:val="00E432B6"/>
    <w:rsid w:val="00E5330F"/>
    <w:rsid w:val="00E54CB4"/>
    <w:rsid w:val="00E557FD"/>
    <w:rsid w:val="00E66CD2"/>
    <w:rsid w:val="00E76A80"/>
    <w:rsid w:val="00E77888"/>
    <w:rsid w:val="00E779E5"/>
    <w:rsid w:val="00E80DF7"/>
    <w:rsid w:val="00E85F74"/>
    <w:rsid w:val="00E9789C"/>
    <w:rsid w:val="00EA1CC8"/>
    <w:rsid w:val="00EA1F24"/>
    <w:rsid w:val="00EA20DC"/>
    <w:rsid w:val="00EA2408"/>
    <w:rsid w:val="00EA64D6"/>
    <w:rsid w:val="00EB105C"/>
    <w:rsid w:val="00EB11DA"/>
    <w:rsid w:val="00EB1A05"/>
    <w:rsid w:val="00EB2F2D"/>
    <w:rsid w:val="00EB6E52"/>
    <w:rsid w:val="00EC0679"/>
    <w:rsid w:val="00EC53BB"/>
    <w:rsid w:val="00EC7317"/>
    <w:rsid w:val="00EC7671"/>
    <w:rsid w:val="00ED3309"/>
    <w:rsid w:val="00ED47A6"/>
    <w:rsid w:val="00ED4D42"/>
    <w:rsid w:val="00EE2A79"/>
    <w:rsid w:val="00EE409B"/>
    <w:rsid w:val="00EF2405"/>
    <w:rsid w:val="00EF2C86"/>
    <w:rsid w:val="00EF7E17"/>
    <w:rsid w:val="00F027B8"/>
    <w:rsid w:val="00F10D92"/>
    <w:rsid w:val="00F13A8D"/>
    <w:rsid w:val="00F20F23"/>
    <w:rsid w:val="00F239BE"/>
    <w:rsid w:val="00F26168"/>
    <w:rsid w:val="00F26C4F"/>
    <w:rsid w:val="00F31F5D"/>
    <w:rsid w:val="00F322A0"/>
    <w:rsid w:val="00F3355F"/>
    <w:rsid w:val="00F365E8"/>
    <w:rsid w:val="00F3676C"/>
    <w:rsid w:val="00F3770A"/>
    <w:rsid w:val="00F410EA"/>
    <w:rsid w:val="00F52613"/>
    <w:rsid w:val="00F5598A"/>
    <w:rsid w:val="00F57510"/>
    <w:rsid w:val="00F633ED"/>
    <w:rsid w:val="00F641DF"/>
    <w:rsid w:val="00F751AB"/>
    <w:rsid w:val="00F757C8"/>
    <w:rsid w:val="00F7604F"/>
    <w:rsid w:val="00F76E97"/>
    <w:rsid w:val="00F81CAA"/>
    <w:rsid w:val="00F8584B"/>
    <w:rsid w:val="00F8686B"/>
    <w:rsid w:val="00F87AE0"/>
    <w:rsid w:val="00F906A1"/>
    <w:rsid w:val="00F90D3E"/>
    <w:rsid w:val="00F91F19"/>
    <w:rsid w:val="00F929C8"/>
    <w:rsid w:val="00FA5423"/>
    <w:rsid w:val="00FA6172"/>
    <w:rsid w:val="00FA684B"/>
    <w:rsid w:val="00FB05CB"/>
    <w:rsid w:val="00FB2757"/>
    <w:rsid w:val="00FB4994"/>
    <w:rsid w:val="00FB6E15"/>
    <w:rsid w:val="00FB747E"/>
    <w:rsid w:val="00FB7B89"/>
    <w:rsid w:val="00FC1837"/>
    <w:rsid w:val="00FC57C5"/>
    <w:rsid w:val="00FC6377"/>
    <w:rsid w:val="00FC7D4D"/>
    <w:rsid w:val="00FD29E3"/>
    <w:rsid w:val="00FD7365"/>
    <w:rsid w:val="00FE106A"/>
    <w:rsid w:val="00FE3856"/>
    <w:rsid w:val="00FE4A6E"/>
    <w:rsid w:val="00FF2C26"/>
    <w:rsid w:val="00FF594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1CA0CD"/>
  <w15:docId w15:val="{2E9F1AD0-2D78-454A-A826-355BDC3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6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A73BAA"/>
    <w:pPr>
      <w:keepNext/>
      <w:tabs>
        <w:tab w:val="left" w:pos="2268"/>
        <w:tab w:val="left" w:pos="2835"/>
      </w:tabs>
      <w:spacing w:before="360" w:after="0" w:line="480" w:lineRule="auto"/>
      <w:jc w:val="both"/>
      <w:outlineLvl w:val="0"/>
    </w:pPr>
    <w:rPr>
      <w:rFonts w:ascii="Arial" w:eastAsia="Calibri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character" w:customStyle="1" w:styleId="Ttulo1Car">
    <w:name w:val="Título 1 Car"/>
    <w:basedOn w:val="Fuentedeprrafopredeter"/>
    <w:link w:val="Ttulo1"/>
    <w:rsid w:val="00A73BAA"/>
    <w:rPr>
      <w:rFonts w:ascii="Arial" w:eastAsia="Calibri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CAF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link w:val="BodyText2Car1"/>
    <w:rsid w:val="0074201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74201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A48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A487D"/>
    <w:rPr>
      <w:rFonts w:ascii="Tahoma" w:eastAsia="Tahoma" w:hAnsi="Tahoma" w:cs="Tahoma"/>
      <w:sz w:val="24"/>
      <w:szCs w:val="24"/>
      <w:lang w:val="es-ES"/>
    </w:rPr>
  </w:style>
  <w:style w:type="character" w:styleId="Hipervnculo">
    <w:name w:val="Hyperlink"/>
    <w:uiPriority w:val="99"/>
    <w:unhideWhenUsed/>
    <w:rsid w:val="002C3B65"/>
    <w:rPr>
      <w:color w:val="99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financiera.gov.co/descargas/institucional/pubFile1029305/r0131_1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perfinanciera.gov.co/descargas?com=institucional&amp;name=pubFile3510&amp;downloadname=interes.x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797F-1646-4D4A-B8E4-6F6C9186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1605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Ibalde</dc:creator>
  <cp:keywords/>
  <dc:description/>
  <cp:lastModifiedBy>Natalia Monsalve Ibañez</cp:lastModifiedBy>
  <cp:revision>2</cp:revision>
  <cp:lastPrinted>2019-10-24T23:19:00Z</cp:lastPrinted>
  <dcterms:created xsi:type="dcterms:W3CDTF">2021-06-29T16:33:00Z</dcterms:created>
  <dcterms:modified xsi:type="dcterms:W3CDTF">2021-06-29T16:33:00Z</dcterms:modified>
</cp:coreProperties>
</file>