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A9B91" w14:textId="77777777" w:rsidR="00B51AE0" w:rsidRPr="000864CD" w:rsidRDefault="00B51AE0" w:rsidP="00B51AE0">
      <w:pPr>
        <w:pStyle w:val="Ttulo3"/>
        <w:spacing w:before="0"/>
        <w:rPr>
          <w:rFonts w:ascii="Verdana" w:hAnsi="Verdana" w:cs="Courier New"/>
          <w:color w:val="auto"/>
        </w:rPr>
      </w:pPr>
      <w:r w:rsidRPr="000864CD">
        <w:rPr>
          <w:rFonts w:ascii="Verdana" w:hAnsi="Verdana" w:cs="Courier New"/>
          <w:color w:val="auto"/>
        </w:rPr>
        <w:t>Señor</w:t>
      </w:r>
    </w:p>
    <w:p w14:paraId="4E2EFA85" w14:textId="77777777" w:rsidR="00B51AE0" w:rsidRPr="000864CD" w:rsidRDefault="00B51AE0" w:rsidP="00B51AE0">
      <w:pPr>
        <w:jc w:val="both"/>
        <w:rPr>
          <w:rFonts w:ascii="Verdana" w:hAnsi="Verdana" w:cs="Courier New"/>
          <w:b/>
        </w:rPr>
      </w:pPr>
      <w:r w:rsidRPr="000864CD">
        <w:rPr>
          <w:rFonts w:ascii="Verdana" w:hAnsi="Verdana" w:cs="Courier New"/>
          <w:b/>
        </w:rPr>
        <w:t>JUEZ TERCERO DE FAMILIA DE ORALIDAD</w:t>
      </w:r>
    </w:p>
    <w:p w14:paraId="7B4D974E" w14:textId="77777777" w:rsidR="00B51AE0" w:rsidRPr="000864CD" w:rsidRDefault="00B51AE0" w:rsidP="00B51AE0">
      <w:pPr>
        <w:jc w:val="both"/>
        <w:rPr>
          <w:rFonts w:ascii="Verdana" w:hAnsi="Verdana" w:cs="Courier New"/>
          <w:bCs/>
        </w:rPr>
      </w:pPr>
      <w:r w:rsidRPr="000864CD">
        <w:rPr>
          <w:rFonts w:ascii="Verdana" w:hAnsi="Verdana" w:cs="Courier New"/>
          <w:bCs/>
        </w:rPr>
        <w:t>Medellín (Antioquia)</w:t>
      </w:r>
    </w:p>
    <w:p w14:paraId="6AB2871D" w14:textId="77777777" w:rsidR="00B51AE0" w:rsidRPr="000864CD" w:rsidRDefault="00B51AE0" w:rsidP="00B51AE0">
      <w:pPr>
        <w:jc w:val="both"/>
        <w:rPr>
          <w:rFonts w:ascii="Verdana" w:hAnsi="Verdana" w:cs="Courier New"/>
        </w:rPr>
      </w:pPr>
    </w:p>
    <w:p w14:paraId="5DF6666F" w14:textId="77777777" w:rsidR="00B51AE0" w:rsidRPr="000864CD" w:rsidRDefault="00B51AE0" w:rsidP="00B51AE0">
      <w:pPr>
        <w:jc w:val="both"/>
        <w:rPr>
          <w:rFonts w:ascii="Verdana" w:hAnsi="Verdana" w:cs="Courier New"/>
        </w:rPr>
      </w:pPr>
    </w:p>
    <w:p w14:paraId="50C496AD" w14:textId="77777777" w:rsidR="00B51AE0" w:rsidRPr="000864CD" w:rsidRDefault="00B51AE0" w:rsidP="00B51AE0">
      <w:pPr>
        <w:jc w:val="both"/>
        <w:rPr>
          <w:rFonts w:ascii="Verdana" w:hAnsi="Verdana" w:cs="Courier New"/>
        </w:rPr>
      </w:pPr>
      <w:r w:rsidRPr="000864CD">
        <w:rPr>
          <w:rFonts w:ascii="Verdana" w:hAnsi="Verdana" w:cs="Courier New"/>
        </w:rPr>
        <w:t>REF.: VERBAL DE GINELBA MOSQUERA HIDALGO contra JACQUES PIERRE MICHEL PASSABOSC.</w:t>
      </w:r>
    </w:p>
    <w:p w14:paraId="20D54956" w14:textId="77777777" w:rsidR="00B51AE0" w:rsidRPr="000864CD" w:rsidRDefault="00B51AE0" w:rsidP="00B51AE0">
      <w:pPr>
        <w:jc w:val="both"/>
        <w:rPr>
          <w:rFonts w:ascii="Verdana" w:hAnsi="Verdana" w:cs="Courier New"/>
          <w:b/>
        </w:rPr>
      </w:pPr>
      <w:r w:rsidRPr="000864CD">
        <w:rPr>
          <w:rFonts w:ascii="Verdana" w:hAnsi="Verdana" w:cs="Courier New"/>
          <w:b/>
        </w:rPr>
        <w:t>No. 05001311000320200020800.</w:t>
      </w:r>
    </w:p>
    <w:p w14:paraId="316B1D98" w14:textId="77777777" w:rsidR="00B51AE0" w:rsidRPr="000864CD" w:rsidRDefault="00B51AE0" w:rsidP="00B51AE0">
      <w:pPr>
        <w:jc w:val="both"/>
        <w:rPr>
          <w:rFonts w:ascii="Verdana" w:hAnsi="Verdana" w:cs="Courier New"/>
          <w:b/>
        </w:rPr>
      </w:pPr>
      <w:r w:rsidRPr="000864CD">
        <w:rPr>
          <w:rFonts w:ascii="Verdana" w:hAnsi="Verdana" w:cs="Courier New"/>
          <w:b/>
        </w:rPr>
        <w:t>DEMANDA DE RECONVENCION _IMPUGNACION DE PATERNIDAD_</w:t>
      </w:r>
    </w:p>
    <w:p w14:paraId="755B1048" w14:textId="77777777" w:rsidR="00B51AE0" w:rsidRPr="000864CD" w:rsidRDefault="00B51AE0" w:rsidP="00B51AE0">
      <w:pPr>
        <w:jc w:val="both"/>
        <w:rPr>
          <w:rFonts w:ascii="Verdana" w:hAnsi="Verdana" w:cs="Courier New"/>
        </w:rPr>
      </w:pPr>
      <w:r w:rsidRPr="000864CD">
        <w:rPr>
          <w:rFonts w:ascii="Verdana" w:hAnsi="Verdana" w:cs="Courier New"/>
          <w:bCs/>
        </w:rPr>
        <w:t xml:space="preserve">DEMANDANTE: </w:t>
      </w:r>
      <w:r w:rsidRPr="000864CD">
        <w:rPr>
          <w:rFonts w:ascii="Verdana" w:hAnsi="Verdana" w:cs="Courier New"/>
        </w:rPr>
        <w:t>JACQUES PIERRE MICHEL PASSABOSC.</w:t>
      </w:r>
    </w:p>
    <w:p w14:paraId="418C7F9C" w14:textId="77777777" w:rsidR="00B51AE0" w:rsidRPr="000864CD" w:rsidRDefault="00B51AE0" w:rsidP="00B51AE0">
      <w:pPr>
        <w:jc w:val="both"/>
        <w:rPr>
          <w:rFonts w:ascii="Verdana" w:hAnsi="Verdana" w:cs="Courier New"/>
          <w:bCs/>
        </w:rPr>
      </w:pPr>
      <w:r w:rsidRPr="000864CD">
        <w:rPr>
          <w:rFonts w:ascii="Verdana" w:hAnsi="Verdana" w:cs="Courier New"/>
          <w:bCs/>
        </w:rPr>
        <w:t xml:space="preserve">DEMANDADA: </w:t>
      </w:r>
      <w:r w:rsidRPr="000864CD">
        <w:rPr>
          <w:rFonts w:ascii="Verdana" w:hAnsi="Verdana" w:cs="Courier New"/>
        </w:rPr>
        <w:t>GINELBA MOSQUERA HIDALGO.</w:t>
      </w:r>
    </w:p>
    <w:p w14:paraId="46085B6A" w14:textId="77777777" w:rsidR="00B51AE0" w:rsidRPr="000864CD" w:rsidRDefault="00B51AE0" w:rsidP="00B51AE0">
      <w:pPr>
        <w:jc w:val="both"/>
        <w:rPr>
          <w:rFonts w:ascii="Verdana" w:hAnsi="Verdana" w:cs="Courier New"/>
          <w:bCs/>
        </w:rPr>
      </w:pPr>
    </w:p>
    <w:p w14:paraId="49A7BFE2" w14:textId="77777777" w:rsidR="00B51AE0" w:rsidRPr="000864CD" w:rsidRDefault="00B51AE0" w:rsidP="00B51AE0">
      <w:pPr>
        <w:rPr>
          <w:rFonts w:ascii="Verdana" w:hAnsi="Verdana"/>
        </w:rPr>
      </w:pPr>
    </w:p>
    <w:p w14:paraId="43791ACA" w14:textId="77777777" w:rsidR="00B51AE0" w:rsidRPr="000864CD" w:rsidRDefault="00B51AE0" w:rsidP="00B51AE0">
      <w:pPr>
        <w:rPr>
          <w:rFonts w:ascii="Verdana" w:hAnsi="Verdana"/>
        </w:rPr>
      </w:pPr>
      <w:r w:rsidRPr="000864CD">
        <w:rPr>
          <w:rFonts w:ascii="Verdana" w:hAnsi="Verdana"/>
        </w:rPr>
        <w:tab/>
      </w:r>
      <w:r w:rsidRPr="000864CD">
        <w:rPr>
          <w:rFonts w:ascii="Verdana" w:hAnsi="Verdana"/>
        </w:rPr>
        <w:tab/>
      </w:r>
      <w:r w:rsidRPr="000864CD">
        <w:rPr>
          <w:rFonts w:ascii="Verdana" w:hAnsi="Verdana"/>
        </w:rPr>
        <w:tab/>
      </w:r>
      <w:r w:rsidRPr="000864CD">
        <w:rPr>
          <w:rFonts w:ascii="Verdana" w:hAnsi="Verdana"/>
        </w:rPr>
        <w:tab/>
      </w:r>
      <w:r w:rsidRPr="000864CD">
        <w:rPr>
          <w:rFonts w:ascii="Verdana" w:hAnsi="Verdana"/>
        </w:rPr>
        <w:tab/>
      </w:r>
    </w:p>
    <w:p w14:paraId="4569AD13" w14:textId="33FF3575" w:rsidR="00B51AE0" w:rsidRDefault="00B51AE0" w:rsidP="00B51AE0">
      <w:pPr>
        <w:jc w:val="both"/>
        <w:rPr>
          <w:rFonts w:ascii="Verdana" w:hAnsi="Verdana" w:cs="Courier New"/>
        </w:rPr>
      </w:pPr>
      <w:r w:rsidRPr="000864CD">
        <w:rPr>
          <w:rFonts w:ascii="Verdana" w:hAnsi="Verdana"/>
          <w:b/>
          <w:snapToGrid w:val="0"/>
        </w:rPr>
        <w:t>JAIME HERNAN ARDILA</w:t>
      </w:r>
      <w:r w:rsidRPr="000864CD">
        <w:rPr>
          <w:rFonts w:ascii="Verdana" w:hAnsi="Verdana"/>
          <w:snapToGrid w:val="0"/>
        </w:rPr>
        <w:t xml:space="preserve">, mayor de edad, con domicilio </w:t>
      </w:r>
      <w:r>
        <w:rPr>
          <w:rFonts w:ascii="Verdana" w:hAnsi="Verdana"/>
          <w:snapToGrid w:val="0"/>
        </w:rPr>
        <w:t>Bogotá D.C.</w:t>
      </w:r>
      <w:r w:rsidRPr="000864CD">
        <w:rPr>
          <w:rFonts w:ascii="Verdana" w:hAnsi="Verdana"/>
          <w:snapToGrid w:val="0"/>
        </w:rPr>
        <w:t xml:space="preserve"> identificado co</w:t>
      </w:r>
      <w:r>
        <w:rPr>
          <w:rFonts w:ascii="Verdana" w:hAnsi="Verdana"/>
          <w:snapToGrid w:val="0"/>
        </w:rPr>
        <w:t xml:space="preserve">mo aparece al pie de mi firma, </w:t>
      </w:r>
      <w:r w:rsidRPr="000864CD">
        <w:rPr>
          <w:rFonts w:ascii="Verdana" w:hAnsi="Verdana" w:cs="Arial"/>
        </w:rPr>
        <w:t xml:space="preserve">actuando en calidad de apoderado judicial del señor </w:t>
      </w:r>
      <w:r w:rsidRPr="000864CD">
        <w:rPr>
          <w:rFonts w:ascii="Verdana" w:hAnsi="Verdana" w:cs="Courier New"/>
          <w:b/>
          <w:bCs/>
        </w:rPr>
        <w:t>JACQUES PIERRE MICHEL PASSABOSC</w:t>
      </w:r>
      <w:r w:rsidRPr="000864CD">
        <w:rPr>
          <w:rFonts w:ascii="Verdana" w:hAnsi="Verdana" w:cs="Courier New"/>
        </w:rPr>
        <w:t xml:space="preserve">, </w:t>
      </w:r>
      <w:r w:rsidRPr="00B51AE0">
        <w:rPr>
          <w:rFonts w:ascii="Verdana" w:hAnsi="Verdana" w:cs="Courier New"/>
          <w:b/>
          <w:bCs/>
        </w:rPr>
        <w:t>demandante en r</w:t>
      </w:r>
      <w:r>
        <w:rPr>
          <w:rFonts w:ascii="Verdana" w:hAnsi="Verdana" w:cs="Courier New"/>
          <w:b/>
          <w:bCs/>
        </w:rPr>
        <w:t>econvención</w:t>
      </w:r>
      <w:r w:rsidR="00C41061">
        <w:rPr>
          <w:rFonts w:ascii="Verdana" w:hAnsi="Verdana" w:cs="Courier New"/>
          <w:b/>
          <w:bCs/>
        </w:rPr>
        <w:t xml:space="preserve"> y demandado primigenio</w:t>
      </w:r>
      <w:r>
        <w:rPr>
          <w:rFonts w:ascii="Verdana" w:hAnsi="Verdana" w:cs="Courier New"/>
          <w:b/>
          <w:bCs/>
        </w:rPr>
        <w:t xml:space="preserve">, </w:t>
      </w:r>
      <w:r>
        <w:rPr>
          <w:rFonts w:ascii="Verdana" w:hAnsi="Verdana" w:cs="Courier New"/>
        </w:rPr>
        <w:t xml:space="preserve">encontrándome dentro del término legal me permito interponer recursos de </w:t>
      </w:r>
      <w:r>
        <w:rPr>
          <w:rFonts w:ascii="Verdana" w:hAnsi="Verdana" w:cs="Courier New"/>
          <w:b/>
          <w:bCs/>
        </w:rPr>
        <w:t xml:space="preserve">reposición y en subsidio de apelación, </w:t>
      </w:r>
      <w:r>
        <w:rPr>
          <w:rFonts w:ascii="Verdana" w:hAnsi="Verdana" w:cs="Courier New"/>
        </w:rPr>
        <w:t xml:space="preserve">contra su providencia notificada por estado el pasado tres de los corrientes, </w:t>
      </w:r>
      <w:r w:rsidR="00C41061">
        <w:rPr>
          <w:rFonts w:ascii="Verdana" w:hAnsi="Verdana" w:cs="Courier New"/>
        </w:rPr>
        <w:t xml:space="preserve">en cuanto </w:t>
      </w:r>
      <w:r>
        <w:rPr>
          <w:rFonts w:ascii="Verdana" w:hAnsi="Verdana" w:cs="Courier New"/>
        </w:rPr>
        <w:t xml:space="preserve">de manera antitécnica </w:t>
      </w:r>
      <w:r>
        <w:rPr>
          <w:rFonts w:ascii="Verdana" w:hAnsi="Verdana" w:cs="Courier New"/>
          <w:b/>
          <w:bCs/>
        </w:rPr>
        <w:t xml:space="preserve">niega </w:t>
      </w:r>
      <w:r>
        <w:rPr>
          <w:rFonts w:ascii="Verdana" w:hAnsi="Verdana" w:cs="Courier New"/>
        </w:rPr>
        <w:t>la demanda de reconvención, con base en los siguientes argumentos:</w:t>
      </w:r>
    </w:p>
    <w:p w14:paraId="3BABDBFF" w14:textId="4B238912" w:rsidR="00B51AE0" w:rsidRDefault="00B51AE0" w:rsidP="00B51AE0">
      <w:pPr>
        <w:jc w:val="both"/>
        <w:rPr>
          <w:rFonts w:ascii="Verdana" w:hAnsi="Verdana" w:cs="Courier New"/>
        </w:rPr>
      </w:pPr>
    </w:p>
    <w:p w14:paraId="2D4E63A9" w14:textId="231E1DC2" w:rsidR="00B51AE0" w:rsidRDefault="00B51AE0" w:rsidP="00B51AE0">
      <w:pPr>
        <w:jc w:val="both"/>
        <w:rPr>
          <w:rFonts w:ascii="Verdana" w:hAnsi="Verdana" w:cs="Courier New"/>
        </w:rPr>
      </w:pPr>
      <w:r>
        <w:rPr>
          <w:rFonts w:ascii="Verdana" w:hAnsi="Verdana" w:cs="Courier New"/>
        </w:rPr>
        <w:t xml:space="preserve">Manifiesto que de manera antitécnica o incurriendo en falta de técnica jurídica, se “niega” la demanda de reconvención, pues esta decisión no está consagrada en el Código General del Proceso como una forma legal </w:t>
      </w:r>
      <w:r w:rsidR="00E2078C">
        <w:rPr>
          <w:rFonts w:ascii="Verdana" w:hAnsi="Verdana" w:cs="Courier New"/>
        </w:rPr>
        <w:t xml:space="preserve">de </w:t>
      </w:r>
      <w:r>
        <w:rPr>
          <w:rFonts w:ascii="Verdana" w:hAnsi="Verdana" w:cs="Courier New"/>
        </w:rPr>
        <w:t>decidir frente a una demanda nueva como es la que nos ocupa, al punto que esta decisión no estaría consagrada como susceptible de recurso de alzada en esa Codificación.</w:t>
      </w:r>
    </w:p>
    <w:p w14:paraId="2401159A" w14:textId="58A67588" w:rsidR="00B51AE0" w:rsidRDefault="00B51AE0" w:rsidP="00B51AE0">
      <w:pPr>
        <w:jc w:val="both"/>
        <w:rPr>
          <w:rFonts w:ascii="Verdana" w:hAnsi="Verdana" w:cs="Courier New"/>
        </w:rPr>
      </w:pPr>
    </w:p>
    <w:p w14:paraId="18479CDD" w14:textId="77777777" w:rsidR="00B51AE0" w:rsidRDefault="00B51AE0" w:rsidP="00B51AE0">
      <w:pPr>
        <w:jc w:val="both"/>
        <w:rPr>
          <w:rFonts w:ascii="Verdana" w:hAnsi="Verdana" w:cs="Courier New"/>
        </w:rPr>
      </w:pPr>
      <w:r>
        <w:rPr>
          <w:rFonts w:ascii="Verdana" w:hAnsi="Verdana" w:cs="Courier New"/>
        </w:rPr>
        <w:t xml:space="preserve">Lo que técnicamente procedería sería el </w:t>
      </w:r>
      <w:r w:rsidRPr="00B51AE0">
        <w:rPr>
          <w:rFonts w:ascii="Verdana" w:hAnsi="Verdana" w:cs="Courier New"/>
          <w:b/>
          <w:bCs/>
        </w:rPr>
        <w:t xml:space="preserve">rechazo de plano </w:t>
      </w:r>
      <w:r>
        <w:rPr>
          <w:rFonts w:ascii="Verdana" w:hAnsi="Verdana" w:cs="Courier New"/>
        </w:rPr>
        <w:t>de la demanda de reconvención, siempre y cuando dicha causal de rechazo fuere legal; por consiguiente, como no me encuentro de acuerdo con la decisión de rechazar la demanda de reconvención, solicito comedidamente se revoque en todas sus partes y en su lugar se admita la misma.</w:t>
      </w:r>
    </w:p>
    <w:p w14:paraId="1CB2D710" w14:textId="77777777" w:rsidR="00B51AE0" w:rsidRDefault="00B51AE0" w:rsidP="00B51AE0">
      <w:pPr>
        <w:jc w:val="both"/>
        <w:rPr>
          <w:rFonts w:ascii="Verdana" w:hAnsi="Verdana" w:cs="Courier New"/>
        </w:rPr>
      </w:pPr>
    </w:p>
    <w:p w14:paraId="139FD047" w14:textId="0B0E739C" w:rsidR="00B51AE0" w:rsidRPr="00163AF5" w:rsidRDefault="00B51AE0" w:rsidP="00B51AE0">
      <w:pPr>
        <w:jc w:val="both"/>
        <w:rPr>
          <w:rFonts w:ascii="Verdana" w:hAnsi="Verdana" w:cs="Arial"/>
          <w:lang w:eastAsia="es-CO"/>
        </w:rPr>
      </w:pPr>
      <w:r>
        <w:rPr>
          <w:rFonts w:ascii="Verdana" w:hAnsi="Verdana" w:cs="Courier New"/>
        </w:rPr>
        <w:t>Es que, el Despacho ciertamente aduce que a voces del artículo 371 de la normatividad que nos ocupa: “</w:t>
      </w:r>
      <w:r w:rsidRPr="00163AF5">
        <w:rPr>
          <w:rFonts w:ascii="Verdana" w:hAnsi="Verdana" w:cs="Arial"/>
          <w:lang w:eastAsia="es-CO"/>
        </w:rPr>
        <w:t xml:space="preserve">Durante el término del traslado de la demanda, </w:t>
      </w:r>
      <w:r w:rsidRPr="00B51AE0">
        <w:rPr>
          <w:rFonts w:ascii="Verdana" w:hAnsi="Verdana" w:cs="Arial"/>
          <w:b/>
          <w:bCs/>
          <w:lang w:eastAsia="es-CO"/>
        </w:rPr>
        <w:t>el demandado podrá proponer la de reconvención</w:t>
      </w:r>
      <w:r w:rsidRPr="00163AF5">
        <w:rPr>
          <w:rFonts w:ascii="Verdana" w:hAnsi="Verdana" w:cs="Arial"/>
          <w:lang w:eastAsia="es-CO"/>
        </w:rPr>
        <w:t xml:space="preserve"> contra el demandante si de formularse en proceso separado procedería la acumulación, </w:t>
      </w:r>
      <w:r w:rsidRPr="00B51AE0">
        <w:rPr>
          <w:rFonts w:ascii="Verdana" w:hAnsi="Verdana" w:cs="Arial"/>
          <w:b/>
          <w:bCs/>
          <w:lang w:eastAsia="es-CO"/>
        </w:rPr>
        <w:t>siempre que sea de competencia del mismo juez y no esté sometida a trámite especial.</w:t>
      </w:r>
      <w:r w:rsidRPr="00163AF5">
        <w:rPr>
          <w:rFonts w:ascii="Verdana" w:hAnsi="Verdana" w:cs="Arial"/>
          <w:lang w:eastAsia="es-CO"/>
        </w:rPr>
        <w:t xml:space="preserve"> Sin embargo, se podrá reconvenir sin consideración a la cuantía y al factor territorial</w:t>
      </w:r>
      <w:r>
        <w:rPr>
          <w:rFonts w:ascii="Verdana" w:hAnsi="Verdana" w:cs="Arial"/>
          <w:lang w:eastAsia="es-CO"/>
        </w:rPr>
        <w:t>”</w:t>
      </w:r>
      <w:r w:rsidRPr="00163AF5">
        <w:rPr>
          <w:rFonts w:ascii="Verdana" w:hAnsi="Verdana" w:cs="Arial"/>
          <w:lang w:eastAsia="es-CO"/>
        </w:rPr>
        <w:t xml:space="preserve">. </w:t>
      </w:r>
    </w:p>
    <w:p w14:paraId="62CB1BE9" w14:textId="77777777" w:rsidR="00B51AE0" w:rsidRDefault="00B51AE0" w:rsidP="00B51AE0">
      <w:pPr>
        <w:jc w:val="both"/>
        <w:rPr>
          <w:rFonts w:ascii="Verdana" w:hAnsi="Verdana" w:cs="Courier New"/>
        </w:rPr>
      </w:pPr>
    </w:p>
    <w:p w14:paraId="2E2F90CF" w14:textId="44BD0D11" w:rsidR="00B51AE0" w:rsidRDefault="00B51AE0" w:rsidP="00B51AE0">
      <w:pPr>
        <w:jc w:val="both"/>
        <w:rPr>
          <w:rFonts w:ascii="Verdana" w:hAnsi="Verdana" w:cs="Courier New"/>
        </w:rPr>
      </w:pPr>
      <w:r>
        <w:rPr>
          <w:rFonts w:ascii="Verdana" w:hAnsi="Verdana" w:cs="Courier New"/>
        </w:rPr>
        <w:t>Ante todo</w:t>
      </w:r>
      <w:r w:rsidR="00E2078C">
        <w:rPr>
          <w:rFonts w:ascii="Verdana" w:hAnsi="Verdana" w:cs="Courier New"/>
        </w:rPr>
        <w:t>,</w:t>
      </w:r>
      <w:r>
        <w:rPr>
          <w:rFonts w:ascii="Verdana" w:hAnsi="Verdana" w:cs="Courier New"/>
        </w:rPr>
        <w:t xml:space="preserve"> es del caso precisar que en razón de la revocatoria integral que se efectuó del Código de Procedimiento Civil con la expedición del Código </w:t>
      </w:r>
      <w:r>
        <w:rPr>
          <w:rFonts w:ascii="Verdana" w:hAnsi="Verdana" w:cs="Courier New"/>
        </w:rPr>
        <w:lastRenderedPageBreak/>
        <w:t xml:space="preserve">General del Proceso, los trámites consagrados en esa Codificación conforme al </w:t>
      </w:r>
      <w:r w:rsidRPr="0059008E">
        <w:rPr>
          <w:rFonts w:ascii="Verdana" w:hAnsi="Verdana" w:cs="Courier New"/>
          <w:b/>
          <w:bCs/>
          <w:u w:val="single"/>
        </w:rPr>
        <w:t>L</w:t>
      </w:r>
      <w:r w:rsidR="0059008E" w:rsidRPr="0059008E">
        <w:rPr>
          <w:rFonts w:ascii="Verdana" w:hAnsi="Verdana" w:cs="Courier New"/>
          <w:b/>
          <w:bCs/>
          <w:u w:val="single"/>
        </w:rPr>
        <w:t>IBRO TERCERO</w:t>
      </w:r>
      <w:r>
        <w:rPr>
          <w:rFonts w:ascii="Verdana" w:hAnsi="Verdana" w:cs="Courier New"/>
        </w:rPr>
        <w:t xml:space="preserve"> - </w:t>
      </w:r>
      <w:r w:rsidRPr="0059008E">
        <w:rPr>
          <w:rFonts w:ascii="Verdana" w:hAnsi="Verdana" w:cs="Courier New"/>
          <w:b/>
          <w:bCs/>
          <w:u w:val="single"/>
        </w:rPr>
        <w:t>Sección Primera</w:t>
      </w:r>
      <w:r>
        <w:rPr>
          <w:rFonts w:ascii="Verdana" w:hAnsi="Verdana" w:cs="Courier New"/>
        </w:rPr>
        <w:t xml:space="preserve">, son los Declarativos cuyo </w:t>
      </w:r>
      <w:r w:rsidRPr="0059008E">
        <w:rPr>
          <w:rFonts w:ascii="Verdana" w:hAnsi="Verdana" w:cs="Courier New"/>
          <w:b/>
          <w:bCs/>
        </w:rPr>
        <w:t>Título I</w:t>
      </w:r>
      <w:r>
        <w:rPr>
          <w:rFonts w:ascii="Verdana" w:hAnsi="Verdana" w:cs="Courier New"/>
        </w:rPr>
        <w:t xml:space="preserve"> está compuesto por los procesos </w:t>
      </w:r>
      <w:r w:rsidRPr="00B51AE0">
        <w:rPr>
          <w:rFonts w:ascii="Verdana" w:hAnsi="Verdana" w:cs="Courier New"/>
          <w:b/>
          <w:bCs/>
        </w:rPr>
        <w:t>Verbales</w:t>
      </w:r>
      <w:r>
        <w:rPr>
          <w:rFonts w:ascii="Verdana" w:hAnsi="Verdana" w:cs="Courier New"/>
          <w:b/>
          <w:bCs/>
        </w:rPr>
        <w:t xml:space="preserve"> </w:t>
      </w:r>
      <w:r>
        <w:rPr>
          <w:rFonts w:ascii="Verdana" w:hAnsi="Verdana" w:cs="Courier New"/>
        </w:rPr>
        <w:t xml:space="preserve">y en el Capítulo I están las </w:t>
      </w:r>
      <w:r w:rsidRPr="00B51AE0">
        <w:rPr>
          <w:rFonts w:ascii="Verdana" w:hAnsi="Verdana" w:cs="Courier New"/>
          <w:b/>
          <w:bCs/>
        </w:rPr>
        <w:t>Disposiciones Generales.</w:t>
      </w:r>
      <w:r>
        <w:rPr>
          <w:rFonts w:ascii="Verdana" w:hAnsi="Verdana" w:cs="Courier New"/>
          <w:b/>
          <w:bCs/>
        </w:rPr>
        <w:t xml:space="preserve"> </w:t>
      </w:r>
      <w:r>
        <w:rPr>
          <w:rFonts w:ascii="Verdana" w:hAnsi="Verdana" w:cs="Courier New"/>
        </w:rPr>
        <w:t xml:space="preserve">A su turno, en el </w:t>
      </w:r>
      <w:r w:rsidR="00E2078C">
        <w:rPr>
          <w:rFonts w:ascii="Verdana" w:hAnsi="Verdana" w:cs="Courier New"/>
        </w:rPr>
        <w:t>C</w:t>
      </w:r>
      <w:r>
        <w:rPr>
          <w:rFonts w:ascii="Verdana" w:hAnsi="Verdana" w:cs="Courier New"/>
        </w:rPr>
        <w:t xml:space="preserve">apítulo II están las </w:t>
      </w:r>
      <w:r w:rsidRPr="00B51AE0">
        <w:rPr>
          <w:rFonts w:ascii="Verdana" w:hAnsi="Verdana" w:cs="Courier New"/>
          <w:b/>
          <w:bCs/>
        </w:rPr>
        <w:t>Disposiciones Especiales</w:t>
      </w:r>
      <w:r>
        <w:rPr>
          <w:rFonts w:ascii="Verdana" w:hAnsi="Verdana" w:cs="Courier New"/>
          <w:b/>
          <w:bCs/>
        </w:rPr>
        <w:t xml:space="preserve">, </w:t>
      </w:r>
      <w:r>
        <w:rPr>
          <w:rFonts w:ascii="Verdana" w:hAnsi="Verdana" w:cs="Courier New"/>
        </w:rPr>
        <w:t>donde encontramos el artículo 386 que dispone lo relativo a la Impugnación de la Paternidad, pero que también se tramitan por la cuerda del procedimiento Verbal.</w:t>
      </w:r>
    </w:p>
    <w:p w14:paraId="4C369606" w14:textId="3E47C726" w:rsidR="00B51AE0" w:rsidRPr="0059008E" w:rsidRDefault="00B51AE0" w:rsidP="00B51AE0">
      <w:pPr>
        <w:jc w:val="both"/>
        <w:rPr>
          <w:rFonts w:ascii="Verdana" w:hAnsi="Verdana" w:cs="Courier New"/>
          <w:b/>
          <w:bCs/>
        </w:rPr>
      </w:pPr>
    </w:p>
    <w:p w14:paraId="5584F396" w14:textId="4BE4CDE4" w:rsidR="00B51AE0" w:rsidRDefault="00B51AE0" w:rsidP="00B51AE0">
      <w:pPr>
        <w:jc w:val="both"/>
        <w:rPr>
          <w:rFonts w:ascii="Verdana" w:hAnsi="Verdana" w:cs="Courier New"/>
        </w:rPr>
      </w:pPr>
      <w:r w:rsidRPr="0059008E">
        <w:rPr>
          <w:rFonts w:ascii="Verdana" w:hAnsi="Verdana" w:cs="Courier New"/>
          <w:b/>
          <w:bCs/>
        </w:rPr>
        <w:t>Seguidamente en el Titulo II</w:t>
      </w:r>
      <w:r>
        <w:rPr>
          <w:rFonts w:ascii="Verdana" w:hAnsi="Verdana" w:cs="Courier New"/>
        </w:rPr>
        <w:t xml:space="preserve"> encontramos los procesos </w:t>
      </w:r>
      <w:r w:rsidRPr="00B51AE0">
        <w:rPr>
          <w:rFonts w:ascii="Verdana" w:hAnsi="Verdana" w:cs="Courier New"/>
          <w:b/>
          <w:bCs/>
        </w:rPr>
        <w:t>Verbales Sumarios</w:t>
      </w:r>
      <w:r>
        <w:rPr>
          <w:rFonts w:ascii="Verdana" w:hAnsi="Verdana" w:cs="Courier New"/>
          <w:b/>
          <w:bCs/>
        </w:rPr>
        <w:t xml:space="preserve"> </w:t>
      </w:r>
      <w:r>
        <w:rPr>
          <w:rFonts w:ascii="Verdana" w:hAnsi="Verdana" w:cs="Courier New"/>
        </w:rPr>
        <w:t>y en el Capítulo I está</w:t>
      </w:r>
      <w:r w:rsidR="0059008E">
        <w:rPr>
          <w:rFonts w:ascii="Verdana" w:hAnsi="Verdana" w:cs="Courier New"/>
        </w:rPr>
        <w:t>n</w:t>
      </w:r>
      <w:r>
        <w:rPr>
          <w:rFonts w:ascii="Verdana" w:hAnsi="Verdana" w:cs="Courier New"/>
        </w:rPr>
        <w:t xml:space="preserve"> las </w:t>
      </w:r>
      <w:r w:rsidRPr="00B51AE0">
        <w:rPr>
          <w:rFonts w:ascii="Verdana" w:hAnsi="Verdana" w:cs="Courier New"/>
          <w:b/>
          <w:bCs/>
        </w:rPr>
        <w:t>Disposiciones Generales.</w:t>
      </w:r>
      <w:r>
        <w:rPr>
          <w:rFonts w:ascii="Verdana" w:hAnsi="Verdana" w:cs="Courier New"/>
          <w:b/>
          <w:bCs/>
        </w:rPr>
        <w:t xml:space="preserve"> </w:t>
      </w:r>
      <w:r>
        <w:rPr>
          <w:rFonts w:ascii="Verdana" w:hAnsi="Verdana" w:cs="Courier New"/>
        </w:rPr>
        <w:t xml:space="preserve">A su turno, en el capítulo II están las </w:t>
      </w:r>
      <w:r w:rsidRPr="00B51AE0">
        <w:rPr>
          <w:rFonts w:ascii="Verdana" w:hAnsi="Verdana" w:cs="Courier New"/>
          <w:b/>
          <w:bCs/>
        </w:rPr>
        <w:t>Disposiciones Especiales</w:t>
      </w:r>
      <w:r>
        <w:rPr>
          <w:rFonts w:ascii="Verdana" w:hAnsi="Verdana" w:cs="Courier New"/>
          <w:b/>
          <w:bCs/>
        </w:rPr>
        <w:t xml:space="preserve">, </w:t>
      </w:r>
      <w:r>
        <w:rPr>
          <w:rFonts w:ascii="Verdana" w:hAnsi="Verdana" w:cs="Courier New"/>
        </w:rPr>
        <w:t>pero que también se tramitan por la cuerda del procedimiento Verbal Sumario.</w:t>
      </w:r>
    </w:p>
    <w:p w14:paraId="06815181" w14:textId="12D7FCB4" w:rsidR="00B51AE0" w:rsidRDefault="00B51AE0" w:rsidP="00B51AE0">
      <w:pPr>
        <w:jc w:val="both"/>
        <w:rPr>
          <w:rFonts w:ascii="Verdana" w:hAnsi="Verdana" w:cs="Courier New"/>
        </w:rPr>
      </w:pPr>
    </w:p>
    <w:p w14:paraId="3B8DBB8D" w14:textId="77777777" w:rsidR="0059008E" w:rsidRDefault="00B51AE0" w:rsidP="00B51AE0">
      <w:pPr>
        <w:jc w:val="both"/>
        <w:rPr>
          <w:rFonts w:ascii="Verdana" w:hAnsi="Verdana" w:cs="Courier New"/>
        </w:rPr>
      </w:pPr>
      <w:r>
        <w:rPr>
          <w:rFonts w:ascii="Verdana" w:hAnsi="Verdana" w:cs="Courier New"/>
          <w:b/>
          <w:bCs/>
        </w:rPr>
        <w:t xml:space="preserve">En el Título III </w:t>
      </w:r>
      <w:r>
        <w:rPr>
          <w:rFonts w:ascii="Verdana" w:hAnsi="Verdana" w:cs="Courier New"/>
        </w:rPr>
        <w:t xml:space="preserve">encontramos los </w:t>
      </w:r>
      <w:r>
        <w:rPr>
          <w:rFonts w:ascii="Verdana" w:hAnsi="Verdana" w:cs="Courier New"/>
          <w:b/>
          <w:bCs/>
        </w:rPr>
        <w:t>procesos Declarativos Especiales</w:t>
      </w:r>
      <w:r w:rsidR="0059008E">
        <w:rPr>
          <w:rFonts w:ascii="Verdana" w:hAnsi="Verdana" w:cs="Courier New"/>
          <w:b/>
          <w:bCs/>
        </w:rPr>
        <w:t xml:space="preserve"> </w:t>
      </w:r>
      <w:r w:rsidR="0059008E">
        <w:rPr>
          <w:rFonts w:ascii="Verdana" w:hAnsi="Verdana" w:cs="Courier New"/>
        </w:rPr>
        <w:t>que van desde el artículo 399 al 421.</w:t>
      </w:r>
    </w:p>
    <w:p w14:paraId="68BBBF1E" w14:textId="77777777" w:rsidR="0059008E" w:rsidRDefault="0059008E" w:rsidP="00B51AE0">
      <w:pPr>
        <w:jc w:val="both"/>
        <w:rPr>
          <w:rFonts w:ascii="Verdana" w:hAnsi="Verdana" w:cs="Courier New"/>
        </w:rPr>
      </w:pPr>
    </w:p>
    <w:p w14:paraId="2CA8840E" w14:textId="77777777" w:rsidR="0059008E" w:rsidRDefault="0059008E" w:rsidP="00B51AE0">
      <w:pPr>
        <w:jc w:val="both"/>
        <w:rPr>
          <w:rFonts w:ascii="Verdana" w:hAnsi="Verdana" w:cs="Courier New"/>
        </w:rPr>
      </w:pPr>
      <w:r>
        <w:rPr>
          <w:rFonts w:ascii="Verdana" w:hAnsi="Verdana" w:cs="Courier New"/>
        </w:rPr>
        <w:t xml:space="preserve">Posteriormente encontramos la </w:t>
      </w:r>
      <w:r w:rsidRPr="0059008E">
        <w:rPr>
          <w:rFonts w:ascii="Verdana" w:hAnsi="Verdana" w:cs="Courier New"/>
          <w:b/>
          <w:bCs/>
          <w:u w:val="single"/>
        </w:rPr>
        <w:t>Sección Segunda</w:t>
      </w:r>
      <w:r>
        <w:rPr>
          <w:rFonts w:ascii="Verdana" w:hAnsi="Verdana" w:cs="Courier New"/>
        </w:rPr>
        <w:t xml:space="preserve"> que regula lo referente a los procesos ejecutivos; la </w:t>
      </w:r>
      <w:r w:rsidRPr="0059008E">
        <w:rPr>
          <w:rFonts w:ascii="Verdana" w:hAnsi="Verdana" w:cs="Courier New"/>
          <w:b/>
          <w:bCs/>
          <w:u w:val="single"/>
        </w:rPr>
        <w:t>Sección Tercera</w:t>
      </w:r>
      <w:r>
        <w:rPr>
          <w:rFonts w:ascii="Verdana" w:hAnsi="Verdana" w:cs="Courier New"/>
        </w:rPr>
        <w:t xml:space="preserve"> que se refiere a los procesos de liquidación y, finalmente la </w:t>
      </w:r>
      <w:r w:rsidRPr="0059008E">
        <w:rPr>
          <w:rFonts w:ascii="Verdana" w:hAnsi="Verdana" w:cs="Courier New"/>
          <w:b/>
          <w:bCs/>
          <w:u w:val="single"/>
        </w:rPr>
        <w:t>Sección Cuarta</w:t>
      </w:r>
      <w:r>
        <w:rPr>
          <w:rFonts w:ascii="Verdana" w:hAnsi="Verdana" w:cs="Courier New"/>
        </w:rPr>
        <w:t xml:space="preserve"> que consagra los procesos de jurisdicción voluntaria.</w:t>
      </w:r>
    </w:p>
    <w:p w14:paraId="1D3404F0" w14:textId="77777777" w:rsidR="0059008E" w:rsidRDefault="0059008E" w:rsidP="00B51AE0">
      <w:pPr>
        <w:jc w:val="both"/>
        <w:rPr>
          <w:rFonts w:ascii="Verdana" w:hAnsi="Verdana" w:cs="Courier New"/>
        </w:rPr>
      </w:pPr>
    </w:p>
    <w:p w14:paraId="4430E04A" w14:textId="3C0ACCCE" w:rsidR="0059008E" w:rsidRDefault="0059008E" w:rsidP="00C41061">
      <w:pPr>
        <w:jc w:val="both"/>
        <w:rPr>
          <w:rFonts w:ascii="Verdana" w:hAnsi="Verdana" w:cs="Courier New"/>
        </w:rPr>
      </w:pPr>
      <w:r>
        <w:rPr>
          <w:rFonts w:ascii="Verdana" w:hAnsi="Verdana" w:cs="Courier New"/>
        </w:rPr>
        <w:t xml:space="preserve">Así las cosas, con todo respeto, considero que el Juzgado de manera errónea está confundiendo el </w:t>
      </w:r>
      <w:r w:rsidRPr="0059008E">
        <w:rPr>
          <w:rFonts w:ascii="Verdana" w:hAnsi="Verdana" w:cs="Courier New"/>
          <w:b/>
          <w:bCs/>
        </w:rPr>
        <w:t>trámite especial</w:t>
      </w:r>
      <w:r>
        <w:rPr>
          <w:rFonts w:ascii="Verdana" w:hAnsi="Verdana" w:cs="Courier New"/>
        </w:rPr>
        <w:t xml:space="preserve"> de que trata el artículo 371 de esa Codificación, con las </w:t>
      </w:r>
      <w:r>
        <w:rPr>
          <w:rFonts w:ascii="Verdana" w:hAnsi="Verdana" w:cs="Courier New"/>
          <w:b/>
          <w:bCs/>
        </w:rPr>
        <w:t xml:space="preserve">disposiciones especiales </w:t>
      </w:r>
      <w:r>
        <w:rPr>
          <w:rFonts w:ascii="Verdana" w:hAnsi="Verdana" w:cs="Courier New"/>
        </w:rPr>
        <w:t xml:space="preserve">del </w:t>
      </w:r>
      <w:r w:rsidR="00C41061" w:rsidRPr="0059008E">
        <w:rPr>
          <w:rFonts w:ascii="Verdana" w:hAnsi="Verdana" w:cs="Courier New"/>
          <w:b/>
          <w:bCs/>
          <w:u w:val="single"/>
        </w:rPr>
        <w:t>LIBRO TERCERO</w:t>
      </w:r>
      <w:r w:rsidR="00C41061">
        <w:rPr>
          <w:rFonts w:ascii="Verdana" w:hAnsi="Verdana" w:cs="Courier New"/>
        </w:rPr>
        <w:t xml:space="preserve"> - </w:t>
      </w:r>
      <w:r w:rsidR="00C41061" w:rsidRPr="0059008E">
        <w:rPr>
          <w:rFonts w:ascii="Verdana" w:hAnsi="Verdana" w:cs="Courier New"/>
          <w:b/>
          <w:bCs/>
          <w:u w:val="single"/>
        </w:rPr>
        <w:t>Sección Primer</w:t>
      </w:r>
      <w:r w:rsidR="00C41061">
        <w:rPr>
          <w:rFonts w:ascii="Verdana" w:hAnsi="Verdana" w:cs="Courier New"/>
          <w:b/>
          <w:bCs/>
          <w:u w:val="single"/>
        </w:rPr>
        <w:t>a</w:t>
      </w:r>
      <w:r w:rsidR="00C41061">
        <w:rPr>
          <w:rFonts w:ascii="Verdana" w:hAnsi="Verdana" w:cs="Courier New"/>
        </w:rPr>
        <w:t xml:space="preserve"> – </w:t>
      </w:r>
      <w:r w:rsidR="00C41061" w:rsidRPr="00C41061">
        <w:rPr>
          <w:rFonts w:ascii="Verdana" w:hAnsi="Verdana" w:cs="Courier New"/>
          <w:b/>
          <w:bCs/>
          <w:u w:val="single"/>
        </w:rPr>
        <w:t>Título I</w:t>
      </w:r>
      <w:r w:rsidR="00E2078C" w:rsidRPr="00E2078C">
        <w:rPr>
          <w:rFonts w:ascii="Verdana" w:hAnsi="Verdana" w:cs="Courier New"/>
        </w:rPr>
        <w:t xml:space="preserve"> - </w:t>
      </w:r>
      <w:r w:rsidR="00E2078C">
        <w:rPr>
          <w:rFonts w:ascii="Verdana" w:hAnsi="Verdana" w:cs="Courier New"/>
          <w:b/>
          <w:bCs/>
          <w:u w:val="single"/>
        </w:rPr>
        <w:t>Capítulo I</w:t>
      </w:r>
      <w:r w:rsidR="00C41061" w:rsidRPr="00C41061">
        <w:rPr>
          <w:rFonts w:ascii="Verdana" w:hAnsi="Verdana" w:cs="Courier New"/>
          <w:b/>
          <w:bCs/>
          <w:u w:val="single"/>
        </w:rPr>
        <w:t>I</w:t>
      </w:r>
      <w:r w:rsidR="00C41061">
        <w:rPr>
          <w:rFonts w:ascii="Verdana" w:hAnsi="Verdana" w:cs="Courier New"/>
        </w:rPr>
        <w:t xml:space="preserve"> del Código General del Proceso, que consagra unos procesos como el del artículo 386 relativo a </w:t>
      </w:r>
      <w:r>
        <w:rPr>
          <w:rFonts w:ascii="Verdana" w:hAnsi="Verdana" w:cs="Courier New"/>
        </w:rPr>
        <w:t>la Impugnación de la Paternidad, pero que también se tramita por la cuerda del procedimiento Verbal.</w:t>
      </w:r>
    </w:p>
    <w:p w14:paraId="54AA0546" w14:textId="19992114" w:rsidR="00C41061" w:rsidRDefault="00C41061" w:rsidP="00C41061">
      <w:pPr>
        <w:jc w:val="both"/>
        <w:rPr>
          <w:rFonts w:ascii="Verdana" w:hAnsi="Verdana" w:cs="Courier New"/>
        </w:rPr>
      </w:pPr>
    </w:p>
    <w:p w14:paraId="615A4F3A" w14:textId="7A0B9201" w:rsidR="00C41061" w:rsidRPr="00163AF5" w:rsidRDefault="00C41061" w:rsidP="00C41061">
      <w:pPr>
        <w:jc w:val="both"/>
        <w:rPr>
          <w:rFonts w:ascii="Verdana" w:hAnsi="Verdana" w:cs="Arial"/>
          <w:lang w:eastAsia="es-CO"/>
        </w:rPr>
      </w:pPr>
      <w:r>
        <w:rPr>
          <w:rFonts w:ascii="Verdana" w:hAnsi="Verdana" w:cs="Courier New"/>
        </w:rPr>
        <w:t>Y es que, cuando se refiere a disposiciones especiales, es que tienen algunas  exigencias especiales que en modo alguno le modifican el procedimiento al proceso, como en el caso concreto de</w:t>
      </w:r>
      <w:r w:rsidR="00E2078C">
        <w:rPr>
          <w:rFonts w:ascii="Verdana" w:hAnsi="Verdana" w:cs="Courier New"/>
        </w:rPr>
        <w:t xml:space="preserve"> la</w:t>
      </w:r>
      <w:r>
        <w:rPr>
          <w:rFonts w:ascii="Verdana" w:hAnsi="Verdana" w:cs="Courier New"/>
        </w:rPr>
        <w:t xml:space="preserve"> Impugnación de Paternidad, que en el auto admisorio debe ordenarse l</w:t>
      </w:r>
      <w:r w:rsidRPr="00163AF5">
        <w:rPr>
          <w:rFonts w:ascii="Verdana" w:hAnsi="Verdana" w:cs="Arial"/>
          <w:lang w:eastAsia="es-CO"/>
        </w:rPr>
        <w:t>a práctica de una prueba con marcadores genéticos de ADN o la que corresponda con los desarrollos científicos y advertirá a la parte demandada que su renuencia a la práctica de la prueba hará presumir cierta la impugnación alegada</w:t>
      </w:r>
      <w:r>
        <w:rPr>
          <w:rFonts w:ascii="Verdana" w:hAnsi="Verdana" w:cs="Arial"/>
          <w:lang w:eastAsia="es-CO"/>
        </w:rPr>
        <w:t>,</w:t>
      </w:r>
      <w:r w:rsidRPr="00163AF5">
        <w:rPr>
          <w:rFonts w:ascii="Verdana" w:hAnsi="Verdana" w:cs="Arial"/>
          <w:lang w:eastAsia="es-CO"/>
        </w:rPr>
        <w:t xml:space="preserve"> prueba </w:t>
      </w:r>
      <w:r>
        <w:rPr>
          <w:rFonts w:ascii="Verdana" w:hAnsi="Verdana" w:cs="Arial"/>
          <w:lang w:eastAsia="es-CO"/>
        </w:rPr>
        <w:t>que debe</w:t>
      </w:r>
      <w:r w:rsidRPr="00163AF5">
        <w:rPr>
          <w:rFonts w:ascii="Verdana" w:hAnsi="Verdana" w:cs="Arial"/>
          <w:lang w:eastAsia="es-CO"/>
        </w:rPr>
        <w:t xml:space="preserve"> practicarse antes de la audiencia inicial. </w:t>
      </w:r>
    </w:p>
    <w:p w14:paraId="5FEF457F" w14:textId="4985183E" w:rsidR="00C41061" w:rsidRDefault="00C41061" w:rsidP="00C41061">
      <w:pPr>
        <w:jc w:val="both"/>
        <w:rPr>
          <w:rFonts w:ascii="Verdana" w:hAnsi="Verdana" w:cs="Courier New"/>
        </w:rPr>
      </w:pPr>
    </w:p>
    <w:p w14:paraId="40B67B80" w14:textId="52BCF6CB" w:rsidR="00C41061" w:rsidRDefault="00C41061" w:rsidP="00C41061">
      <w:pPr>
        <w:jc w:val="both"/>
        <w:rPr>
          <w:rFonts w:ascii="Verdana" w:hAnsi="Verdana" w:cs="Courier New"/>
        </w:rPr>
      </w:pPr>
      <w:r>
        <w:rPr>
          <w:rFonts w:ascii="Verdana" w:hAnsi="Verdana" w:cs="Courier New"/>
        </w:rPr>
        <w:t>Distinto sería que el trámite del proceso de Impugnación de Paternidad se tramitara por el procedimiento Verbal Sumario, Declarativos especiales, Ejecutivos, de liquidación o jurisdicción voluntaria, caso en el cual no sería admisible la demanda de reconvención y en su lugar sería procedente el rechazo de la misma, pero jamás, como anti técnicamente se hizo, su negativa.</w:t>
      </w:r>
    </w:p>
    <w:p w14:paraId="01A3D192" w14:textId="3654A42F" w:rsidR="00C41061" w:rsidRDefault="00C41061" w:rsidP="00C41061">
      <w:pPr>
        <w:jc w:val="both"/>
        <w:rPr>
          <w:rFonts w:ascii="Verdana" w:hAnsi="Verdana" w:cs="Courier New"/>
        </w:rPr>
      </w:pPr>
    </w:p>
    <w:p w14:paraId="682B8221" w14:textId="09107DCF" w:rsidR="00C41061" w:rsidRDefault="00C41061" w:rsidP="00C41061">
      <w:pPr>
        <w:jc w:val="both"/>
        <w:rPr>
          <w:rFonts w:ascii="Verdana" w:hAnsi="Verdana" w:cs="Courier New"/>
        </w:rPr>
      </w:pPr>
      <w:r>
        <w:rPr>
          <w:rFonts w:ascii="Verdana" w:hAnsi="Verdana" w:cs="Courier New"/>
        </w:rPr>
        <w:t>Basten los anteriores argumentos para que se revoque en todas sus partes la decisión atacada</w:t>
      </w:r>
      <w:r w:rsidR="00E2078C">
        <w:rPr>
          <w:rFonts w:ascii="Verdana" w:hAnsi="Verdana" w:cs="Courier New"/>
        </w:rPr>
        <w:t xml:space="preserve"> y en su lugar se proceda a admitir la demanda de reconvención.</w:t>
      </w:r>
    </w:p>
    <w:p w14:paraId="58B72A11" w14:textId="05D5AD0A" w:rsidR="00E2078C" w:rsidRDefault="00E2078C" w:rsidP="00C41061">
      <w:pPr>
        <w:jc w:val="both"/>
        <w:rPr>
          <w:rFonts w:ascii="Verdana" w:hAnsi="Verdana" w:cs="Courier New"/>
        </w:rPr>
      </w:pPr>
    </w:p>
    <w:p w14:paraId="715C0A75" w14:textId="250024B5" w:rsidR="00E2078C" w:rsidRDefault="00E2078C" w:rsidP="00C41061">
      <w:pPr>
        <w:jc w:val="both"/>
        <w:rPr>
          <w:rFonts w:ascii="Verdana" w:hAnsi="Verdana" w:cs="Courier New"/>
        </w:rPr>
      </w:pPr>
      <w:r>
        <w:rPr>
          <w:rFonts w:ascii="Verdana" w:hAnsi="Verdana" w:cs="Courier New"/>
        </w:rPr>
        <w:lastRenderedPageBreak/>
        <w:t>De no accederse a lo anterior, sírvase concederme el recurso de apelación para ante su inmediato Superior jerárquico, recurso que sustento desde ya en los mismos términos aquí esgrimidos, reservándome el derecho de ampliar mis argumentos en segunda instancia.</w:t>
      </w:r>
    </w:p>
    <w:p w14:paraId="4ED9AC5E" w14:textId="77777777" w:rsidR="00B51AE0" w:rsidRPr="005A1162" w:rsidRDefault="00B51AE0" w:rsidP="00B51AE0">
      <w:pPr>
        <w:jc w:val="both"/>
        <w:rPr>
          <w:rFonts w:ascii="Verdana" w:hAnsi="Verdana" w:cs="Courier New"/>
        </w:rPr>
      </w:pPr>
    </w:p>
    <w:p w14:paraId="0FB68431" w14:textId="77777777" w:rsidR="00B51AE0" w:rsidRPr="00FB02A9" w:rsidRDefault="00B51AE0" w:rsidP="00B51AE0">
      <w:pPr>
        <w:jc w:val="both"/>
        <w:rPr>
          <w:rFonts w:ascii="Verdana" w:hAnsi="Verdana" w:cs="Courier New"/>
        </w:rPr>
      </w:pPr>
      <w:r w:rsidRPr="00FB02A9">
        <w:rPr>
          <w:rFonts w:ascii="Verdana" w:hAnsi="Verdana" w:cs="Courier New"/>
        </w:rPr>
        <w:t xml:space="preserve">Atentamente, </w:t>
      </w:r>
    </w:p>
    <w:p w14:paraId="67FA10CF" w14:textId="77777777" w:rsidR="00B51AE0" w:rsidRPr="00FB02A9" w:rsidRDefault="00B51AE0" w:rsidP="00B51AE0">
      <w:pPr>
        <w:jc w:val="both"/>
        <w:rPr>
          <w:rStyle w:val="Refdecomentario"/>
          <w:rFonts w:ascii="Verdana" w:hAnsi="Verdana" w:cs="Arial"/>
          <w:sz w:val="24"/>
        </w:rPr>
      </w:pPr>
      <w:r w:rsidRPr="00FB02A9">
        <w:rPr>
          <w:rFonts w:ascii="Verdana" w:hAnsi="Verdana"/>
          <w:noProof/>
        </w:rPr>
        <w:drawing>
          <wp:inline distT="0" distB="0" distL="0" distR="0" wp14:anchorId="5C8B04E0" wp14:editId="5C46FFE2">
            <wp:extent cx="1189355" cy="838456"/>
            <wp:effectExtent l="38100" t="0" r="29845" b="952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biLevel thresh="50000"/>
                      <a:extLst>
                        <a:ext uri="{BEBA8EAE-BF5A-486C-A8C5-ECC9F3942E4B}">
                          <a14:imgProps xmlns:a14="http://schemas.microsoft.com/office/drawing/2010/main">
                            <a14:imgLayer r:embed="rId7">
                              <a14:imgEffect>
                                <a14:artisticPhotocopy/>
                              </a14:imgEffect>
                            </a14:imgLayer>
                          </a14:imgProps>
                        </a:ext>
                        <a:ext uri="{28A0092B-C50C-407E-A947-70E740481C1C}">
                          <a14:useLocalDpi xmlns:a14="http://schemas.microsoft.com/office/drawing/2010/main" val="0"/>
                        </a:ext>
                      </a:extLst>
                    </a:blip>
                    <a:srcRect l="5141" t="12067" r="2782" b="18102"/>
                    <a:stretch/>
                  </pic:blipFill>
                  <pic:spPr bwMode="auto">
                    <a:xfrm>
                      <a:off x="0" y="0"/>
                      <a:ext cx="1206493" cy="850538"/>
                    </a:xfrm>
                    <a:prstGeom prst="rect">
                      <a:avLst/>
                    </a:prstGeom>
                    <a:solidFill>
                      <a:schemeClr val="bg1">
                        <a:alpha val="0"/>
                      </a:schemeClr>
                    </a:solidFill>
                    <a:ln>
                      <a:noFill/>
                    </a:ln>
                    <a:effectLst>
                      <a:outerShdw blurRad="50800" dist="50800" dir="5400000" algn="ctr" rotWithShape="0">
                        <a:srgbClr val="000000">
                          <a:alpha val="1000"/>
                        </a:srgbClr>
                      </a:outerShdw>
                    </a:effectLst>
                    <a:extLst>
                      <a:ext uri="{53640926-AAD7-44D8-BBD7-CCE9431645EC}">
                        <a14:shadowObscured xmlns:a14="http://schemas.microsoft.com/office/drawing/2010/main"/>
                      </a:ext>
                    </a:extLst>
                  </pic:spPr>
                </pic:pic>
              </a:graphicData>
            </a:graphic>
          </wp:inline>
        </w:drawing>
      </w:r>
    </w:p>
    <w:p w14:paraId="7F63BA33" w14:textId="77777777" w:rsidR="00B51AE0" w:rsidRPr="00FB02A9" w:rsidRDefault="00B51AE0" w:rsidP="00B51AE0">
      <w:pPr>
        <w:jc w:val="both"/>
        <w:rPr>
          <w:rStyle w:val="Refdecomentario"/>
          <w:rFonts w:ascii="Verdana" w:hAnsi="Verdana" w:cs="Arial"/>
          <w:b/>
          <w:bCs/>
          <w:sz w:val="24"/>
        </w:rPr>
      </w:pPr>
      <w:r w:rsidRPr="00FB02A9">
        <w:rPr>
          <w:rStyle w:val="Refdecomentario"/>
          <w:rFonts w:ascii="Verdana" w:hAnsi="Verdana" w:cs="Arial"/>
          <w:b/>
          <w:bCs/>
          <w:sz w:val="24"/>
        </w:rPr>
        <w:t>JAIME HERNAN ARDILA</w:t>
      </w:r>
    </w:p>
    <w:p w14:paraId="2FEB3109" w14:textId="77777777" w:rsidR="00B51AE0" w:rsidRPr="00FB02A9" w:rsidRDefault="00B51AE0" w:rsidP="00B51AE0">
      <w:pPr>
        <w:pStyle w:val="Titulo4"/>
        <w:spacing w:before="0" w:after="0"/>
        <w:jc w:val="both"/>
        <w:rPr>
          <w:rStyle w:val="Refdecomentario"/>
          <w:rFonts w:ascii="Verdana" w:hAnsi="Verdana" w:cs="Arial"/>
          <w:b w:val="0"/>
          <w:sz w:val="24"/>
          <w:szCs w:val="24"/>
        </w:rPr>
      </w:pPr>
      <w:r w:rsidRPr="00FB02A9">
        <w:rPr>
          <w:rStyle w:val="Refdecomentario"/>
          <w:rFonts w:ascii="Verdana" w:hAnsi="Verdana" w:cs="Arial"/>
          <w:b w:val="0"/>
          <w:sz w:val="24"/>
          <w:szCs w:val="24"/>
        </w:rPr>
        <w:t>C.C. No. 93´374.584 de Ibagué</w:t>
      </w:r>
    </w:p>
    <w:p w14:paraId="6CC4FF82" w14:textId="77777777" w:rsidR="00B51AE0" w:rsidRPr="00FB02A9" w:rsidRDefault="00B51AE0" w:rsidP="00B51AE0">
      <w:pPr>
        <w:pStyle w:val="Titulo4"/>
        <w:spacing w:before="0" w:after="0"/>
        <w:jc w:val="both"/>
        <w:rPr>
          <w:rStyle w:val="Refdecomentario"/>
          <w:rFonts w:ascii="Verdana" w:hAnsi="Verdana" w:cs="Arial"/>
          <w:b w:val="0"/>
          <w:sz w:val="24"/>
          <w:szCs w:val="24"/>
        </w:rPr>
      </w:pPr>
      <w:r w:rsidRPr="00FB02A9">
        <w:rPr>
          <w:rStyle w:val="Refdecomentario"/>
          <w:rFonts w:ascii="Verdana" w:hAnsi="Verdana" w:cs="Arial"/>
          <w:b w:val="0"/>
          <w:sz w:val="24"/>
          <w:szCs w:val="24"/>
        </w:rPr>
        <w:t>T.P. No. 107.460 del C. S. J.</w:t>
      </w:r>
    </w:p>
    <w:p w14:paraId="51A0362D" w14:textId="77777777" w:rsidR="00EE1066" w:rsidRDefault="00EE1066"/>
    <w:sectPr w:rsidR="00EE1066" w:rsidSect="004B3418">
      <w:headerReference w:type="default" r:id="rId8"/>
      <w:headerReference w:type="first" r:id="rId9"/>
      <w:footerReference w:type="first" r:id="rId10"/>
      <w:pgSz w:w="12242" w:h="18722" w:code="291"/>
      <w:pgMar w:top="2268" w:right="1134" w:bottom="1701" w:left="2268" w:header="1134"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710A1" w14:textId="77777777" w:rsidR="00E54D52" w:rsidRDefault="00E54D52">
      <w:r>
        <w:separator/>
      </w:r>
    </w:p>
  </w:endnote>
  <w:endnote w:type="continuationSeparator" w:id="0">
    <w:p w14:paraId="26FF4DCF" w14:textId="77777777" w:rsidR="00E54D52" w:rsidRDefault="00E5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zooka">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B597E" w14:textId="77777777" w:rsidR="004B3418" w:rsidRPr="000D42D9" w:rsidRDefault="00E2078C" w:rsidP="004B3418">
    <w:pPr>
      <w:pStyle w:val="Piedepgina"/>
      <w:pBdr>
        <w:top w:val="single" w:sz="4" w:space="1" w:color="auto"/>
      </w:pBdr>
      <w:jc w:val="center"/>
      <w:rPr>
        <w:rFonts w:ascii="Verdana" w:hAnsi="Verdana"/>
        <w:bCs/>
        <w:sz w:val="18"/>
        <w:szCs w:val="18"/>
        <w:lang w:val="es-ES_tradnl"/>
      </w:rPr>
    </w:pPr>
    <w:r>
      <w:rPr>
        <w:rFonts w:ascii="Verdana" w:hAnsi="Verdana"/>
        <w:bCs/>
        <w:sz w:val="18"/>
        <w:szCs w:val="18"/>
        <w:lang w:val="es-ES_tradnl"/>
      </w:rPr>
      <w:t>Avenida 19 No. 4-88</w:t>
    </w:r>
    <w:r w:rsidRPr="000D42D9">
      <w:rPr>
        <w:rFonts w:ascii="Verdana" w:hAnsi="Verdana"/>
        <w:bCs/>
        <w:sz w:val="18"/>
        <w:szCs w:val="18"/>
        <w:lang w:val="es-ES_tradnl"/>
      </w:rPr>
      <w:t xml:space="preserve">, oficina </w:t>
    </w:r>
    <w:r>
      <w:rPr>
        <w:rFonts w:ascii="Verdana" w:hAnsi="Verdana"/>
        <w:bCs/>
        <w:sz w:val="18"/>
        <w:szCs w:val="18"/>
        <w:lang w:val="es-ES_tradnl"/>
      </w:rPr>
      <w:t>12</w:t>
    </w:r>
    <w:r w:rsidRPr="000D42D9">
      <w:rPr>
        <w:rFonts w:ascii="Verdana" w:hAnsi="Verdana"/>
        <w:bCs/>
        <w:sz w:val="18"/>
        <w:szCs w:val="18"/>
        <w:lang w:val="es-ES_tradnl"/>
      </w:rPr>
      <w:t xml:space="preserve">01, Edificio </w:t>
    </w:r>
    <w:r>
      <w:rPr>
        <w:rFonts w:ascii="Verdana" w:hAnsi="Verdana"/>
        <w:bCs/>
        <w:sz w:val="18"/>
        <w:szCs w:val="18"/>
        <w:lang w:val="es-ES_tradnl"/>
      </w:rPr>
      <w:t>Andes</w:t>
    </w:r>
    <w:r w:rsidRPr="000D42D9">
      <w:rPr>
        <w:rFonts w:ascii="Verdana" w:hAnsi="Verdana"/>
        <w:bCs/>
        <w:sz w:val="18"/>
        <w:szCs w:val="18"/>
        <w:lang w:val="es-ES_tradnl"/>
      </w:rPr>
      <w:t>, Bogotá D. C.</w:t>
    </w:r>
  </w:p>
  <w:p w14:paraId="2ED4ECCC" w14:textId="77777777" w:rsidR="004B3418" w:rsidRPr="000D42D9" w:rsidRDefault="00E2078C" w:rsidP="004B3418">
    <w:pPr>
      <w:pStyle w:val="Piedepgina"/>
      <w:jc w:val="center"/>
      <w:rPr>
        <w:rFonts w:ascii="Verdana" w:hAnsi="Verdana"/>
        <w:bCs/>
        <w:sz w:val="18"/>
        <w:szCs w:val="18"/>
      </w:rPr>
    </w:pPr>
    <w:r w:rsidRPr="000D42D9">
      <w:rPr>
        <w:rFonts w:ascii="Verdana" w:hAnsi="Verdana"/>
        <w:bCs/>
        <w:sz w:val="18"/>
        <w:szCs w:val="18"/>
        <w:lang w:val="es-ES_tradnl"/>
      </w:rPr>
      <w:t>Teléfono:</w:t>
    </w:r>
    <w:r w:rsidRPr="000D42D9">
      <w:rPr>
        <w:rFonts w:ascii="Verdana" w:hAnsi="Verdana"/>
        <w:bCs/>
        <w:sz w:val="18"/>
        <w:szCs w:val="18"/>
      </w:rPr>
      <w:t xml:space="preserve">  </w:t>
    </w:r>
    <w:proofErr w:type="gramStart"/>
    <w:r w:rsidRPr="000D42D9">
      <w:rPr>
        <w:rFonts w:ascii="Verdana" w:hAnsi="Verdana"/>
        <w:bCs/>
        <w:sz w:val="18"/>
        <w:szCs w:val="18"/>
      </w:rPr>
      <w:t>31</w:t>
    </w:r>
    <w:r>
      <w:rPr>
        <w:rFonts w:ascii="Verdana" w:hAnsi="Verdana"/>
        <w:bCs/>
        <w:sz w:val="18"/>
        <w:szCs w:val="18"/>
      </w:rPr>
      <w:t>6</w:t>
    </w:r>
    <w:r w:rsidRPr="000D42D9">
      <w:rPr>
        <w:rFonts w:ascii="Verdana" w:hAnsi="Verdana"/>
        <w:bCs/>
        <w:sz w:val="18"/>
        <w:szCs w:val="18"/>
      </w:rPr>
      <w:t xml:space="preserve">  </w:t>
    </w:r>
    <w:r>
      <w:rPr>
        <w:rFonts w:ascii="Verdana" w:hAnsi="Verdana"/>
        <w:bCs/>
        <w:sz w:val="18"/>
        <w:szCs w:val="18"/>
      </w:rPr>
      <w:t>8653175</w:t>
    </w:r>
    <w:proofErr w:type="gramEnd"/>
    <w:r>
      <w:rPr>
        <w:rFonts w:ascii="Verdana" w:hAnsi="Verdana"/>
        <w:bCs/>
        <w:sz w:val="18"/>
        <w:szCs w:val="18"/>
      </w:rPr>
      <w:t>. Correo electrónico abogadohernan@hotmail.com</w:t>
    </w:r>
  </w:p>
  <w:p w14:paraId="398D2687" w14:textId="77777777" w:rsidR="004B3418" w:rsidRPr="000D42D9" w:rsidRDefault="00E54D52" w:rsidP="004B3418">
    <w:pPr>
      <w:pStyle w:val="Piedepgina"/>
      <w:jc w:val="center"/>
      <w:rPr>
        <w:rFonts w:ascii="Verdana" w:hAnsi="Verdana"/>
        <w:bCs/>
        <w:sz w:val="18"/>
        <w:szCs w:val="18"/>
      </w:rPr>
    </w:pPr>
  </w:p>
  <w:p w14:paraId="770BC967" w14:textId="77777777" w:rsidR="004B3418" w:rsidRPr="001B167D" w:rsidRDefault="00E54D52" w:rsidP="004B3418">
    <w:pPr>
      <w:pStyle w:val="Piedepgina"/>
    </w:pPr>
  </w:p>
  <w:p w14:paraId="1A3A75BF" w14:textId="77777777" w:rsidR="004B3418" w:rsidRDefault="00E54D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BEDA3" w14:textId="77777777" w:rsidR="00E54D52" w:rsidRDefault="00E54D52">
      <w:r>
        <w:separator/>
      </w:r>
    </w:p>
  </w:footnote>
  <w:footnote w:type="continuationSeparator" w:id="0">
    <w:p w14:paraId="59DC44F4" w14:textId="77777777" w:rsidR="00E54D52" w:rsidRDefault="00E54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0F221" w14:textId="77777777" w:rsidR="004B3418" w:rsidRPr="009938B6" w:rsidRDefault="00E2078C">
    <w:pPr>
      <w:pStyle w:val="Encabezado"/>
      <w:framePr w:wrap="auto" w:vAnchor="text" w:hAnchor="margin" w:xAlign="right" w:y="1"/>
      <w:rPr>
        <w:rStyle w:val="Nmerodepgina"/>
        <w:b/>
        <w:color w:val="auto"/>
        <w:sz w:val="18"/>
      </w:rPr>
    </w:pPr>
    <w:r w:rsidRPr="009938B6">
      <w:rPr>
        <w:rStyle w:val="Nmerodepgina"/>
        <w:b/>
        <w:color w:val="auto"/>
        <w:sz w:val="18"/>
      </w:rPr>
      <w:fldChar w:fldCharType="begin"/>
    </w:r>
    <w:r w:rsidRPr="009938B6">
      <w:rPr>
        <w:rStyle w:val="Nmerodepgina"/>
        <w:b/>
        <w:color w:val="auto"/>
        <w:sz w:val="18"/>
      </w:rPr>
      <w:instrText xml:space="preserve">PAGE  </w:instrText>
    </w:r>
    <w:r w:rsidRPr="009938B6">
      <w:rPr>
        <w:rStyle w:val="Nmerodepgina"/>
        <w:b/>
        <w:color w:val="auto"/>
        <w:sz w:val="18"/>
      </w:rPr>
      <w:fldChar w:fldCharType="separate"/>
    </w:r>
    <w:r>
      <w:rPr>
        <w:rStyle w:val="Nmerodepgina"/>
        <w:b/>
        <w:noProof/>
        <w:color w:val="auto"/>
        <w:sz w:val="18"/>
      </w:rPr>
      <w:t>7</w:t>
    </w:r>
    <w:r w:rsidRPr="009938B6">
      <w:rPr>
        <w:rStyle w:val="Nmerodepgina"/>
        <w:b/>
        <w:color w:val="auto"/>
        <w:sz w:val="18"/>
      </w:rPr>
      <w:fldChar w:fldCharType="end"/>
    </w:r>
  </w:p>
  <w:p w14:paraId="2F05C81C" w14:textId="77777777" w:rsidR="004B3418" w:rsidRPr="009938B6" w:rsidRDefault="00E54D52">
    <w:pPr>
      <w:pStyle w:val="Encabezado"/>
      <w:framePr w:wrap="auto" w:vAnchor="text" w:hAnchor="margin" w:xAlign="center" w:y="1"/>
      <w:ind w:right="360"/>
      <w:rPr>
        <w:rStyle w:val="Nmerodepgina"/>
        <w:color w:val="auto"/>
      </w:rPr>
    </w:pPr>
  </w:p>
  <w:p w14:paraId="0BDAB823" w14:textId="77777777" w:rsidR="004B3418" w:rsidRPr="009938B6" w:rsidRDefault="00E54D52">
    <w:pPr>
      <w:pStyle w:val="Encabezado"/>
      <w:spacing w:line="360" w:lineRule="auto"/>
      <w:jc w:val="center"/>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FDA38" w14:textId="77777777" w:rsidR="004B3418" w:rsidRPr="004508B4" w:rsidRDefault="00E2078C" w:rsidP="004B3418">
    <w:pPr>
      <w:pStyle w:val="Encabezado"/>
      <w:spacing w:line="360" w:lineRule="auto"/>
      <w:jc w:val="center"/>
      <w:rPr>
        <w:rFonts w:ascii="Verdana" w:hAnsi="Verdana"/>
        <w:b/>
        <w:color w:val="000000"/>
        <w:sz w:val="18"/>
        <w:szCs w:val="18"/>
      </w:rPr>
    </w:pPr>
    <w:r w:rsidRPr="004508B4">
      <w:rPr>
        <w:rFonts w:ascii="Verdana" w:hAnsi="Verdana"/>
        <w:b/>
        <w:noProof/>
        <w:color w:val="000000"/>
        <w:sz w:val="18"/>
        <w:szCs w:val="18"/>
        <w:lang w:val="es-CO" w:eastAsia="es-CO"/>
      </w:rPr>
      <mc:AlternateContent>
        <mc:Choice Requires="wps">
          <w:drawing>
            <wp:anchor distT="0" distB="0" distL="114300" distR="114300" simplePos="0" relativeHeight="251659264" behindDoc="0" locked="0" layoutInCell="0" allowOverlap="1" wp14:anchorId="299A74D1" wp14:editId="25804188">
              <wp:simplePos x="0" y="0"/>
              <wp:positionH relativeFrom="column">
                <wp:posOffset>0</wp:posOffset>
              </wp:positionH>
              <wp:positionV relativeFrom="paragraph">
                <wp:posOffset>13970</wp:posOffset>
              </wp:positionV>
              <wp:extent cx="577215" cy="468630"/>
              <wp:effectExtent l="0" t="4445" r="3810" b="317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468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D35A45" w14:textId="77777777" w:rsidR="004B3418" w:rsidRDefault="00E2078C" w:rsidP="004B3418">
                          <w:bookmarkStart w:id="0" w:name="OLE_LINK1"/>
                          <w:r>
                            <w:rPr>
                              <w:noProof/>
                              <w:lang w:val="es-CO" w:eastAsia="es-CO"/>
                            </w:rPr>
                            <w:drawing>
                              <wp:inline distT="0" distB="0" distL="0" distR="0" wp14:anchorId="2E402815" wp14:editId="6E4E787B">
                                <wp:extent cx="581025" cy="4667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466725"/>
                                        </a:xfrm>
                                        <a:prstGeom prst="rect">
                                          <a:avLst/>
                                        </a:prstGeom>
                                        <a:noFill/>
                                        <a:ln>
                                          <a:noFill/>
                                        </a:ln>
                                      </pic:spPr>
                                    </pic:pic>
                                  </a:graphicData>
                                </a:graphic>
                              </wp:inline>
                            </w:drawing>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A74D1" id="Rectángulo 11" o:spid="_x0000_s1026" style="position:absolute;left:0;text-align:left;margin-left:0;margin-top:1.1pt;width:45.4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" o:allowincell="f" filled="f" stroked="f" strokeweight="0">
              <v:textbox inset="0,0,0,0">
                <w:txbxContent>
                  <w:p w14:paraId="2AD35A45" w14:textId="77777777" w:rsidR="004B3418" w:rsidRDefault="00E2078C" w:rsidP="004B3418">
                    <w:bookmarkStart w:id="1" w:name="OLE_LINK1"/>
                    <w:r>
                      <w:rPr>
                        <w:noProof/>
                        <w:lang w:val="es-CO" w:eastAsia="es-CO"/>
                      </w:rPr>
                      <w:drawing>
                        <wp:inline distT="0" distB="0" distL="0" distR="0" wp14:anchorId="2E402815" wp14:editId="6E4E787B">
                          <wp:extent cx="581025" cy="4667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466725"/>
                                  </a:xfrm>
                                  <a:prstGeom prst="rect">
                                    <a:avLst/>
                                  </a:prstGeom>
                                  <a:noFill/>
                                  <a:ln>
                                    <a:noFill/>
                                  </a:ln>
                                </pic:spPr>
                              </pic:pic>
                            </a:graphicData>
                          </a:graphic>
                        </wp:inline>
                      </w:drawing>
                    </w:r>
                    <w:bookmarkEnd w:id="1"/>
                  </w:p>
                </w:txbxContent>
              </v:textbox>
            </v:rect>
          </w:pict>
        </mc:Fallback>
      </mc:AlternateContent>
    </w:r>
    <w:r w:rsidRPr="004508B4">
      <w:rPr>
        <w:rFonts w:ascii="Verdana" w:hAnsi="Verdana"/>
        <w:b/>
        <w:color w:val="000000"/>
        <w:sz w:val="18"/>
        <w:szCs w:val="18"/>
      </w:rPr>
      <w:t>JAIME HERNAN ARDILA</w:t>
    </w:r>
  </w:p>
  <w:p w14:paraId="25F352D0" w14:textId="77777777" w:rsidR="004B3418" w:rsidRPr="004508B4" w:rsidRDefault="00E2078C" w:rsidP="004B3418">
    <w:pPr>
      <w:pStyle w:val="Encabezado"/>
      <w:spacing w:line="360" w:lineRule="auto"/>
      <w:jc w:val="center"/>
      <w:rPr>
        <w:rFonts w:ascii="Bazooka" w:hAnsi="Bazooka"/>
        <w:color w:val="000000"/>
        <w:sz w:val="18"/>
        <w:szCs w:val="18"/>
      </w:rPr>
    </w:pPr>
    <w:r w:rsidRPr="004508B4">
      <w:rPr>
        <w:rFonts w:ascii="Verdana" w:hAnsi="Verdana"/>
        <w:b/>
        <w:color w:val="000000"/>
        <w:sz w:val="18"/>
        <w:szCs w:val="18"/>
      </w:rPr>
      <w:t>ABOGADO</w:t>
    </w:r>
  </w:p>
  <w:p w14:paraId="02BCBF72" w14:textId="77777777" w:rsidR="004B3418" w:rsidRDefault="00E54D52" w:rsidP="004B3418">
    <w:pPr>
      <w:pStyle w:val="Encabezado"/>
    </w:pPr>
  </w:p>
  <w:p w14:paraId="1E092FA3" w14:textId="77777777" w:rsidR="004B3418" w:rsidRPr="0058246C" w:rsidRDefault="00E54D52" w:rsidP="004B3418">
    <w:pPr>
      <w:pStyle w:val="Encabezado"/>
      <w:spacing w:line="360" w:lineRule="auto"/>
      <w:jc w:val="center"/>
      <w:rPr>
        <w:rFonts w:ascii="Bazooka" w:hAnsi="Bazooka"/>
        <w:color w:val="000000"/>
        <w:sz w:val="18"/>
        <w:szCs w:val="18"/>
        <w:lang w:val="es-ES"/>
      </w:rPr>
    </w:pPr>
  </w:p>
  <w:p w14:paraId="61755509" w14:textId="77777777" w:rsidR="004B3418" w:rsidRDefault="00E54D5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E0"/>
    <w:rsid w:val="0026553C"/>
    <w:rsid w:val="0059008E"/>
    <w:rsid w:val="009712B3"/>
    <w:rsid w:val="00B51AE0"/>
    <w:rsid w:val="00C41061"/>
    <w:rsid w:val="00E2078C"/>
    <w:rsid w:val="00E54D52"/>
    <w:rsid w:val="00EE10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B6E6"/>
  <w15:chartTrackingRefBased/>
  <w15:docId w15:val="{3A1AEE29-36B0-4A56-AC5B-CBD05143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E0"/>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B51AE0"/>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B51AE0"/>
    <w:rPr>
      <w:rFonts w:asciiTheme="majorHAnsi" w:eastAsiaTheme="majorEastAsia" w:hAnsiTheme="majorHAnsi" w:cstheme="majorBidi"/>
      <w:color w:val="1F3763" w:themeColor="accent1" w:themeShade="7F"/>
      <w:sz w:val="24"/>
      <w:szCs w:val="24"/>
      <w:lang w:val="es-ES" w:eastAsia="es-ES"/>
    </w:rPr>
  </w:style>
  <w:style w:type="character" w:styleId="Nmerodepgina">
    <w:name w:val="page number"/>
    <w:basedOn w:val="Fuentedeprrafopredeter"/>
    <w:rsid w:val="00B51AE0"/>
  </w:style>
  <w:style w:type="paragraph" w:styleId="Encabezado">
    <w:name w:val="header"/>
    <w:basedOn w:val="Normal"/>
    <w:link w:val="EncabezadoCar"/>
    <w:uiPriority w:val="99"/>
    <w:rsid w:val="00B51AE0"/>
    <w:pPr>
      <w:tabs>
        <w:tab w:val="center" w:pos="4252"/>
        <w:tab w:val="right" w:pos="8504"/>
      </w:tabs>
    </w:pPr>
    <w:rPr>
      <w:rFonts w:ascii="Courier New" w:hAnsi="Courier New"/>
      <w:snapToGrid w:val="0"/>
      <w:color w:val="800000"/>
      <w:szCs w:val="20"/>
      <w:lang w:val="es-ES_tradnl"/>
    </w:rPr>
  </w:style>
  <w:style w:type="character" w:customStyle="1" w:styleId="EncabezadoCar">
    <w:name w:val="Encabezado Car"/>
    <w:basedOn w:val="Fuentedeprrafopredeter"/>
    <w:link w:val="Encabezado"/>
    <w:uiPriority w:val="99"/>
    <w:rsid w:val="00B51AE0"/>
    <w:rPr>
      <w:rFonts w:ascii="Courier New" w:eastAsia="Times New Roman" w:hAnsi="Courier New" w:cs="Times New Roman"/>
      <w:snapToGrid w:val="0"/>
      <w:color w:val="800000"/>
      <w:sz w:val="24"/>
      <w:szCs w:val="20"/>
      <w:lang w:val="es-ES_tradnl" w:eastAsia="es-ES"/>
    </w:rPr>
  </w:style>
  <w:style w:type="character" w:styleId="Refdecomentario">
    <w:name w:val="annotation reference"/>
    <w:semiHidden/>
    <w:rsid w:val="00B51AE0"/>
    <w:rPr>
      <w:sz w:val="16"/>
    </w:rPr>
  </w:style>
  <w:style w:type="paragraph" w:customStyle="1" w:styleId="Titulo4">
    <w:name w:val="Titulo 4"/>
    <w:basedOn w:val="Ttulo3"/>
    <w:rsid w:val="00B51AE0"/>
    <w:pPr>
      <w:keepLines w:val="0"/>
      <w:spacing w:before="240" w:after="60"/>
      <w:outlineLvl w:val="9"/>
    </w:pPr>
    <w:rPr>
      <w:rFonts w:ascii="Times New Roman" w:eastAsia="Times New Roman" w:hAnsi="Times New Roman" w:cs="Times New Roman"/>
      <w:b/>
      <w:color w:val="auto"/>
      <w:sz w:val="20"/>
      <w:szCs w:val="20"/>
      <w:lang w:val="es-ES_tradnl" w:eastAsia="es-CO"/>
    </w:rPr>
  </w:style>
  <w:style w:type="character" w:styleId="Hipervnculo">
    <w:name w:val="Hyperlink"/>
    <w:basedOn w:val="Fuentedeprrafopredeter"/>
    <w:uiPriority w:val="99"/>
    <w:unhideWhenUsed/>
    <w:rsid w:val="00B51AE0"/>
    <w:rPr>
      <w:color w:val="0563C1" w:themeColor="hyperlink"/>
      <w:u w:val="single"/>
    </w:rPr>
  </w:style>
  <w:style w:type="paragraph" w:styleId="Piedepgina">
    <w:name w:val="footer"/>
    <w:basedOn w:val="Normal"/>
    <w:link w:val="PiedepginaCar"/>
    <w:unhideWhenUsed/>
    <w:rsid w:val="00B51AE0"/>
    <w:pPr>
      <w:tabs>
        <w:tab w:val="center" w:pos="4419"/>
        <w:tab w:val="right" w:pos="8838"/>
      </w:tabs>
    </w:pPr>
  </w:style>
  <w:style w:type="character" w:customStyle="1" w:styleId="PiedepginaCar">
    <w:name w:val="Pie de página Car"/>
    <w:basedOn w:val="Fuentedeprrafopredeter"/>
    <w:link w:val="Piedepgina"/>
    <w:rsid w:val="00B51AE0"/>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B51AE0"/>
    <w:pPr>
      <w:spacing w:after="120"/>
      <w:ind w:left="283"/>
    </w:pPr>
  </w:style>
  <w:style w:type="character" w:customStyle="1" w:styleId="SangradetextonormalCar">
    <w:name w:val="Sangría de texto normal Car"/>
    <w:basedOn w:val="Fuentedeprrafopredeter"/>
    <w:link w:val="Sangradetextonormal"/>
    <w:uiPriority w:val="99"/>
    <w:rsid w:val="00B51AE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4383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Hernan Ardila</dc:creator>
  <cp:keywords/>
  <dc:description/>
  <cp:lastModifiedBy>Ana Maria Londoño Ortega</cp:lastModifiedBy>
  <cp:revision>2</cp:revision>
  <dcterms:created xsi:type="dcterms:W3CDTF">2020-11-09T19:58:00Z</dcterms:created>
  <dcterms:modified xsi:type="dcterms:W3CDTF">2020-11-09T19:58:00Z</dcterms:modified>
</cp:coreProperties>
</file>