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703BB3" w14:textId="77777777" w:rsidR="00BA7D76" w:rsidRPr="00B77137" w:rsidRDefault="00BA7D76" w:rsidP="00BA7D76">
      <w:pPr>
        <w:widowControl w:val="0"/>
        <w:autoSpaceDE w:val="0"/>
        <w:autoSpaceDN w:val="0"/>
        <w:adjustRightInd w:val="0"/>
        <w:jc w:val="center"/>
        <w:rPr>
          <w:rFonts w:ascii="Arial" w:hAnsi="Arial" w:cs="Arial"/>
          <w:i/>
          <w:noProof/>
          <w:sz w:val="22"/>
          <w:szCs w:val="22"/>
          <w:lang w:val="es-CO" w:eastAsia="es-CO"/>
        </w:rPr>
      </w:pPr>
      <w:r w:rsidRPr="00B77137">
        <w:rPr>
          <w:rFonts w:ascii="Arial" w:hAnsi="Arial" w:cs="Arial"/>
          <w:i/>
          <w:noProof/>
          <w:sz w:val="22"/>
          <w:szCs w:val="22"/>
          <w:lang w:val="es-419" w:eastAsia="es-419"/>
        </w:rPr>
        <w:drawing>
          <wp:inline distT="0" distB="0" distL="0" distR="0" wp14:anchorId="598DE4AC" wp14:editId="723C1468">
            <wp:extent cx="2740847" cy="885825"/>
            <wp:effectExtent l="0" t="0" r="0" b="0"/>
            <wp:docPr id="1" name="Imagen 1" descr="Consejo Superior de la Judic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onsejo Superior de la Judicatur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6663" cy="887705"/>
                    </a:xfrm>
                    <a:prstGeom prst="rect">
                      <a:avLst/>
                    </a:prstGeom>
                    <a:noFill/>
                    <a:ln>
                      <a:noFill/>
                    </a:ln>
                  </pic:spPr>
                </pic:pic>
              </a:graphicData>
            </a:graphic>
          </wp:inline>
        </w:drawing>
      </w:r>
    </w:p>
    <w:p w14:paraId="6BAF06E2" w14:textId="77777777" w:rsidR="00BA7D76" w:rsidRPr="00B77137" w:rsidRDefault="00BA7D76" w:rsidP="00BA7D76">
      <w:pPr>
        <w:widowControl w:val="0"/>
        <w:autoSpaceDE w:val="0"/>
        <w:autoSpaceDN w:val="0"/>
        <w:adjustRightInd w:val="0"/>
        <w:jc w:val="center"/>
        <w:rPr>
          <w:rFonts w:ascii="Arial" w:hAnsi="Arial" w:cs="Arial"/>
          <w:i/>
          <w:noProof/>
          <w:sz w:val="22"/>
          <w:szCs w:val="22"/>
          <w:lang w:val="es-CO" w:eastAsia="es-CO"/>
        </w:rPr>
      </w:pPr>
    </w:p>
    <w:p w14:paraId="34A80988" w14:textId="77777777" w:rsidR="00BA7D76" w:rsidRPr="005138A0" w:rsidRDefault="00BA7D76" w:rsidP="00BA7D76">
      <w:pPr>
        <w:jc w:val="center"/>
        <w:rPr>
          <w:rFonts w:ascii="Arial" w:hAnsi="Arial" w:cs="Arial"/>
          <w:b/>
          <w:bCs/>
        </w:rPr>
      </w:pPr>
      <w:r w:rsidRPr="005138A0">
        <w:rPr>
          <w:rFonts w:ascii="Arial" w:hAnsi="Arial" w:cs="Arial"/>
          <w:b/>
          <w:bCs/>
        </w:rPr>
        <w:t>JUZGADO 39 DE PEQUEÑAS CAUSAS Y COMPETENCIA MULTIPLE</w:t>
      </w:r>
    </w:p>
    <w:p w14:paraId="2D8282F2" w14:textId="75142F42" w:rsidR="00BA7D76" w:rsidRPr="005138A0" w:rsidRDefault="00BA7D76" w:rsidP="00BA7D76">
      <w:pPr>
        <w:jc w:val="center"/>
        <w:rPr>
          <w:rFonts w:ascii="Arial" w:hAnsi="Arial" w:cs="Arial"/>
          <w:b/>
          <w:bCs/>
        </w:rPr>
      </w:pPr>
      <w:r w:rsidRPr="005138A0">
        <w:rPr>
          <w:rFonts w:ascii="Arial" w:hAnsi="Arial" w:cs="Arial"/>
          <w:b/>
          <w:bCs/>
        </w:rPr>
        <w:t>DEL DISTRITO JUDICIAL</w:t>
      </w:r>
      <w:r w:rsidR="00B5783F">
        <w:rPr>
          <w:rFonts w:ascii="Arial" w:hAnsi="Arial" w:cs="Arial"/>
          <w:b/>
          <w:bCs/>
        </w:rPr>
        <w:t xml:space="preserve"> </w:t>
      </w:r>
      <w:r w:rsidR="00B5783F" w:rsidRPr="00E01134">
        <w:rPr>
          <w:rFonts w:ascii="Arial" w:hAnsi="Arial" w:cs="Arial"/>
          <w:b/>
          <w:bCs/>
        </w:rPr>
        <w:t>DE BOGOTÁ</w:t>
      </w:r>
    </w:p>
    <w:p w14:paraId="02E63DE8" w14:textId="77777777" w:rsidR="00F52382" w:rsidRPr="005138A0" w:rsidRDefault="0034747D">
      <w:pPr>
        <w:rPr>
          <w:rFonts w:ascii="Arial" w:hAnsi="Arial" w:cs="Arial"/>
        </w:rPr>
      </w:pPr>
    </w:p>
    <w:p w14:paraId="55E1A567" w14:textId="24559C10" w:rsidR="00BA7D76" w:rsidRPr="005138A0" w:rsidRDefault="00BA7D76" w:rsidP="00BA7D76">
      <w:pPr>
        <w:tabs>
          <w:tab w:val="left" w:pos="3210"/>
          <w:tab w:val="center" w:pos="3996"/>
        </w:tabs>
        <w:contextualSpacing/>
        <w:jc w:val="center"/>
        <w:rPr>
          <w:rFonts w:ascii="Arial" w:hAnsi="Arial" w:cs="Arial"/>
        </w:rPr>
      </w:pPr>
      <w:r w:rsidRPr="005138A0">
        <w:rPr>
          <w:rFonts w:ascii="Arial" w:hAnsi="Arial" w:cs="Arial"/>
        </w:rPr>
        <w:t xml:space="preserve">Bogotá D.C., </w:t>
      </w:r>
      <w:r w:rsidR="00E675E6">
        <w:rPr>
          <w:rFonts w:ascii="Arial" w:hAnsi="Arial" w:cs="Arial"/>
        </w:rPr>
        <w:t>veintiuno</w:t>
      </w:r>
      <w:r w:rsidR="007D687B">
        <w:rPr>
          <w:rFonts w:ascii="Arial" w:hAnsi="Arial" w:cs="Arial"/>
        </w:rPr>
        <w:t xml:space="preserve"> </w:t>
      </w:r>
      <w:r w:rsidRPr="005138A0">
        <w:rPr>
          <w:rFonts w:ascii="Arial" w:hAnsi="Arial" w:cs="Arial"/>
        </w:rPr>
        <w:t>(</w:t>
      </w:r>
      <w:r w:rsidR="00E675E6">
        <w:rPr>
          <w:rFonts w:ascii="Arial" w:hAnsi="Arial" w:cs="Arial"/>
        </w:rPr>
        <w:t>21</w:t>
      </w:r>
      <w:r w:rsidRPr="005138A0">
        <w:rPr>
          <w:rFonts w:ascii="Arial" w:hAnsi="Arial" w:cs="Arial"/>
        </w:rPr>
        <w:t xml:space="preserve">) de </w:t>
      </w:r>
      <w:r w:rsidR="00E675E6">
        <w:rPr>
          <w:rFonts w:ascii="Arial" w:hAnsi="Arial" w:cs="Arial"/>
        </w:rPr>
        <w:t>julio</w:t>
      </w:r>
      <w:r w:rsidRPr="005138A0">
        <w:rPr>
          <w:rFonts w:ascii="Arial" w:hAnsi="Arial" w:cs="Arial"/>
        </w:rPr>
        <w:t xml:space="preserve"> de dos mil </w:t>
      </w:r>
      <w:r w:rsidR="00755E8F">
        <w:rPr>
          <w:rFonts w:ascii="Arial" w:hAnsi="Arial" w:cs="Arial"/>
        </w:rPr>
        <w:t>veintitrés</w:t>
      </w:r>
      <w:r w:rsidR="007D687B">
        <w:rPr>
          <w:rFonts w:ascii="Arial" w:hAnsi="Arial" w:cs="Arial"/>
        </w:rPr>
        <w:t xml:space="preserve"> </w:t>
      </w:r>
      <w:r w:rsidRPr="005138A0">
        <w:rPr>
          <w:rFonts w:ascii="Arial" w:hAnsi="Arial" w:cs="Arial"/>
        </w:rPr>
        <w:t>(202</w:t>
      </w:r>
      <w:r w:rsidR="00755E8F">
        <w:rPr>
          <w:rFonts w:ascii="Arial" w:hAnsi="Arial" w:cs="Arial"/>
        </w:rPr>
        <w:t>3</w:t>
      </w:r>
      <w:bookmarkStart w:id="0" w:name="_GoBack"/>
      <w:bookmarkEnd w:id="0"/>
      <w:r w:rsidRPr="005138A0">
        <w:rPr>
          <w:rFonts w:ascii="Arial" w:hAnsi="Arial" w:cs="Arial"/>
        </w:rPr>
        <w:t>)</w:t>
      </w:r>
      <w:r w:rsidR="00CA6D9A" w:rsidRPr="005138A0">
        <w:rPr>
          <w:rFonts w:ascii="Arial" w:hAnsi="Arial" w:cs="Arial"/>
        </w:rPr>
        <w:t>.</w:t>
      </w:r>
    </w:p>
    <w:p w14:paraId="0A6DB7FF" w14:textId="157F8E9C" w:rsidR="00CA6D9A" w:rsidRPr="005138A0" w:rsidRDefault="00CA6D9A" w:rsidP="00BA7D76">
      <w:pPr>
        <w:tabs>
          <w:tab w:val="left" w:pos="3210"/>
          <w:tab w:val="center" w:pos="3996"/>
        </w:tabs>
        <w:contextualSpacing/>
        <w:jc w:val="center"/>
        <w:rPr>
          <w:rFonts w:ascii="Arial" w:hAnsi="Arial" w:cs="Arial"/>
          <w:b/>
        </w:rPr>
      </w:pPr>
    </w:p>
    <w:p w14:paraId="598EB742" w14:textId="77777777" w:rsidR="00BE249F" w:rsidRPr="005138A0" w:rsidRDefault="00BE249F" w:rsidP="00BA7D76">
      <w:pPr>
        <w:tabs>
          <w:tab w:val="left" w:pos="3210"/>
          <w:tab w:val="center" w:pos="3996"/>
        </w:tabs>
        <w:contextualSpacing/>
        <w:jc w:val="center"/>
        <w:rPr>
          <w:rFonts w:ascii="Arial" w:hAnsi="Arial" w:cs="Arial"/>
          <w:b/>
        </w:rPr>
      </w:pPr>
    </w:p>
    <w:p w14:paraId="1DAB7D52" w14:textId="4E59A38D" w:rsidR="00AD21BB" w:rsidRDefault="00CA6D9A" w:rsidP="00BA666A">
      <w:pPr>
        <w:tabs>
          <w:tab w:val="left" w:pos="3210"/>
          <w:tab w:val="center" w:pos="3996"/>
        </w:tabs>
        <w:ind w:firstLine="567"/>
        <w:contextualSpacing/>
        <w:jc w:val="both"/>
        <w:rPr>
          <w:rFonts w:ascii="Arial" w:hAnsi="Arial" w:cs="Arial"/>
          <w:b/>
        </w:rPr>
      </w:pPr>
      <w:proofErr w:type="spellStart"/>
      <w:r w:rsidRPr="005138A0">
        <w:rPr>
          <w:rFonts w:ascii="Arial" w:hAnsi="Arial" w:cs="Arial"/>
          <w:bCs/>
        </w:rPr>
        <w:t>R</w:t>
      </w:r>
      <w:r w:rsidR="008373B0" w:rsidRPr="005138A0">
        <w:rPr>
          <w:rFonts w:ascii="Arial" w:hAnsi="Arial" w:cs="Arial"/>
          <w:bCs/>
        </w:rPr>
        <w:t>ef</w:t>
      </w:r>
      <w:proofErr w:type="spellEnd"/>
      <w:r w:rsidRPr="005138A0">
        <w:rPr>
          <w:rFonts w:ascii="Arial" w:hAnsi="Arial" w:cs="Arial"/>
          <w:bCs/>
        </w:rPr>
        <w:t xml:space="preserve">: </w:t>
      </w:r>
      <w:r w:rsidR="00AD21BB">
        <w:rPr>
          <w:rFonts w:ascii="Arial" w:hAnsi="Arial" w:cs="Arial"/>
          <w:bCs/>
        </w:rPr>
        <w:t xml:space="preserve">ACCIÓN DE TUTELA de </w:t>
      </w:r>
      <w:r w:rsidR="00E675E6">
        <w:rPr>
          <w:rFonts w:ascii="Arial" w:hAnsi="Arial" w:cs="Arial"/>
          <w:bCs/>
        </w:rPr>
        <w:t>ALEJANDRO MARIN DUQUE contra ALCALDÍA LOCAL DE KENNEDY y el DEPATAMENTO ADMINISTRATIVO DE LA DEFENSORÍA DEL ESPACIO PUBLICO - DADEP.</w:t>
      </w:r>
      <w:r w:rsidR="00E675E6" w:rsidRPr="005979EC">
        <w:rPr>
          <w:rFonts w:ascii="Arial" w:hAnsi="Arial" w:cs="Arial"/>
          <w:bCs/>
        </w:rPr>
        <w:t xml:space="preserve"> </w:t>
      </w:r>
      <w:proofErr w:type="spellStart"/>
      <w:r w:rsidR="00E675E6" w:rsidRPr="0064439C">
        <w:rPr>
          <w:rFonts w:ascii="Arial" w:hAnsi="Arial" w:cs="Arial"/>
          <w:bCs/>
        </w:rPr>
        <w:t>Exp</w:t>
      </w:r>
      <w:proofErr w:type="spellEnd"/>
      <w:r w:rsidR="00E675E6" w:rsidRPr="0064439C">
        <w:rPr>
          <w:rFonts w:ascii="Arial" w:hAnsi="Arial" w:cs="Arial"/>
          <w:bCs/>
        </w:rPr>
        <w:t>. 11001-41</w:t>
      </w:r>
      <w:r w:rsidR="00E675E6">
        <w:rPr>
          <w:rFonts w:ascii="Arial" w:hAnsi="Arial" w:cs="Arial"/>
          <w:bCs/>
        </w:rPr>
        <w:t>-</w:t>
      </w:r>
      <w:r w:rsidR="00E675E6" w:rsidRPr="0064439C">
        <w:rPr>
          <w:rFonts w:ascii="Arial" w:hAnsi="Arial" w:cs="Arial"/>
          <w:bCs/>
        </w:rPr>
        <w:t>89-039-</w:t>
      </w:r>
      <w:r w:rsidR="00E675E6" w:rsidRPr="0064439C">
        <w:rPr>
          <w:rFonts w:ascii="Arial" w:hAnsi="Arial" w:cs="Arial"/>
          <w:b/>
        </w:rPr>
        <w:t>202</w:t>
      </w:r>
      <w:r w:rsidR="00E675E6">
        <w:rPr>
          <w:rFonts w:ascii="Arial" w:hAnsi="Arial" w:cs="Arial"/>
          <w:b/>
        </w:rPr>
        <w:t>3</w:t>
      </w:r>
      <w:r w:rsidR="00E675E6" w:rsidRPr="0064439C">
        <w:rPr>
          <w:rFonts w:ascii="Arial" w:hAnsi="Arial" w:cs="Arial"/>
          <w:b/>
        </w:rPr>
        <w:t>-0</w:t>
      </w:r>
      <w:r w:rsidR="00E675E6">
        <w:rPr>
          <w:rFonts w:ascii="Arial" w:hAnsi="Arial" w:cs="Arial"/>
          <w:b/>
        </w:rPr>
        <w:t>1242</w:t>
      </w:r>
      <w:r w:rsidR="00AD21BB">
        <w:rPr>
          <w:rFonts w:ascii="Arial" w:hAnsi="Arial" w:cs="Arial"/>
          <w:b/>
        </w:rPr>
        <w:t>-00.</w:t>
      </w:r>
    </w:p>
    <w:p w14:paraId="55D76BA5" w14:textId="77777777" w:rsidR="00AD21BB" w:rsidRDefault="00AD21BB" w:rsidP="00BA666A">
      <w:pPr>
        <w:tabs>
          <w:tab w:val="left" w:pos="3210"/>
          <w:tab w:val="center" w:pos="3996"/>
        </w:tabs>
        <w:ind w:firstLine="567"/>
        <w:contextualSpacing/>
        <w:jc w:val="both"/>
        <w:rPr>
          <w:rFonts w:ascii="Arial" w:hAnsi="Arial" w:cs="Arial"/>
          <w:b/>
        </w:rPr>
      </w:pPr>
    </w:p>
    <w:p w14:paraId="221F8668" w14:textId="178038A9" w:rsidR="007D687B" w:rsidRPr="00BE65A5" w:rsidRDefault="007D687B" w:rsidP="003077BB">
      <w:pPr>
        <w:tabs>
          <w:tab w:val="left" w:pos="3210"/>
          <w:tab w:val="center" w:pos="3996"/>
        </w:tabs>
        <w:ind w:firstLine="567"/>
        <w:contextualSpacing/>
        <w:jc w:val="both"/>
        <w:rPr>
          <w:rFonts w:ascii="Arial" w:hAnsi="Arial" w:cs="Arial"/>
          <w:b/>
        </w:rPr>
      </w:pPr>
      <w:r>
        <w:rPr>
          <w:rFonts w:ascii="Arial" w:hAnsi="Arial" w:cs="Arial"/>
        </w:rPr>
        <w:t xml:space="preserve">Correspondió por reparto del martes </w:t>
      </w:r>
      <w:r w:rsidR="00E675E6">
        <w:rPr>
          <w:rFonts w:ascii="Arial" w:hAnsi="Arial" w:cs="Arial"/>
        </w:rPr>
        <w:t>11</w:t>
      </w:r>
      <w:r>
        <w:rPr>
          <w:rFonts w:ascii="Arial" w:hAnsi="Arial" w:cs="Arial"/>
        </w:rPr>
        <w:t xml:space="preserve"> de </w:t>
      </w:r>
      <w:r w:rsidR="00E675E6">
        <w:rPr>
          <w:rFonts w:ascii="Arial" w:hAnsi="Arial" w:cs="Arial"/>
        </w:rPr>
        <w:t>julio</w:t>
      </w:r>
      <w:r>
        <w:rPr>
          <w:rFonts w:ascii="Arial" w:hAnsi="Arial" w:cs="Arial"/>
        </w:rPr>
        <w:t xml:space="preserve"> de la presente anualidad, la acción de tutela instaurada por </w:t>
      </w:r>
      <w:r w:rsidR="00E675E6">
        <w:rPr>
          <w:rFonts w:ascii="Arial" w:hAnsi="Arial" w:cs="Arial"/>
        </w:rPr>
        <w:t>e</w:t>
      </w:r>
      <w:r>
        <w:rPr>
          <w:rFonts w:ascii="Arial" w:hAnsi="Arial" w:cs="Arial"/>
        </w:rPr>
        <w:t xml:space="preserve">l señor </w:t>
      </w:r>
      <w:r w:rsidR="00E675E6" w:rsidRPr="00E675E6">
        <w:rPr>
          <w:rFonts w:ascii="Arial" w:hAnsi="Arial" w:cs="Arial"/>
          <w:b/>
        </w:rPr>
        <w:t>ALEJANDRO MARIN DUQUE</w:t>
      </w:r>
      <w:r w:rsidRPr="007D687B">
        <w:rPr>
          <w:rFonts w:ascii="Arial" w:hAnsi="Arial" w:cs="Arial"/>
          <w:b/>
        </w:rPr>
        <w:t xml:space="preserve"> </w:t>
      </w:r>
      <w:r>
        <w:rPr>
          <w:rFonts w:ascii="Arial" w:hAnsi="Arial" w:cs="Arial"/>
          <w:bCs/>
        </w:rPr>
        <w:t>identificad</w:t>
      </w:r>
      <w:r w:rsidR="00E675E6">
        <w:rPr>
          <w:rFonts w:ascii="Arial" w:hAnsi="Arial" w:cs="Arial"/>
          <w:bCs/>
        </w:rPr>
        <w:t xml:space="preserve">o </w:t>
      </w:r>
      <w:r>
        <w:rPr>
          <w:rFonts w:ascii="Arial" w:hAnsi="Arial" w:cs="Arial"/>
          <w:bCs/>
        </w:rPr>
        <w:t xml:space="preserve">con cédula de ciudadanía No. </w:t>
      </w:r>
      <w:r w:rsidR="00E675E6">
        <w:rPr>
          <w:rFonts w:ascii="Arial" w:hAnsi="Arial" w:cs="Arial"/>
          <w:bCs/>
        </w:rPr>
        <w:t>80.151.410</w:t>
      </w:r>
      <w:r>
        <w:rPr>
          <w:rFonts w:ascii="Arial" w:hAnsi="Arial" w:cs="Arial"/>
          <w:bCs/>
        </w:rPr>
        <w:t>,</w:t>
      </w:r>
      <w:r>
        <w:rPr>
          <w:rFonts w:ascii="Arial" w:hAnsi="Arial" w:cs="Arial"/>
          <w:b/>
        </w:rPr>
        <w:t xml:space="preserve"> </w:t>
      </w:r>
      <w:r w:rsidR="00E675E6">
        <w:rPr>
          <w:rFonts w:ascii="Arial" w:hAnsi="Arial" w:cs="Arial"/>
          <w:bCs/>
        </w:rPr>
        <w:t xml:space="preserve">quien actúa en causa propia, en contra de </w:t>
      </w:r>
      <w:r w:rsidR="00E675E6" w:rsidRPr="009A0226">
        <w:rPr>
          <w:rFonts w:ascii="Arial" w:hAnsi="Arial" w:cs="Arial"/>
          <w:b/>
        </w:rPr>
        <w:t xml:space="preserve">ALCALDÍA LOCAL DE KENNEDY </w:t>
      </w:r>
      <w:r w:rsidR="00E675E6" w:rsidRPr="009A0226">
        <w:rPr>
          <w:rFonts w:ascii="Arial" w:hAnsi="Arial" w:cs="Arial"/>
          <w:bCs/>
        </w:rPr>
        <w:t>y</w:t>
      </w:r>
      <w:r w:rsidR="00E675E6" w:rsidRPr="009A0226">
        <w:rPr>
          <w:rFonts w:ascii="Arial" w:hAnsi="Arial" w:cs="Arial"/>
          <w:b/>
        </w:rPr>
        <w:t xml:space="preserve"> </w:t>
      </w:r>
      <w:r w:rsidR="00E675E6" w:rsidRPr="009A0226">
        <w:rPr>
          <w:rFonts w:ascii="Arial" w:hAnsi="Arial" w:cs="Arial"/>
          <w:bCs/>
        </w:rPr>
        <w:t xml:space="preserve">el </w:t>
      </w:r>
      <w:r w:rsidR="00E675E6" w:rsidRPr="009A0226">
        <w:rPr>
          <w:rFonts w:ascii="Arial" w:hAnsi="Arial" w:cs="Arial"/>
          <w:b/>
        </w:rPr>
        <w:t xml:space="preserve">DEPATAMENTO ADMINISTRATIVO DE LA DEFENSORÍA DEL ESPACIO PUBLICO </w:t>
      </w:r>
      <w:r w:rsidR="00E675E6">
        <w:rPr>
          <w:rFonts w:ascii="Arial" w:hAnsi="Arial" w:cs="Arial"/>
          <w:b/>
        </w:rPr>
        <w:t>–</w:t>
      </w:r>
      <w:r w:rsidR="00E675E6" w:rsidRPr="009A0226">
        <w:rPr>
          <w:rFonts w:ascii="Arial" w:hAnsi="Arial" w:cs="Arial"/>
          <w:b/>
        </w:rPr>
        <w:t xml:space="preserve"> DADEP</w:t>
      </w:r>
      <w:r w:rsidR="00BE65A5">
        <w:rPr>
          <w:rFonts w:ascii="Arial" w:hAnsi="Arial" w:cs="Arial"/>
          <w:bCs/>
        </w:rPr>
        <w:t xml:space="preserve">, </w:t>
      </w:r>
      <w:r>
        <w:rPr>
          <w:rFonts w:ascii="Arial" w:hAnsi="Arial" w:cs="Arial"/>
          <w:bCs/>
        </w:rPr>
        <w:t xml:space="preserve">para la protección de su derecho fundamental </w:t>
      </w:r>
      <w:r w:rsidR="00BE65A5">
        <w:rPr>
          <w:rFonts w:ascii="Arial" w:hAnsi="Arial" w:cs="Arial"/>
          <w:bCs/>
        </w:rPr>
        <w:t>a la vida, integridad y vivienda digna, mediante la cual solicitó</w:t>
      </w:r>
      <w:r>
        <w:rPr>
          <w:rFonts w:ascii="Arial" w:hAnsi="Arial" w:cs="Arial"/>
          <w:bCs/>
        </w:rPr>
        <w:t xml:space="preserve">: </w:t>
      </w:r>
      <w:r w:rsidRPr="00F619B9">
        <w:rPr>
          <w:rFonts w:ascii="Arial" w:hAnsi="Arial" w:cs="Arial"/>
          <w:bCs/>
          <w:i/>
        </w:rPr>
        <w:t>“…</w:t>
      </w:r>
      <w:r w:rsidR="00BE65A5">
        <w:rPr>
          <w:rFonts w:ascii="Arial" w:hAnsi="Arial" w:cs="Arial"/>
          <w:bCs/>
          <w:i/>
        </w:rPr>
        <w:t>suspenda la diligencia programada para el 17 de julio de 2023 y ejecute de manera oportuna los (sic) acciones necesarias para ejecutar el PACEP</w:t>
      </w:r>
      <w:r>
        <w:rPr>
          <w:rFonts w:ascii="Arial" w:hAnsi="Arial" w:cs="Arial"/>
          <w:bCs/>
        </w:rPr>
        <w:t>…”, aunado a l</w:t>
      </w:r>
      <w:r w:rsidR="00DC2769">
        <w:rPr>
          <w:rFonts w:ascii="Arial" w:hAnsi="Arial" w:cs="Arial"/>
          <w:bCs/>
        </w:rPr>
        <w:t>os supuestos fácticos enunciados por la parte accionante</w:t>
      </w:r>
      <w:r w:rsidR="00BE65A5">
        <w:rPr>
          <w:rFonts w:ascii="Arial" w:hAnsi="Arial" w:cs="Arial"/>
          <w:bCs/>
        </w:rPr>
        <w:t xml:space="preserve"> y del informe rendido por la accionada</w:t>
      </w:r>
      <w:r w:rsidR="003077BB">
        <w:rPr>
          <w:rFonts w:ascii="Arial" w:hAnsi="Arial" w:cs="Arial"/>
          <w:bCs/>
        </w:rPr>
        <w:t xml:space="preserve"> donde refiere que: </w:t>
      </w:r>
      <w:r w:rsidR="003077BB" w:rsidRPr="003077BB">
        <w:rPr>
          <w:rFonts w:ascii="Arial" w:hAnsi="Arial" w:cs="Arial"/>
          <w:bCs/>
          <w:i/>
        </w:rPr>
        <w:t xml:space="preserve">“…se han recibido un número plural de acciones de tutela incoadas por presuntos propietarios, pues no se tiene prueba que acredite tal calidad sino la mera manifestación hecha en los escritos, de diferentes conjuntos que componen la manzana conocida como “Casablanca” en la localidad de Kennedy. </w:t>
      </w:r>
      <w:r w:rsidR="003077BB" w:rsidRPr="003077BB">
        <w:rPr>
          <w:rFonts w:ascii="Arial" w:hAnsi="Arial" w:cs="Arial"/>
          <w:b/>
          <w:bCs/>
          <w:i/>
        </w:rPr>
        <w:t>Acciones de tutela que se caracterizan por no estar completas, por no identificar plenamente pretensiones y por tener un idéntico formato, salvo por el nombre del accionante”</w:t>
      </w:r>
      <w:r w:rsidR="00DC2769">
        <w:rPr>
          <w:rFonts w:ascii="Arial" w:hAnsi="Arial" w:cs="Arial"/>
          <w:bCs/>
        </w:rPr>
        <w:t xml:space="preserve">, permitió evidenciar que </w:t>
      </w:r>
      <w:r w:rsidR="00BA666A">
        <w:rPr>
          <w:rFonts w:ascii="Arial" w:hAnsi="Arial" w:cs="Arial"/>
          <w:bCs/>
        </w:rPr>
        <w:t xml:space="preserve">bajo la misma situación fáctica se han formulado veinte (20) acciones constitucionales, siendo </w:t>
      </w:r>
      <w:r w:rsidR="00DC2769">
        <w:rPr>
          <w:rFonts w:ascii="Arial" w:hAnsi="Arial" w:cs="Arial"/>
          <w:bCs/>
        </w:rPr>
        <w:t xml:space="preserve">el Juzgado </w:t>
      </w:r>
      <w:r w:rsidR="00BE65A5">
        <w:rPr>
          <w:rFonts w:ascii="Arial" w:hAnsi="Arial" w:cs="Arial"/>
          <w:bCs/>
        </w:rPr>
        <w:t>54</w:t>
      </w:r>
      <w:r w:rsidR="00DC2769">
        <w:rPr>
          <w:rFonts w:ascii="Arial" w:hAnsi="Arial" w:cs="Arial"/>
          <w:bCs/>
        </w:rPr>
        <w:t xml:space="preserve"> </w:t>
      </w:r>
      <w:r w:rsidR="00BE65A5">
        <w:rPr>
          <w:rFonts w:ascii="Arial" w:hAnsi="Arial" w:cs="Arial"/>
          <w:bCs/>
        </w:rPr>
        <w:t>Civil</w:t>
      </w:r>
      <w:r w:rsidR="00DC2769">
        <w:rPr>
          <w:rFonts w:ascii="Arial" w:hAnsi="Arial" w:cs="Arial"/>
          <w:bCs/>
        </w:rPr>
        <w:t xml:space="preserve"> Municipal de Bogotá -</w:t>
      </w:r>
      <w:r w:rsidR="00BE65A5">
        <w:rPr>
          <w:rFonts w:ascii="Arial" w:hAnsi="Arial" w:cs="Arial"/>
          <w:bCs/>
        </w:rPr>
        <w:t>pág.</w:t>
      </w:r>
      <w:r w:rsidR="00DC2769">
        <w:rPr>
          <w:rFonts w:ascii="Arial" w:hAnsi="Arial" w:cs="Arial"/>
          <w:bCs/>
        </w:rPr>
        <w:t xml:space="preserve"> </w:t>
      </w:r>
      <w:r w:rsidR="00BE65A5">
        <w:rPr>
          <w:rFonts w:ascii="Arial" w:hAnsi="Arial" w:cs="Arial"/>
          <w:bCs/>
        </w:rPr>
        <w:t>2</w:t>
      </w:r>
      <w:r w:rsidR="00DC2769">
        <w:rPr>
          <w:rFonts w:ascii="Arial" w:hAnsi="Arial" w:cs="Arial"/>
          <w:bCs/>
        </w:rPr>
        <w:t xml:space="preserve">. </w:t>
      </w:r>
      <w:proofErr w:type="spellStart"/>
      <w:r w:rsidR="00DC2769">
        <w:rPr>
          <w:rFonts w:ascii="Arial" w:hAnsi="Arial" w:cs="Arial"/>
          <w:bCs/>
        </w:rPr>
        <w:t>fl</w:t>
      </w:r>
      <w:proofErr w:type="spellEnd"/>
      <w:r w:rsidR="00DC2769">
        <w:rPr>
          <w:rFonts w:ascii="Arial" w:hAnsi="Arial" w:cs="Arial"/>
          <w:bCs/>
        </w:rPr>
        <w:t xml:space="preserve">. </w:t>
      </w:r>
      <w:r w:rsidR="00BE65A5">
        <w:rPr>
          <w:rFonts w:ascii="Arial" w:hAnsi="Arial" w:cs="Arial"/>
          <w:bCs/>
        </w:rPr>
        <w:t>9</w:t>
      </w:r>
      <w:r w:rsidR="00DC2769">
        <w:rPr>
          <w:rFonts w:ascii="Arial" w:hAnsi="Arial" w:cs="Arial"/>
          <w:bCs/>
        </w:rPr>
        <w:t xml:space="preserve"> cuaderno de tutela- fue la primera autoridad judicial en conocer la presunta transgresión</w:t>
      </w:r>
      <w:r w:rsidR="00BA666A">
        <w:rPr>
          <w:rFonts w:ascii="Arial" w:hAnsi="Arial" w:cs="Arial"/>
          <w:bCs/>
        </w:rPr>
        <w:t xml:space="preserve"> al proferir decisión del 10 de julio del año 2023</w:t>
      </w:r>
      <w:r w:rsidR="00DC2769">
        <w:rPr>
          <w:rFonts w:ascii="Arial" w:hAnsi="Arial" w:cs="Arial"/>
          <w:bCs/>
        </w:rPr>
        <w:t>.</w:t>
      </w:r>
    </w:p>
    <w:p w14:paraId="76D44C69" w14:textId="77777777" w:rsidR="007D687B" w:rsidRDefault="007D687B" w:rsidP="00BA666A">
      <w:pPr>
        <w:tabs>
          <w:tab w:val="left" w:pos="3210"/>
          <w:tab w:val="center" w:pos="3996"/>
        </w:tabs>
        <w:ind w:firstLine="567"/>
        <w:contextualSpacing/>
        <w:jc w:val="both"/>
        <w:rPr>
          <w:rFonts w:ascii="Arial" w:hAnsi="Arial" w:cs="Arial"/>
        </w:rPr>
      </w:pPr>
    </w:p>
    <w:p w14:paraId="6C6BB30A" w14:textId="09735058" w:rsidR="00DC2769" w:rsidRPr="001F2B86" w:rsidRDefault="00DC2769" w:rsidP="00BA666A">
      <w:pPr>
        <w:tabs>
          <w:tab w:val="left" w:pos="3210"/>
          <w:tab w:val="center" w:pos="3996"/>
        </w:tabs>
        <w:ind w:firstLine="567"/>
        <w:contextualSpacing/>
        <w:jc w:val="both"/>
        <w:rPr>
          <w:rFonts w:ascii="Arial" w:hAnsi="Arial" w:cs="Arial"/>
          <w:bCs/>
        </w:rPr>
      </w:pPr>
      <w:r>
        <w:rPr>
          <w:rFonts w:ascii="Arial" w:hAnsi="Arial" w:cs="Arial"/>
        </w:rPr>
        <w:t xml:space="preserve">De lo anterior se concluye sin lugar a duda que el </w:t>
      </w:r>
      <w:r w:rsidR="00BE65A5" w:rsidRPr="00BE65A5">
        <w:rPr>
          <w:rFonts w:ascii="Arial" w:hAnsi="Arial" w:cs="Arial"/>
          <w:b/>
        </w:rPr>
        <w:t xml:space="preserve">Juzgado 54 Civil Municipal de Bogotá </w:t>
      </w:r>
      <w:r>
        <w:rPr>
          <w:rFonts w:ascii="Arial" w:hAnsi="Arial" w:cs="Arial"/>
        </w:rPr>
        <w:t xml:space="preserve">fue quien </w:t>
      </w:r>
      <w:r w:rsidRPr="00E566AC">
        <w:rPr>
          <w:rFonts w:ascii="Arial" w:hAnsi="Arial" w:cs="Arial"/>
          <w:b/>
          <w:u w:val="single"/>
        </w:rPr>
        <w:t>AVOCÓ</w:t>
      </w:r>
      <w:r>
        <w:rPr>
          <w:rFonts w:ascii="Arial" w:hAnsi="Arial" w:cs="Arial"/>
        </w:rPr>
        <w:t>, en primer lugar, la respectiva acción de tutela con fundamento en los mismos hechos que la que aquí nos concierne, razón por la que en los términos del</w:t>
      </w:r>
      <w:r w:rsidRPr="001F2B86">
        <w:rPr>
          <w:rFonts w:ascii="Arial" w:hAnsi="Arial" w:cs="Arial"/>
          <w:bCs/>
        </w:rPr>
        <w:t xml:space="preserve"> Decreto 1834 de</w:t>
      </w:r>
      <w:r>
        <w:rPr>
          <w:rFonts w:ascii="Arial" w:hAnsi="Arial" w:cs="Arial"/>
          <w:bCs/>
        </w:rPr>
        <w:t>l</w:t>
      </w:r>
      <w:r w:rsidRPr="001F2B86">
        <w:rPr>
          <w:rFonts w:ascii="Arial" w:hAnsi="Arial" w:cs="Arial"/>
          <w:bCs/>
        </w:rPr>
        <w:t xml:space="preserve"> 16 de septiembre de 2015, </w:t>
      </w:r>
      <w:r>
        <w:rPr>
          <w:rFonts w:ascii="Arial" w:hAnsi="Arial" w:cs="Arial"/>
          <w:bCs/>
        </w:rPr>
        <w:t xml:space="preserve">que </w:t>
      </w:r>
      <w:r w:rsidRPr="001F2B86">
        <w:rPr>
          <w:rFonts w:ascii="Arial" w:hAnsi="Arial" w:cs="Arial"/>
          <w:bCs/>
        </w:rPr>
        <w:t>determinó las</w:t>
      </w:r>
      <w:r>
        <w:rPr>
          <w:rFonts w:ascii="Arial" w:hAnsi="Arial" w:cs="Arial"/>
          <w:bCs/>
        </w:rPr>
        <w:t xml:space="preserve"> </w:t>
      </w:r>
      <w:r w:rsidRPr="001F2B86">
        <w:rPr>
          <w:rFonts w:ascii="Arial" w:hAnsi="Arial" w:cs="Arial"/>
          <w:bCs/>
        </w:rPr>
        <w:t xml:space="preserve">reglas de reparto de las tutelas masivas, </w:t>
      </w:r>
      <w:r>
        <w:rPr>
          <w:rFonts w:ascii="Arial" w:hAnsi="Arial" w:cs="Arial"/>
          <w:bCs/>
        </w:rPr>
        <w:t>es quien debe conocer de las restantes tutelas masivas, según los siguientes términos:</w:t>
      </w:r>
    </w:p>
    <w:p w14:paraId="7AC07287" w14:textId="77777777" w:rsidR="00DC2769" w:rsidRDefault="00DC2769" w:rsidP="00BA666A">
      <w:pPr>
        <w:tabs>
          <w:tab w:val="left" w:pos="3210"/>
          <w:tab w:val="center" w:pos="3996"/>
        </w:tabs>
        <w:ind w:firstLine="567"/>
        <w:contextualSpacing/>
        <w:jc w:val="both"/>
        <w:rPr>
          <w:rFonts w:ascii="Arial" w:hAnsi="Arial" w:cs="Arial"/>
          <w:bCs/>
        </w:rPr>
      </w:pPr>
    </w:p>
    <w:p w14:paraId="43F69476" w14:textId="77777777" w:rsidR="00DC2769" w:rsidRDefault="00DC2769" w:rsidP="00BA666A">
      <w:pPr>
        <w:tabs>
          <w:tab w:val="left" w:pos="3210"/>
          <w:tab w:val="center" w:pos="3996"/>
        </w:tabs>
        <w:ind w:firstLine="567"/>
        <w:contextualSpacing/>
        <w:jc w:val="both"/>
        <w:rPr>
          <w:rFonts w:ascii="Arial" w:hAnsi="Arial" w:cs="Arial"/>
          <w:bCs/>
        </w:rPr>
      </w:pPr>
      <w:r>
        <w:rPr>
          <w:rFonts w:ascii="Arial" w:hAnsi="Arial" w:cs="Arial"/>
          <w:bCs/>
          <w:i/>
        </w:rPr>
        <w:t>“</w:t>
      </w:r>
      <w:r w:rsidRPr="001F2B86">
        <w:rPr>
          <w:rFonts w:ascii="Arial" w:hAnsi="Arial" w:cs="Arial"/>
          <w:bCs/>
          <w:i/>
        </w:rPr>
        <w:t xml:space="preserve">ARTÍCULO 2.2.3.1.3.1. Reparto de acciones de tutela masivas. Las acciones de tutela que persigan la protección de los mismos derechos fundamentales, presuntamente amenazados o vulnerados por una sola y misma acción u omisión de una autoridad pública o de un particular </w:t>
      </w:r>
      <w:r w:rsidRPr="00E566AC">
        <w:rPr>
          <w:rFonts w:ascii="Arial" w:hAnsi="Arial" w:cs="Arial"/>
          <w:b/>
          <w:bCs/>
          <w:i/>
        </w:rPr>
        <w:t>se asignarán, todas, al despacho judicial que, según las reglas de competencia, hubiese avocado en primer lugar el conocimiento de la primera de ellas.</w:t>
      </w:r>
      <w:r w:rsidRPr="001F2B86">
        <w:rPr>
          <w:rFonts w:ascii="Arial" w:hAnsi="Arial" w:cs="Arial"/>
          <w:bCs/>
          <w:i/>
        </w:rPr>
        <w:t xml:space="preserve"> (...)”</w:t>
      </w:r>
      <w:r>
        <w:rPr>
          <w:rFonts w:ascii="Arial" w:hAnsi="Arial" w:cs="Arial"/>
          <w:bCs/>
        </w:rPr>
        <w:t>.</w:t>
      </w:r>
    </w:p>
    <w:p w14:paraId="65AA509A" w14:textId="77777777" w:rsidR="00DC2769" w:rsidRDefault="00DC2769" w:rsidP="00BA666A">
      <w:pPr>
        <w:tabs>
          <w:tab w:val="left" w:pos="3210"/>
          <w:tab w:val="center" w:pos="3996"/>
        </w:tabs>
        <w:ind w:firstLine="567"/>
        <w:contextualSpacing/>
        <w:jc w:val="both"/>
        <w:rPr>
          <w:rFonts w:ascii="Arial" w:hAnsi="Arial" w:cs="Arial"/>
          <w:bCs/>
        </w:rPr>
      </w:pPr>
    </w:p>
    <w:p w14:paraId="51E306B3" w14:textId="77777777" w:rsidR="00DC2769" w:rsidRDefault="00DC2769" w:rsidP="00BA666A">
      <w:pPr>
        <w:tabs>
          <w:tab w:val="left" w:pos="3210"/>
          <w:tab w:val="center" w:pos="3996"/>
        </w:tabs>
        <w:ind w:firstLine="567"/>
        <w:contextualSpacing/>
        <w:jc w:val="both"/>
        <w:rPr>
          <w:rFonts w:ascii="Arial" w:hAnsi="Arial" w:cs="Arial"/>
          <w:bCs/>
        </w:rPr>
      </w:pPr>
      <w:r>
        <w:rPr>
          <w:rFonts w:ascii="Arial" w:hAnsi="Arial" w:cs="Arial"/>
          <w:bCs/>
        </w:rPr>
        <w:t xml:space="preserve">Frente a la temática </w:t>
      </w:r>
      <w:r w:rsidRPr="001F2B86">
        <w:rPr>
          <w:rFonts w:ascii="Arial" w:hAnsi="Arial" w:cs="Arial"/>
          <w:bCs/>
        </w:rPr>
        <w:t xml:space="preserve">la </w:t>
      </w:r>
      <w:r>
        <w:rPr>
          <w:rFonts w:ascii="Arial" w:hAnsi="Arial" w:cs="Arial"/>
          <w:bCs/>
        </w:rPr>
        <w:t xml:space="preserve">H. </w:t>
      </w:r>
      <w:r w:rsidRPr="001F2B86">
        <w:rPr>
          <w:rFonts w:ascii="Arial" w:hAnsi="Arial" w:cs="Arial"/>
          <w:bCs/>
        </w:rPr>
        <w:t>Corte Constitucional determinó con</w:t>
      </w:r>
      <w:r>
        <w:rPr>
          <w:rFonts w:ascii="Arial" w:hAnsi="Arial" w:cs="Arial"/>
          <w:bCs/>
        </w:rPr>
        <w:t xml:space="preserve"> </w:t>
      </w:r>
      <w:r w:rsidRPr="001F2B86">
        <w:rPr>
          <w:rFonts w:ascii="Arial" w:hAnsi="Arial" w:cs="Arial"/>
          <w:bCs/>
        </w:rPr>
        <w:t>relación a la presentación masiva de tutelas, que:</w:t>
      </w:r>
    </w:p>
    <w:p w14:paraId="0D84EA4E" w14:textId="77777777" w:rsidR="00DC2769" w:rsidRDefault="00DC2769" w:rsidP="00BA666A">
      <w:pPr>
        <w:tabs>
          <w:tab w:val="left" w:pos="3210"/>
          <w:tab w:val="center" w:pos="3996"/>
        </w:tabs>
        <w:ind w:firstLine="567"/>
        <w:contextualSpacing/>
        <w:jc w:val="both"/>
        <w:rPr>
          <w:rFonts w:ascii="Arial" w:hAnsi="Arial" w:cs="Arial"/>
          <w:bCs/>
        </w:rPr>
      </w:pPr>
    </w:p>
    <w:p w14:paraId="7B5CF691" w14:textId="77777777" w:rsidR="00DC2769" w:rsidRDefault="00DC2769" w:rsidP="00BA666A">
      <w:pPr>
        <w:tabs>
          <w:tab w:val="left" w:pos="3210"/>
          <w:tab w:val="center" w:pos="3996"/>
        </w:tabs>
        <w:ind w:firstLine="567"/>
        <w:contextualSpacing/>
        <w:jc w:val="both"/>
        <w:rPr>
          <w:rFonts w:ascii="Arial" w:hAnsi="Arial" w:cs="Arial"/>
          <w:bCs/>
          <w:i/>
        </w:rPr>
      </w:pPr>
      <w:r w:rsidRPr="001F2B86">
        <w:rPr>
          <w:rFonts w:ascii="Arial" w:hAnsi="Arial" w:cs="Arial"/>
          <w:bCs/>
          <w:i/>
        </w:rPr>
        <w:t xml:space="preserve">“5. En atención a que, entre otras cosas,(i) “se ha vuelto usual que, frente a una misma acción u omisión de una entidad pública o de un particular, muchas personas acuden masivamente a la acción de tutela para obtener la protección judicial de sus derechos fundamentales, práctica comúnmente conocida como ‘la </w:t>
      </w:r>
      <w:proofErr w:type="spellStart"/>
      <w:r w:rsidRPr="001F2B86">
        <w:rPr>
          <w:rFonts w:ascii="Arial" w:hAnsi="Arial" w:cs="Arial"/>
          <w:bCs/>
          <w:i/>
        </w:rPr>
        <w:t>tutelatón</w:t>
      </w:r>
      <w:proofErr w:type="spellEnd"/>
      <w:r w:rsidRPr="001F2B86">
        <w:rPr>
          <w:rFonts w:ascii="Arial" w:hAnsi="Arial" w:cs="Arial"/>
          <w:bCs/>
          <w:i/>
        </w:rPr>
        <w:t xml:space="preserve">’”; (ii) “en estos casos de acciones de tutela idénticas y masivas, presentadas contra una misma acción u omisión de una entidad pública o de un particular, el reparto de las acciones de tutela a jueces y tribunales distintos puede </w:t>
      </w:r>
      <w:r w:rsidRPr="001F2B86">
        <w:rPr>
          <w:rFonts w:ascii="Arial" w:hAnsi="Arial" w:cs="Arial"/>
          <w:bCs/>
          <w:i/>
        </w:rPr>
        <w:lastRenderedPageBreak/>
        <w:t>originar fallos contradictorios frente a una misma situación fáctica y jurídica, lo que resulta contrario a los principios de igualdad, coherencia y seguridad jurídica”; y (iii) “se hace necesario establecer mecanismos de reparto y de reasignación de procesos que faciliten la resolución de estas acciones por parte de una misma autoridad judicial, con el fin de asegurar la coherencia, igualdad y homogeneidad en la solución judicial de tutelas idénticas”; fue expidió el Decreto 1834 del 16 de septiembre de 2015.”</w:t>
      </w:r>
      <w:r>
        <w:rPr>
          <w:rStyle w:val="Refdenotaalpie"/>
          <w:rFonts w:ascii="Arial" w:hAnsi="Arial" w:cs="Arial"/>
          <w:bCs/>
          <w:i/>
        </w:rPr>
        <w:footnoteReference w:id="1"/>
      </w:r>
      <w:r w:rsidRPr="001F2B86">
        <w:rPr>
          <w:rFonts w:ascii="Arial" w:hAnsi="Arial" w:cs="Arial"/>
          <w:bCs/>
          <w:i/>
        </w:rPr>
        <w:t>.</w:t>
      </w:r>
    </w:p>
    <w:p w14:paraId="26CC786F" w14:textId="77777777" w:rsidR="00DC2769" w:rsidRDefault="00DC2769" w:rsidP="00BA666A">
      <w:pPr>
        <w:tabs>
          <w:tab w:val="left" w:pos="3210"/>
          <w:tab w:val="center" w:pos="3996"/>
        </w:tabs>
        <w:ind w:firstLine="567"/>
        <w:contextualSpacing/>
        <w:jc w:val="both"/>
        <w:rPr>
          <w:rFonts w:ascii="Arial" w:hAnsi="Arial" w:cs="Arial"/>
          <w:bCs/>
          <w:i/>
        </w:rPr>
      </w:pPr>
    </w:p>
    <w:p w14:paraId="135A059A" w14:textId="0B15F8C8" w:rsidR="00AB0883" w:rsidRPr="00DC2769" w:rsidRDefault="00DC2769" w:rsidP="00BA666A">
      <w:pPr>
        <w:tabs>
          <w:tab w:val="left" w:pos="3210"/>
          <w:tab w:val="center" w:pos="3996"/>
        </w:tabs>
        <w:ind w:firstLine="567"/>
        <w:contextualSpacing/>
        <w:jc w:val="both"/>
        <w:rPr>
          <w:rFonts w:ascii="Arial" w:hAnsi="Arial" w:cs="Arial"/>
          <w:bCs/>
          <w:i/>
        </w:rPr>
      </w:pPr>
      <w:r>
        <w:rPr>
          <w:rFonts w:ascii="Arial" w:hAnsi="Arial" w:cs="Arial"/>
        </w:rPr>
        <w:t xml:space="preserve">En ese contexto, se concluye </w:t>
      </w:r>
      <w:r w:rsidR="005027DE">
        <w:rPr>
          <w:rFonts w:ascii="Arial" w:hAnsi="Arial" w:cs="Arial"/>
        </w:rPr>
        <w:t xml:space="preserve">junto con la documental aportada y </w:t>
      </w:r>
      <w:r>
        <w:rPr>
          <w:rFonts w:ascii="Arial" w:hAnsi="Arial" w:cs="Arial"/>
        </w:rPr>
        <w:t xml:space="preserve">la </w:t>
      </w:r>
      <w:r w:rsidR="00BE65A5">
        <w:rPr>
          <w:rFonts w:ascii="Arial" w:hAnsi="Arial" w:cs="Arial"/>
        </w:rPr>
        <w:t xml:space="preserve">admisión efectuada </w:t>
      </w:r>
      <w:r>
        <w:rPr>
          <w:rFonts w:ascii="Arial" w:hAnsi="Arial" w:cs="Arial"/>
        </w:rPr>
        <w:t>e</w:t>
      </w:r>
      <w:r w:rsidR="005027DE">
        <w:rPr>
          <w:rFonts w:ascii="Arial" w:hAnsi="Arial" w:cs="Arial"/>
        </w:rPr>
        <w:t>l</w:t>
      </w:r>
      <w:r>
        <w:rPr>
          <w:rFonts w:ascii="Arial" w:hAnsi="Arial" w:cs="Arial"/>
        </w:rPr>
        <w:t xml:space="preserve"> </w:t>
      </w:r>
      <w:r w:rsidR="00BE65A5">
        <w:rPr>
          <w:rFonts w:ascii="Arial" w:hAnsi="Arial" w:cs="Arial"/>
          <w:bCs/>
        </w:rPr>
        <w:t>10</w:t>
      </w:r>
      <w:r>
        <w:rPr>
          <w:rFonts w:ascii="Arial" w:hAnsi="Arial" w:cs="Arial"/>
          <w:bCs/>
        </w:rPr>
        <w:t xml:space="preserve"> de </w:t>
      </w:r>
      <w:r w:rsidR="00BE65A5">
        <w:rPr>
          <w:rFonts w:ascii="Arial" w:hAnsi="Arial" w:cs="Arial"/>
          <w:bCs/>
        </w:rPr>
        <w:t>julio</w:t>
      </w:r>
      <w:r>
        <w:rPr>
          <w:rFonts w:ascii="Arial" w:hAnsi="Arial" w:cs="Arial"/>
          <w:bCs/>
        </w:rPr>
        <w:t xml:space="preserve"> del año 2021 por</w:t>
      </w:r>
      <w:r w:rsidR="005027DE">
        <w:rPr>
          <w:rFonts w:ascii="Arial" w:hAnsi="Arial" w:cs="Arial"/>
        </w:rPr>
        <w:t xml:space="preserve"> </w:t>
      </w:r>
      <w:r>
        <w:rPr>
          <w:rFonts w:ascii="Arial" w:hAnsi="Arial" w:cs="Arial"/>
        </w:rPr>
        <w:t xml:space="preserve">el </w:t>
      </w:r>
      <w:r>
        <w:rPr>
          <w:rFonts w:ascii="Arial" w:hAnsi="Arial" w:cs="Arial"/>
          <w:bCs/>
        </w:rPr>
        <w:t xml:space="preserve">Juzgado </w:t>
      </w:r>
      <w:r w:rsidR="00BE65A5" w:rsidRPr="00BE65A5">
        <w:rPr>
          <w:rFonts w:ascii="Arial" w:hAnsi="Arial" w:cs="Arial"/>
          <w:bCs/>
        </w:rPr>
        <w:t>54 Civil Municipal de Bogotá</w:t>
      </w:r>
      <w:r w:rsidR="00BE65A5">
        <w:rPr>
          <w:rFonts w:ascii="Arial" w:hAnsi="Arial" w:cs="Arial"/>
          <w:bCs/>
        </w:rPr>
        <w:t>,</w:t>
      </w:r>
      <w:r w:rsidR="00BE65A5" w:rsidRPr="00BE65A5">
        <w:rPr>
          <w:rFonts w:ascii="Arial" w:hAnsi="Arial" w:cs="Arial"/>
          <w:b/>
        </w:rPr>
        <w:t xml:space="preserve"> </w:t>
      </w:r>
      <w:r>
        <w:rPr>
          <w:rFonts w:ascii="Arial" w:hAnsi="Arial" w:cs="Arial"/>
          <w:bCs/>
        </w:rPr>
        <w:t xml:space="preserve">es </w:t>
      </w:r>
      <w:r w:rsidR="005027DE">
        <w:rPr>
          <w:rFonts w:ascii="Arial" w:hAnsi="Arial" w:cs="Arial"/>
        </w:rPr>
        <w:t>el despacho judicial que, según las reglas de competencia</w:t>
      </w:r>
      <w:r w:rsidR="00FC6F2C">
        <w:rPr>
          <w:rFonts w:ascii="Arial" w:hAnsi="Arial" w:cs="Arial"/>
        </w:rPr>
        <w:t>,</w:t>
      </w:r>
      <w:r w:rsidR="005027DE">
        <w:rPr>
          <w:rFonts w:ascii="Arial" w:hAnsi="Arial" w:cs="Arial"/>
        </w:rPr>
        <w:t xml:space="preserve"> </w:t>
      </w:r>
      <w:r>
        <w:rPr>
          <w:rFonts w:ascii="Arial" w:hAnsi="Arial" w:cs="Arial"/>
        </w:rPr>
        <w:t xml:space="preserve">se itera, </w:t>
      </w:r>
      <w:r w:rsidR="005027DE">
        <w:rPr>
          <w:rFonts w:ascii="Arial" w:hAnsi="Arial" w:cs="Arial"/>
        </w:rPr>
        <w:t>avocó en primer lugar el conocimiento</w:t>
      </w:r>
      <w:r w:rsidR="006F2686">
        <w:rPr>
          <w:rFonts w:ascii="Arial" w:hAnsi="Arial" w:cs="Arial"/>
        </w:rPr>
        <w:t>, no obstante, se aclara que de considerar que no es a quien recae dicha competencia, se deberá remitir a quien se considere es el competente.</w:t>
      </w:r>
    </w:p>
    <w:p w14:paraId="3BDEC3C7" w14:textId="6C097F15" w:rsidR="005027DE" w:rsidRDefault="005027DE" w:rsidP="00BA666A">
      <w:pPr>
        <w:tabs>
          <w:tab w:val="left" w:pos="3210"/>
          <w:tab w:val="center" w:pos="3996"/>
        </w:tabs>
        <w:ind w:firstLine="567"/>
        <w:contextualSpacing/>
        <w:jc w:val="both"/>
        <w:rPr>
          <w:rFonts w:ascii="Arial" w:hAnsi="Arial" w:cs="Arial"/>
        </w:rPr>
      </w:pPr>
    </w:p>
    <w:p w14:paraId="057E0489" w14:textId="77777777" w:rsidR="00FC6F2C" w:rsidRDefault="005027DE" w:rsidP="00BA666A">
      <w:pPr>
        <w:tabs>
          <w:tab w:val="left" w:pos="3210"/>
          <w:tab w:val="center" w:pos="3996"/>
        </w:tabs>
        <w:ind w:firstLine="567"/>
        <w:contextualSpacing/>
        <w:jc w:val="both"/>
        <w:rPr>
          <w:rFonts w:ascii="Arial" w:hAnsi="Arial" w:cs="Arial"/>
          <w:b/>
          <w:lang w:val="es-ES_tradnl"/>
        </w:rPr>
      </w:pPr>
      <w:r>
        <w:rPr>
          <w:rFonts w:ascii="Arial" w:hAnsi="Arial" w:cs="Arial"/>
        </w:rPr>
        <w:t xml:space="preserve">De acuerdo con lo </w:t>
      </w:r>
      <w:r w:rsidR="00FC6F2C">
        <w:rPr>
          <w:rFonts w:ascii="Arial" w:hAnsi="Arial" w:cs="Arial"/>
        </w:rPr>
        <w:t>expuesto</w:t>
      </w:r>
      <w:r>
        <w:rPr>
          <w:rFonts w:ascii="Arial" w:hAnsi="Arial" w:cs="Arial"/>
        </w:rPr>
        <w:t xml:space="preserve">, se </w:t>
      </w:r>
      <w:r w:rsidR="00AD21BB" w:rsidRPr="00D616D3">
        <w:rPr>
          <w:rFonts w:ascii="Arial" w:hAnsi="Arial" w:cs="Arial"/>
          <w:b/>
          <w:lang w:val="es-ES_tradnl"/>
        </w:rPr>
        <w:t>RESUELVE:</w:t>
      </w:r>
    </w:p>
    <w:p w14:paraId="3740730C" w14:textId="77777777" w:rsidR="00FC6F2C" w:rsidRDefault="00FC6F2C" w:rsidP="00BA666A">
      <w:pPr>
        <w:tabs>
          <w:tab w:val="left" w:pos="3210"/>
          <w:tab w:val="center" w:pos="3996"/>
        </w:tabs>
        <w:ind w:firstLine="567"/>
        <w:contextualSpacing/>
        <w:jc w:val="both"/>
        <w:rPr>
          <w:rFonts w:ascii="Arial" w:hAnsi="Arial" w:cs="Arial"/>
          <w:b/>
          <w:lang w:val="es-ES_tradnl"/>
        </w:rPr>
      </w:pPr>
    </w:p>
    <w:p w14:paraId="59F17BD3" w14:textId="73285A6A" w:rsidR="00AD21BB" w:rsidRDefault="00FC6F2C" w:rsidP="00BA666A">
      <w:pPr>
        <w:tabs>
          <w:tab w:val="left" w:pos="3210"/>
          <w:tab w:val="center" w:pos="3996"/>
        </w:tabs>
        <w:ind w:firstLine="567"/>
        <w:contextualSpacing/>
        <w:jc w:val="both"/>
        <w:rPr>
          <w:rFonts w:ascii="Arial" w:hAnsi="Arial" w:cs="Arial"/>
          <w:lang w:val="es-ES_tradnl"/>
        </w:rPr>
      </w:pPr>
      <w:r w:rsidRPr="00FC6F2C">
        <w:rPr>
          <w:rFonts w:ascii="Arial" w:hAnsi="Arial" w:cs="Arial"/>
          <w:bCs/>
          <w:lang w:val="es-ES_tradnl"/>
        </w:rPr>
        <w:t xml:space="preserve">1.- </w:t>
      </w:r>
      <w:r w:rsidR="005027DE" w:rsidRPr="00FC6F2C">
        <w:rPr>
          <w:rFonts w:ascii="Arial" w:hAnsi="Arial" w:cs="Arial"/>
          <w:b/>
          <w:bCs/>
          <w:lang w:val="es-ES_tradnl"/>
        </w:rPr>
        <w:t>ORDENAR</w:t>
      </w:r>
      <w:r w:rsidR="005027DE" w:rsidRPr="00FC6F2C">
        <w:rPr>
          <w:rFonts w:ascii="Arial" w:hAnsi="Arial" w:cs="Arial"/>
          <w:lang w:val="es-ES_tradnl"/>
        </w:rPr>
        <w:t xml:space="preserve"> el envío</w:t>
      </w:r>
      <w:r w:rsidR="00007933">
        <w:rPr>
          <w:rFonts w:ascii="Arial" w:hAnsi="Arial" w:cs="Arial"/>
          <w:lang w:val="es-ES_tradnl"/>
        </w:rPr>
        <w:t xml:space="preserve"> </w:t>
      </w:r>
      <w:r w:rsidR="00AD21BB" w:rsidRPr="00FC6F2C">
        <w:rPr>
          <w:rFonts w:ascii="Arial" w:hAnsi="Arial" w:cs="Arial"/>
          <w:lang w:val="es-ES_tradnl"/>
        </w:rPr>
        <w:t xml:space="preserve">de manera inmediata </w:t>
      </w:r>
      <w:r w:rsidR="00007933">
        <w:rPr>
          <w:rFonts w:ascii="Arial" w:hAnsi="Arial" w:cs="Arial"/>
          <w:lang w:val="es-ES_tradnl"/>
        </w:rPr>
        <w:t>d</w:t>
      </w:r>
      <w:r w:rsidR="00AD21BB" w:rsidRPr="00FC6F2C">
        <w:rPr>
          <w:rFonts w:ascii="Arial" w:hAnsi="Arial" w:cs="Arial"/>
          <w:lang w:val="es-ES_tradnl"/>
        </w:rPr>
        <w:t>el expediente</w:t>
      </w:r>
      <w:r w:rsidR="006F2686">
        <w:rPr>
          <w:rFonts w:ascii="Arial" w:hAnsi="Arial" w:cs="Arial"/>
          <w:lang w:val="es-ES_tradnl"/>
        </w:rPr>
        <w:t xml:space="preserve"> digital</w:t>
      </w:r>
      <w:r w:rsidR="00AD21BB" w:rsidRPr="00FC6F2C">
        <w:rPr>
          <w:rFonts w:ascii="Arial" w:hAnsi="Arial" w:cs="Arial"/>
          <w:lang w:val="es-ES_tradnl"/>
        </w:rPr>
        <w:t xml:space="preserve"> de</w:t>
      </w:r>
      <w:r w:rsidR="00007933">
        <w:rPr>
          <w:rFonts w:ascii="Arial" w:hAnsi="Arial" w:cs="Arial"/>
          <w:lang w:val="es-ES_tradnl"/>
        </w:rPr>
        <w:t xml:space="preserve"> la acción de</w:t>
      </w:r>
      <w:r w:rsidR="00AD21BB" w:rsidRPr="00FC6F2C">
        <w:rPr>
          <w:rFonts w:ascii="Arial" w:hAnsi="Arial" w:cs="Arial"/>
          <w:lang w:val="es-ES_tradnl"/>
        </w:rPr>
        <w:t xml:space="preserve"> referencia al </w:t>
      </w:r>
      <w:r w:rsidR="00DC2769" w:rsidRPr="00DC2769">
        <w:rPr>
          <w:rFonts w:ascii="Arial" w:hAnsi="Arial" w:cs="Arial"/>
          <w:b/>
          <w:bCs/>
          <w:lang w:val="es-ES_tradnl"/>
        </w:rPr>
        <w:t xml:space="preserve">Juzgado </w:t>
      </w:r>
      <w:r w:rsidR="00BE65A5" w:rsidRPr="00BE65A5">
        <w:rPr>
          <w:rFonts w:ascii="Arial" w:hAnsi="Arial" w:cs="Arial"/>
          <w:b/>
        </w:rPr>
        <w:t>54 Civil Municipal de Bogotá</w:t>
      </w:r>
      <w:r w:rsidR="00007933">
        <w:rPr>
          <w:rFonts w:ascii="Arial" w:hAnsi="Arial" w:cs="Arial"/>
          <w:lang w:val="es-ES_tradnl"/>
        </w:rPr>
        <w:t xml:space="preserve">, el cual en su oportunidad </w:t>
      </w:r>
      <w:r w:rsidR="005027DE" w:rsidRPr="00FC6F2C">
        <w:rPr>
          <w:rFonts w:ascii="Arial" w:hAnsi="Arial" w:cs="Arial"/>
          <w:lang w:val="es-ES_tradnl"/>
        </w:rPr>
        <w:t>avocó</w:t>
      </w:r>
      <w:r w:rsidR="00007933">
        <w:rPr>
          <w:rFonts w:ascii="Arial" w:hAnsi="Arial" w:cs="Arial"/>
          <w:lang w:val="es-ES_tradnl"/>
        </w:rPr>
        <w:t xml:space="preserve"> </w:t>
      </w:r>
      <w:r w:rsidR="005027DE" w:rsidRPr="00FC6F2C">
        <w:rPr>
          <w:rFonts w:ascii="Arial" w:hAnsi="Arial" w:cs="Arial"/>
          <w:lang w:val="es-ES_tradnl"/>
        </w:rPr>
        <w:t>el conocimiento</w:t>
      </w:r>
      <w:r w:rsidRPr="00FC6F2C">
        <w:rPr>
          <w:rFonts w:ascii="Arial" w:hAnsi="Arial" w:cs="Arial"/>
          <w:lang w:val="es-ES_tradnl"/>
        </w:rPr>
        <w:t xml:space="preserve"> </w:t>
      </w:r>
      <w:r w:rsidR="00007933">
        <w:rPr>
          <w:rFonts w:ascii="Arial" w:hAnsi="Arial" w:cs="Arial"/>
          <w:lang w:val="es-ES_tradnl"/>
        </w:rPr>
        <w:t>en primer lugar.</w:t>
      </w:r>
    </w:p>
    <w:p w14:paraId="6E207F0A" w14:textId="77777777" w:rsidR="00007933" w:rsidRDefault="00007933" w:rsidP="00BA666A">
      <w:pPr>
        <w:tabs>
          <w:tab w:val="left" w:pos="3210"/>
          <w:tab w:val="center" w:pos="3996"/>
        </w:tabs>
        <w:ind w:firstLine="567"/>
        <w:contextualSpacing/>
        <w:jc w:val="both"/>
        <w:rPr>
          <w:rFonts w:ascii="Arial" w:hAnsi="Arial" w:cs="Arial"/>
          <w:lang w:val="es-ES_tradnl"/>
        </w:rPr>
      </w:pPr>
    </w:p>
    <w:p w14:paraId="74876610" w14:textId="673B8B10" w:rsidR="00007933" w:rsidRPr="00FC6F2C" w:rsidRDefault="00007933" w:rsidP="00BA666A">
      <w:pPr>
        <w:tabs>
          <w:tab w:val="left" w:pos="3210"/>
          <w:tab w:val="center" w:pos="3996"/>
        </w:tabs>
        <w:ind w:firstLine="567"/>
        <w:contextualSpacing/>
        <w:jc w:val="both"/>
        <w:rPr>
          <w:rFonts w:ascii="Arial" w:hAnsi="Arial" w:cs="Arial"/>
          <w:b/>
          <w:lang w:val="es-ES_tradnl"/>
        </w:rPr>
      </w:pPr>
      <w:r>
        <w:rPr>
          <w:rFonts w:ascii="Arial" w:hAnsi="Arial" w:cs="Arial"/>
          <w:lang w:val="es-ES_tradnl"/>
        </w:rPr>
        <w:t>2.-Líbrense las comunicaciones respectivas por la vía más expedita.</w:t>
      </w:r>
    </w:p>
    <w:p w14:paraId="52B01375" w14:textId="09220155" w:rsidR="00BA7D76" w:rsidRPr="005138A0" w:rsidRDefault="00BA7D76" w:rsidP="00BA666A">
      <w:pPr>
        <w:tabs>
          <w:tab w:val="left" w:pos="3210"/>
          <w:tab w:val="center" w:pos="3996"/>
        </w:tabs>
        <w:ind w:firstLine="567"/>
        <w:contextualSpacing/>
        <w:rPr>
          <w:rFonts w:ascii="Arial" w:hAnsi="Arial" w:cs="Arial"/>
          <w:b/>
          <w:bCs/>
        </w:rPr>
      </w:pPr>
    </w:p>
    <w:p w14:paraId="28B73639" w14:textId="2D0A7114" w:rsidR="006F2686" w:rsidRPr="006F2686" w:rsidRDefault="00D0365B" w:rsidP="003077BB">
      <w:pPr>
        <w:ind w:firstLine="567"/>
        <w:rPr>
          <w:rFonts w:ascii="Arial" w:hAnsi="Arial" w:cs="Arial"/>
          <w:color w:val="808080" w:themeColor="background1" w:themeShade="80"/>
          <w:sz w:val="16"/>
          <w:szCs w:val="16"/>
        </w:rPr>
      </w:pPr>
      <w:r w:rsidRPr="005138A0">
        <w:rPr>
          <w:rFonts w:ascii="Arial" w:hAnsi="Arial" w:cs="Arial"/>
          <w:b/>
        </w:rPr>
        <w:t xml:space="preserve">Notifíquese </w:t>
      </w:r>
      <w:r w:rsidR="004D4C35" w:rsidRPr="005138A0">
        <w:rPr>
          <w:rFonts w:ascii="Arial" w:hAnsi="Arial" w:cs="Arial"/>
          <w:b/>
        </w:rPr>
        <w:t>y</w:t>
      </w:r>
      <w:r w:rsidRPr="005138A0">
        <w:rPr>
          <w:rFonts w:ascii="Arial" w:hAnsi="Arial" w:cs="Arial"/>
          <w:b/>
        </w:rPr>
        <w:t xml:space="preserve"> Cúmplase</w:t>
      </w:r>
      <w:r w:rsidR="00BA7D76" w:rsidRPr="005138A0">
        <w:rPr>
          <w:rFonts w:ascii="Arial" w:hAnsi="Arial" w:cs="Arial"/>
          <w:b/>
        </w:rPr>
        <w:t>,</w:t>
      </w:r>
    </w:p>
    <w:sectPr w:rsidR="006F2686" w:rsidRPr="006F2686" w:rsidSect="00CA6D9A">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A6D100" w14:textId="77777777" w:rsidR="0034747D" w:rsidRDefault="0034747D" w:rsidP="00DC2769">
      <w:r>
        <w:separator/>
      </w:r>
    </w:p>
  </w:endnote>
  <w:endnote w:type="continuationSeparator" w:id="0">
    <w:p w14:paraId="6B16BFAE" w14:textId="77777777" w:rsidR="0034747D" w:rsidRDefault="0034747D" w:rsidP="00DC2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B06668" w14:textId="77777777" w:rsidR="0034747D" w:rsidRDefault="0034747D" w:rsidP="00DC2769">
      <w:r>
        <w:separator/>
      </w:r>
    </w:p>
  </w:footnote>
  <w:footnote w:type="continuationSeparator" w:id="0">
    <w:p w14:paraId="2B7F1CEB" w14:textId="77777777" w:rsidR="0034747D" w:rsidRDefault="0034747D" w:rsidP="00DC2769">
      <w:r>
        <w:continuationSeparator/>
      </w:r>
    </w:p>
  </w:footnote>
  <w:footnote w:id="1">
    <w:p w14:paraId="670580A7" w14:textId="77777777" w:rsidR="00DC2769" w:rsidRPr="00EC1728" w:rsidRDefault="00DC2769" w:rsidP="00DC2769">
      <w:pPr>
        <w:pStyle w:val="Textonotapie"/>
        <w:rPr>
          <w:lang w:val="es-CO"/>
        </w:rPr>
      </w:pPr>
      <w:r>
        <w:rPr>
          <w:rStyle w:val="Refdenotaalpie"/>
        </w:rPr>
        <w:footnoteRef/>
      </w:r>
      <w:r>
        <w:t xml:space="preserve"> </w:t>
      </w:r>
      <w:r>
        <w:rPr>
          <w:rFonts w:ascii="Arial" w:hAnsi="Arial" w:cs="Arial"/>
          <w:bCs/>
        </w:rPr>
        <w:t>A</w:t>
      </w:r>
      <w:r w:rsidRPr="001F2B86">
        <w:rPr>
          <w:rFonts w:ascii="Arial" w:hAnsi="Arial" w:cs="Arial"/>
          <w:bCs/>
        </w:rPr>
        <w:t>uto N° 172 de 2016,</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A36F10"/>
    <w:multiLevelType w:val="hybridMultilevel"/>
    <w:tmpl w:val="FDEE547C"/>
    <w:lvl w:ilvl="0" w:tplc="75CC8A08">
      <w:start w:val="1"/>
      <w:numFmt w:val="decimal"/>
      <w:lvlText w:val="%1."/>
      <w:lvlJc w:val="left"/>
      <w:pPr>
        <w:ind w:left="1211" w:hanging="360"/>
      </w:pPr>
      <w:rPr>
        <w:rFonts w:hint="default"/>
        <w:b/>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1" w15:restartNumberingAfterBreak="0">
    <w:nsid w:val="61636C12"/>
    <w:multiLevelType w:val="hybridMultilevel"/>
    <w:tmpl w:val="6976629E"/>
    <w:lvl w:ilvl="0" w:tplc="3F400600">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D76"/>
    <w:rsid w:val="00007933"/>
    <w:rsid w:val="001E006D"/>
    <w:rsid w:val="0021330D"/>
    <w:rsid w:val="00265234"/>
    <w:rsid w:val="00271EB8"/>
    <w:rsid w:val="003077BB"/>
    <w:rsid w:val="003150C5"/>
    <w:rsid w:val="0034747D"/>
    <w:rsid w:val="00455785"/>
    <w:rsid w:val="004845CE"/>
    <w:rsid w:val="00487E21"/>
    <w:rsid w:val="004A5699"/>
    <w:rsid w:val="004D4C35"/>
    <w:rsid w:val="005027DE"/>
    <w:rsid w:val="00511AAF"/>
    <w:rsid w:val="005138A0"/>
    <w:rsid w:val="005141B2"/>
    <w:rsid w:val="005211E5"/>
    <w:rsid w:val="005265FA"/>
    <w:rsid w:val="005C5DDF"/>
    <w:rsid w:val="005F08C6"/>
    <w:rsid w:val="006122CA"/>
    <w:rsid w:val="0062005B"/>
    <w:rsid w:val="006F2686"/>
    <w:rsid w:val="00755E8F"/>
    <w:rsid w:val="007966F9"/>
    <w:rsid w:val="007A5FD0"/>
    <w:rsid w:val="007D687B"/>
    <w:rsid w:val="00830325"/>
    <w:rsid w:val="008373B0"/>
    <w:rsid w:val="008B2691"/>
    <w:rsid w:val="00905F83"/>
    <w:rsid w:val="009A622F"/>
    <w:rsid w:val="009B0E4D"/>
    <w:rsid w:val="009B1198"/>
    <w:rsid w:val="00A21E6F"/>
    <w:rsid w:val="00A71BCF"/>
    <w:rsid w:val="00AB0883"/>
    <w:rsid w:val="00AD21BB"/>
    <w:rsid w:val="00B5783F"/>
    <w:rsid w:val="00B77137"/>
    <w:rsid w:val="00BA666A"/>
    <w:rsid w:val="00BA7D76"/>
    <w:rsid w:val="00BE249F"/>
    <w:rsid w:val="00BE65A5"/>
    <w:rsid w:val="00BE7945"/>
    <w:rsid w:val="00BF67E5"/>
    <w:rsid w:val="00C71BBD"/>
    <w:rsid w:val="00C918B2"/>
    <w:rsid w:val="00CA6D9A"/>
    <w:rsid w:val="00D0365B"/>
    <w:rsid w:val="00D814DC"/>
    <w:rsid w:val="00DC2769"/>
    <w:rsid w:val="00DF5FCB"/>
    <w:rsid w:val="00E01134"/>
    <w:rsid w:val="00E04AC7"/>
    <w:rsid w:val="00E675E6"/>
    <w:rsid w:val="00E82A5A"/>
    <w:rsid w:val="00E912AF"/>
    <w:rsid w:val="00EA1ABC"/>
    <w:rsid w:val="00FC3E6B"/>
    <w:rsid w:val="00FC6F2C"/>
    <w:rsid w:val="00FD767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10740"/>
  <w15:chartTrackingRefBased/>
  <w15:docId w15:val="{3B28D4B9-F33A-423D-A2E9-283CA7D79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7D7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BA7D76"/>
    <w:pPr>
      <w:jc w:val="both"/>
    </w:pPr>
    <w:rPr>
      <w:sz w:val="28"/>
      <w:szCs w:val="20"/>
      <w:lang w:val="es-ES_tradnl"/>
    </w:rPr>
  </w:style>
  <w:style w:type="character" w:customStyle="1" w:styleId="TextoindependienteCar">
    <w:name w:val="Texto independiente Car"/>
    <w:basedOn w:val="Fuentedeprrafopredeter"/>
    <w:link w:val="Textoindependiente"/>
    <w:semiHidden/>
    <w:rsid w:val="00BA7D76"/>
    <w:rPr>
      <w:rFonts w:ascii="Times New Roman" w:eastAsia="Times New Roman" w:hAnsi="Times New Roman" w:cs="Times New Roman"/>
      <w:sz w:val="28"/>
      <w:szCs w:val="20"/>
      <w:lang w:val="es-ES_tradnl" w:eastAsia="es-ES"/>
    </w:rPr>
  </w:style>
  <w:style w:type="paragraph" w:styleId="Prrafodelista">
    <w:name w:val="List Paragraph"/>
    <w:basedOn w:val="Normal"/>
    <w:uiPriority w:val="34"/>
    <w:qFormat/>
    <w:rsid w:val="009B0E4D"/>
    <w:pPr>
      <w:ind w:left="720"/>
      <w:contextualSpacing/>
    </w:pPr>
  </w:style>
  <w:style w:type="paragraph" w:styleId="Textonotapie">
    <w:name w:val="footnote text"/>
    <w:basedOn w:val="Normal"/>
    <w:link w:val="TextonotapieCar"/>
    <w:uiPriority w:val="99"/>
    <w:semiHidden/>
    <w:unhideWhenUsed/>
    <w:rsid w:val="00DC2769"/>
    <w:rPr>
      <w:sz w:val="20"/>
      <w:szCs w:val="20"/>
    </w:rPr>
  </w:style>
  <w:style w:type="character" w:customStyle="1" w:styleId="TextonotapieCar">
    <w:name w:val="Texto nota pie Car"/>
    <w:basedOn w:val="Fuentedeprrafopredeter"/>
    <w:link w:val="Textonotapie"/>
    <w:uiPriority w:val="99"/>
    <w:semiHidden/>
    <w:rsid w:val="00DC2769"/>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DC27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8E9C4-2236-4CBB-A963-F8DF8326C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719</Words>
  <Characters>3958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AFMM</dc:creator>
  <cp:keywords/>
  <dc:description/>
  <cp:lastModifiedBy>Cristhian Camilo Montoya Cardenas</cp:lastModifiedBy>
  <cp:revision>9</cp:revision>
  <dcterms:created xsi:type="dcterms:W3CDTF">2023-07-21T16:48:00Z</dcterms:created>
  <dcterms:modified xsi:type="dcterms:W3CDTF">2023-07-21T21:35:00Z</dcterms:modified>
</cp:coreProperties>
</file>