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61" w:rsidRPr="0015566D" w:rsidRDefault="00544361" w:rsidP="00544361">
      <w:pPr>
        <w:widowControl w:val="0"/>
        <w:autoSpaceDE w:val="0"/>
        <w:autoSpaceDN w:val="0"/>
        <w:adjustRightInd w:val="0"/>
        <w:spacing w:before="100" w:after="100" w:line="240" w:lineRule="auto"/>
        <w:ind w:left="15" w:right="15"/>
        <w:jc w:val="both"/>
        <w:outlineLvl w:val="1"/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</w:pPr>
      <w:r w:rsidRPr="0015566D"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  <w:t>Señores</w:t>
      </w:r>
    </w:p>
    <w:p w:rsidR="00544361" w:rsidRPr="0015566D" w:rsidRDefault="00544361" w:rsidP="00544361">
      <w:pPr>
        <w:widowControl w:val="0"/>
        <w:autoSpaceDE w:val="0"/>
        <w:autoSpaceDN w:val="0"/>
        <w:adjustRightInd w:val="0"/>
        <w:spacing w:before="100" w:after="100" w:line="240" w:lineRule="auto"/>
        <w:ind w:left="15" w:right="15"/>
        <w:jc w:val="both"/>
        <w:outlineLvl w:val="1"/>
        <w:rPr>
          <w:rFonts w:ascii="Century Gothic" w:eastAsiaTheme="minorEastAsia" w:hAnsi="Century Gothic" w:cs="Times New Roman"/>
          <w:b/>
          <w:sz w:val="24"/>
          <w:szCs w:val="24"/>
          <w:lang w:val="es-ES" w:eastAsia="es-CO"/>
        </w:rPr>
      </w:pPr>
      <w:r w:rsidRPr="0015566D">
        <w:rPr>
          <w:rFonts w:ascii="Century Gothic" w:eastAsiaTheme="minorEastAsia" w:hAnsi="Century Gothic" w:cs="Times New Roman"/>
          <w:b/>
          <w:sz w:val="24"/>
          <w:szCs w:val="24"/>
          <w:lang w:val="es-ES" w:eastAsia="es-CO"/>
        </w:rPr>
        <w:t>HONORABLES MAGISTRADOS DEL TRIBUNAL SUPERIOR DE VALLEDUPAR – SALA CIVIL- FAMILIA-LABORAL</w:t>
      </w:r>
    </w:p>
    <w:p w:rsidR="00544361" w:rsidRPr="00183AB5" w:rsidRDefault="00544361" w:rsidP="00544361">
      <w:pPr>
        <w:widowControl w:val="0"/>
        <w:autoSpaceDE w:val="0"/>
        <w:autoSpaceDN w:val="0"/>
        <w:adjustRightInd w:val="0"/>
        <w:spacing w:before="100" w:after="100" w:line="240" w:lineRule="auto"/>
        <w:ind w:left="15" w:right="15"/>
        <w:jc w:val="both"/>
        <w:outlineLvl w:val="1"/>
        <w:rPr>
          <w:rFonts w:ascii="Century Gothic" w:eastAsiaTheme="minorEastAsia" w:hAnsi="Century Gothic" w:cs="Times New Roman"/>
          <w:b/>
          <w:sz w:val="24"/>
          <w:szCs w:val="24"/>
          <w:lang w:val="es-ES" w:eastAsia="es-CO"/>
        </w:rPr>
      </w:pPr>
      <w:r w:rsidRPr="00183AB5">
        <w:rPr>
          <w:rFonts w:ascii="Century Gothic" w:eastAsiaTheme="minorEastAsia" w:hAnsi="Century Gothic" w:cs="Times New Roman"/>
          <w:b/>
          <w:sz w:val="24"/>
          <w:szCs w:val="24"/>
          <w:lang w:val="es-ES" w:eastAsia="es-CO"/>
        </w:rPr>
        <w:t>Dr. Jesús Armando Zamora Suáreza.- M.P</w:t>
      </w:r>
    </w:p>
    <w:p w:rsidR="00544361" w:rsidRPr="0015566D" w:rsidRDefault="00544361" w:rsidP="00544361">
      <w:pPr>
        <w:widowControl w:val="0"/>
        <w:autoSpaceDE w:val="0"/>
        <w:autoSpaceDN w:val="0"/>
        <w:adjustRightInd w:val="0"/>
        <w:spacing w:before="100" w:after="100" w:line="240" w:lineRule="auto"/>
        <w:ind w:left="15" w:right="15"/>
        <w:jc w:val="both"/>
        <w:outlineLvl w:val="1"/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</w:pPr>
      <w:r w:rsidRPr="0015566D"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  <w:t>E.S.D</w:t>
      </w:r>
    </w:p>
    <w:p w:rsidR="00544361" w:rsidRDefault="00544361" w:rsidP="00544361">
      <w:pPr>
        <w:widowControl w:val="0"/>
        <w:autoSpaceDE w:val="0"/>
        <w:autoSpaceDN w:val="0"/>
        <w:adjustRightInd w:val="0"/>
        <w:spacing w:before="100" w:after="100" w:line="240" w:lineRule="auto"/>
        <w:ind w:left="15" w:right="15"/>
        <w:jc w:val="both"/>
        <w:outlineLvl w:val="1"/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</w:pPr>
    </w:p>
    <w:p w:rsidR="00552337" w:rsidRDefault="00552337" w:rsidP="00544361">
      <w:pPr>
        <w:widowControl w:val="0"/>
        <w:autoSpaceDE w:val="0"/>
        <w:autoSpaceDN w:val="0"/>
        <w:adjustRightInd w:val="0"/>
        <w:spacing w:before="100" w:after="100" w:line="240" w:lineRule="auto"/>
        <w:ind w:left="15" w:right="15"/>
        <w:jc w:val="both"/>
        <w:outlineLvl w:val="1"/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</w:pPr>
    </w:p>
    <w:tbl>
      <w:tblPr>
        <w:tblStyle w:val="Tablaconcuadrcula"/>
        <w:tblW w:w="7455" w:type="dxa"/>
        <w:tblInd w:w="869" w:type="dxa"/>
        <w:tblLook w:val="04A0" w:firstRow="1" w:lastRow="0" w:firstColumn="1" w:lastColumn="0" w:noHBand="0" w:noVBand="1"/>
      </w:tblPr>
      <w:tblGrid>
        <w:gridCol w:w="7455"/>
      </w:tblGrid>
      <w:tr w:rsidR="00916061" w:rsidTr="00552337">
        <w:trPr>
          <w:trHeight w:val="760"/>
        </w:trPr>
        <w:tc>
          <w:tcPr>
            <w:tcW w:w="7455" w:type="dxa"/>
          </w:tcPr>
          <w:p w:rsidR="00916061" w:rsidRPr="00552337" w:rsidRDefault="00552337" w:rsidP="00552337">
            <w:pPr>
              <w:widowControl w:val="0"/>
              <w:autoSpaceDE w:val="0"/>
              <w:autoSpaceDN w:val="0"/>
              <w:adjustRightInd w:val="0"/>
              <w:spacing w:before="100" w:after="100" w:line="240" w:lineRule="auto"/>
              <w:ind w:right="15"/>
              <w:jc w:val="center"/>
              <w:outlineLvl w:val="1"/>
              <w:rPr>
                <w:rFonts w:ascii="Century Gothic" w:eastAsiaTheme="minorEastAsia" w:hAnsi="Century Gothic" w:cs="Times New Roman"/>
                <w:b/>
                <w:sz w:val="24"/>
                <w:szCs w:val="24"/>
                <w:lang w:val="es-ES" w:eastAsia="es-CO"/>
              </w:rPr>
            </w:pPr>
            <w:r>
              <w:rPr>
                <w:rFonts w:ascii="Century Gothic" w:eastAsiaTheme="minorEastAsia" w:hAnsi="Century Gothic" w:cs="Times New Roman"/>
                <w:b/>
                <w:sz w:val="24"/>
                <w:szCs w:val="24"/>
                <w:lang w:val="es-ES" w:eastAsia="es-CO"/>
              </w:rPr>
              <w:t>ME PERMITO ADICIONAR</w:t>
            </w:r>
            <w:r w:rsidR="00916061" w:rsidRPr="00552337">
              <w:rPr>
                <w:rFonts w:ascii="Century Gothic" w:eastAsiaTheme="minorEastAsia" w:hAnsi="Century Gothic" w:cs="Times New Roman"/>
                <w:b/>
                <w:sz w:val="24"/>
                <w:szCs w:val="24"/>
                <w:lang w:val="es-ES" w:eastAsia="es-CO"/>
              </w:rPr>
              <w:t xml:space="preserve"> LA SUSTENTACIÓN DE LA APELACIÓN PRESENTADA EN EL DÍA DE AYER</w:t>
            </w:r>
          </w:p>
        </w:tc>
      </w:tr>
    </w:tbl>
    <w:p w:rsidR="00916061" w:rsidRPr="0015566D" w:rsidRDefault="00916061" w:rsidP="00544361">
      <w:pPr>
        <w:widowControl w:val="0"/>
        <w:autoSpaceDE w:val="0"/>
        <w:autoSpaceDN w:val="0"/>
        <w:adjustRightInd w:val="0"/>
        <w:spacing w:before="100" w:after="100" w:line="240" w:lineRule="auto"/>
        <w:ind w:left="15" w:right="15"/>
        <w:jc w:val="both"/>
        <w:outlineLvl w:val="1"/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</w:pPr>
    </w:p>
    <w:p w:rsidR="00544361" w:rsidRPr="0015566D" w:rsidRDefault="00544361" w:rsidP="00544361">
      <w:pPr>
        <w:widowControl w:val="0"/>
        <w:autoSpaceDE w:val="0"/>
        <w:autoSpaceDN w:val="0"/>
        <w:adjustRightInd w:val="0"/>
        <w:spacing w:before="100" w:after="100" w:line="240" w:lineRule="auto"/>
        <w:ind w:right="15"/>
        <w:jc w:val="both"/>
        <w:outlineLvl w:val="1"/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</w:pPr>
    </w:p>
    <w:p w:rsidR="00544361" w:rsidRPr="0015566D" w:rsidRDefault="00544361" w:rsidP="00544361">
      <w:pPr>
        <w:pStyle w:val="Sinespaciado"/>
        <w:ind w:left="708"/>
        <w:jc w:val="both"/>
        <w:rPr>
          <w:rFonts w:ascii="Century Gothic" w:hAnsi="Century Gothic"/>
          <w:sz w:val="24"/>
          <w:szCs w:val="24"/>
          <w:bdr w:val="none" w:sz="0" w:space="0" w:color="auto" w:frame="1"/>
        </w:rPr>
      </w:pPr>
      <w:r w:rsidRPr="0015566D">
        <w:rPr>
          <w:rFonts w:ascii="Century Gothic" w:hAnsi="Century Gothic"/>
          <w:sz w:val="24"/>
          <w:szCs w:val="24"/>
          <w:bdr w:val="none" w:sz="0" w:space="0" w:color="auto" w:frame="1"/>
        </w:rPr>
        <w:t>Ref: Verbal de Responsabilidad civil extracontracual</w:t>
      </w:r>
    </w:p>
    <w:p w:rsidR="00544361" w:rsidRPr="0015566D" w:rsidRDefault="00544361" w:rsidP="00544361">
      <w:pPr>
        <w:pStyle w:val="Sinespaciado"/>
        <w:ind w:left="708"/>
        <w:jc w:val="both"/>
        <w:rPr>
          <w:rFonts w:ascii="Century Gothic" w:hAnsi="Century Gothic"/>
          <w:sz w:val="24"/>
          <w:szCs w:val="24"/>
          <w:bdr w:val="none" w:sz="0" w:space="0" w:color="auto" w:frame="1"/>
        </w:rPr>
      </w:pPr>
      <w:r w:rsidRPr="0015566D">
        <w:rPr>
          <w:rFonts w:ascii="Century Gothic" w:hAnsi="Century Gothic"/>
          <w:sz w:val="24"/>
          <w:szCs w:val="24"/>
          <w:bdr w:val="none" w:sz="0" w:space="0" w:color="auto" w:frame="1"/>
        </w:rPr>
        <w:t>Demandante: Marlene Montero Vásquez y otros</w:t>
      </w:r>
    </w:p>
    <w:p w:rsidR="00544361" w:rsidRPr="0015566D" w:rsidRDefault="00544361" w:rsidP="00544361">
      <w:pPr>
        <w:pStyle w:val="Sinespaciado"/>
        <w:ind w:left="708"/>
        <w:jc w:val="both"/>
        <w:rPr>
          <w:rFonts w:ascii="Century Gothic" w:hAnsi="Century Gothic"/>
          <w:sz w:val="24"/>
          <w:szCs w:val="24"/>
          <w:bdr w:val="none" w:sz="0" w:space="0" w:color="auto" w:frame="1"/>
        </w:rPr>
      </w:pPr>
      <w:r w:rsidRPr="0015566D">
        <w:rPr>
          <w:rFonts w:ascii="Century Gothic" w:hAnsi="Century Gothic"/>
          <w:sz w:val="24"/>
          <w:szCs w:val="24"/>
          <w:bdr w:val="none" w:sz="0" w:space="0" w:color="auto" w:frame="1"/>
        </w:rPr>
        <w:t>Demandado: SALUD VIDA S.A E.P.S</w:t>
      </w:r>
    </w:p>
    <w:p w:rsidR="00544361" w:rsidRPr="0015566D" w:rsidRDefault="00544361" w:rsidP="00544361">
      <w:pPr>
        <w:pStyle w:val="Sinespaciado"/>
        <w:ind w:left="708"/>
        <w:jc w:val="both"/>
        <w:rPr>
          <w:rFonts w:ascii="Century Gothic" w:hAnsi="Century Gothic"/>
          <w:sz w:val="24"/>
          <w:szCs w:val="24"/>
          <w:bdr w:val="none" w:sz="0" w:space="0" w:color="auto" w:frame="1"/>
        </w:rPr>
      </w:pPr>
      <w:r w:rsidRPr="0015566D">
        <w:rPr>
          <w:rFonts w:ascii="Century Gothic" w:hAnsi="Century Gothic"/>
          <w:sz w:val="24"/>
          <w:szCs w:val="24"/>
          <w:bdr w:val="none" w:sz="0" w:space="0" w:color="auto" w:frame="1"/>
        </w:rPr>
        <w:t>Rad. No 2015-00363</w:t>
      </w:r>
    </w:p>
    <w:p w:rsidR="00544361" w:rsidRPr="0015566D" w:rsidRDefault="00544361" w:rsidP="00544361">
      <w:pPr>
        <w:pStyle w:val="Sinespaciado"/>
        <w:jc w:val="both"/>
        <w:rPr>
          <w:rFonts w:ascii="Century Gothic" w:hAnsi="Century Gothic"/>
          <w:sz w:val="24"/>
          <w:szCs w:val="24"/>
          <w:bdr w:val="none" w:sz="0" w:space="0" w:color="auto" w:frame="1"/>
        </w:rPr>
      </w:pPr>
    </w:p>
    <w:p w:rsidR="00544361" w:rsidRPr="0015566D" w:rsidRDefault="00544361" w:rsidP="00544361">
      <w:pPr>
        <w:pStyle w:val="Sinespaciado"/>
        <w:jc w:val="both"/>
        <w:rPr>
          <w:rFonts w:ascii="Century Gothic" w:hAnsi="Century Gothic"/>
          <w:b/>
          <w:sz w:val="24"/>
          <w:szCs w:val="24"/>
          <w:bdr w:val="none" w:sz="0" w:space="0" w:color="auto" w:frame="1"/>
        </w:rPr>
      </w:pPr>
    </w:p>
    <w:p w:rsidR="00544361" w:rsidRPr="0015566D" w:rsidRDefault="00544361" w:rsidP="00544361">
      <w:pPr>
        <w:pStyle w:val="Sinespaciado"/>
        <w:jc w:val="both"/>
        <w:rPr>
          <w:rFonts w:ascii="Century Gothic" w:hAnsi="Century Gothic"/>
          <w:b/>
          <w:sz w:val="24"/>
          <w:szCs w:val="24"/>
          <w:bdr w:val="none" w:sz="0" w:space="0" w:color="auto" w:frame="1"/>
        </w:rPr>
      </w:pPr>
    </w:p>
    <w:p w:rsidR="00544361" w:rsidRPr="00552337" w:rsidRDefault="00544361" w:rsidP="00544361">
      <w:pPr>
        <w:pStyle w:val="Sinespaciado"/>
        <w:jc w:val="both"/>
        <w:rPr>
          <w:rFonts w:ascii="Century Gothic" w:hAnsi="Century Gothic"/>
          <w:sz w:val="24"/>
          <w:szCs w:val="24"/>
          <w:bdr w:val="none" w:sz="0" w:space="0" w:color="auto" w:frame="1"/>
        </w:rPr>
      </w:pPr>
      <w:r>
        <w:rPr>
          <w:rFonts w:ascii="Century Gothic" w:hAnsi="Century Gothic"/>
          <w:b/>
          <w:sz w:val="24"/>
          <w:szCs w:val="24"/>
          <w:bdr w:val="none" w:sz="0" w:space="0" w:color="auto" w:frame="1"/>
        </w:rPr>
        <w:t>LESLY NACARITH VENCE HERNÁNDEZ</w:t>
      </w:r>
      <w:r w:rsidRPr="0015566D">
        <w:rPr>
          <w:rFonts w:ascii="Century Gothic" w:hAnsi="Century Gothic"/>
          <w:b/>
          <w:sz w:val="24"/>
          <w:szCs w:val="24"/>
          <w:bdr w:val="none" w:sz="0" w:space="0" w:color="auto" w:frame="1"/>
        </w:rPr>
        <w:t xml:space="preserve">, </w:t>
      </w:r>
      <w:r w:rsidRPr="0015566D">
        <w:rPr>
          <w:rFonts w:ascii="Century Gothic" w:hAnsi="Century Gothic"/>
          <w:sz w:val="24"/>
          <w:szCs w:val="24"/>
          <w:bdr w:val="none" w:sz="0" w:space="0" w:color="auto" w:frame="1"/>
        </w:rPr>
        <w:t xml:space="preserve">mayor, vecina de Valledupar, en </w:t>
      </w:r>
      <w:r>
        <w:rPr>
          <w:rFonts w:ascii="Century Gothic" w:hAnsi="Century Gothic"/>
          <w:sz w:val="24"/>
          <w:szCs w:val="24"/>
          <w:bdr w:val="none" w:sz="0" w:space="0" w:color="auto" w:frame="1"/>
        </w:rPr>
        <w:t>mi condición apoderada</w:t>
      </w:r>
      <w:r w:rsidRPr="0015566D">
        <w:rPr>
          <w:rFonts w:ascii="Century Gothic" w:hAnsi="Century Gothic"/>
          <w:sz w:val="24"/>
          <w:szCs w:val="24"/>
          <w:bdr w:val="none" w:sz="0" w:space="0" w:color="auto" w:frame="1"/>
        </w:rPr>
        <w:t xml:space="preserve"> de la parte demandante dentro del asunto en referencia, estando dentro de la oportunidad legal consagrada en el Código General del Proceso, </w:t>
      </w:r>
      <w:r w:rsidR="00552337">
        <w:rPr>
          <w:rFonts w:ascii="Century Gothic" w:hAnsi="Century Gothic"/>
          <w:sz w:val="24"/>
          <w:szCs w:val="24"/>
          <w:bdr w:val="none" w:sz="0" w:space="0" w:color="auto" w:frame="1"/>
        </w:rPr>
        <w:t>respetuosamente me permito adicionar la</w:t>
      </w:r>
      <w:r w:rsidR="00552337" w:rsidRPr="00552337">
        <w:rPr>
          <w:rFonts w:ascii="Century Gothic" w:eastAsiaTheme="minorEastAsia" w:hAnsi="Century Gothic" w:cs="Times New Roman"/>
          <w:b/>
          <w:sz w:val="24"/>
          <w:szCs w:val="24"/>
          <w:lang w:val="es-ES" w:eastAsia="es-CO"/>
        </w:rPr>
        <w:t xml:space="preserve"> </w:t>
      </w:r>
      <w:r w:rsidR="00552337" w:rsidRPr="00552337">
        <w:rPr>
          <w:rFonts w:ascii="Century Gothic" w:eastAsiaTheme="minorEastAsia" w:hAnsi="Century Gothic" w:cs="Times New Roman"/>
          <w:sz w:val="24"/>
          <w:szCs w:val="24"/>
          <w:lang w:val="es-ES" w:eastAsia="es-CO"/>
        </w:rPr>
        <w:t>sustentación de la apelación presentada en el día de ayer</w:t>
      </w:r>
      <w:r w:rsidR="00552337" w:rsidRPr="00552337">
        <w:rPr>
          <w:rFonts w:ascii="Century Gothic" w:hAnsi="Century Gothic"/>
          <w:sz w:val="24"/>
          <w:szCs w:val="24"/>
          <w:bdr w:val="none" w:sz="0" w:space="0" w:color="auto" w:frame="1"/>
        </w:rPr>
        <w:t>.</w:t>
      </w:r>
    </w:p>
    <w:p w:rsidR="00544361" w:rsidRDefault="00544361" w:rsidP="00544361">
      <w:pPr>
        <w:pStyle w:val="Sinespaciado"/>
        <w:jc w:val="center"/>
        <w:rPr>
          <w:rFonts w:ascii="Century Gothic" w:hAnsi="Century Gothic"/>
          <w:b/>
          <w:sz w:val="24"/>
          <w:szCs w:val="24"/>
          <w:bdr w:val="none" w:sz="0" w:space="0" w:color="auto" w:frame="1"/>
        </w:rPr>
      </w:pPr>
    </w:p>
    <w:p w:rsidR="00A27AF5" w:rsidRDefault="00A27AF5" w:rsidP="00544361">
      <w:pPr>
        <w:pStyle w:val="Sinespaciado"/>
        <w:jc w:val="center"/>
        <w:rPr>
          <w:rFonts w:ascii="Century Gothic" w:hAnsi="Century Gothic"/>
          <w:b/>
          <w:sz w:val="24"/>
          <w:szCs w:val="24"/>
          <w:bdr w:val="none" w:sz="0" w:space="0" w:color="auto" w:frame="1"/>
        </w:rPr>
      </w:pPr>
    </w:p>
    <w:p w:rsidR="00A27AF5" w:rsidRPr="0015566D" w:rsidRDefault="00A27AF5" w:rsidP="00544361">
      <w:pPr>
        <w:pStyle w:val="Sinespaciado"/>
        <w:jc w:val="center"/>
        <w:rPr>
          <w:rFonts w:ascii="Century Gothic" w:hAnsi="Century Gothic"/>
          <w:b/>
          <w:sz w:val="24"/>
          <w:szCs w:val="24"/>
          <w:bdr w:val="none" w:sz="0" w:space="0" w:color="auto" w:frame="1"/>
        </w:rPr>
      </w:pPr>
    </w:p>
    <w:p w:rsidR="00544361" w:rsidRDefault="00F1731D" w:rsidP="00544361">
      <w:pPr>
        <w:pStyle w:val="Sinespaciado"/>
        <w:numPr>
          <w:ilvl w:val="0"/>
          <w:numId w:val="1"/>
        </w:numPr>
        <w:jc w:val="center"/>
        <w:rPr>
          <w:rFonts w:ascii="Century Gothic" w:hAnsi="Century Gothic"/>
          <w:b/>
          <w:sz w:val="28"/>
          <w:szCs w:val="28"/>
          <w:bdr w:val="none" w:sz="0" w:space="0" w:color="auto" w:frame="1"/>
        </w:rPr>
      </w:pPr>
      <w:r>
        <w:rPr>
          <w:rFonts w:ascii="Century Gothic" w:hAnsi="Century Gothic"/>
          <w:b/>
          <w:sz w:val="28"/>
          <w:szCs w:val="28"/>
          <w:bdr w:val="none" w:sz="0" w:space="0" w:color="auto" w:frame="1"/>
        </w:rPr>
        <w:t xml:space="preserve">COMPLEMENTO DE LA </w:t>
      </w:r>
      <w:r w:rsidR="00544361" w:rsidRPr="00531658">
        <w:rPr>
          <w:rFonts w:ascii="Century Gothic" w:hAnsi="Century Gothic"/>
          <w:b/>
          <w:sz w:val="28"/>
          <w:szCs w:val="28"/>
          <w:bdr w:val="none" w:sz="0" w:space="0" w:color="auto" w:frame="1"/>
        </w:rPr>
        <w:t>SUSTENTACIÓN</w:t>
      </w:r>
    </w:p>
    <w:p w:rsidR="00D04440" w:rsidRDefault="00D04440" w:rsidP="00F1731D">
      <w:pPr>
        <w:pStyle w:val="Sinespaciado"/>
        <w:rPr>
          <w:rFonts w:ascii="Century Gothic" w:hAnsi="Century Gothic"/>
          <w:b/>
          <w:sz w:val="28"/>
          <w:szCs w:val="28"/>
          <w:bdr w:val="none" w:sz="0" w:space="0" w:color="auto" w:frame="1"/>
        </w:rPr>
      </w:pPr>
    </w:p>
    <w:p w:rsidR="00F1731D" w:rsidRPr="00531658" w:rsidRDefault="00D04440" w:rsidP="00552337">
      <w:pPr>
        <w:pStyle w:val="Sinespaciado"/>
        <w:jc w:val="both"/>
        <w:rPr>
          <w:rFonts w:ascii="Century Gothic" w:hAnsi="Century Gothic"/>
          <w:b/>
          <w:sz w:val="28"/>
          <w:szCs w:val="28"/>
          <w:bdr w:val="none" w:sz="0" w:space="0" w:color="auto" w:frame="1"/>
        </w:rPr>
      </w:pPr>
      <w:r>
        <w:rPr>
          <w:rFonts w:ascii="Century Gothic" w:hAnsi="Century Gothic"/>
          <w:b/>
          <w:sz w:val="28"/>
          <w:szCs w:val="28"/>
          <w:bdr w:val="none" w:sz="0" w:space="0" w:color="auto" w:frame="1"/>
        </w:rPr>
        <w:t xml:space="preserve">En esta complementación nos referiremos al testimonio del médico Luis Carlos Farak Arrieta: </w:t>
      </w:r>
    </w:p>
    <w:p w:rsidR="00544361" w:rsidRPr="00552337" w:rsidRDefault="00544361">
      <w:pPr>
        <w:rPr>
          <w:sz w:val="28"/>
          <w:szCs w:val="28"/>
        </w:rPr>
      </w:pPr>
    </w:p>
    <w:p w:rsidR="00557670" w:rsidRDefault="00D836D0" w:rsidP="00F1731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557670">
        <w:rPr>
          <w:rFonts w:ascii="Century Gothic" w:hAnsi="Century Gothic"/>
          <w:sz w:val="28"/>
          <w:szCs w:val="28"/>
        </w:rPr>
        <w:t>E</w:t>
      </w:r>
      <w:r w:rsidR="002843BE" w:rsidRPr="00557670">
        <w:rPr>
          <w:rFonts w:ascii="Century Gothic" w:hAnsi="Century Gothic"/>
          <w:sz w:val="28"/>
          <w:szCs w:val="28"/>
        </w:rPr>
        <w:t>l médico Luis Carlos Farak Arrieta,</w:t>
      </w:r>
      <w:r w:rsidR="00EE79FC" w:rsidRPr="00557670">
        <w:rPr>
          <w:rFonts w:ascii="Century Gothic" w:hAnsi="Century Gothic"/>
          <w:sz w:val="28"/>
          <w:szCs w:val="28"/>
        </w:rPr>
        <w:t xml:space="preserve"> </w:t>
      </w:r>
      <w:r w:rsidR="00192190" w:rsidRPr="00557670">
        <w:rPr>
          <w:rFonts w:ascii="Century Gothic" w:hAnsi="Century Gothic"/>
          <w:sz w:val="28"/>
          <w:szCs w:val="28"/>
        </w:rPr>
        <w:t>nos da la razón, cuando en su testimonio afirma,</w:t>
      </w:r>
      <w:r w:rsidR="00355F5F" w:rsidRPr="00557670">
        <w:rPr>
          <w:rFonts w:ascii="Century Gothic" w:hAnsi="Century Gothic"/>
          <w:sz w:val="28"/>
          <w:szCs w:val="28"/>
        </w:rPr>
        <w:t xml:space="preserve"> que los pacientes luego </w:t>
      </w:r>
      <w:r w:rsidR="00623387" w:rsidRPr="00557670">
        <w:rPr>
          <w:rFonts w:ascii="Century Gothic" w:hAnsi="Century Gothic"/>
          <w:sz w:val="28"/>
          <w:szCs w:val="28"/>
        </w:rPr>
        <w:t xml:space="preserve">de </w:t>
      </w:r>
      <w:r w:rsidR="00D04440" w:rsidRPr="00557670">
        <w:rPr>
          <w:rFonts w:ascii="Century Gothic" w:hAnsi="Century Gothic"/>
          <w:sz w:val="28"/>
          <w:szCs w:val="28"/>
        </w:rPr>
        <w:t xml:space="preserve">una cirugía </w:t>
      </w:r>
      <w:r w:rsidR="00623387" w:rsidRPr="00557670">
        <w:rPr>
          <w:rFonts w:ascii="Century Gothic" w:hAnsi="Century Gothic"/>
          <w:sz w:val="28"/>
          <w:szCs w:val="28"/>
        </w:rPr>
        <w:t>mayor, debe</w:t>
      </w:r>
      <w:r w:rsidR="00192190" w:rsidRPr="00557670">
        <w:rPr>
          <w:rFonts w:ascii="Century Gothic" w:hAnsi="Century Gothic"/>
          <w:sz w:val="28"/>
          <w:szCs w:val="28"/>
        </w:rPr>
        <w:t>n</w:t>
      </w:r>
      <w:r w:rsidR="00623387" w:rsidRPr="00557670">
        <w:rPr>
          <w:rFonts w:ascii="Century Gothic" w:hAnsi="Century Gothic"/>
          <w:sz w:val="28"/>
          <w:szCs w:val="28"/>
        </w:rPr>
        <w:t xml:space="preserve"> permanecer en el centro hospitalario mínimo 24 horas, </w:t>
      </w:r>
      <w:r w:rsidR="004837A4" w:rsidRPr="00557670">
        <w:rPr>
          <w:rFonts w:ascii="Century Gothic" w:hAnsi="Century Gothic"/>
          <w:sz w:val="28"/>
          <w:szCs w:val="28"/>
        </w:rPr>
        <w:t>sin embargo,</w:t>
      </w:r>
      <w:r w:rsidR="002F0CFE" w:rsidRPr="00557670">
        <w:rPr>
          <w:rFonts w:ascii="Century Gothic" w:hAnsi="Century Gothic"/>
          <w:sz w:val="28"/>
          <w:szCs w:val="28"/>
        </w:rPr>
        <w:t xml:space="preserve"> obra en la historia clínica, que la paciente Marlene Montero salió de cirugía el día 30 de noviembre de 2011, a las 12:35PM (mediodía), y fue dada el alta al día siguiente a las 8:40 de la mañana, permaneciendo </w:t>
      </w:r>
      <w:r w:rsidR="00322B65" w:rsidRPr="00557670">
        <w:rPr>
          <w:rFonts w:ascii="Century Gothic" w:hAnsi="Century Gothic"/>
          <w:sz w:val="28"/>
          <w:szCs w:val="28"/>
        </w:rPr>
        <w:t xml:space="preserve">en la clínica, </w:t>
      </w:r>
      <w:r w:rsidR="002F0CFE" w:rsidRPr="00557670">
        <w:rPr>
          <w:rFonts w:ascii="Century Gothic" w:hAnsi="Century Gothic"/>
          <w:sz w:val="28"/>
          <w:szCs w:val="28"/>
        </w:rPr>
        <w:t xml:space="preserve">menos de 24 horas </w:t>
      </w:r>
      <w:r w:rsidR="00322B65" w:rsidRPr="00557670">
        <w:rPr>
          <w:rFonts w:ascii="Century Gothic" w:hAnsi="Century Gothic"/>
          <w:sz w:val="28"/>
          <w:szCs w:val="28"/>
        </w:rPr>
        <w:t xml:space="preserve">después de realizada la cirugía. </w:t>
      </w:r>
    </w:p>
    <w:p w:rsidR="00557670" w:rsidRDefault="00A27AF5" w:rsidP="0055767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557670">
        <w:rPr>
          <w:rFonts w:ascii="Century Gothic" w:hAnsi="Century Gothic"/>
          <w:sz w:val="28"/>
          <w:szCs w:val="28"/>
        </w:rPr>
        <w:lastRenderedPageBreak/>
        <w:t xml:space="preserve">El Doctor Farak, al minuto </w:t>
      </w:r>
      <w:r w:rsidR="00EE79FC" w:rsidRPr="00557670">
        <w:rPr>
          <w:rFonts w:ascii="Century Gothic" w:hAnsi="Century Gothic"/>
          <w:sz w:val="28"/>
          <w:szCs w:val="28"/>
        </w:rPr>
        <w:t>21:33 (aprox) de su declara</w:t>
      </w:r>
      <w:r w:rsidR="00623387" w:rsidRPr="00557670">
        <w:rPr>
          <w:rFonts w:ascii="Century Gothic" w:hAnsi="Century Gothic"/>
          <w:sz w:val="28"/>
          <w:szCs w:val="28"/>
        </w:rPr>
        <w:t>ción,</w:t>
      </w:r>
      <w:r w:rsidR="00EE79FC" w:rsidRPr="00557670">
        <w:rPr>
          <w:rFonts w:ascii="Century Gothic" w:hAnsi="Century Gothic"/>
          <w:sz w:val="28"/>
          <w:szCs w:val="28"/>
        </w:rPr>
        <w:t xml:space="preserve"> nos da</w:t>
      </w:r>
      <w:r w:rsidR="00623387" w:rsidRPr="00557670">
        <w:rPr>
          <w:rFonts w:ascii="Century Gothic" w:hAnsi="Century Gothic"/>
          <w:sz w:val="28"/>
          <w:szCs w:val="28"/>
        </w:rPr>
        <w:t xml:space="preserve"> </w:t>
      </w:r>
      <w:r w:rsidR="00EE79FC" w:rsidRPr="00557670">
        <w:rPr>
          <w:rFonts w:ascii="Century Gothic" w:hAnsi="Century Gothic"/>
          <w:sz w:val="28"/>
          <w:szCs w:val="28"/>
        </w:rPr>
        <w:t>la razón al afirmar, que al detectar un íleo funcional, al paciente no se le puede dar d</w:t>
      </w:r>
      <w:r w:rsidR="007D2291" w:rsidRPr="00557670">
        <w:rPr>
          <w:rFonts w:ascii="Century Gothic" w:hAnsi="Century Gothic"/>
          <w:sz w:val="28"/>
          <w:szCs w:val="28"/>
        </w:rPr>
        <w:t xml:space="preserve">e alta.  </w:t>
      </w:r>
    </w:p>
    <w:p w:rsidR="00557670" w:rsidRPr="00557670" w:rsidRDefault="00557670" w:rsidP="00557670">
      <w:pPr>
        <w:pStyle w:val="Prrafodelista"/>
        <w:jc w:val="both"/>
        <w:rPr>
          <w:rFonts w:ascii="Century Gothic" w:hAnsi="Century Gothic"/>
          <w:sz w:val="28"/>
          <w:szCs w:val="28"/>
        </w:rPr>
      </w:pPr>
    </w:p>
    <w:p w:rsidR="004D0F23" w:rsidRPr="00557670" w:rsidRDefault="00112B87" w:rsidP="00557670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8"/>
          <w:szCs w:val="28"/>
        </w:rPr>
      </w:pPr>
      <w:r w:rsidRPr="00557670">
        <w:rPr>
          <w:rFonts w:ascii="Century Gothic" w:hAnsi="Century Gothic"/>
          <w:sz w:val="28"/>
          <w:szCs w:val="28"/>
        </w:rPr>
        <w:t>El Doctor Farak</w:t>
      </w:r>
      <w:r w:rsidR="00B2733F" w:rsidRPr="00557670">
        <w:rPr>
          <w:rFonts w:ascii="Century Gothic" w:hAnsi="Century Gothic"/>
          <w:sz w:val="28"/>
          <w:szCs w:val="28"/>
        </w:rPr>
        <w:t xml:space="preserve"> afirmó, que Marlene Montero padece hipotiroidismo, </w:t>
      </w:r>
      <w:r w:rsidR="007D2291" w:rsidRPr="00557670">
        <w:rPr>
          <w:rFonts w:ascii="Century Gothic" w:hAnsi="Century Gothic"/>
          <w:sz w:val="28"/>
          <w:szCs w:val="28"/>
        </w:rPr>
        <w:t>lo cual</w:t>
      </w:r>
      <w:r w:rsidR="00B2733F" w:rsidRPr="00557670">
        <w:rPr>
          <w:rFonts w:ascii="Century Gothic" w:hAnsi="Century Gothic"/>
          <w:sz w:val="28"/>
          <w:szCs w:val="28"/>
        </w:rPr>
        <w:t>, la</w:t>
      </w:r>
      <w:r w:rsidR="00544361" w:rsidRPr="00557670">
        <w:rPr>
          <w:rFonts w:ascii="Century Gothic" w:hAnsi="Century Gothic"/>
          <w:sz w:val="28"/>
          <w:szCs w:val="28"/>
        </w:rPr>
        <w:t xml:space="preserve"> hacía má</w:t>
      </w:r>
      <w:r w:rsidR="00B2733F" w:rsidRPr="00557670">
        <w:rPr>
          <w:rFonts w:ascii="Century Gothic" w:hAnsi="Century Gothic"/>
          <w:sz w:val="28"/>
          <w:szCs w:val="28"/>
        </w:rPr>
        <w:t>s propensa a presentar un íleo paralítico</w:t>
      </w:r>
      <w:r w:rsidR="004D0F23" w:rsidRPr="00557670">
        <w:rPr>
          <w:rFonts w:ascii="Century Gothic" w:hAnsi="Century Gothic"/>
          <w:sz w:val="28"/>
          <w:szCs w:val="28"/>
        </w:rPr>
        <w:t xml:space="preserve">. </w:t>
      </w:r>
      <w:r w:rsidR="007B4C21" w:rsidRPr="00557670">
        <w:rPr>
          <w:rFonts w:ascii="Century Gothic" w:hAnsi="Century Gothic"/>
          <w:sz w:val="28"/>
          <w:szCs w:val="28"/>
        </w:rPr>
        <w:t xml:space="preserve"> </w:t>
      </w:r>
      <w:r w:rsidRPr="00557670">
        <w:rPr>
          <w:rFonts w:ascii="Century Gothic" w:hAnsi="Century Gothic"/>
          <w:sz w:val="28"/>
          <w:szCs w:val="28"/>
        </w:rPr>
        <w:t>Entonces, q</w:t>
      </w:r>
      <w:r w:rsidR="004D0F23" w:rsidRPr="00557670">
        <w:rPr>
          <w:rFonts w:ascii="Century Gothic" w:hAnsi="Century Gothic"/>
          <w:sz w:val="28"/>
          <w:szCs w:val="28"/>
        </w:rPr>
        <w:t>uiere decir esto, que</w:t>
      </w:r>
      <w:r w:rsidR="007B4C21" w:rsidRPr="00557670">
        <w:rPr>
          <w:rFonts w:ascii="Century Gothic" w:hAnsi="Century Gothic"/>
          <w:sz w:val="28"/>
          <w:szCs w:val="28"/>
        </w:rPr>
        <w:t xml:space="preserve"> debido a su hipotiroidismo,</w:t>
      </w:r>
      <w:r w:rsidR="004D0F23" w:rsidRPr="00557670">
        <w:rPr>
          <w:rFonts w:ascii="Century Gothic" w:hAnsi="Century Gothic"/>
          <w:sz w:val="28"/>
          <w:szCs w:val="28"/>
        </w:rPr>
        <w:t xml:space="preserve"> la paciente</w:t>
      </w:r>
      <w:r w:rsidR="007B4C21" w:rsidRPr="00557670">
        <w:rPr>
          <w:rFonts w:ascii="Century Gothic" w:hAnsi="Century Gothic"/>
          <w:sz w:val="28"/>
          <w:szCs w:val="28"/>
        </w:rPr>
        <w:t xml:space="preserve"> Marlene Montero</w:t>
      </w:r>
      <w:r w:rsidR="004D0F23" w:rsidRPr="00557670">
        <w:rPr>
          <w:rFonts w:ascii="Century Gothic" w:hAnsi="Century Gothic"/>
          <w:sz w:val="28"/>
          <w:szCs w:val="28"/>
        </w:rPr>
        <w:t xml:space="preserve"> requería más atención, y cuidados adicionales, con el fin de prevenir el íleo</w:t>
      </w:r>
      <w:r w:rsidR="007B4C21" w:rsidRPr="00557670">
        <w:rPr>
          <w:rFonts w:ascii="Century Gothic" w:hAnsi="Century Gothic"/>
          <w:sz w:val="28"/>
          <w:szCs w:val="28"/>
        </w:rPr>
        <w:t xml:space="preserve"> paralítico</w:t>
      </w:r>
      <w:r w:rsidRPr="00557670">
        <w:rPr>
          <w:rFonts w:ascii="Century Gothic" w:hAnsi="Century Gothic"/>
          <w:sz w:val="28"/>
          <w:szCs w:val="28"/>
        </w:rPr>
        <w:t>, y con mayor, no debió d</w:t>
      </w:r>
      <w:r w:rsidR="00764FDD" w:rsidRPr="00557670">
        <w:rPr>
          <w:rFonts w:ascii="Century Gothic" w:hAnsi="Century Gothic"/>
          <w:sz w:val="28"/>
          <w:szCs w:val="28"/>
        </w:rPr>
        <w:t>ársele de alta tan rápido</w:t>
      </w:r>
      <w:r w:rsidR="007B4C21" w:rsidRPr="00557670">
        <w:rPr>
          <w:rFonts w:ascii="Century Gothic" w:hAnsi="Century Gothic"/>
          <w:sz w:val="28"/>
          <w:szCs w:val="28"/>
        </w:rPr>
        <w:t>.</w:t>
      </w:r>
      <w:r w:rsidRPr="00557670">
        <w:rPr>
          <w:rFonts w:ascii="Century Gothic" w:hAnsi="Century Gothic"/>
          <w:sz w:val="28"/>
          <w:szCs w:val="28"/>
        </w:rPr>
        <w:t xml:space="preserve">  </w:t>
      </w:r>
      <w:r w:rsidR="007B4C21" w:rsidRPr="00557670">
        <w:rPr>
          <w:rFonts w:ascii="Century Gothic" w:hAnsi="Century Gothic"/>
          <w:sz w:val="28"/>
          <w:szCs w:val="28"/>
        </w:rPr>
        <w:t xml:space="preserve"> </w:t>
      </w:r>
      <w:r w:rsidR="004D0F23" w:rsidRPr="00557670">
        <w:rPr>
          <w:rFonts w:ascii="Century Gothic" w:hAnsi="Century Gothic"/>
          <w:sz w:val="28"/>
          <w:szCs w:val="28"/>
        </w:rPr>
        <w:t>Encontramos</w:t>
      </w:r>
      <w:r w:rsidR="007B4C21" w:rsidRPr="00557670">
        <w:rPr>
          <w:rFonts w:ascii="Century Gothic" w:hAnsi="Century Gothic"/>
          <w:sz w:val="28"/>
          <w:szCs w:val="28"/>
        </w:rPr>
        <w:t>, que existe</w:t>
      </w:r>
      <w:r w:rsidR="004D0F23" w:rsidRPr="00557670">
        <w:rPr>
          <w:rFonts w:ascii="Century Gothic" w:hAnsi="Century Gothic"/>
          <w:sz w:val="28"/>
          <w:szCs w:val="28"/>
        </w:rPr>
        <w:t xml:space="preserve"> abundante literatura médica, que advierte</w:t>
      </w:r>
      <w:r w:rsidR="007B4C21" w:rsidRPr="00557670">
        <w:rPr>
          <w:rFonts w:ascii="Century Gothic" w:hAnsi="Century Gothic"/>
          <w:sz w:val="28"/>
          <w:szCs w:val="28"/>
        </w:rPr>
        <w:t xml:space="preserve">, </w:t>
      </w:r>
      <w:r w:rsidR="004D0F23" w:rsidRPr="00557670">
        <w:rPr>
          <w:rFonts w:ascii="Century Gothic" w:hAnsi="Century Gothic"/>
          <w:sz w:val="28"/>
          <w:szCs w:val="28"/>
        </w:rPr>
        <w:t>que los pacie</w:t>
      </w:r>
      <w:r w:rsidR="007B4C21" w:rsidRPr="00557670">
        <w:rPr>
          <w:rFonts w:ascii="Century Gothic" w:hAnsi="Century Gothic"/>
          <w:sz w:val="28"/>
          <w:szCs w:val="28"/>
        </w:rPr>
        <w:t xml:space="preserve">ntes hipotiroideos requieren </w:t>
      </w:r>
      <w:r w:rsidR="004D0F23" w:rsidRPr="00557670">
        <w:rPr>
          <w:rFonts w:ascii="Century Gothic" w:hAnsi="Century Gothic"/>
          <w:sz w:val="28"/>
          <w:szCs w:val="28"/>
        </w:rPr>
        <w:t>más tiempo de hospitalización luego de una cirugía, así:</w:t>
      </w:r>
    </w:p>
    <w:p w:rsidR="007B4C21" w:rsidRPr="00552337" w:rsidRDefault="007B4C21" w:rsidP="002033AE">
      <w:pPr>
        <w:pStyle w:val="Sinespaciado"/>
        <w:ind w:right="-142"/>
        <w:jc w:val="both"/>
        <w:rPr>
          <w:rFonts w:ascii="Century Gothic" w:hAnsi="Century Gothic"/>
        </w:rPr>
      </w:pPr>
    </w:p>
    <w:p w:rsidR="004D0F23" w:rsidRPr="00552337" w:rsidRDefault="004D0F23" w:rsidP="00557670">
      <w:pPr>
        <w:pStyle w:val="Sinespaciado"/>
        <w:ind w:left="1276" w:right="567"/>
        <w:jc w:val="both"/>
        <w:rPr>
          <w:rFonts w:ascii="Century Gothic" w:hAnsi="Century Gothic"/>
          <w:i/>
        </w:rPr>
      </w:pPr>
      <w:r w:rsidRPr="00552337">
        <w:rPr>
          <w:rFonts w:ascii="Century Gothic" w:hAnsi="Century Gothic"/>
          <w:i/>
          <w:sz w:val="28"/>
          <w:szCs w:val="28"/>
        </w:rPr>
        <w:t>“</w:t>
      </w:r>
      <w:r w:rsidRPr="00552337">
        <w:rPr>
          <w:rFonts w:ascii="Century Gothic" w:hAnsi="Century Gothic"/>
          <w:i/>
        </w:rPr>
        <w:t>Es común ver que los pacientes con hipotiroidismo intervenidos quirúrgicamente, requieren de prolongados periodos de recuperación, debido a que presentan frecuentemente intolerancia a la vía oral, esto da lugar a datos de malnutrición si no se logra controlar adecuadamente los niveles hormonales.</w:t>
      </w:r>
    </w:p>
    <w:p w:rsidR="00764FDD" w:rsidRPr="00552337" w:rsidRDefault="00764FDD" w:rsidP="00557670">
      <w:pPr>
        <w:pStyle w:val="Sinespaciado"/>
        <w:ind w:left="1276" w:right="567"/>
        <w:jc w:val="both"/>
        <w:rPr>
          <w:rFonts w:ascii="Century Gothic" w:hAnsi="Century Gothic"/>
          <w:i/>
        </w:rPr>
      </w:pPr>
    </w:p>
    <w:p w:rsidR="004D0F23" w:rsidRPr="00552337" w:rsidRDefault="004D0F23" w:rsidP="00557670">
      <w:pPr>
        <w:pStyle w:val="Sinespaciado"/>
        <w:ind w:left="1276" w:right="567"/>
        <w:jc w:val="both"/>
        <w:rPr>
          <w:rFonts w:ascii="Century Gothic" w:hAnsi="Century Gothic"/>
          <w:i/>
        </w:rPr>
      </w:pPr>
      <w:r w:rsidRPr="00552337">
        <w:rPr>
          <w:rFonts w:ascii="Century Gothic" w:hAnsi="Century Gothic"/>
          <w:i/>
        </w:rPr>
        <w:t>Los síntomas gastrointestinales que puede presentar un paciente con hipotiroidismo son: decremento en la motilidad gastrointestinal (98%), constipación (95%), íleo paralítico o llamado íleo mixedematoso (85%), atonía (70%), hipomotilidad (56%), distensión severa de otras partes del aparato digestivo como estómago, esófago o duodeno (45%).</w:t>
      </w:r>
      <w:r w:rsidRPr="00552337">
        <w:rPr>
          <w:rStyle w:val="elsevierstylesup"/>
          <w:rFonts w:ascii="Century Gothic" w:hAnsi="Century Gothic"/>
          <w:i/>
          <w:color w:val="505050"/>
          <w:sz w:val="21"/>
          <w:szCs w:val="21"/>
          <w:bdr w:val="none" w:sz="0" w:space="0" w:color="auto" w:frame="1"/>
          <w:vertAlign w:val="superscript"/>
        </w:rPr>
        <w:t>3</w:t>
      </w:r>
      <w:r w:rsidRPr="00552337">
        <w:rPr>
          <w:rStyle w:val="elsevierstylesup"/>
          <w:rFonts w:ascii="Century Gothic" w:hAnsi="Century Gothic"/>
          <w:i/>
          <w:color w:val="505050"/>
          <w:sz w:val="21"/>
          <w:szCs w:val="21"/>
          <w:bdr w:val="none" w:sz="0" w:space="0" w:color="auto" w:frame="1"/>
          <w:vertAlign w:val="superscript"/>
        </w:rPr>
        <w:t>”</w:t>
      </w:r>
      <w:r w:rsidR="002033AE" w:rsidRPr="00552337">
        <w:rPr>
          <w:rStyle w:val="Refdenotaalpie"/>
          <w:rFonts w:ascii="Century Gothic" w:hAnsi="Century Gothic"/>
          <w:i/>
          <w:color w:val="505050"/>
          <w:sz w:val="21"/>
          <w:szCs w:val="21"/>
          <w:bdr w:val="none" w:sz="0" w:space="0" w:color="auto" w:frame="1"/>
        </w:rPr>
        <w:footnoteReference w:id="1"/>
      </w:r>
    </w:p>
    <w:p w:rsidR="00322B65" w:rsidRPr="00552337" w:rsidRDefault="00B2733F" w:rsidP="007B4C21">
      <w:pPr>
        <w:pStyle w:val="Sinespaciado"/>
        <w:ind w:left="851" w:right="567"/>
        <w:jc w:val="both"/>
        <w:rPr>
          <w:rFonts w:ascii="Century Gothic" w:hAnsi="Century Gothic"/>
          <w:i/>
          <w:sz w:val="28"/>
          <w:szCs w:val="28"/>
        </w:rPr>
      </w:pPr>
      <w:r w:rsidRPr="00552337">
        <w:rPr>
          <w:rFonts w:ascii="Century Gothic" w:hAnsi="Century Gothic"/>
          <w:i/>
          <w:sz w:val="28"/>
          <w:szCs w:val="28"/>
        </w:rPr>
        <w:t xml:space="preserve"> </w:t>
      </w:r>
    </w:p>
    <w:p w:rsidR="00281C4A" w:rsidRPr="00557670" w:rsidRDefault="00F862E8" w:rsidP="00557670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 w:rsidRPr="00557670">
        <w:rPr>
          <w:rFonts w:ascii="Century Gothic" w:hAnsi="Century Gothic"/>
          <w:sz w:val="28"/>
          <w:szCs w:val="28"/>
        </w:rPr>
        <w:t>Así mismo, después del minut</w:t>
      </w:r>
      <w:r w:rsidR="00ED6448" w:rsidRPr="00557670">
        <w:rPr>
          <w:rFonts w:ascii="Century Gothic" w:hAnsi="Century Gothic"/>
          <w:sz w:val="28"/>
          <w:szCs w:val="28"/>
        </w:rPr>
        <w:t>o 34:</w:t>
      </w:r>
      <w:r w:rsidR="00322B65" w:rsidRPr="00557670">
        <w:rPr>
          <w:rFonts w:ascii="Century Gothic" w:hAnsi="Century Gothic"/>
          <w:sz w:val="28"/>
          <w:szCs w:val="28"/>
        </w:rPr>
        <w:t>22 el Dr. Farak explicó</w:t>
      </w:r>
      <w:r w:rsidR="00764FDD" w:rsidRPr="00557670">
        <w:rPr>
          <w:rFonts w:ascii="Century Gothic" w:hAnsi="Century Gothic"/>
          <w:sz w:val="28"/>
          <w:szCs w:val="28"/>
        </w:rPr>
        <w:t xml:space="preserve"> lo</w:t>
      </w:r>
      <w:r w:rsidRPr="00557670">
        <w:rPr>
          <w:rFonts w:ascii="Century Gothic" w:hAnsi="Century Gothic"/>
          <w:sz w:val="28"/>
          <w:szCs w:val="28"/>
        </w:rPr>
        <w:t>s</w:t>
      </w:r>
      <w:r w:rsidR="00764FDD" w:rsidRPr="00557670">
        <w:rPr>
          <w:rFonts w:ascii="Century Gothic" w:hAnsi="Century Gothic"/>
          <w:sz w:val="28"/>
          <w:szCs w:val="28"/>
        </w:rPr>
        <w:t xml:space="preserve"> criterios o</w:t>
      </w:r>
      <w:r w:rsidRPr="00557670">
        <w:rPr>
          <w:rFonts w:ascii="Century Gothic" w:hAnsi="Century Gothic"/>
          <w:sz w:val="28"/>
          <w:szCs w:val="28"/>
        </w:rPr>
        <w:t xml:space="preserve"> consideraciones médicas, que deben tenerse en cuenta</w:t>
      </w:r>
      <w:r w:rsidR="00764FDD" w:rsidRPr="00557670">
        <w:rPr>
          <w:rFonts w:ascii="Century Gothic" w:hAnsi="Century Gothic"/>
          <w:sz w:val="28"/>
          <w:szCs w:val="28"/>
        </w:rPr>
        <w:t xml:space="preserve"> para dar de alta a la paciente.  Tal consideraciones no obran en la historia clínica, por lo tanto, no fueron tenidos en cuenta para ordenar la salida de la paciente. </w:t>
      </w:r>
    </w:p>
    <w:p w:rsidR="00764FDD" w:rsidRPr="00552337" w:rsidRDefault="00764FDD" w:rsidP="00F1731D">
      <w:pPr>
        <w:jc w:val="both"/>
        <w:rPr>
          <w:rFonts w:ascii="Century Gothic" w:hAnsi="Century Gothic"/>
          <w:sz w:val="28"/>
          <w:szCs w:val="28"/>
        </w:rPr>
      </w:pPr>
    </w:p>
    <w:p w:rsidR="00764FDD" w:rsidRPr="002C1B46" w:rsidRDefault="00557670" w:rsidP="00F1731D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Para finalizar ,</w:t>
      </w:r>
      <w:r w:rsidR="00764FDD" w:rsidRPr="00557670">
        <w:rPr>
          <w:rFonts w:ascii="Century Gothic" w:hAnsi="Century Gothic"/>
          <w:sz w:val="28"/>
          <w:szCs w:val="28"/>
        </w:rPr>
        <w:t xml:space="preserve"> el Doctor Farak en su testimonio</w:t>
      </w:r>
      <w:r w:rsidR="00B74A73" w:rsidRPr="00557670">
        <w:rPr>
          <w:rFonts w:ascii="Century Gothic" w:hAnsi="Century Gothic"/>
          <w:b/>
          <w:sz w:val="28"/>
          <w:szCs w:val="28"/>
        </w:rPr>
        <w:t xml:space="preserve"> (minuto 37 en adelante)</w:t>
      </w:r>
      <w:r w:rsidR="00B74A73" w:rsidRPr="00557670">
        <w:rPr>
          <w:rFonts w:ascii="Century Gothic" w:hAnsi="Century Gothic"/>
          <w:sz w:val="28"/>
          <w:szCs w:val="28"/>
        </w:rPr>
        <w:t>, explicó</w:t>
      </w:r>
      <w:r w:rsidR="00764FDD" w:rsidRPr="00557670">
        <w:rPr>
          <w:rFonts w:ascii="Century Gothic" w:hAnsi="Century Gothic"/>
          <w:sz w:val="28"/>
          <w:szCs w:val="28"/>
        </w:rPr>
        <w:t xml:space="preserve"> que el íleo paralítico produce dolor, distensión, abdomen globoso, y que la presión abdominal </w:t>
      </w:r>
      <w:r w:rsidR="00764FDD" w:rsidRPr="00557670">
        <w:rPr>
          <w:rFonts w:ascii="Century Gothic" w:hAnsi="Century Gothic"/>
          <w:sz w:val="28"/>
          <w:szCs w:val="28"/>
        </w:rPr>
        <w:lastRenderedPageBreak/>
        <w:t xml:space="preserve">a causa del íleo paralítico, puede causar </w:t>
      </w:r>
      <w:r w:rsidR="00B74A73" w:rsidRPr="00557670">
        <w:rPr>
          <w:rFonts w:ascii="Century Gothic" w:hAnsi="Century Gothic"/>
          <w:sz w:val="28"/>
          <w:szCs w:val="28"/>
        </w:rPr>
        <w:t>dehiscencia</w:t>
      </w:r>
      <w:r w:rsidR="00764FDD" w:rsidRPr="00557670">
        <w:rPr>
          <w:rFonts w:ascii="Century Gothic" w:hAnsi="Century Gothic"/>
          <w:sz w:val="28"/>
          <w:szCs w:val="28"/>
        </w:rPr>
        <w:t xml:space="preserve"> de la sutura, es decir, desprendimiento</w:t>
      </w:r>
      <w:r w:rsidR="00B74A73" w:rsidRPr="00557670">
        <w:rPr>
          <w:rFonts w:ascii="Century Gothic" w:hAnsi="Century Gothic"/>
          <w:sz w:val="28"/>
          <w:szCs w:val="28"/>
        </w:rPr>
        <w:t xml:space="preserve"> o abertura</w:t>
      </w:r>
      <w:r w:rsidR="00764FDD" w:rsidRPr="00557670">
        <w:rPr>
          <w:rFonts w:ascii="Century Gothic" w:hAnsi="Century Gothic"/>
          <w:sz w:val="28"/>
          <w:szCs w:val="28"/>
        </w:rPr>
        <w:t xml:space="preserve"> de la misma, provocando futuras hern</w:t>
      </w:r>
      <w:r w:rsidR="00B74A73" w:rsidRPr="00557670">
        <w:rPr>
          <w:rFonts w:ascii="Century Gothic" w:hAnsi="Century Gothic"/>
          <w:sz w:val="28"/>
          <w:szCs w:val="28"/>
        </w:rPr>
        <w:t>ias y eventraciones</w:t>
      </w:r>
      <w:r>
        <w:rPr>
          <w:rFonts w:ascii="Century Gothic" w:hAnsi="Century Gothic"/>
          <w:sz w:val="28"/>
          <w:szCs w:val="28"/>
        </w:rPr>
        <w:t xml:space="preserve"> de tipo incisional; </w:t>
      </w:r>
      <w:r w:rsidRPr="00557670">
        <w:rPr>
          <w:rFonts w:ascii="Century Gothic" w:hAnsi="Century Gothic" w:cs="Arial"/>
          <w:color w:val="202124"/>
          <w:sz w:val="28"/>
          <w:szCs w:val="28"/>
          <w:shd w:val="clear" w:color="auto" w:fill="FFFFFF"/>
        </w:rPr>
        <w:t>s</w:t>
      </w:r>
      <w:r w:rsidR="0037799D" w:rsidRPr="00557670">
        <w:rPr>
          <w:rFonts w:ascii="Century Gothic" w:hAnsi="Century Gothic" w:cs="Arial"/>
          <w:color w:val="202124"/>
          <w:sz w:val="28"/>
          <w:szCs w:val="28"/>
          <w:shd w:val="clear" w:color="auto" w:fill="FFFFFF"/>
        </w:rPr>
        <w:t>egún la literatura médica:</w:t>
      </w:r>
      <w:r w:rsidR="0037799D" w:rsidRPr="00557670">
        <w:rPr>
          <w:rFonts w:ascii="Century Gothic" w:hAnsi="Century Gothic" w:cs="Arial"/>
          <w:color w:val="202124"/>
          <w:shd w:val="clear" w:color="auto" w:fill="FFFFFF"/>
        </w:rPr>
        <w:t xml:space="preserve"> </w:t>
      </w:r>
      <w:r w:rsidR="0037799D" w:rsidRPr="00557670">
        <w:rPr>
          <w:rFonts w:ascii="Bradley Hand ITC" w:hAnsi="Bradley Hand ITC" w:cs="Arial"/>
          <w:color w:val="202124"/>
          <w:shd w:val="clear" w:color="auto" w:fill="FFFFFF"/>
        </w:rPr>
        <w:t>“</w:t>
      </w:r>
      <w:r w:rsidR="0037799D" w:rsidRPr="00557670">
        <w:rPr>
          <w:rFonts w:ascii="Bradley Hand ITC" w:hAnsi="Bradley Hand ITC" w:cs="Arial"/>
          <w:b/>
          <w:color w:val="202124"/>
          <w:shd w:val="clear" w:color="auto" w:fill="FFFFFF"/>
        </w:rPr>
        <w:t>Una </w:t>
      </w:r>
      <w:r w:rsidR="0037799D" w:rsidRPr="00557670">
        <w:rPr>
          <w:rFonts w:ascii="Bradley Hand ITC" w:hAnsi="Bradley Hand ITC" w:cs="Arial"/>
          <w:b/>
          <w:bCs/>
          <w:color w:val="202124"/>
          <w:shd w:val="clear" w:color="auto" w:fill="FFFFFF"/>
        </w:rPr>
        <w:t>hernia incisional</w:t>
      </w:r>
      <w:r w:rsidR="0037799D" w:rsidRPr="00557670">
        <w:rPr>
          <w:rFonts w:ascii="Bradley Hand ITC" w:hAnsi="Bradley Hand ITC" w:cs="Arial"/>
          <w:b/>
          <w:color w:val="202124"/>
          <w:shd w:val="clear" w:color="auto" w:fill="FFFFFF"/>
        </w:rPr>
        <w:t> es una protuberancia de tejido o de un órgano a través de una cicatriz quirúrgica en la pared abdominal. Las hernias </w:t>
      </w:r>
      <w:r w:rsidR="0037799D" w:rsidRPr="00557670">
        <w:rPr>
          <w:rFonts w:ascii="Bradley Hand ITC" w:hAnsi="Bradley Hand ITC" w:cs="Arial"/>
          <w:b/>
          <w:bCs/>
          <w:color w:val="202124"/>
          <w:shd w:val="clear" w:color="auto" w:fill="FFFFFF"/>
        </w:rPr>
        <w:t>incisionales</w:t>
      </w:r>
      <w:r w:rsidR="0037799D" w:rsidRPr="00557670">
        <w:rPr>
          <w:rFonts w:ascii="Bradley Hand ITC" w:hAnsi="Bradley Hand ITC" w:cs="Arial"/>
          <w:b/>
          <w:color w:val="202124"/>
          <w:shd w:val="clear" w:color="auto" w:fill="FFFFFF"/>
        </w:rPr>
        <w:t> se producen en un 10% a un 23% de los casos después de cirugías abdominales</w:t>
      </w:r>
      <w:r w:rsidR="0037799D" w:rsidRPr="00557670">
        <w:rPr>
          <w:rFonts w:ascii="Bradley Hand ITC" w:hAnsi="Bradley Hand ITC" w:cs="Arial"/>
          <w:b/>
          <w:color w:val="202124"/>
          <w:shd w:val="clear" w:color="auto" w:fill="FFFFFF"/>
        </w:rPr>
        <w:t>”,</w:t>
      </w:r>
      <w:r w:rsidR="00552337">
        <w:rPr>
          <w:rStyle w:val="Refdenotaalpie"/>
          <w:rFonts w:ascii="Bradley Hand ITC" w:hAnsi="Bradley Hand ITC" w:cs="Arial"/>
          <w:b/>
          <w:color w:val="202124"/>
          <w:shd w:val="clear" w:color="auto" w:fill="FFFFFF"/>
        </w:rPr>
        <w:footnoteReference w:id="2"/>
      </w:r>
      <w:r w:rsidR="0037799D" w:rsidRPr="00557670">
        <w:rPr>
          <w:rFonts w:ascii="Century Gothic" w:hAnsi="Century Gothic" w:cs="Arial"/>
          <w:color w:val="202124"/>
          <w:shd w:val="clear" w:color="auto" w:fill="FFFFFF"/>
        </w:rPr>
        <w:t xml:space="preserve"> </w:t>
      </w:r>
      <w:r w:rsidR="0037799D" w:rsidRPr="00175784">
        <w:rPr>
          <w:rFonts w:ascii="Century Gothic" w:hAnsi="Century Gothic" w:cs="Arial"/>
          <w:color w:val="202124"/>
          <w:sz w:val="28"/>
          <w:szCs w:val="28"/>
          <w:shd w:val="clear" w:color="auto" w:fill="FFFFFF"/>
        </w:rPr>
        <w:t xml:space="preserve">efectivamente, el íleo paralítico provocó en Marlene Montero, una </w:t>
      </w:r>
      <w:r w:rsidR="0037799D" w:rsidRPr="00175784">
        <w:rPr>
          <w:rFonts w:ascii="Century Gothic" w:hAnsi="Century Gothic"/>
          <w:sz w:val="28"/>
          <w:szCs w:val="28"/>
        </w:rPr>
        <w:t>dehiscencia de la sutura,</w:t>
      </w:r>
      <w:r w:rsidR="0037799D" w:rsidRPr="00175784">
        <w:rPr>
          <w:rFonts w:ascii="Century Gothic" w:hAnsi="Century Gothic"/>
          <w:sz w:val="28"/>
          <w:szCs w:val="28"/>
        </w:rPr>
        <w:t xml:space="preserve"> y una posterior eventración o hernia, de </w:t>
      </w:r>
      <w:r w:rsidR="002C1B46">
        <w:rPr>
          <w:rFonts w:ascii="Century Gothic" w:hAnsi="Century Gothic"/>
          <w:sz w:val="28"/>
          <w:szCs w:val="28"/>
        </w:rPr>
        <w:t xml:space="preserve">la </w:t>
      </w:r>
      <w:r w:rsidR="0037799D" w:rsidRPr="00175784">
        <w:rPr>
          <w:rFonts w:ascii="Century Gothic" w:hAnsi="Century Gothic"/>
          <w:sz w:val="28"/>
          <w:szCs w:val="28"/>
        </w:rPr>
        <w:t xml:space="preserve">cual debió ser </w:t>
      </w:r>
      <w:r w:rsidR="002C1B46">
        <w:rPr>
          <w:rFonts w:ascii="Century Gothic" w:hAnsi="Century Gothic"/>
          <w:sz w:val="28"/>
          <w:szCs w:val="28"/>
        </w:rPr>
        <w:t>intervenida quirúrgicamente a fi</w:t>
      </w:r>
      <w:r w:rsidR="0037799D" w:rsidRPr="00175784">
        <w:rPr>
          <w:rFonts w:ascii="Century Gothic" w:hAnsi="Century Gothic"/>
          <w:sz w:val="28"/>
          <w:szCs w:val="28"/>
        </w:rPr>
        <w:t xml:space="preserve">n de </w:t>
      </w:r>
      <w:r w:rsidR="00916061" w:rsidRPr="00175784">
        <w:rPr>
          <w:rFonts w:ascii="Century Gothic" w:hAnsi="Century Gothic"/>
          <w:sz w:val="28"/>
          <w:szCs w:val="28"/>
        </w:rPr>
        <w:t>colocarle</w:t>
      </w:r>
      <w:r w:rsidR="002C1B46">
        <w:rPr>
          <w:rFonts w:ascii="Century Gothic" w:hAnsi="Century Gothic"/>
          <w:sz w:val="28"/>
          <w:szCs w:val="28"/>
        </w:rPr>
        <w:t xml:space="preserve"> o instalarle </w:t>
      </w:r>
      <w:r w:rsidR="00916061" w:rsidRPr="00175784">
        <w:rPr>
          <w:rFonts w:ascii="Century Gothic" w:hAnsi="Century Gothic"/>
          <w:sz w:val="28"/>
          <w:szCs w:val="28"/>
        </w:rPr>
        <w:t>para siempre, una malla en su abdomen, como tantas veces lo hemos explicado en el trascurso del proceso.</w:t>
      </w:r>
      <w:bookmarkStart w:id="0" w:name="_GoBack"/>
      <w:bookmarkEnd w:id="0"/>
    </w:p>
    <w:p w:rsidR="00764FDD" w:rsidRPr="00552337" w:rsidRDefault="00552337" w:rsidP="00552337">
      <w:pPr>
        <w:jc w:val="center"/>
        <w:rPr>
          <w:rFonts w:ascii="Century Gothic" w:hAnsi="Century Gothic"/>
          <w:sz w:val="28"/>
          <w:szCs w:val="28"/>
        </w:rPr>
      </w:pPr>
      <w:r w:rsidRPr="00552337">
        <w:rPr>
          <w:rFonts w:ascii="Century Gothic" w:eastAsiaTheme="minorEastAsia" w:hAnsi="Century Gothic" w:cs="Times New Roman"/>
          <w:noProof/>
          <w:sz w:val="24"/>
          <w:szCs w:val="24"/>
          <w:lang w:eastAsia="es-CO"/>
        </w:rPr>
        <w:drawing>
          <wp:inline distT="0" distB="0" distL="0" distR="0" wp14:anchorId="22A4C39B" wp14:editId="25F0CD8E">
            <wp:extent cx="3276600" cy="1028700"/>
            <wp:effectExtent l="0" t="0" r="0" b="0"/>
            <wp:docPr id="2" name="Imagen 2" descr="C:\Users\lesly vence\Downloads\Firma Les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ly vence\Downloads\Firma Lesl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37" w:rsidRPr="00552337" w:rsidRDefault="00552337" w:rsidP="00552337">
      <w:pPr>
        <w:pStyle w:val="Sinespaciado"/>
        <w:jc w:val="center"/>
        <w:rPr>
          <w:rFonts w:ascii="Century Gothic" w:hAnsi="Century Gothic"/>
          <w:lang w:eastAsia="es-CO"/>
        </w:rPr>
      </w:pPr>
      <w:r w:rsidRPr="00552337">
        <w:rPr>
          <w:rFonts w:ascii="Century Gothic" w:hAnsi="Century Gothic"/>
          <w:lang w:eastAsia="es-CO"/>
        </w:rPr>
        <w:t>LESLY NACARITH VENCE HERNÁNDEZ</w:t>
      </w:r>
    </w:p>
    <w:p w:rsidR="00552337" w:rsidRPr="00552337" w:rsidRDefault="00552337" w:rsidP="00552337">
      <w:pPr>
        <w:pStyle w:val="Sinespaciado"/>
        <w:jc w:val="center"/>
        <w:rPr>
          <w:rFonts w:ascii="Century Gothic" w:hAnsi="Century Gothic"/>
          <w:lang w:eastAsia="es-CO"/>
        </w:rPr>
      </w:pPr>
      <w:r w:rsidRPr="00552337">
        <w:rPr>
          <w:rFonts w:ascii="Century Gothic" w:hAnsi="Century Gothic"/>
          <w:lang w:eastAsia="es-CO"/>
        </w:rPr>
        <w:t>C.C No 49.692.887 de Agustín Codazzi</w:t>
      </w:r>
    </w:p>
    <w:p w:rsidR="00552337" w:rsidRPr="00552337" w:rsidRDefault="00552337" w:rsidP="00552337">
      <w:pPr>
        <w:pStyle w:val="Sinespaciado"/>
        <w:jc w:val="center"/>
        <w:rPr>
          <w:rFonts w:ascii="Century Gothic" w:hAnsi="Century Gothic"/>
          <w:lang w:eastAsia="es-CO"/>
        </w:rPr>
      </w:pPr>
      <w:r w:rsidRPr="00552337">
        <w:rPr>
          <w:rFonts w:ascii="Century Gothic" w:hAnsi="Century Gothic"/>
          <w:lang w:eastAsia="es-CO"/>
        </w:rPr>
        <w:t>T.P No 100.221 del C. S de la J</w:t>
      </w:r>
    </w:p>
    <w:p w:rsidR="00764FDD" w:rsidRDefault="00552337" w:rsidP="00552337">
      <w:pPr>
        <w:tabs>
          <w:tab w:val="left" w:pos="2714"/>
        </w:tabs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:rsidR="00764FDD" w:rsidRDefault="00764FDD" w:rsidP="00F1731D">
      <w:pPr>
        <w:jc w:val="both"/>
        <w:rPr>
          <w:rFonts w:ascii="Century Gothic" w:hAnsi="Century Gothic"/>
          <w:sz w:val="28"/>
          <w:szCs w:val="28"/>
        </w:rPr>
      </w:pPr>
    </w:p>
    <w:p w:rsidR="00764FDD" w:rsidRDefault="00764FDD" w:rsidP="00F1731D">
      <w:pPr>
        <w:jc w:val="both"/>
        <w:rPr>
          <w:rFonts w:ascii="Century Gothic" w:hAnsi="Century Gothic"/>
          <w:sz w:val="28"/>
          <w:szCs w:val="28"/>
        </w:rPr>
      </w:pPr>
    </w:p>
    <w:p w:rsidR="00764FDD" w:rsidRPr="00F1731D" w:rsidRDefault="00764FDD" w:rsidP="00F1731D">
      <w:pPr>
        <w:jc w:val="both"/>
        <w:rPr>
          <w:rFonts w:ascii="Century Gothic" w:hAnsi="Century Gothic"/>
          <w:sz w:val="28"/>
          <w:szCs w:val="28"/>
        </w:rPr>
      </w:pPr>
    </w:p>
    <w:sectPr w:rsidR="00764FDD" w:rsidRPr="00F1731D" w:rsidSect="00552337">
      <w:pgSz w:w="12242" w:h="18705" w:code="119"/>
      <w:pgMar w:top="198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F2B" w:rsidRDefault="00541F2B" w:rsidP="002033AE">
      <w:pPr>
        <w:spacing w:after="0" w:line="240" w:lineRule="auto"/>
      </w:pPr>
      <w:r>
        <w:separator/>
      </w:r>
    </w:p>
  </w:endnote>
  <w:endnote w:type="continuationSeparator" w:id="0">
    <w:p w:rsidR="00541F2B" w:rsidRDefault="00541F2B" w:rsidP="0020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F2B" w:rsidRDefault="00541F2B" w:rsidP="002033AE">
      <w:pPr>
        <w:spacing w:after="0" w:line="240" w:lineRule="auto"/>
      </w:pPr>
      <w:r>
        <w:separator/>
      </w:r>
    </w:p>
  </w:footnote>
  <w:footnote w:type="continuationSeparator" w:id="0">
    <w:p w:rsidR="00541F2B" w:rsidRDefault="00541F2B" w:rsidP="002033AE">
      <w:pPr>
        <w:spacing w:after="0" w:line="240" w:lineRule="auto"/>
      </w:pPr>
      <w:r>
        <w:continuationSeparator/>
      </w:r>
    </w:p>
  </w:footnote>
  <w:footnote w:id="1">
    <w:p w:rsidR="002033AE" w:rsidRDefault="002033AE">
      <w:pPr>
        <w:pStyle w:val="Textonotapie"/>
      </w:pPr>
      <w:r>
        <w:rPr>
          <w:rStyle w:val="Refdenotaalpie"/>
        </w:rPr>
        <w:footnoteRef/>
      </w:r>
      <w:r>
        <w:t xml:space="preserve"> Tomado de: </w:t>
      </w:r>
      <w:r w:rsidRPr="002033AE">
        <w:t>http://www.revistagastroenterologiamexico.org/es-ileo-mixedematoso-exacerbante-abdomen-agudo-articulo-X037509060849786X</w:t>
      </w:r>
    </w:p>
  </w:footnote>
  <w:footnote w:id="2">
    <w:p w:rsidR="00552337" w:rsidRDefault="00552337">
      <w:pPr>
        <w:pStyle w:val="Textonotapie"/>
      </w:pPr>
      <w:r>
        <w:rPr>
          <w:rStyle w:val="Refdenotaalpie"/>
        </w:rPr>
        <w:footnoteRef/>
      </w:r>
      <w:r>
        <w:t xml:space="preserve"> Tomado de: </w:t>
      </w:r>
      <w:r w:rsidRPr="00552337">
        <w:t>https://www.google.com/search?q=hernia+incisional&amp;oq=hernia+inci&amp;aqs=chrome.1.69i57j0i131i433j0l6.4043j0j7&amp;sourceid=chrome&amp;ie=UTF-8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4741B"/>
    <w:multiLevelType w:val="hybridMultilevel"/>
    <w:tmpl w:val="C2C6AE20"/>
    <w:lvl w:ilvl="0" w:tplc="240A000B">
      <w:start w:val="1"/>
      <w:numFmt w:val="bullet"/>
      <w:lvlText w:val=""/>
      <w:lvlJc w:val="left"/>
      <w:pPr>
        <w:ind w:left="803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">
    <w:nsid w:val="5DE01DD1"/>
    <w:multiLevelType w:val="hybridMultilevel"/>
    <w:tmpl w:val="1AD255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71929"/>
    <w:multiLevelType w:val="hybridMultilevel"/>
    <w:tmpl w:val="CB1C7D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BE"/>
    <w:rsid w:val="00112B87"/>
    <w:rsid w:val="00112E2A"/>
    <w:rsid w:val="00175784"/>
    <w:rsid w:val="00192190"/>
    <w:rsid w:val="002033AE"/>
    <w:rsid w:val="002843BE"/>
    <w:rsid w:val="002C1B46"/>
    <w:rsid w:val="002F0CFE"/>
    <w:rsid w:val="00322B65"/>
    <w:rsid w:val="00355F5F"/>
    <w:rsid w:val="0037799D"/>
    <w:rsid w:val="003C64C4"/>
    <w:rsid w:val="004837A4"/>
    <w:rsid w:val="004D03E9"/>
    <w:rsid w:val="004D0F23"/>
    <w:rsid w:val="00541F2B"/>
    <w:rsid w:val="00544361"/>
    <w:rsid w:val="00552337"/>
    <w:rsid w:val="00557670"/>
    <w:rsid w:val="00623387"/>
    <w:rsid w:val="00764FDD"/>
    <w:rsid w:val="007B4C21"/>
    <w:rsid w:val="007D2291"/>
    <w:rsid w:val="00916061"/>
    <w:rsid w:val="009B6455"/>
    <w:rsid w:val="00A27AF5"/>
    <w:rsid w:val="00B2733F"/>
    <w:rsid w:val="00B74A73"/>
    <w:rsid w:val="00C761FC"/>
    <w:rsid w:val="00D04440"/>
    <w:rsid w:val="00D1367E"/>
    <w:rsid w:val="00D836D0"/>
    <w:rsid w:val="00ED6448"/>
    <w:rsid w:val="00EE79FC"/>
    <w:rsid w:val="00F1731D"/>
    <w:rsid w:val="00F8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F7B0D-5DD6-4DF6-9F8D-C3EDB8B8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6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44361"/>
    <w:pPr>
      <w:spacing w:after="0" w:line="240" w:lineRule="auto"/>
    </w:pPr>
  </w:style>
  <w:style w:type="paragraph" w:customStyle="1" w:styleId="elsevierstylepara">
    <w:name w:val="elsevierstylepara"/>
    <w:basedOn w:val="Normal"/>
    <w:rsid w:val="004D0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elsevierstylesup">
    <w:name w:val="elsevierstylesup"/>
    <w:basedOn w:val="Fuentedeprrafopredeter"/>
    <w:rsid w:val="004D0F23"/>
  </w:style>
  <w:style w:type="paragraph" w:styleId="Textonotapie">
    <w:name w:val="footnote text"/>
    <w:basedOn w:val="Normal"/>
    <w:link w:val="TextonotapieCar"/>
    <w:uiPriority w:val="99"/>
    <w:semiHidden/>
    <w:unhideWhenUsed/>
    <w:rsid w:val="002033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033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033AE"/>
    <w:rPr>
      <w:vertAlign w:val="superscript"/>
    </w:rPr>
  </w:style>
  <w:style w:type="table" w:styleId="Tablaconcuadrcula">
    <w:name w:val="Table Grid"/>
    <w:basedOn w:val="Tablanormal"/>
    <w:uiPriority w:val="39"/>
    <w:rsid w:val="00916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57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5FC8-E757-4EF7-A63A-6CC4E088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lesly vence</dc:creator>
  <cp:keywords/>
  <dc:description/>
  <cp:lastModifiedBy>lesly vence</cp:lastModifiedBy>
  <cp:revision>5</cp:revision>
  <dcterms:created xsi:type="dcterms:W3CDTF">2020-11-11T22:41:00Z</dcterms:created>
  <dcterms:modified xsi:type="dcterms:W3CDTF">2020-11-11T22:49:00Z</dcterms:modified>
</cp:coreProperties>
</file>