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3C7" w:rsidRPr="009427D5" w:rsidRDefault="003913C7" w:rsidP="003913C7">
      <w:pPr>
        <w:rPr>
          <w:lang w:eastAsia="es-ES"/>
        </w:rPr>
      </w:pPr>
    </w:p>
    <w:p w:rsidR="003913C7" w:rsidRPr="009427D5" w:rsidRDefault="003913C7" w:rsidP="003913C7">
      <w:pPr>
        <w:rPr>
          <w:lang w:eastAsia="es-ES"/>
        </w:rPr>
      </w:pPr>
    </w:p>
    <w:p w:rsidR="003913C7" w:rsidRPr="009427D5" w:rsidRDefault="003913C7" w:rsidP="003913C7">
      <w:pPr>
        <w:rPr>
          <w:lang w:eastAsia="es-ES"/>
        </w:rPr>
      </w:pPr>
    </w:p>
    <w:p w:rsidR="008D37A5" w:rsidRPr="009427D5" w:rsidRDefault="008D37A5" w:rsidP="003913C7">
      <w:pPr>
        <w:rPr>
          <w:lang w:eastAsia="es-ES"/>
        </w:rPr>
      </w:pPr>
    </w:p>
    <w:p w:rsidR="008D37A5" w:rsidRPr="009427D5" w:rsidRDefault="008D37A5" w:rsidP="003913C7">
      <w:pPr>
        <w:rPr>
          <w:lang w:eastAsia="es-ES"/>
        </w:rPr>
      </w:pPr>
    </w:p>
    <w:p w:rsidR="003913C7" w:rsidRPr="009427D5" w:rsidRDefault="003913C7" w:rsidP="003913C7">
      <w:pPr>
        <w:rPr>
          <w:lang w:eastAsia="es-ES"/>
        </w:rPr>
      </w:pPr>
    </w:p>
    <w:p w:rsidR="00461D2D" w:rsidRPr="009427D5" w:rsidRDefault="00461D2D" w:rsidP="004F5C40">
      <w:pPr>
        <w:pStyle w:val="a"/>
        <w:tabs>
          <w:tab w:val="left" w:pos="210"/>
          <w:tab w:val="center" w:pos="4476"/>
        </w:tabs>
        <w:rPr>
          <w:sz w:val="24"/>
          <w:szCs w:val="24"/>
          <w:lang w:val="es-CO"/>
        </w:rPr>
      </w:pPr>
      <w:r w:rsidRPr="009427D5">
        <w:rPr>
          <w:sz w:val="24"/>
          <w:szCs w:val="24"/>
          <w:lang w:val="es-CO"/>
        </w:rPr>
        <w:t>INFORME DE AUDITOR</w:t>
      </w:r>
      <w:r w:rsidR="00130FF6" w:rsidRPr="009427D5">
        <w:rPr>
          <w:sz w:val="24"/>
          <w:szCs w:val="24"/>
          <w:lang w:val="es-CO"/>
        </w:rPr>
        <w:t>Í</w:t>
      </w:r>
      <w:r w:rsidRPr="009427D5">
        <w:rPr>
          <w:sz w:val="24"/>
          <w:szCs w:val="24"/>
          <w:lang w:val="es-CO"/>
        </w:rPr>
        <w:t xml:space="preserve">A </w:t>
      </w:r>
      <w:r w:rsidR="004F5C40" w:rsidRPr="009427D5">
        <w:rPr>
          <w:sz w:val="24"/>
          <w:szCs w:val="24"/>
          <w:lang w:val="es-CO"/>
        </w:rPr>
        <w:t xml:space="preserve">A </w:t>
      </w:r>
      <w:r w:rsidRPr="009427D5">
        <w:rPr>
          <w:sz w:val="24"/>
          <w:szCs w:val="24"/>
          <w:lang w:val="es-CO"/>
        </w:rPr>
        <w:t>POLÍTICAS PÚBLICAS</w:t>
      </w:r>
    </w:p>
    <w:p w:rsidR="00461D2D" w:rsidRPr="009427D5" w:rsidRDefault="00461D2D" w:rsidP="004F5C40">
      <w:pPr>
        <w:tabs>
          <w:tab w:val="left" w:pos="6902"/>
        </w:tabs>
        <w:spacing w:after="0" w:line="240" w:lineRule="auto"/>
        <w:jc w:val="center"/>
        <w:rPr>
          <w:rFonts w:ascii="Arial" w:hAnsi="Arial" w:cs="Arial"/>
          <w:b/>
          <w:bCs/>
          <w:sz w:val="24"/>
          <w:szCs w:val="24"/>
        </w:rPr>
      </w:pPr>
    </w:p>
    <w:p w:rsidR="00461D2D" w:rsidRPr="009427D5" w:rsidRDefault="00461D2D" w:rsidP="004F5C40">
      <w:pPr>
        <w:pStyle w:val="Ttulo5"/>
        <w:spacing w:before="0" w:after="0"/>
        <w:jc w:val="center"/>
        <w:rPr>
          <w:rFonts w:ascii="Arial" w:hAnsi="Arial" w:cs="Arial"/>
          <w:i w:val="0"/>
          <w:sz w:val="24"/>
          <w:szCs w:val="24"/>
          <w:highlight w:val="white"/>
          <w:lang w:val="es-CO"/>
        </w:rPr>
      </w:pPr>
    </w:p>
    <w:p w:rsidR="00461D2D" w:rsidRPr="009427D5" w:rsidRDefault="00461D2D" w:rsidP="004F5C40">
      <w:pPr>
        <w:pStyle w:val="Ttulo5"/>
        <w:spacing w:before="0" w:after="0"/>
        <w:jc w:val="center"/>
        <w:rPr>
          <w:rFonts w:ascii="Arial" w:hAnsi="Arial" w:cs="Arial"/>
          <w:sz w:val="24"/>
          <w:szCs w:val="24"/>
          <w:highlight w:val="white"/>
          <w:lang w:val="es-CO"/>
        </w:rPr>
      </w:pPr>
    </w:p>
    <w:p w:rsidR="004F5C40" w:rsidRPr="009427D5" w:rsidRDefault="004F5C40" w:rsidP="004F5C40">
      <w:pPr>
        <w:spacing w:after="0" w:line="240" w:lineRule="auto"/>
        <w:rPr>
          <w:rFonts w:ascii="Arial" w:hAnsi="Arial" w:cs="Arial"/>
          <w:sz w:val="24"/>
          <w:szCs w:val="24"/>
          <w:highlight w:val="white"/>
          <w:lang w:eastAsia="x-none"/>
        </w:rPr>
      </w:pPr>
    </w:p>
    <w:p w:rsidR="00461D2D" w:rsidRPr="009427D5" w:rsidRDefault="00461D2D" w:rsidP="004F5C40">
      <w:pPr>
        <w:spacing w:after="0" w:line="240" w:lineRule="auto"/>
        <w:jc w:val="center"/>
        <w:rPr>
          <w:rFonts w:ascii="Arial" w:hAnsi="Arial" w:cs="Arial"/>
          <w:sz w:val="24"/>
          <w:szCs w:val="24"/>
        </w:rPr>
      </w:pPr>
    </w:p>
    <w:p w:rsidR="00461D2D" w:rsidRPr="009427D5" w:rsidRDefault="00461D2D" w:rsidP="004F5C40">
      <w:pPr>
        <w:spacing w:after="0" w:line="240" w:lineRule="auto"/>
        <w:jc w:val="center"/>
        <w:rPr>
          <w:rFonts w:ascii="Arial" w:hAnsi="Arial" w:cs="Arial"/>
          <w:sz w:val="24"/>
          <w:szCs w:val="24"/>
        </w:rPr>
      </w:pPr>
    </w:p>
    <w:p w:rsidR="004F5C40" w:rsidRPr="009427D5" w:rsidRDefault="004F5C40" w:rsidP="004F5C40">
      <w:pPr>
        <w:spacing w:after="0" w:line="240" w:lineRule="auto"/>
        <w:jc w:val="center"/>
        <w:rPr>
          <w:rFonts w:ascii="Arial" w:hAnsi="Arial" w:cs="Arial"/>
          <w:sz w:val="24"/>
          <w:szCs w:val="24"/>
        </w:rPr>
      </w:pPr>
    </w:p>
    <w:p w:rsidR="004F5C40" w:rsidRPr="009427D5" w:rsidRDefault="004F5C40" w:rsidP="004F5C40">
      <w:pPr>
        <w:spacing w:after="0" w:line="240" w:lineRule="auto"/>
        <w:jc w:val="center"/>
        <w:rPr>
          <w:rFonts w:ascii="Arial" w:hAnsi="Arial" w:cs="Arial"/>
          <w:sz w:val="24"/>
          <w:szCs w:val="24"/>
        </w:rPr>
      </w:pPr>
    </w:p>
    <w:p w:rsidR="00461D2D" w:rsidRPr="009427D5" w:rsidRDefault="00461D2D" w:rsidP="004F5C40">
      <w:pPr>
        <w:spacing w:after="0" w:line="240" w:lineRule="auto"/>
        <w:rPr>
          <w:rFonts w:ascii="Arial" w:hAnsi="Arial" w:cs="Arial"/>
          <w:sz w:val="24"/>
          <w:szCs w:val="24"/>
        </w:rPr>
      </w:pPr>
    </w:p>
    <w:p w:rsidR="00461D2D" w:rsidRPr="009427D5" w:rsidRDefault="00461D2D" w:rsidP="004F5C40">
      <w:pPr>
        <w:spacing w:after="0" w:line="240" w:lineRule="auto"/>
        <w:jc w:val="center"/>
        <w:rPr>
          <w:rFonts w:ascii="Arial" w:hAnsi="Arial" w:cs="Arial"/>
          <w:b/>
          <w:sz w:val="24"/>
          <w:szCs w:val="24"/>
        </w:rPr>
      </w:pPr>
    </w:p>
    <w:p w:rsidR="00561FF7" w:rsidRPr="009427D5" w:rsidRDefault="00461D2D" w:rsidP="00F0571F">
      <w:pPr>
        <w:numPr>
          <w:ilvl w:val="12"/>
          <w:numId w:val="0"/>
        </w:numPr>
        <w:shd w:val="clear" w:color="auto" w:fill="FFFFFF"/>
        <w:spacing w:after="0" w:line="240" w:lineRule="auto"/>
        <w:jc w:val="center"/>
        <w:textAlignment w:val="top"/>
        <w:rPr>
          <w:rFonts w:ascii="Arial" w:hAnsi="Arial" w:cs="Arial"/>
          <w:b/>
          <w:lang w:eastAsia="ar-SA"/>
        </w:rPr>
      </w:pPr>
      <w:r w:rsidRPr="009427D5">
        <w:rPr>
          <w:rFonts w:ascii="Arial" w:hAnsi="Arial" w:cs="Arial"/>
          <w:b/>
          <w:lang w:eastAsia="ar-SA"/>
        </w:rPr>
        <w:t xml:space="preserve">POLÍTICA PÚBLICA: </w:t>
      </w:r>
      <w:r w:rsidR="001B118A" w:rsidRPr="009427D5">
        <w:rPr>
          <w:rFonts w:ascii="Arial" w:hAnsi="Arial" w:cs="Arial"/>
          <w:b/>
          <w:lang w:eastAsia="ar-SA"/>
        </w:rPr>
        <w:t xml:space="preserve">PROMOVER EL FORTALECIMIENTO DE LA JUSTICIA - JUSTICIA FORMAL, ORAL Y DESCONGESTIÓN </w:t>
      </w:r>
    </w:p>
    <w:p w:rsidR="00461D2D" w:rsidRPr="009427D5" w:rsidRDefault="00461D2D" w:rsidP="00F0571F">
      <w:pPr>
        <w:numPr>
          <w:ilvl w:val="12"/>
          <w:numId w:val="0"/>
        </w:numPr>
        <w:shd w:val="clear" w:color="auto" w:fill="FFFFFF"/>
        <w:spacing w:after="0" w:line="240" w:lineRule="auto"/>
        <w:jc w:val="center"/>
        <w:textAlignment w:val="top"/>
        <w:rPr>
          <w:rFonts w:ascii="Arial" w:hAnsi="Arial" w:cs="Arial"/>
          <w:b/>
          <w:lang w:eastAsia="ar-SA"/>
        </w:rPr>
      </w:pPr>
      <w:r w:rsidRPr="009427D5">
        <w:rPr>
          <w:rFonts w:ascii="Arial" w:hAnsi="Arial" w:cs="Arial"/>
          <w:b/>
          <w:lang w:eastAsia="ar-SA"/>
        </w:rPr>
        <w:t>PLAN N</w:t>
      </w:r>
      <w:r w:rsidR="004F5C40" w:rsidRPr="009427D5">
        <w:rPr>
          <w:rFonts w:ascii="Arial" w:hAnsi="Arial" w:cs="Arial"/>
          <w:b/>
          <w:lang w:eastAsia="ar-SA"/>
        </w:rPr>
        <w:t>ACIONAL DE DESARROLLO 2010-2014</w:t>
      </w:r>
    </w:p>
    <w:p w:rsidR="005A1B75" w:rsidRPr="009427D5" w:rsidRDefault="005A1B75" w:rsidP="004F5C40">
      <w:pPr>
        <w:pStyle w:val="Encabezado"/>
        <w:numPr>
          <w:ilvl w:val="12"/>
          <w:numId w:val="0"/>
        </w:numPr>
        <w:jc w:val="center"/>
        <w:rPr>
          <w:rFonts w:ascii="Arial" w:hAnsi="Arial" w:cs="Arial"/>
          <w:b/>
          <w:lang w:val="es-CO" w:eastAsia="ar-SA"/>
        </w:rPr>
      </w:pPr>
      <w:r w:rsidRPr="009427D5">
        <w:rPr>
          <w:rFonts w:ascii="Arial" w:hAnsi="Arial" w:cs="Arial"/>
          <w:b/>
          <w:lang w:val="es-CO" w:eastAsia="ar-SA"/>
        </w:rPr>
        <w:t>“PROSPERIDAD PARA TODOS”</w:t>
      </w:r>
    </w:p>
    <w:p w:rsidR="00461D2D" w:rsidRPr="009427D5" w:rsidRDefault="001B118A" w:rsidP="004F5C40">
      <w:pPr>
        <w:pStyle w:val="Encabezado"/>
        <w:numPr>
          <w:ilvl w:val="12"/>
          <w:numId w:val="0"/>
        </w:numPr>
        <w:jc w:val="center"/>
        <w:rPr>
          <w:rFonts w:ascii="Arial" w:hAnsi="Arial" w:cs="Arial"/>
          <w:b/>
          <w:bCs/>
          <w:lang w:val="es-CO"/>
        </w:rPr>
      </w:pPr>
      <w:r w:rsidRPr="009427D5">
        <w:rPr>
          <w:rFonts w:ascii="Arial" w:hAnsi="Arial" w:cs="Arial"/>
          <w:b/>
          <w:i/>
          <w:lang w:val="es-CO" w:eastAsia="ar-SA"/>
        </w:rPr>
        <w:t>2010 -2013</w:t>
      </w:r>
    </w:p>
    <w:p w:rsidR="00461D2D" w:rsidRPr="009427D5" w:rsidRDefault="00461D2D" w:rsidP="004F5C40">
      <w:pPr>
        <w:spacing w:after="0" w:line="240" w:lineRule="auto"/>
        <w:rPr>
          <w:rFonts w:ascii="Arial" w:hAnsi="Arial" w:cs="Arial"/>
          <w:b/>
          <w:sz w:val="24"/>
          <w:szCs w:val="24"/>
          <w:highlight w:val="white"/>
        </w:rPr>
      </w:pPr>
    </w:p>
    <w:p w:rsidR="00461D2D" w:rsidRPr="009427D5" w:rsidRDefault="00461D2D" w:rsidP="004F5C40">
      <w:pPr>
        <w:spacing w:after="0" w:line="240" w:lineRule="auto"/>
        <w:rPr>
          <w:rFonts w:ascii="Arial" w:hAnsi="Arial" w:cs="Arial"/>
          <w:b/>
          <w:sz w:val="24"/>
          <w:szCs w:val="24"/>
        </w:rPr>
      </w:pPr>
    </w:p>
    <w:p w:rsidR="00461D2D" w:rsidRPr="009427D5" w:rsidRDefault="00461D2D" w:rsidP="004F5C40">
      <w:pPr>
        <w:spacing w:after="0" w:line="240" w:lineRule="auto"/>
        <w:rPr>
          <w:rFonts w:ascii="Arial" w:hAnsi="Arial" w:cs="Arial"/>
          <w:b/>
          <w:sz w:val="24"/>
          <w:szCs w:val="24"/>
        </w:rPr>
      </w:pPr>
    </w:p>
    <w:p w:rsidR="00461D2D" w:rsidRPr="009427D5" w:rsidRDefault="00461D2D" w:rsidP="004F5C40">
      <w:pPr>
        <w:spacing w:after="0" w:line="240" w:lineRule="auto"/>
        <w:rPr>
          <w:rFonts w:ascii="Arial" w:hAnsi="Arial" w:cs="Arial"/>
          <w:b/>
          <w:sz w:val="24"/>
          <w:szCs w:val="24"/>
        </w:rPr>
      </w:pPr>
    </w:p>
    <w:p w:rsidR="00461D2D" w:rsidRPr="009427D5" w:rsidRDefault="00461D2D" w:rsidP="004F5C40">
      <w:pPr>
        <w:spacing w:after="0" w:line="240" w:lineRule="auto"/>
        <w:rPr>
          <w:rFonts w:ascii="Arial" w:hAnsi="Arial" w:cs="Arial"/>
          <w:b/>
          <w:sz w:val="24"/>
          <w:szCs w:val="24"/>
        </w:rPr>
      </w:pPr>
    </w:p>
    <w:p w:rsidR="00461D2D" w:rsidRPr="009427D5" w:rsidRDefault="00461D2D" w:rsidP="004F5C40">
      <w:pPr>
        <w:spacing w:after="0" w:line="240" w:lineRule="auto"/>
        <w:rPr>
          <w:rFonts w:ascii="Arial" w:hAnsi="Arial" w:cs="Arial"/>
          <w:b/>
          <w:sz w:val="24"/>
          <w:szCs w:val="24"/>
        </w:rPr>
      </w:pPr>
    </w:p>
    <w:p w:rsidR="00461D2D" w:rsidRPr="009427D5" w:rsidRDefault="00461D2D" w:rsidP="004F5C40">
      <w:pPr>
        <w:spacing w:after="0" w:line="240" w:lineRule="auto"/>
        <w:rPr>
          <w:rFonts w:ascii="Arial" w:hAnsi="Arial" w:cs="Arial"/>
          <w:b/>
          <w:sz w:val="24"/>
          <w:szCs w:val="24"/>
        </w:rPr>
      </w:pPr>
    </w:p>
    <w:p w:rsidR="00461D2D" w:rsidRPr="009427D5" w:rsidRDefault="00461D2D" w:rsidP="004F5C40">
      <w:pPr>
        <w:spacing w:after="0" w:line="240" w:lineRule="auto"/>
        <w:rPr>
          <w:rFonts w:ascii="Arial" w:hAnsi="Arial" w:cs="Arial"/>
          <w:b/>
          <w:sz w:val="24"/>
          <w:szCs w:val="24"/>
        </w:rPr>
      </w:pPr>
    </w:p>
    <w:p w:rsidR="00461D2D" w:rsidRPr="009427D5" w:rsidRDefault="00461D2D" w:rsidP="004F5C40">
      <w:pPr>
        <w:spacing w:after="0" w:line="240" w:lineRule="auto"/>
        <w:rPr>
          <w:rFonts w:ascii="Arial" w:hAnsi="Arial" w:cs="Arial"/>
          <w:b/>
          <w:sz w:val="24"/>
          <w:szCs w:val="24"/>
        </w:rPr>
      </w:pPr>
    </w:p>
    <w:p w:rsidR="00461D2D" w:rsidRPr="009427D5" w:rsidRDefault="00461D2D" w:rsidP="004F5C40">
      <w:pPr>
        <w:spacing w:after="0" w:line="240" w:lineRule="auto"/>
        <w:rPr>
          <w:rFonts w:ascii="Arial" w:hAnsi="Arial" w:cs="Arial"/>
          <w:b/>
          <w:sz w:val="24"/>
          <w:szCs w:val="24"/>
        </w:rPr>
      </w:pPr>
    </w:p>
    <w:p w:rsidR="00461D2D" w:rsidRPr="009427D5" w:rsidRDefault="00461D2D" w:rsidP="004F5C40">
      <w:pPr>
        <w:pStyle w:val="TDC3"/>
        <w:tabs>
          <w:tab w:val="clear" w:pos="8830"/>
        </w:tabs>
        <w:rPr>
          <w:rFonts w:cs="Arial"/>
          <w:bCs w:val="0"/>
          <w:noProof w:val="0"/>
          <w:lang w:val="es-CO"/>
        </w:rPr>
      </w:pPr>
    </w:p>
    <w:p w:rsidR="00461D2D" w:rsidRPr="009427D5" w:rsidRDefault="00A306D2" w:rsidP="00A306D2">
      <w:pPr>
        <w:spacing w:after="0" w:line="240" w:lineRule="auto"/>
        <w:rPr>
          <w:rFonts w:ascii="Arial" w:hAnsi="Arial" w:cs="Arial"/>
          <w:b/>
          <w:sz w:val="24"/>
          <w:szCs w:val="24"/>
          <w:highlight w:val="white"/>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1B118A" w:rsidRPr="009427D5">
        <w:rPr>
          <w:rFonts w:ascii="Arial" w:hAnsi="Arial" w:cs="Arial"/>
          <w:b/>
          <w:sz w:val="24"/>
          <w:szCs w:val="24"/>
        </w:rPr>
        <w:t>CGR – CDDJSDES</w:t>
      </w:r>
      <w:r w:rsidR="00461D2D" w:rsidRPr="009427D5">
        <w:rPr>
          <w:rFonts w:ascii="Arial" w:hAnsi="Arial" w:cs="Arial"/>
          <w:b/>
          <w:sz w:val="24"/>
          <w:szCs w:val="24"/>
          <w:highlight w:val="white"/>
        </w:rPr>
        <w:t xml:space="preserve"> No.</w:t>
      </w:r>
      <w:r>
        <w:rPr>
          <w:rFonts w:ascii="Arial" w:hAnsi="Arial" w:cs="Arial"/>
          <w:b/>
          <w:sz w:val="24"/>
          <w:szCs w:val="24"/>
          <w:highlight w:val="white"/>
        </w:rPr>
        <w:t>019</w:t>
      </w:r>
    </w:p>
    <w:p w:rsidR="00461D2D" w:rsidRDefault="00A306D2" w:rsidP="00A306D2">
      <w:pPr>
        <w:spacing w:after="0" w:line="240"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1B118A" w:rsidRPr="009427D5">
        <w:rPr>
          <w:rFonts w:ascii="Arial" w:hAnsi="Arial" w:cs="Arial"/>
          <w:b/>
          <w:bCs/>
          <w:sz w:val="24"/>
          <w:szCs w:val="24"/>
        </w:rPr>
        <w:t>Junio</w:t>
      </w:r>
      <w:r w:rsidR="00461D2D" w:rsidRPr="009427D5">
        <w:rPr>
          <w:rFonts w:ascii="Arial" w:hAnsi="Arial" w:cs="Arial"/>
          <w:b/>
          <w:bCs/>
          <w:color w:val="FF0000"/>
          <w:sz w:val="24"/>
          <w:szCs w:val="24"/>
        </w:rPr>
        <w:t xml:space="preserve"> </w:t>
      </w:r>
      <w:r w:rsidR="00461D2D" w:rsidRPr="009427D5">
        <w:rPr>
          <w:rFonts w:ascii="Arial" w:hAnsi="Arial" w:cs="Arial"/>
          <w:b/>
          <w:bCs/>
          <w:sz w:val="24"/>
          <w:szCs w:val="24"/>
        </w:rPr>
        <w:t>de 2014</w:t>
      </w:r>
    </w:p>
    <w:p w:rsidR="00A306D2" w:rsidRDefault="00A306D2" w:rsidP="00A44518">
      <w:pPr>
        <w:spacing w:after="0" w:line="240" w:lineRule="auto"/>
        <w:ind w:left="708"/>
        <w:jc w:val="right"/>
        <w:rPr>
          <w:rFonts w:ascii="Arial" w:hAnsi="Arial" w:cs="Arial"/>
          <w:b/>
          <w:bCs/>
          <w:sz w:val="24"/>
          <w:szCs w:val="24"/>
        </w:rPr>
      </w:pPr>
    </w:p>
    <w:p w:rsidR="00A306D2" w:rsidRDefault="00A306D2" w:rsidP="00A44518">
      <w:pPr>
        <w:spacing w:after="0" w:line="240" w:lineRule="auto"/>
        <w:ind w:left="708"/>
        <w:jc w:val="right"/>
        <w:rPr>
          <w:rFonts w:ascii="Arial" w:hAnsi="Arial" w:cs="Arial"/>
          <w:sz w:val="24"/>
          <w:szCs w:val="24"/>
        </w:rPr>
      </w:pPr>
    </w:p>
    <w:p w:rsidR="00170E87" w:rsidRDefault="00170E87" w:rsidP="00A44518">
      <w:pPr>
        <w:spacing w:after="0" w:line="240" w:lineRule="auto"/>
        <w:ind w:left="708"/>
        <w:jc w:val="right"/>
        <w:rPr>
          <w:rFonts w:ascii="Arial" w:hAnsi="Arial" w:cs="Arial"/>
          <w:sz w:val="24"/>
          <w:szCs w:val="24"/>
        </w:rPr>
      </w:pPr>
    </w:p>
    <w:p w:rsidR="00170E87" w:rsidRPr="009427D5" w:rsidRDefault="00170E87" w:rsidP="00A44518">
      <w:pPr>
        <w:spacing w:after="0" w:line="240" w:lineRule="auto"/>
        <w:ind w:left="708"/>
        <w:jc w:val="right"/>
        <w:rPr>
          <w:rFonts w:ascii="Arial" w:hAnsi="Arial" w:cs="Arial"/>
          <w:sz w:val="24"/>
          <w:szCs w:val="24"/>
        </w:rPr>
      </w:pPr>
    </w:p>
    <w:p w:rsidR="004F5C40" w:rsidRPr="009427D5" w:rsidRDefault="004F5C40" w:rsidP="00714A35">
      <w:pPr>
        <w:pStyle w:val="Encabezado"/>
        <w:numPr>
          <w:ilvl w:val="12"/>
          <w:numId w:val="0"/>
        </w:numPr>
        <w:jc w:val="center"/>
        <w:rPr>
          <w:rFonts w:ascii="Arial" w:hAnsi="Arial" w:cs="Arial"/>
          <w:b/>
          <w:bCs/>
          <w:lang w:val="es-CO"/>
        </w:rPr>
      </w:pPr>
      <w:r w:rsidRPr="009427D5">
        <w:rPr>
          <w:rFonts w:ascii="Arial" w:hAnsi="Arial" w:cs="Arial"/>
          <w:b/>
          <w:lang w:val="es-CO"/>
        </w:rPr>
        <w:lastRenderedPageBreak/>
        <w:t>INFORME DE AUDITOR</w:t>
      </w:r>
      <w:r w:rsidR="00130FF6" w:rsidRPr="009427D5">
        <w:rPr>
          <w:rFonts w:ascii="Arial" w:hAnsi="Arial" w:cs="Arial"/>
          <w:b/>
          <w:lang w:val="es-CO"/>
        </w:rPr>
        <w:t>Í</w:t>
      </w:r>
      <w:r w:rsidRPr="009427D5">
        <w:rPr>
          <w:rFonts w:ascii="Arial" w:hAnsi="Arial" w:cs="Arial"/>
          <w:b/>
          <w:lang w:val="es-CO"/>
        </w:rPr>
        <w:t>A</w:t>
      </w:r>
      <w:r w:rsidR="00130FF6" w:rsidRPr="009427D5">
        <w:rPr>
          <w:rFonts w:ascii="Arial" w:hAnsi="Arial" w:cs="Arial"/>
          <w:b/>
          <w:lang w:val="es-CO"/>
        </w:rPr>
        <w:t xml:space="preserve"> A</w:t>
      </w:r>
      <w:r w:rsidRPr="009427D5">
        <w:rPr>
          <w:rFonts w:ascii="Arial" w:hAnsi="Arial" w:cs="Arial"/>
          <w:b/>
          <w:lang w:val="es-CO"/>
        </w:rPr>
        <w:t xml:space="preserve"> POLÍTICAS PÚBLICAS</w:t>
      </w:r>
    </w:p>
    <w:p w:rsidR="001B118A" w:rsidRPr="009427D5" w:rsidRDefault="001B118A" w:rsidP="00714A35">
      <w:pPr>
        <w:shd w:val="clear" w:color="auto" w:fill="FFFFFF"/>
        <w:spacing w:after="0" w:line="240" w:lineRule="auto"/>
        <w:ind w:left="720"/>
        <w:jc w:val="center"/>
        <w:textAlignment w:val="top"/>
        <w:rPr>
          <w:rFonts w:ascii="Arial" w:hAnsi="Arial" w:cs="Arial"/>
          <w:b/>
          <w:lang w:eastAsia="ar-SA"/>
        </w:rPr>
      </w:pPr>
      <w:r w:rsidRPr="009427D5">
        <w:rPr>
          <w:rFonts w:ascii="Arial" w:hAnsi="Arial" w:cs="Arial"/>
          <w:b/>
          <w:lang w:eastAsia="ar-SA"/>
        </w:rPr>
        <w:t>PROMOVER EL FORTALECIMIENTO DE LA JUSTICIA</w:t>
      </w:r>
      <w:r w:rsidR="00714A35" w:rsidRPr="009427D5">
        <w:rPr>
          <w:rFonts w:ascii="Arial" w:hAnsi="Arial" w:cs="Arial"/>
          <w:b/>
          <w:lang w:eastAsia="ar-SA"/>
        </w:rPr>
        <w:t xml:space="preserve"> </w:t>
      </w:r>
      <w:r w:rsidRPr="009427D5">
        <w:rPr>
          <w:rFonts w:ascii="Arial" w:hAnsi="Arial" w:cs="Arial"/>
          <w:b/>
          <w:lang w:eastAsia="ar-SA"/>
        </w:rPr>
        <w:t>- JUSTICIA FORMAL, ORAL Y DESCONGESTIÓN</w:t>
      </w:r>
    </w:p>
    <w:p w:rsidR="00714A35" w:rsidRPr="009427D5" w:rsidRDefault="00714A35" w:rsidP="00714A35">
      <w:pPr>
        <w:shd w:val="clear" w:color="auto" w:fill="FFFFFF"/>
        <w:spacing w:after="0" w:line="240" w:lineRule="auto"/>
        <w:ind w:left="720"/>
        <w:jc w:val="center"/>
        <w:textAlignment w:val="top"/>
        <w:rPr>
          <w:rFonts w:ascii="Arial" w:hAnsi="Arial" w:cs="Arial"/>
          <w:b/>
          <w:lang w:eastAsia="ar-SA"/>
        </w:rPr>
      </w:pPr>
    </w:p>
    <w:tbl>
      <w:tblPr>
        <w:tblW w:w="8494" w:type="dxa"/>
        <w:jc w:val="center"/>
        <w:tblLook w:val="04A0" w:firstRow="1" w:lastRow="0" w:firstColumn="1" w:lastColumn="0" w:noHBand="0" w:noVBand="1"/>
      </w:tblPr>
      <w:tblGrid>
        <w:gridCol w:w="4205"/>
        <w:gridCol w:w="4289"/>
      </w:tblGrid>
      <w:tr w:rsidR="004F5C40" w:rsidRPr="009427D5" w:rsidTr="00924DFD">
        <w:trPr>
          <w:trHeight w:val="841"/>
          <w:jc w:val="center"/>
        </w:trPr>
        <w:tc>
          <w:tcPr>
            <w:tcW w:w="4205" w:type="dxa"/>
            <w:vAlign w:val="center"/>
          </w:tcPr>
          <w:p w:rsidR="007F57B1" w:rsidRPr="009427D5" w:rsidRDefault="004F5C40" w:rsidP="007F57B1">
            <w:pPr>
              <w:rPr>
                <w:rFonts w:ascii="Arial" w:hAnsi="Arial" w:cs="Arial"/>
                <w:color w:val="FF0000"/>
                <w:sz w:val="24"/>
                <w:szCs w:val="24"/>
              </w:rPr>
            </w:pPr>
            <w:r w:rsidRPr="009427D5">
              <w:rPr>
                <w:rFonts w:ascii="Arial" w:hAnsi="Arial" w:cs="Arial"/>
                <w:sz w:val="24"/>
                <w:szCs w:val="24"/>
              </w:rPr>
              <w:t>Contralor</w:t>
            </w:r>
            <w:r w:rsidR="00B45FE7" w:rsidRPr="009427D5">
              <w:rPr>
                <w:rFonts w:ascii="Arial" w:hAnsi="Arial" w:cs="Arial"/>
                <w:sz w:val="24"/>
                <w:szCs w:val="24"/>
              </w:rPr>
              <w:t xml:space="preserve"> </w:t>
            </w:r>
            <w:r w:rsidRPr="009427D5">
              <w:rPr>
                <w:rFonts w:ascii="Arial" w:hAnsi="Arial" w:cs="Arial"/>
                <w:sz w:val="24"/>
                <w:szCs w:val="24"/>
              </w:rPr>
              <w:t xml:space="preserve"> Delegad</w:t>
            </w:r>
            <w:r w:rsidR="00B45FE7" w:rsidRPr="009427D5">
              <w:rPr>
                <w:rFonts w:ascii="Arial" w:hAnsi="Arial" w:cs="Arial"/>
                <w:sz w:val="24"/>
                <w:szCs w:val="24"/>
              </w:rPr>
              <w:t>o</w:t>
            </w:r>
            <w:r w:rsidRPr="009427D5">
              <w:rPr>
                <w:rFonts w:ascii="Arial" w:hAnsi="Arial" w:cs="Arial"/>
                <w:sz w:val="24"/>
                <w:szCs w:val="24"/>
              </w:rPr>
              <w:t xml:space="preserve"> </w:t>
            </w:r>
            <w:r w:rsidR="005519A0" w:rsidRPr="009427D5">
              <w:rPr>
                <w:rFonts w:ascii="Arial" w:hAnsi="Arial" w:cs="Arial"/>
                <w:sz w:val="24"/>
                <w:szCs w:val="24"/>
              </w:rPr>
              <w:t xml:space="preserve">para el Sector </w:t>
            </w:r>
            <w:r w:rsidR="007F57B1" w:rsidRPr="009427D5">
              <w:rPr>
                <w:rFonts w:ascii="Arial" w:hAnsi="Arial" w:cs="Arial"/>
                <w:sz w:val="24"/>
                <w:szCs w:val="24"/>
              </w:rPr>
              <w:t>Defensa, Justicia y Seguridad</w:t>
            </w:r>
          </w:p>
        </w:tc>
        <w:tc>
          <w:tcPr>
            <w:tcW w:w="4289" w:type="dxa"/>
            <w:vAlign w:val="center"/>
          </w:tcPr>
          <w:p w:rsidR="004F5C40" w:rsidRPr="009427D5" w:rsidRDefault="007F57B1" w:rsidP="00F0571F">
            <w:pPr>
              <w:rPr>
                <w:rFonts w:ascii="Arial" w:hAnsi="Arial" w:cs="Arial"/>
                <w:sz w:val="24"/>
                <w:szCs w:val="24"/>
              </w:rPr>
            </w:pPr>
            <w:r w:rsidRPr="009427D5">
              <w:rPr>
                <w:rFonts w:ascii="Arial" w:hAnsi="Arial" w:cs="Arial"/>
                <w:sz w:val="24"/>
                <w:szCs w:val="24"/>
              </w:rPr>
              <w:t>Rafael Enrique Romero Cruz</w:t>
            </w:r>
          </w:p>
        </w:tc>
      </w:tr>
      <w:tr w:rsidR="005519A0" w:rsidRPr="009427D5" w:rsidTr="00924DFD">
        <w:trPr>
          <w:trHeight w:val="1134"/>
          <w:jc w:val="center"/>
        </w:trPr>
        <w:tc>
          <w:tcPr>
            <w:tcW w:w="4205" w:type="dxa"/>
            <w:vAlign w:val="center"/>
          </w:tcPr>
          <w:p w:rsidR="005519A0" w:rsidRPr="009427D5" w:rsidRDefault="005519A0" w:rsidP="007F57B1">
            <w:pPr>
              <w:rPr>
                <w:rFonts w:ascii="Arial" w:hAnsi="Arial" w:cs="Arial"/>
                <w:sz w:val="24"/>
                <w:szCs w:val="24"/>
              </w:rPr>
            </w:pPr>
            <w:r w:rsidRPr="009427D5">
              <w:rPr>
                <w:rFonts w:ascii="Arial" w:hAnsi="Arial" w:cs="Arial"/>
                <w:sz w:val="24"/>
                <w:szCs w:val="24"/>
              </w:rPr>
              <w:t>Director de Estudio</w:t>
            </w:r>
            <w:r w:rsidR="00B45FE7" w:rsidRPr="009427D5">
              <w:rPr>
                <w:rFonts w:ascii="Arial" w:hAnsi="Arial" w:cs="Arial"/>
                <w:sz w:val="24"/>
                <w:szCs w:val="24"/>
              </w:rPr>
              <w:t>s</w:t>
            </w:r>
            <w:r w:rsidRPr="009427D5">
              <w:rPr>
                <w:rFonts w:ascii="Arial" w:hAnsi="Arial" w:cs="Arial"/>
                <w:sz w:val="24"/>
                <w:szCs w:val="24"/>
              </w:rPr>
              <w:t xml:space="preserve"> </w:t>
            </w:r>
            <w:r w:rsidR="00B45FE7" w:rsidRPr="009427D5">
              <w:rPr>
                <w:rFonts w:ascii="Arial" w:hAnsi="Arial" w:cs="Arial"/>
                <w:sz w:val="24"/>
                <w:szCs w:val="24"/>
              </w:rPr>
              <w:t>S</w:t>
            </w:r>
            <w:r w:rsidRPr="009427D5">
              <w:rPr>
                <w:rFonts w:ascii="Arial" w:hAnsi="Arial" w:cs="Arial"/>
                <w:sz w:val="24"/>
                <w:szCs w:val="24"/>
              </w:rPr>
              <w:t>ectoriales</w:t>
            </w:r>
          </w:p>
        </w:tc>
        <w:tc>
          <w:tcPr>
            <w:tcW w:w="4289" w:type="dxa"/>
            <w:vAlign w:val="center"/>
          </w:tcPr>
          <w:p w:rsidR="005519A0" w:rsidRPr="009427D5" w:rsidRDefault="007F57B1" w:rsidP="005519A0">
            <w:pPr>
              <w:rPr>
                <w:rFonts w:ascii="Arial" w:hAnsi="Arial" w:cs="Arial"/>
                <w:sz w:val="24"/>
                <w:szCs w:val="24"/>
              </w:rPr>
            </w:pPr>
            <w:r w:rsidRPr="009427D5">
              <w:rPr>
                <w:rFonts w:ascii="Arial" w:hAnsi="Arial" w:cs="Arial"/>
                <w:sz w:val="24"/>
                <w:szCs w:val="24"/>
              </w:rPr>
              <w:t>Pascual Carlos Andrés Uribe Martínez</w:t>
            </w:r>
          </w:p>
        </w:tc>
      </w:tr>
      <w:tr w:rsidR="005519A0" w:rsidRPr="009427D5" w:rsidTr="00924DFD">
        <w:trPr>
          <w:trHeight w:val="1134"/>
          <w:jc w:val="center"/>
        </w:trPr>
        <w:tc>
          <w:tcPr>
            <w:tcW w:w="4205" w:type="dxa"/>
            <w:vAlign w:val="center"/>
          </w:tcPr>
          <w:p w:rsidR="005519A0" w:rsidRPr="009427D5" w:rsidRDefault="005519A0" w:rsidP="007F57B1">
            <w:pPr>
              <w:rPr>
                <w:rFonts w:ascii="Arial" w:hAnsi="Arial" w:cs="Arial"/>
                <w:sz w:val="24"/>
                <w:szCs w:val="24"/>
              </w:rPr>
            </w:pPr>
            <w:r w:rsidRPr="009427D5">
              <w:rPr>
                <w:rFonts w:ascii="Arial" w:hAnsi="Arial" w:cs="Arial"/>
                <w:sz w:val="24"/>
                <w:szCs w:val="24"/>
              </w:rPr>
              <w:t>Director de Vigilancia Fiscal</w:t>
            </w:r>
          </w:p>
        </w:tc>
        <w:tc>
          <w:tcPr>
            <w:tcW w:w="4289" w:type="dxa"/>
            <w:vAlign w:val="center"/>
          </w:tcPr>
          <w:p w:rsidR="007F57B1" w:rsidRPr="009427D5" w:rsidRDefault="007F57B1" w:rsidP="005519A0">
            <w:pPr>
              <w:rPr>
                <w:rFonts w:ascii="Arial" w:hAnsi="Arial" w:cs="Arial"/>
                <w:sz w:val="24"/>
                <w:szCs w:val="24"/>
              </w:rPr>
            </w:pPr>
            <w:r w:rsidRPr="009427D5">
              <w:rPr>
                <w:rFonts w:ascii="Arial" w:hAnsi="Arial" w:cs="Arial"/>
                <w:sz w:val="24"/>
                <w:szCs w:val="24"/>
              </w:rPr>
              <w:t>José Antonio Botero Garrido</w:t>
            </w:r>
          </w:p>
        </w:tc>
      </w:tr>
      <w:tr w:rsidR="005519A0" w:rsidRPr="009427D5" w:rsidTr="00924DFD">
        <w:trPr>
          <w:trHeight w:val="1134"/>
          <w:jc w:val="center"/>
        </w:trPr>
        <w:tc>
          <w:tcPr>
            <w:tcW w:w="4205" w:type="dxa"/>
            <w:vAlign w:val="center"/>
          </w:tcPr>
          <w:p w:rsidR="004803C8" w:rsidRPr="009427D5" w:rsidRDefault="009B6A12" w:rsidP="007F57B1">
            <w:pPr>
              <w:rPr>
                <w:rFonts w:ascii="Arial" w:hAnsi="Arial" w:cs="Arial"/>
                <w:sz w:val="24"/>
                <w:szCs w:val="24"/>
              </w:rPr>
            </w:pPr>
            <w:r w:rsidRPr="009427D5">
              <w:rPr>
                <w:rFonts w:ascii="Arial" w:hAnsi="Arial" w:cs="Arial"/>
                <w:sz w:val="24"/>
                <w:szCs w:val="24"/>
              </w:rPr>
              <w:t xml:space="preserve">Supervisor </w:t>
            </w:r>
            <w:r w:rsidR="0062419A" w:rsidRPr="009427D5">
              <w:rPr>
                <w:rFonts w:ascii="Arial" w:hAnsi="Arial" w:cs="Arial"/>
                <w:sz w:val="24"/>
                <w:szCs w:val="24"/>
              </w:rPr>
              <w:t>Nivel Central</w:t>
            </w:r>
          </w:p>
        </w:tc>
        <w:tc>
          <w:tcPr>
            <w:tcW w:w="4289" w:type="dxa"/>
            <w:vAlign w:val="center"/>
          </w:tcPr>
          <w:p w:rsidR="005519A0" w:rsidRPr="009427D5" w:rsidRDefault="007F57B1" w:rsidP="005519A0">
            <w:pPr>
              <w:rPr>
                <w:rFonts w:ascii="Arial" w:hAnsi="Arial" w:cs="Arial"/>
                <w:sz w:val="24"/>
                <w:szCs w:val="24"/>
              </w:rPr>
            </w:pPr>
            <w:r w:rsidRPr="009427D5">
              <w:rPr>
                <w:rFonts w:ascii="Arial" w:hAnsi="Arial" w:cs="Arial"/>
                <w:sz w:val="24"/>
                <w:szCs w:val="24"/>
              </w:rPr>
              <w:t xml:space="preserve">Carlos </w:t>
            </w:r>
            <w:r w:rsidR="003205CA">
              <w:rPr>
                <w:rFonts w:ascii="Arial" w:hAnsi="Arial" w:cs="Arial"/>
                <w:sz w:val="24"/>
                <w:szCs w:val="24"/>
              </w:rPr>
              <w:t xml:space="preserve">Enrique </w:t>
            </w:r>
            <w:r w:rsidRPr="009427D5">
              <w:rPr>
                <w:rFonts w:ascii="Arial" w:hAnsi="Arial" w:cs="Arial"/>
                <w:sz w:val="24"/>
                <w:szCs w:val="24"/>
              </w:rPr>
              <w:t>Uribe Lozada</w:t>
            </w:r>
          </w:p>
        </w:tc>
      </w:tr>
      <w:tr w:rsidR="005519A0" w:rsidRPr="009427D5" w:rsidTr="00924DFD">
        <w:trPr>
          <w:trHeight w:val="1134"/>
          <w:jc w:val="center"/>
        </w:trPr>
        <w:tc>
          <w:tcPr>
            <w:tcW w:w="4205" w:type="dxa"/>
            <w:vAlign w:val="center"/>
          </w:tcPr>
          <w:p w:rsidR="005519A0" w:rsidRPr="009427D5" w:rsidRDefault="005519A0" w:rsidP="005519A0">
            <w:pPr>
              <w:rPr>
                <w:rFonts w:ascii="Arial" w:hAnsi="Arial" w:cs="Arial"/>
                <w:sz w:val="24"/>
                <w:szCs w:val="24"/>
              </w:rPr>
            </w:pPr>
            <w:r w:rsidRPr="009427D5">
              <w:rPr>
                <w:rFonts w:ascii="Arial" w:hAnsi="Arial" w:cs="Arial"/>
                <w:sz w:val="24"/>
                <w:szCs w:val="24"/>
              </w:rPr>
              <w:t>Responsable de Auditoría</w:t>
            </w:r>
            <w:r w:rsidRPr="009427D5">
              <w:rPr>
                <w:rFonts w:ascii="Arial" w:hAnsi="Arial" w:cs="Arial"/>
                <w:sz w:val="24"/>
                <w:szCs w:val="24"/>
              </w:rPr>
              <w:tab/>
            </w:r>
          </w:p>
        </w:tc>
        <w:tc>
          <w:tcPr>
            <w:tcW w:w="4289" w:type="dxa"/>
            <w:vAlign w:val="center"/>
          </w:tcPr>
          <w:p w:rsidR="005519A0" w:rsidRPr="009427D5" w:rsidRDefault="007F57B1" w:rsidP="005519A0">
            <w:pPr>
              <w:rPr>
                <w:rFonts w:ascii="Arial" w:hAnsi="Arial" w:cs="Arial"/>
                <w:sz w:val="24"/>
                <w:szCs w:val="24"/>
              </w:rPr>
            </w:pPr>
            <w:r w:rsidRPr="009427D5">
              <w:rPr>
                <w:rFonts w:ascii="Arial" w:hAnsi="Arial" w:cs="Arial"/>
                <w:sz w:val="24"/>
                <w:szCs w:val="24"/>
              </w:rPr>
              <w:t>Ludy Jeannette Bacca Caicedo</w:t>
            </w:r>
          </w:p>
        </w:tc>
      </w:tr>
      <w:tr w:rsidR="005519A0" w:rsidRPr="009427D5" w:rsidTr="00924DFD">
        <w:trPr>
          <w:trHeight w:val="526"/>
          <w:jc w:val="center"/>
        </w:trPr>
        <w:tc>
          <w:tcPr>
            <w:tcW w:w="4205" w:type="dxa"/>
            <w:vAlign w:val="center"/>
          </w:tcPr>
          <w:p w:rsidR="0062419A" w:rsidRPr="009427D5" w:rsidRDefault="003E1224" w:rsidP="005519A0">
            <w:pPr>
              <w:rPr>
                <w:rFonts w:ascii="Arial" w:hAnsi="Arial" w:cs="Arial"/>
                <w:sz w:val="24"/>
                <w:szCs w:val="24"/>
              </w:rPr>
            </w:pPr>
            <w:r w:rsidRPr="009427D5">
              <w:rPr>
                <w:rFonts w:ascii="Arial" w:hAnsi="Arial" w:cs="Arial"/>
                <w:sz w:val="24"/>
                <w:szCs w:val="24"/>
              </w:rPr>
              <w:t xml:space="preserve">Auditores </w:t>
            </w:r>
            <w:r w:rsidR="005519A0" w:rsidRPr="009427D5">
              <w:rPr>
                <w:rFonts w:ascii="Arial" w:hAnsi="Arial" w:cs="Arial"/>
                <w:sz w:val="24"/>
                <w:szCs w:val="24"/>
              </w:rPr>
              <w:t>Equipo de Trabajo</w:t>
            </w:r>
          </w:p>
          <w:p w:rsidR="005519A0" w:rsidRPr="009427D5" w:rsidRDefault="005519A0" w:rsidP="00DD36A5">
            <w:pPr>
              <w:jc w:val="both"/>
              <w:rPr>
                <w:rFonts w:ascii="Arial" w:hAnsi="Arial" w:cs="Arial"/>
                <w:sz w:val="24"/>
                <w:szCs w:val="24"/>
              </w:rPr>
            </w:pPr>
          </w:p>
        </w:tc>
        <w:tc>
          <w:tcPr>
            <w:tcW w:w="4289" w:type="dxa"/>
            <w:vAlign w:val="center"/>
          </w:tcPr>
          <w:p w:rsidR="005519A0" w:rsidRPr="009427D5" w:rsidRDefault="007F57B1" w:rsidP="005519A0">
            <w:pPr>
              <w:rPr>
                <w:rFonts w:ascii="Arial" w:hAnsi="Arial" w:cs="Arial"/>
                <w:sz w:val="24"/>
                <w:szCs w:val="24"/>
              </w:rPr>
            </w:pPr>
            <w:r w:rsidRPr="009427D5">
              <w:rPr>
                <w:rFonts w:ascii="Arial" w:hAnsi="Arial" w:cs="Arial"/>
                <w:sz w:val="24"/>
                <w:szCs w:val="24"/>
              </w:rPr>
              <w:t>Olga Reyes Jiménez (Abogada)</w:t>
            </w:r>
          </w:p>
          <w:p w:rsidR="007F57B1" w:rsidRPr="009427D5" w:rsidRDefault="007F57B1" w:rsidP="007F57B1">
            <w:pPr>
              <w:rPr>
                <w:rFonts w:ascii="Arial" w:hAnsi="Arial" w:cs="Arial"/>
                <w:sz w:val="24"/>
                <w:szCs w:val="24"/>
              </w:rPr>
            </w:pPr>
            <w:r w:rsidRPr="009427D5">
              <w:rPr>
                <w:rFonts w:ascii="Arial" w:hAnsi="Arial" w:cs="Arial"/>
                <w:sz w:val="24"/>
                <w:szCs w:val="24"/>
              </w:rPr>
              <w:t>Oscar Eduardo Revelo Cadena (Economista)</w:t>
            </w:r>
          </w:p>
          <w:p w:rsidR="00A4561B" w:rsidRDefault="007F57B1" w:rsidP="00F462EF">
            <w:pPr>
              <w:rPr>
                <w:rFonts w:ascii="Arial" w:hAnsi="Arial" w:cs="Arial"/>
                <w:sz w:val="24"/>
                <w:szCs w:val="24"/>
              </w:rPr>
            </w:pPr>
            <w:r w:rsidRPr="009427D5">
              <w:rPr>
                <w:rFonts w:ascii="Arial" w:hAnsi="Arial" w:cs="Arial"/>
                <w:sz w:val="24"/>
                <w:szCs w:val="24"/>
              </w:rPr>
              <w:t>Mario Fernando Hernández Barriga (Contador)</w:t>
            </w:r>
          </w:p>
          <w:p w:rsidR="005A6A0A" w:rsidRPr="009427D5" w:rsidRDefault="005A6A0A" w:rsidP="00F462EF">
            <w:pPr>
              <w:rPr>
                <w:rFonts w:ascii="Arial" w:hAnsi="Arial" w:cs="Arial"/>
                <w:sz w:val="24"/>
                <w:szCs w:val="24"/>
              </w:rPr>
            </w:pPr>
            <w:r>
              <w:rPr>
                <w:rFonts w:ascii="Arial" w:hAnsi="Arial" w:cs="Arial"/>
                <w:sz w:val="24"/>
                <w:szCs w:val="24"/>
              </w:rPr>
              <w:t>Ludy Jeannette Bacca Caicedo (Administradora de Empresas)</w:t>
            </w:r>
          </w:p>
        </w:tc>
      </w:tr>
    </w:tbl>
    <w:p w:rsidR="005802DC" w:rsidRDefault="005802DC" w:rsidP="004F5C40">
      <w:pPr>
        <w:rPr>
          <w:rFonts w:ascii="Arial" w:hAnsi="Arial" w:cs="Arial"/>
          <w:b/>
          <w:sz w:val="24"/>
          <w:szCs w:val="24"/>
        </w:rPr>
      </w:pPr>
    </w:p>
    <w:p w:rsidR="00A306D2" w:rsidRDefault="00A306D2" w:rsidP="004F5C40">
      <w:pPr>
        <w:rPr>
          <w:rFonts w:ascii="Arial" w:hAnsi="Arial" w:cs="Arial"/>
          <w:b/>
          <w:sz w:val="24"/>
          <w:szCs w:val="24"/>
        </w:rPr>
      </w:pPr>
    </w:p>
    <w:p w:rsidR="00A306D2" w:rsidRDefault="00A306D2" w:rsidP="004F5C40">
      <w:pPr>
        <w:rPr>
          <w:rFonts w:ascii="Arial" w:hAnsi="Arial" w:cs="Arial"/>
          <w:b/>
          <w:sz w:val="24"/>
          <w:szCs w:val="24"/>
        </w:rPr>
      </w:pPr>
    </w:p>
    <w:p w:rsidR="00A306D2" w:rsidRDefault="00A306D2" w:rsidP="004F5C40">
      <w:pPr>
        <w:rPr>
          <w:rFonts w:ascii="Arial" w:hAnsi="Arial" w:cs="Arial"/>
          <w:b/>
          <w:sz w:val="24"/>
          <w:szCs w:val="24"/>
        </w:rPr>
      </w:pPr>
    </w:p>
    <w:p w:rsidR="00A306D2" w:rsidRDefault="00A306D2" w:rsidP="004F5C40">
      <w:pPr>
        <w:rPr>
          <w:rFonts w:ascii="Arial" w:hAnsi="Arial" w:cs="Arial"/>
          <w:b/>
          <w:sz w:val="24"/>
          <w:szCs w:val="24"/>
        </w:rPr>
      </w:pPr>
    </w:p>
    <w:p w:rsidR="00A306D2" w:rsidRDefault="00A306D2" w:rsidP="004F5C40">
      <w:pPr>
        <w:rPr>
          <w:rFonts w:ascii="Arial" w:hAnsi="Arial" w:cs="Arial"/>
          <w:b/>
          <w:sz w:val="24"/>
          <w:szCs w:val="24"/>
        </w:rPr>
      </w:pPr>
    </w:p>
    <w:p w:rsidR="00924DFD" w:rsidRDefault="00924DFD" w:rsidP="004F5C40">
      <w:pPr>
        <w:rPr>
          <w:rFonts w:ascii="Arial" w:hAnsi="Arial" w:cs="Arial"/>
          <w:b/>
          <w:sz w:val="24"/>
          <w:szCs w:val="24"/>
        </w:rPr>
      </w:pPr>
    </w:p>
    <w:tbl>
      <w:tblPr>
        <w:tblW w:w="9351" w:type="dxa"/>
        <w:tblLayout w:type="fixed"/>
        <w:tblLook w:val="04A0" w:firstRow="1" w:lastRow="0" w:firstColumn="1" w:lastColumn="0" w:noHBand="0" w:noVBand="1"/>
      </w:tblPr>
      <w:tblGrid>
        <w:gridCol w:w="8472"/>
        <w:gridCol w:w="879"/>
      </w:tblGrid>
      <w:tr w:rsidR="005519A0" w:rsidRPr="009427D5" w:rsidTr="00924DFD">
        <w:trPr>
          <w:trHeight w:val="278"/>
        </w:trPr>
        <w:tc>
          <w:tcPr>
            <w:tcW w:w="8472" w:type="dxa"/>
            <w:shd w:val="clear" w:color="auto" w:fill="auto"/>
            <w:vAlign w:val="center"/>
          </w:tcPr>
          <w:p w:rsidR="005519A0" w:rsidRPr="009427D5" w:rsidRDefault="004F5C40" w:rsidP="005519A0">
            <w:pPr>
              <w:pStyle w:val="297"/>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highlight w:val="yellow"/>
                <w:lang w:val="es-CO"/>
              </w:rPr>
            </w:pPr>
            <w:r w:rsidRPr="009427D5">
              <w:rPr>
                <w:b w:val="0"/>
                <w:bCs w:val="0"/>
                <w:i w:val="0"/>
                <w:iCs w:val="0"/>
                <w:lang w:val="es-CO"/>
              </w:rPr>
              <w:br w:type="page"/>
            </w:r>
            <w:r w:rsidR="005519A0" w:rsidRPr="009427D5">
              <w:rPr>
                <w:b w:val="0"/>
                <w:lang w:val="es-CO"/>
              </w:rPr>
              <w:br w:type="page"/>
            </w:r>
            <w:r w:rsidR="005519A0" w:rsidRPr="009427D5">
              <w:rPr>
                <w:highlight w:val="white"/>
                <w:lang w:val="es-CO"/>
              </w:rPr>
              <w:br w:type="page"/>
            </w:r>
            <w:r w:rsidR="005519A0" w:rsidRPr="009427D5">
              <w:rPr>
                <w:b w:val="0"/>
                <w:i w:val="0"/>
                <w:iCs w:val="0"/>
                <w:highlight w:val="yellow"/>
                <w:lang w:val="es-CO"/>
              </w:rPr>
              <w:br w:type="page"/>
            </w:r>
            <w:r w:rsidR="005519A0" w:rsidRPr="009427D5">
              <w:rPr>
                <w:i w:val="0"/>
                <w:lang w:val="es-CO"/>
              </w:rPr>
              <w:t>TABLA DE CONTENIDO</w:t>
            </w:r>
          </w:p>
        </w:tc>
        <w:tc>
          <w:tcPr>
            <w:tcW w:w="879" w:type="dxa"/>
          </w:tcPr>
          <w:p w:rsidR="005519A0" w:rsidRPr="009427D5" w:rsidRDefault="005519A0" w:rsidP="005519A0">
            <w:pPr>
              <w:pStyle w:val="299"/>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280"/>
                <w:tab w:val="left" w:pos="8496"/>
                <w:tab w:val="left" w:pos="9204"/>
                <w:tab w:val="left" w:pos="9912"/>
                <w:tab w:val="left" w:pos="10620"/>
                <w:tab w:val="left" w:pos="11328"/>
                <w:tab w:val="left" w:pos="12036"/>
              </w:tabs>
              <w:jc w:val="center"/>
              <w:rPr>
                <w:b/>
                <w:bCs/>
                <w:lang w:val="es-CO"/>
              </w:rPr>
            </w:pPr>
            <w:r w:rsidRPr="009427D5">
              <w:rPr>
                <w:b/>
                <w:bCs/>
                <w:lang w:val="es-CO"/>
              </w:rPr>
              <w:t>Pág.</w:t>
            </w:r>
          </w:p>
        </w:tc>
      </w:tr>
      <w:tr w:rsidR="005519A0" w:rsidRPr="009427D5" w:rsidTr="00924DFD">
        <w:trPr>
          <w:trHeight w:val="20"/>
        </w:trPr>
        <w:tc>
          <w:tcPr>
            <w:tcW w:w="8472" w:type="dxa"/>
            <w:vAlign w:val="center"/>
          </w:tcPr>
          <w:p w:rsidR="005519A0" w:rsidRPr="009427D5" w:rsidRDefault="005519A0" w:rsidP="005519A0">
            <w:pPr>
              <w:pStyle w:val="296"/>
              <w:widowControl/>
              <w:tabs>
                <w:tab w:val="left" w:pos="426"/>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bCs/>
                <w:sz w:val="24"/>
                <w:szCs w:val="24"/>
                <w:lang w:val="es-CO"/>
              </w:rPr>
            </w:pPr>
          </w:p>
        </w:tc>
        <w:tc>
          <w:tcPr>
            <w:tcW w:w="879" w:type="dxa"/>
          </w:tcPr>
          <w:p w:rsidR="005519A0" w:rsidRPr="009427D5" w:rsidRDefault="005519A0" w:rsidP="00F0571F">
            <w:pPr>
              <w:pStyle w:val="296"/>
              <w:widowControl/>
              <w:tabs>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Arial" w:hAnsi="Arial" w:cs="Arial"/>
                <w:bCs/>
                <w:sz w:val="24"/>
                <w:szCs w:val="24"/>
                <w:lang w:val="es-CO"/>
              </w:rPr>
            </w:pPr>
          </w:p>
        </w:tc>
      </w:tr>
      <w:tr w:rsidR="005519A0" w:rsidRPr="009427D5" w:rsidTr="00924DFD">
        <w:trPr>
          <w:trHeight w:val="414"/>
        </w:trPr>
        <w:tc>
          <w:tcPr>
            <w:tcW w:w="8472" w:type="dxa"/>
            <w:vAlign w:val="center"/>
          </w:tcPr>
          <w:p w:rsidR="005519A0" w:rsidRPr="009427D5" w:rsidRDefault="005519A0" w:rsidP="00EE3CF8">
            <w:pPr>
              <w:pStyle w:val="296"/>
              <w:widowControl/>
              <w:numPr>
                <w:ilvl w:val="0"/>
                <w:numId w:val="3"/>
              </w:numP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0" w:firstLine="0"/>
              <w:jc w:val="both"/>
              <w:rPr>
                <w:rFonts w:ascii="Arial" w:hAnsi="Arial" w:cs="Arial"/>
                <w:b/>
                <w:bCs/>
                <w:sz w:val="24"/>
                <w:szCs w:val="24"/>
                <w:lang w:val="es-CO"/>
              </w:rPr>
            </w:pPr>
            <w:r w:rsidRPr="009427D5">
              <w:rPr>
                <w:rFonts w:ascii="Arial" w:hAnsi="Arial" w:cs="Arial"/>
                <w:b/>
                <w:bCs/>
                <w:sz w:val="24"/>
                <w:szCs w:val="24"/>
                <w:lang w:val="es-CO"/>
              </w:rPr>
              <w:t>DICTAMEN</w:t>
            </w:r>
            <w:r w:rsidR="003913C7" w:rsidRPr="009427D5">
              <w:rPr>
                <w:rFonts w:ascii="Arial" w:hAnsi="Arial" w:cs="Arial"/>
                <w:b/>
                <w:bCs/>
                <w:sz w:val="24"/>
                <w:szCs w:val="24"/>
                <w:lang w:val="es-CO"/>
              </w:rPr>
              <w:t xml:space="preserve"> </w:t>
            </w:r>
          </w:p>
        </w:tc>
        <w:tc>
          <w:tcPr>
            <w:tcW w:w="879" w:type="dxa"/>
          </w:tcPr>
          <w:p w:rsidR="005519A0" w:rsidRPr="009427D5" w:rsidRDefault="00A95B93" w:rsidP="005519A0">
            <w:pPr>
              <w:pStyle w:val="296"/>
              <w:widowControl/>
              <w:tabs>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Arial" w:hAnsi="Arial" w:cs="Arial"/>
                <w:b/>
                <w:bCs/>
                <w:sz w:val="24"/>
                <w:szCs w:val="24"/>
                <w:lang w:val="es-CO"/>
              </w:rPr>
            </w:pPr>
            <w:r w:rsidRPr="009427D5">
              <w:rPr>
                <w:rFonts w:ascii="Arial" w:hAnsi="Arial" w:cs="Arial"/>
                <w:b/>
                <w:bCs/>
                <w:sz w:val="24"/>
                <w:szCs w:val="24"/>
                <w:lang w:val="es-CO"/>
              </w:rPr>
              <w:t>4</w:t>
            </w:r>
          </w:p>
        </w:tc>
      </w:tr>
      <w:tr w:rsidR="005519A0" w:rsidRPr="009427D5" w:rsidTr="00924DFD">
        <w:trPr>
          <w:trHeight w:val="70"/>
        </w:trPr>
        <w:tc>
          <w:tcPr>
            <w:tcW w:w="8472" w:type="dxa"/>
            <w:vAlign w:val="center"/>
          </w:tcPr>
          <w:p w:rsidR="005519A0" w:rsidRPr="009427D5" w:rsidRDefault="00DD36A5" w:rsidP="005802DC">
            <w:pPr>
              <w:pStyle w:val="296"/>
              <w:widowControl/>
              <w:numPr>
                <w:ilvl w:val="1"/>
                <w:numId w:val="3"/>
              </w:numP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0" w:firstLine="0"/>
              <w:jc w:val="both"/>
              <w:rPr>
                <w:rFonts w:ascii="Arial" w:hAnsi="Arial" w:cs="Arial"/>
                <w:bCs/>
                <w:sz w:val="24"/>
                <w:szCs w:val="24"/>
                <w:lang w:val="es-CO"/>
              </w:rPr>
            </w:pPr>
            <w:r w:rsidRPr="009427D5">
              <w:rPr>
                <w:rFonts w:ascii="Arial" w:hAnsi="Arial" w:cs="Arial"/>
                <w:bCs/>
                <w:sz w:val="24"/>
                <w:szCs w:val="24"/>
                <w:lang w:val="es-CO"/>
              </w:rPr>
              <w:t>ALCANCE</w:t>
            </w:r>
          </w:p>
        </w:tc>
        <w:tc>
          <w:tcPr>
            <w:tcW w:w="879" w:type="dxa"/>
          </w:tcPr>
          <w:p w:rsidR="005519A0" w:rsidRPr="009427D5" w:rsidRDefault="00A95B93" w:rsidP="005519A0">
            <w:pPr>
              <w:jc w:val="center"/>
              <w:rPr>
                <w:rFonts w:ascii="Arial" w:eastAsia="Times New Roman" w:hAnsi="Arial" w:cs="Arial"/>
                <w:b/>
                <w:bCs/>
                <w:sz w:val="24"/>
                <w:szCs w:val="24"/>
                <w:lang w:eastAsia="es-ES"/>
              </w:rPr>
            </w:pPr>
            <w:r w:rsidRPr="009427D5">
              <w:rPr>
                <w:rFonts w:ascii="Arial" w:eastAsia="Times New Roman" w:hAnsi="Arial" w:cs="Arial"/>
                <w:b/>
                <w:bCs/>
                <w:sz w:val="24"/>
                <w:szCs w:val="24"/>
                <w:lang w:eastAsia="es-ES"/>
              </w:rPr>
              <w:t>5</w:t>
            </w:r>
          </w:p>
        </w:tc>
      </w:tr>
      <w:tr w:rsidR="005519A0" w:rsidRPr="009427D5" w:rsidTr="00924DFD">
        <w:trPr>
          <w:trHeight w:val="20"/>
        </w:trPr>
        <w:tc>
          <w:tcPr>
            <w:tcW w:w="8472" w:type="dxa"/>
            <w:vAlign w:val="center"/>
          </w:tcPr>
          <w:p w:rsidR="005519A0" w:rsidRPr="009427D5" w:rsidRDefault="00DD36A5" w:rsidP="005802DC">
            <w:pPr>
              <w:pStyle w:val="296"/>
              <w:widowControl/>
              <w:numPr>
                <w:ilvl w:val="1"/>
                <w:numId w:val="3"/>
              </w:numP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0" w:firstLine="0"/>
              <w:jc w:val="both"/>
              <w:rPr>
                <w:rFonts w:ascii="Arial" w:hAnsi="Arial" w:cs="Arial"/>
                <w:bCs/>
                <w:sz w:val="24"/>
                <w:szCs w:val="24"/>
                <w:lang w:val="es-CO"/>
              </w:rPr>
            </w:pPr>
            <w:r w:rsidRPr="009427D5">
              <w:rPr>
                <w:rFonts w:ascii="Arial" w:hAnsi="Arial" w:cs="Arial"/>
                <w:bCs/>
                <w:sz w:val="24"/>
                <w:szCs w:val="24"/>
                <w:lang w:val="es-CO"/>
              </w:rPr>
              <w:t>DICTAMEN</w:t>
            </w:r>
          </w:p>
        </w:tc>
        <w:tc>
          <w:tcPr>
            <w:tcW w:w="879" w:type="dxa"/>
          </w:tcPr>
          <w:p w:rsidR="005519A0" w:rsidRPr="009427D5" w:rsidRDefault="00A95B93" w:rsidP="005519A0">
            <w:pPr>
              <w:tabs>
                <w:tab w:val="left" w:pos="426"/>
              </w:tabs>
              <w:jc w:val="center"/>
              <w:rPr>
                <w:rFonts w:ascii="Arial" w:eastAsia="Times New Roman" w:hAnsi="Arial" w:cs="Arial"/>
                <w:b/>
                <w:bCs/>
                <w:sz w:val="24"/>
                <w:szCs w:val="24"/>
                <w:lang w:eastAsia="es-ES"/>
              </w:rPr>
            </w:pPr>
            <w:r w:rsidRPr="009427D5">
              <w:rPr>
                <w:rFonts w:ascii="Arial" w:eastAsia="Times New Roman" w:hAnsi="Arial" w:cs="Arial"/>
                <w:b/>
                <w:bCs/>
                <w:sz w:val="24"/>
                <w:szCs w:val="24"/>
                <w:lang w:eastAsia="es-ES"/>
              </w:rPr>
              <w:t>6</w:t>
            </w:r>
          </w:p>
        </w:tc>
      </w:tr>
      <w:tr w:rsidR="0092393F" w:rsidRPr="009427D5" w:rsidTr="00924DFD">
        <w:trPr>
          <w:trHeight w:val="20"/>
        </w:trPr>
        <w:tc>
          <w:tcPr>
            <w:tcW w:w="8472" w:type="dxa"/>
            <w:vAlign w:val="center"/>
          </w:tcPr>
          <w:p w:rsidR="0092393F" w:rsidRPr="009427D5" w:rsidRDefault="00DD36A5" w:rsidP="005802DC">
            <w:pPr>
              <w:pStyle w:val="296"/>
              <w:widowControl/>
              <w:numPr>
                <w:ilvl w:val="1"/>
                <w:numId w:val="3"/>
              </w:numP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0" w:firstLine="0"/>
              <w:jc w:val="both"/>
              <w:rPr>
                <w:rFonts w:ascii="Arial" w:hAnsi="Arial" w:cs="Arial"/>
                <w:bCs/>
                <w:sz w:val="24"/>
                <w:szCs w:val="24"/>
                <w:lang w:val="es-CO"/>
              </w:rPr>
            </w:pPr>
            <w:r w:rsidRPr="009427D5">
              <w:rPr>
                <w:rFonts w:ascii="Arial" w:hAnsi="Arial" w:cs="Arial"/>
                <w:bCs/>
                <w:sz w:val="24"/>
                <w:szCs w:val="24"/>
                <w:lang w:val="es-CO"/>
              </w:rPr>
              <w:t>RELACIÓN DE HALLAZGOS</w:t>
            </w:r>
          </w:p>
        </w:tc>
        <w:tc>
          <w:tcPr>
            <w:tcW w:w="879" w:type="dxa"/>
          </w:tcPr>
          <w:p w:rsidR="0092393F" w:rsidRPr="009427D5" w:rsidRDefault="00A95B93" w:rsidP="005519A0">
            <w:pPr>
              <w:tabs>
                <w:tab w:val="left" w:pos="426"/>
              </w:tabs>
              <w:jc w:val="center"/>
              <w:rPr>
                <w:rFonts w:ascii="Arial" w:eastAsia="Times New Roman" w:hAnsi="Arial" w:cs="Arial"/>
                <w:b/>
                <w:bCs/>
                <w:sz w:val="24"/>
                <w:szCs w:val="24"/>
                <w:lang w:eastAsia="es-ES"/>
              </w:rPr>
            </w:pPr>
            <w:r w:rsidRPr="009427D5">
              <w:rPr>
                <w:rFonts w:ascii="Arial" w:eastAsia="Times New Roman" w:hAnsi="Arial" w:cs="Arial"/>
                <w:b/>
                <w:bCs/>
                <w:sz w:val="24"/>
                <w:szCs w:val="24"/>
                <w:lang w:eastAsia="es-ES"/>
              </w:rPr>
              <w:t>7</w:t>
            </w:r>
          </w:p>
        </w:tc>
      </w:tr>
      <w:tr w:rsidR="0092393F" w:rsidRPr="009427D5" w:rsidTr="00924DFD">
        <w:trPr>
          <w:trHeight w:val="20"/>
        </w:trPr>
        <w:tc>
          <w:tcPr>
            <w:tcW w:w="8472" w:type="dxa"/>
            <w:vAlign w:val="center"/>
          </w:tcPr>
          <w:p w:rsidR="0092393F" w:rsidRPr="009427D5" w:rsidRDefault="00DD36A5" w:rsidP="005802DC">
            <w:pPr>
              <w:pStyle w:val="296"/>
              <w:widowControl/>
              <w:numPr>
                <w:ilvl w:val="1"/>
                <w:numId w:val="3"/>
              </w:numP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0" w:firstLine="0"/>
              <w:jc w:val="both"/>
              <w:rPr>
                <w:rFonts w:ascii="Arial" w:hAnsi="Arial" w:cs="Arial"/>
                <w:bCs/>
                <w:sz w:val="24"/>
                <w:szCs w:val="24"/>
                <w:lang w:val="es-CO"/>
              </w:rPr>
            </w:pPr>
            <w:r w:rsidRPr="009427D5">
              <w:rPr>
                <w:rFonts w:ascii="Arial" w:hAnsi="Arial" w:cs="Arial"/>
                <w:bCs/>
                <w:sz w:val="24"/>
                <w:szCs w:val="24"/>
                <w:lang w:val="es-CO"/>
              </w:rPr>
              <w:t>PLAN DE MEJORAMIENTO</w:t>
            </w:r>
          </w:p>
        </w:tc>
        <w:tc>
          <w:tcPr>
            <w:tcW w:w="879" w:type="dxa"/>
          </w:tcPr>
          <w:p w:rsidR="0092393F" w:rsidRPr="009427D5" w:rsidRDefault="00A95B93" w:rsidP="005519A0">
            <w:pPr>
              <w:tabs>
                <w:tab w:val="left" w:pos="426"/>
              </w:tabs>
              <w:jc w:val="center"/>
              <w:rPr>
                <w:rFonts w:ascii="Arial" w:eastAsia="Times New Roman" w:hAnsi="Arial" w:cs="Arial"/>
                <w:b/>
                <w:bCs/>
                <w:sz w:val="24"/>
                <w:szCs w:val="24"/>
                <w:lang w:eastAsia="es-ES"/>
              </w:rPr>
            </w:pPr>
            <w:r w:rsidRPr="009427D5">
              <w:rPr>
                <w:rFonts w:ascii="Arial" w:eastAsia="Times New Roman" w:hAnsi="Arial" w:cs="Arial"/>
                <w:b/>
                <w:bCs/>
                <w:sz w:val="24"/>
                <w:szCs w:val="24"/>
                <w:lang w:eastAsia="es-ES"/>
              </w:rPr>
              <w:t>7</w:t>
            </w:r>
          </w:p>
        </w:tc>
      </w:tr>
      <w:tr w:rsidR="00CC46D6" w:rsidRPr="009427D5" w:rsidTr="00924DFD">
        <w:trPr>
          <w:trHeight w:val="20"/>
        </w:trPr>
        <w:tc>
          <w:tcPr>
            <w:tcW w:w="8472" w:type="dxa"/>
            <w:vAlign w:val="center"/>
          </w:tcPr>
          <w:p w:rsidR="00CC46D6" w:rsidRPr="009427D5" w:rsidRDefault="005802DC" w:rsidP="00A73C76">
            <w:pPr>
              <w:tabs>
                <w:tab w:val="left" w:pos="313"/>
              </w:tabs>
              <w:spacing w:after="0" w:line="240" w:lineRule="auto"/>
              <w:ind w:left="313" w:hanging="313"/>
              <w:jc w:val="both"/>
              <w:rPr>
                <w:rFonts w:ascii="Arial" w:hAnsi="Arial" w:cs="Arial"/>
                <w:b/>
                <w:sz w:val="24"/>
                <w:szCs w:val="24"/>
                <w:highlight w:val="white"/>
              </w:rPr>
            </w:pPr>
            <w:r w:rsidRPr="009427D5">
              <w:rPr>
                <w:rFonts w:ascii="Arial" w:hAnsi="Arial" w:cs="Arial"/>
                <w:b/>
                <w:sz w:val="24"/>
                <w:szCs w:val="24"/>
                <w:highlight w:val="white"/>
              </w:rPr>
              <w:t>2. RESULTADOS DE LA AUDITOR</w:t>
            </w:r>
            <w:r w:rsidR="00130FF6" w:rsidRPr="009427D5">
              <w:rPr>
                <w:rFonts w:ascii="Arial" w:hAnsi="Arial" w:cs="Arial"/>
                <w:b/>
                <w:sz w:val="24"/>
                <w:szCs w:val="24"/>
                <w:highlight w:val="white"/>
              </w:rPr>
              <w:t>Í</w:t>
            </w:r>
            <w:r w:rsidRPr="009427D5">
              <w:rPr>
                <w:rFonts w:ascii="Arial" w:hAnsi="Arial" w:cs="Arial"/>
                <w:b/>
                <w:sz w:val="24"/>
                <w:szCs w:val="24"/>
                <w:highlight w:val="white"/>
              </w:rPr>
              <w:t>A A LA POL</w:t>
            </w:r>
            <w:r w:rsidR="00130FF6" w:rsidRPr="009427D5">
              <w:rPr>
                <w:rFonts w:ascii="Arial" w:hAnsi="Arial" w:cs="Arial"/>
                <w:b/>
                <w:sz w:val="24"/>
                <w:szCs w:val="24"/>
                <w:highlight w:val="white"/>
              </w:rPr>
              <w:t>Í</w:t>
            </w:r>
            <w:r w:rsidRPr="009427D5">
              <w:rPr>
                <w:rFonts w:ascii="Arial" w:hAnsi="Arial" w:cs="Arial"/>
                <w:b/>
                <w:sz w:val="24"/>
                <w:szCs w:val="24"/>
                <w:highlight w:val="white"/>
              </w:rPr>
              <w:t xml:space="preserve">TICA PÚBLICA DE: </w:t>
            </w:r>
            <w:r w:rsidR="007F57B1" w:rsidRPr="009427D5">
              <w:rPr>
                <w:rFonts w:ascii="Arial" w:hAnsi="Arial" w:cs="Arial"/>
                <w:b/>
                <w:lang w:eastAsia="ar-SA"/>
              </w:rPr>
              <w:t>PROMOVER EL FORTALECIMIENTO DE LA JUSTICIA</w:t>
            </w:r>
            <w:r w:rsidR="00A73C76" w:rsidRPr="009427D5">
              <w:rPr>
                <w:rFonts w:ascii="Arial" w:hAnsi="Arial" w:cs="Arial"/>
                <w:b/>
                <w:lang w:eastAsia="ar-SA"/>
              </w:rPr>
              <w:t xml:space="preserve"> </w:t>
            </w:r>
            <w:r w:rsidR="007F57B1" w:rsidRPr="009427D5">
              <w:rPr>
                <w:rFonts w:ascii="Arial" w:hAnsi="Arial" w:cs="Arial"/>
                <w:b/>
                <w:lang w:eastAsia="ar-SA"/>
              </w:rPr>
              <w:t>- JUSTICIA FORMAL, ORAL Y DESCONGESTIÓN</w:t>
            </w:r>
          </w:p>
        </w:tc>
        <w:tc>
          <w:tcPr>
            <w:tcW w:w="879" w:type="dxa"/>
          </w:tcPr>
          <w:p w:rsidR="00CC46D6" w:rsidRPr="009427D5" w:rsidRDefault="0008445B" w:rsidP="005519A0">
            <w:pPr>
              <w:tabs>
                <w:tab w:val="left" w:pos="426"/>
              </w:tabs>
              <w:jc w:val="center"/>
              <w:rPr>
                <w:rFonts w:ascii="Arial" w:eastAsia="Times New Roman" w:hAnsi="Arial" w:cs="Arial"/>
                <w:b/>
                <w:bCs/>
                <w:sz w:val="24"/>
                <w:szCs w:val="24"/>
                <w:lang w:eastAsia="es-ES"/>
              </w:rPr>
            </w:pPr>
            <w:r>
              <w:rPr>
                <w:rFonts w:ascii="Arial" w:eastAsia="Times New Roman" w:hAnsi="Arial" w:cs="Arial"/>
                <w:b/>
                <w:bCs/>
                <w:sz w:val="24"/>
                <w:szCs w:val="24"/>
                <w:lang w:eastAsia="es-ES"/>
              </w:rPr>
              <w:t>9</w:t>
            </w:r>
          </w:p>
        </w:tc>
      </w:tr>
      <w:tr w:rsidR="005802DC" w:rsidRPr="009427D5" w:rsidTr="00924DFD">
        <w:trPr>
          <w:trHeight w:val="20"/>
        </w:trPr>
        <w:tc>
          <w:tcPr>
            <w:tcW w:w="8472" w:type="dxa"/>
            <w:vAlign w:val="center"/>
          </w:tcPr>
          <w:p w:rsidR="005802DC" w:rsidRPr="009427D5" w:rsidRDefault="005802DC" w:rsidP="00EE3CF8">
            <w:pPr>
              <w:tabs>
                <w:tab w:val="left" w:pos="0"/>
              </w:tabs>
              <w:spacing w:after="0" w:line="240" w:lineRule="auto"/>
              <w:jc w:val="both"/>
              <w:rPr>
                <w:rFonts w:ascii="Arial" w:hAnsi="Arial" w:cs="Arial"/>
                <w:b/>
                <w:sz w:val="24"/>
                <w:szCs w:val="24"/>
              </w:rPr>
            </w:pPr>
            <w:r w:rsidRPr="009427D5">
              <w:rPr>
                <w:rFonts w:ascii="Arial" w:hAnsi="Arial" w:cs="Arial"/>
                <w:sz w:val="24"/>
                <w:szCs w:val="24"/>
              </w:rPr>
              <w:t>2.</w:t>
            </w:r>
            <w:r w:rsidR="001C2757" w:rsidRPr="009427D5">
              <w:rPr>
                <w:rFonts w:ascii="Arial" w:hAnsi="Arial" w:cs="Arial"/>
                <w:sz w:val="24"/>
                <w:szCs w:val="24"/>
              </w:rPr>
              <w:t>1</w:t>
            </w:r>
            <w:r w:rsidR="00225D39" w:rsidRPr="009427D5">
              <w:rPr>
                <w:rFonts w:ascii="Arial" w:hAnsi="Arial" w:cs="Arial"/>
                <w:sz w:val="24"/>
                <w:szCs w:val="24"/>
              </w:rPr>
              <w:t xml:space="preserve"> </w:t>
            </w:r>
            <w:r w:rsidR="00DD36A5" w:rsidRPr="009427D5">
              <w:rPr>
                <w:rFonts w:ascii="Arial" w:hAnsi="Arial" w:cs="Arial"/>
                <w:sz w:val="24"/>
                <w:szCs w:val="24"/>
              </w:rPr>
              <w:t>SÍNTESIS DE LA POLÍTICA PÚBLICA EVALUADA</w:t>
            </w:r>
            <w:r w:rsidR="00DD36A5" w:rsidRPr="009427D5">
              <w:rPr>
                <w:rFonts w:ascii="Arial" w:hAnsi="Arial" w:cs="Arial"/>
                <w:b/>
                <w:sz w:val="24"/>
                <w:szCs w:val="24"/>
              </w:rPr>
              <w:t xml:space="preserve"> </w:t>
            </w:r>
          </w:p>
        </w:tc>
        <w:tc>
          <w:tcPr>
            <w:tcW w:w="879" w:type="dxa"/>
          </w:tcPr>
          <w:p w:rsidR="005802DC" w:rsidRPr="009427D5" w:rsidRDefault="0008445B" w:rsidP="005519A0">
            <w:pPr>
              <w:tabs>
                <w:tab w:val="left" w:pos="426"/>
              </w:tabs>
              <w:jc w:val="center"/>
              <w:rPr>
                <w:rFonts w:ascii="Arial" w:eastAsia="Times New Roman" w:hAnsi="Arial" w:cs="Arial"/>
                <w:b/>
                <w:bCs/>
                <w:sz w:val="24"/>
                <w:szCs w:val="24"/>
                <w:lang w:eastAsia="es-ES"/>
              </w:rPr>
            </w:pPr>
            <w:r>
              <w:rPr>
                <w:rFonts w:ascii="Arial" w:eastAsia="Times New Roman" w:hAnsi="Arial" w:cs="Arial"/>
                <w:b/>
                <w:bCs/>
                <w:sz w:val="24"/>
                <w:szCs w:val="24"/>
                <w:lang w:eastAsia="es-ES"/>
              </w:rPr>
              <w:t>9</w:t>
            </w:r>
          </w:p>
        </w:tc>
      </w:tr>
      <w:tr w:rsidR="005802DC" w:rsidRPr="009427D5" w:rsidTr="00924DFD">
        <w:trPr>
          <w:trHeight w:val="20"/>
        </w:trPr>
        <w:tc>
          <w:tcPr>
            <w:tcW w:w="8472" w:type="dxa"/>
            <w:vAlign w:val="center"/>
          </w:tcPr>
          <w:p w:rsidR="005802DC" w:rsidRPr="009427D5" w:rsidRDefault="005802DC" w:rsidP="00051235">
            <w:pPr>
              <w:tabs>
                <w:tab w:val="left" w:pos="0"/>
              </w:tabs>
              <w:spacing w:after="0" w:line="240" w:lineRule="auto"/>
              <w:jc w:val="both"/>
              <w:rPr>
                <w:rFonts w:ascii="Arial" w:hAnsi="Arial" w:cs="Arial"/>
                <w:b/>
                <w:sz w:val="24"/>
                <w:szCs w:val="24"/>
              </w:rPr>
            </w:pPr>
            <w:r w:rsidRPr="009427D5">
              <w:rPr>
                <w:rFonts w:ascii="Arial" w:hAnsi="Arial" w:cs="Arial"/>
                <w:b/>
                <w:sz w:val="24"/>
                <w:szCs w:val="24"/>
              </w:rPr>
              <w:t>2.</w:t>
            </w:r>
            <w:r w:rsidR="00A44518" w:rsidRPr="009427D5">
              <w:rPr>
                <w:rFonts w:ascii="Arial" w:hAnsi="Arial" w:cs="Arial"/>
                <w:b/>
                <w:sz w:val="24"/>
                <w:szCs w:val="24"/>
              </w:rPr>
              <w:t>1.1</w:t>
            </w:r>
            <w:r w:rsidRPr="009427D5">
              <w:rPr>
                <w:rFonts w:ascii="Arial" w:hAnsi="Arial" w:cs="Arial"/>
                <w:b/>
                <w:sz w:val="24"/>
                <w:szCs w:val="24"/>
              </w:rPr>
              <w:t xml:space="preserve"> </w:t>
            </w:r>
            <w:r w:rsidR="005A1B75" w:rsidRPr="009427D5">
              <w:rPr>
                <w:rFonts w:ascii="Arial" w:hAnsi="Arial" w:cs="Arial"/>
                <w:b/>
                <w:sz w:val="24"/>
                <w:szCs w:val="24"/>
              </w:rPr>
              <w:t>Información General de la Política</w:t>
            </w:r>
            <w:r w:rsidR="001C2757" w:rsidRPr="009427D5">
              <w:rPr>
                <w:rFonts w:ascii="Arial" w:hAnsi="Arial" w:cs="Arial"/>
                <w:b/>
                <w:sz w:val="24"/>
                <w:szCs w:val="24"/>
              </w:rPr>
              <w:t xml:space="preserve"> </w:t>
            </w:r>
          </w:p>
        </w:tc>
        <w:tc>
          <w:tcPr>
            <w:tcW w:w="879" w:type="dxa"/>
          </w:tcPr>
          <w:p w:rsidR="005802DC" w:rsidRPr="009427D5" w:rsidRDefault="0008445B" w:rsidP="005519A0">
            <w:pPr>
              <w:tabs>
                <w:tab w:val="left" w:pos="426"/>
              </w:tabs>
              <w:jc w:val="center"/>
              <w:rPr>
                <w:rFonts w:ascii="Arial" w:eastAsia="Times New Roman" w:hAnsi="Arial" w:cs="Arial"/>
                <w:b/>
                <w:bCs/>
                <w:sz w:val="24"/>
                <w:szCs w:val="24"/>
                <w:lang w:eastAsia="es-ES"/>
              </w:rPr>
            </w:pPr>
            <w:r>
              <w:rPr>
                <w:rFonts w:ascii="Arial" w:eastAsia="Times New Roman" w:hAnsi="Arial" w:cs="Arial"/>
                <w:b/>
                <w:bCs/>
                <w:sz w:val="24"/>
                <w:szCs w:val="24"/>
                <w:lang w:eastAsia="es-ES"/>
              </w:rPr>
              <w:t>12</w:t>
            </w:r>
          </w:p>
        </w:tc>
      </w:tr>
      <w:tr w:rsidR="005802DC" w:rsidRPr="009427D5" w:rsidTr="00924DFD">
        <w:trPr>
          <w:trHeight w:val="20"/>
        </w:trPr>
        <w:tc>
          <w:tcPr>
            <w:tcW w:w="8472" w:type="dxa"/>
            <w:vAlign w:val="center"/>
          </w:tcPr>
          <w:p w:rsidR="005802DC" w:rsidRPr="009427D5" w:rsidRDefault="005802DC" w:rsidP="005A1B75">
            <w:pPr>
              <w:tabs>
                <w:tab w:val="left" w:pos="0"/>
              </w:tabs>
              <w:spacing w:after="0" w:line="240" w:lineRule="auto"/>
              <w:jc w:val="both"/>
              <w:rPr>
                <w:rFonts w:ascii="Arial" w:hAnsi="Arial" w:cs="Arial"/>
                <w:b/>
                <w:sz w:val="24"/>
                <w:szCs w:val="24"/>
              </w:rPr>
            </w:pPr>
            <w:r w:rsidRPr="009427D5">
              <w:rPr>
                <w:rFonts w:ascii="Arial" w:hAnsi="Arial" w:cs="Arial"/>
                <w:b/>
                <w:sz w:val="24"/>
                <w:szCs w:val="24"/>
              </w:rPr>
              <w:t>2.</w:t>
            </w:r>
            <w:r w:rsidR="00A44518" w:rsidRPr="009427D5">
              <w:rPr>
                <w:rFonts w:ascii="Arial" w:hAnsi="Arial" w:cs="Arial"/>
                <w:b/>
                <w:sz w:val="24"/>
                <w:szCs w:val="24"/>
              </w:rPr>
              <w:t>1.2</w:t>
            </w:r>
            <w:r w:rsidRPr="009427D5">
              <w:rPr>
                <w:rFonts w:ascii="Arial" w:hAnsi="Arial" w:cs="Arial"/>
                <w:b/>
                <w:sz w:val="24"/>
                <w:szCs w:val="24"/>
              </w:rPr>
              <w:t xml:space="preserve"> </w:t>
            </w:r>
            <w:r w:rsidR="005A1B75" w:rsidRPr="009427D5">
              <w:rPr>
                <w:rFonts w:ascii="Arial" w:hAnsi="Arial" w:cs="Arial"/>
                <w:b/>
                <w:sz w:val="24"/>
                <w:szCs w:val="24"/>
              </w:rPr>
              <w:t>Actores</w:t>
            </w:r>
          </w:p>
        </w:tc>
        <w:tc>
          <w:tcPr>
            <w:tcW w:w="879" w:type="dxa"/>
          </w:tcPr>
          <w:p w:rsidR="005802DC" w:rsidRPr="009427D5" w:rsidRDefault="0008445B" w:rsidP="005519A0">
            <w:pPr>
              <w:tabs>
                <w:tab w:val="left" w:pos="426"/>
              </w:tabs>
              <w:jc w:val="center"/>
              <w:rPr>
                <w:rFonts w:ascii="Arial" w:eastAsia="Times New Roman" w:hAnsi="Arial" w:cs="Arial"/>
                <w:b/>
                <w:bCs/>
                <w:sz w:val="24"/>
                <w:szCs w:val="24"/>
                <w:lang w:eastAsia="es-ES"/>
              </w:rPr>
            </w:pPr>
            <w:r>
              <w:rPr>
                <w:rFonts w:ascii="Arial" w:eastAsia="Times New Roman" w:hAnsi="Arial" w:cs="Arial"/>
                <w:b/>
                <w:bCs/>
                <w:sz w:val="24"/>
                <w:szCs w:val="24"/>
                <w:lang w:eastAsia="es-ES"/>
              </w:rPr>
              <w:t>17</w:t>
            </w:r>
          </w:p>
        </w:tc>
      </w:tr>
      <w:tr w:rsidR="00A44518" w:rsidRPr="009427D5" w:rsidTr="00924DFD">
        <w:trPr>
          <w:trHeight w:val="20"/>
        </w:trPr>
        <w:tc>
          <w:tcPr>
            <w:tcW w:w="8472" w:type="dxa"/>
            <w:vAlign w:val="center"/>
          </w:tcPr>
          <w:p w:rsidR="00A44518" w:rsidRPr="009427D5" w:rsidRDefault="00DD36A5" w:rsidP="00EE3CF8">
            <w:pPr>
              <w:tabs>
                <w:tab w:val="left" w:pos="0"/>
              </w:tabs>
              <w:spacing w:after="0" w:line="240" w:lineRule="auto"/>
              <w:jc w:val="both"/>
              <w:rPr>
                <w:rFonts w:ascii="Arial" w:hAnsi="Arial" w:cs="Arial"/>
                <w:b/>
                <w:sz w:val="24"/>
                <w:szCs w:val="24"/>
              </w:rPr>
            </w:pPr>
            <w:r w:rsidRPr="009427D5">
              <w:rPr>
                <w:rFonts w:ascii="Arial" w:hAnsi="Arial" w:cs="Arial"/>
                <w:sz w:val="24"/>
                <w:szCs w:val="24"/>
              </w:rPr>
              <w:t>2.2 RESULTADOS DE LA AUDITORÍA A LA POLÍTICA PÚBLICA</w:t>
            </w:r>
            <w:r w:rsidRPr="009427D5">
              <w:rPr>
                <w:rFonts w:ascii="Arial" w:hAnsi="Arial" w:cs="Arial"/>
                <w:b/>
                <w:sz w:val="24"/>
                <w:szCs w:val="24"/>
              </w:rPr>
              <w:t xml:space="preserve"> </w:t>
            </w:r>
          </w:p>
        </w:tc>
        <w:tc>
          <w:tcPr>
            <w:tcW w:w="879" w:type="dxa"/>
          </w:tcPr>
          <w:p w:rsidR="00A44518" w:rsidRPr="009427D5" w:rsidRDefault="0008445B" w:rsidP="0008445B">
            <w:pPr>
              <w:jc w:val="center"/>
              <w:rPr>
                <w:rFonts w:ascii="Arial" w:eastAsia="Times New Roman" w:hAnsi="Arial" w:cs="Arial"/>
                <w:b/>
                <w:bCs/>
                <w:sz w:val="24"/>
                <w:szCs w:val="24"/>
                <w:lang w:eastAsia="es-ES"/>
              </w:rPr>
            </w:pPr>
            <w:r>
              <w:rPr>
                <w:rFonts w:ascii="Arial" w:eastAsia="Times New Roman" w:hAnsi="Arial" w:cs="Arial"/>
                <w:b/>
                <w:bCs/>
                <w:sz w:val="24"/>
                <w:szCs w:val="24"/>
                <w:lang w:eastAsia="es-ES"/>
              </w:rPr>
              <w:t>18</w:t>
            </w:r>
          </w:p>
        </w:tc>
      </w:tr>
      <w:tr w:rsidR="005519A0" w:rsidRPr="009427D5" w:rsidTr="00924DFD">
        <w:trPr>
          <w:trHeight w:val="20"/>
        </w:trPr>
        <w:tc>
          <w:tcPr>
            <w:tcW w:w="8472" w:type="dxa"/>
            <w:vAlign w:val="center"/>
          </w:tcPr>
          <w:p w:rsidR="005519A0" w:rsidRPr="009427D5" w:rsidRDefault="001C2757" w:rsidP="00FC3BFE">
            <w:pPr>
              <w:spacing w:after="0" w:line="240" w:lineRule="auto"/>
              <w:ind w:left="596" w:hanging="596"/>
              <w:jc w:val="both"/>
              <w:rPr>
                <w:rFonts w:ascii="Arial" w:hAnsi="Arial" w:cs="Arial"/>
                <w:b/>
                <w:sz w:val="24"/>
                <w:szCs w:val="24"/>
              </w:rPr>
            </w:pPr>
            <w:r w:rsidRPr="009427D5">
              <w:rPr>
                <w:rFonts w:ascii="Arial" w:hAnsi="Arial" w:cs="Arial"/>
                <w:b/>
                <w:sz w:val="24"/>
                <w:szCs w:val="24"/>
              </w:rPr>
              <w:t>2.</w:t>
            </w:r>
            <w:r w:rsidR="00A44518" w:rsidRPr="009427D5">
              <w:rPr>
                <w:rFonts w:ascii="Arial" w:hAnsi="Arial" w:cs="Arial"/>
                <w:b/>
                <w:sz w:val="24"/>
                <w:szCs w:val="24"/>
              </w:rPr>
              <w:t>2</w:t>
            </w:r>
            <w:r w:rsidR="005802DC" w:rsidRPr="009427D5">
              <w:rPr>
                <w:rFonts w:ascii="Arial" w:hAnsi="Arial" w:cs="Arial"/>
                <w:b/>
                <w:sz w:val="24"/>
                <w:szCs w:val="24"/>
              </w:rPr>
              <w:t>.</w:t>
            </w:r>
            <w:r w:rsidR="003913C7" w:rsidRPr="009427D5">
              <w:rPr>
                <w:rFonts w:ascii="Arial" w:hAnsi="Arial" w:cs="Arial"/>
                <w:b/>
                <w:sz w:val="24"/>
                <w:szCs w:val="24"/>
              </w:rPr>
              <w:t>1</w:t>
            </w:r>
            <w:r w:rsidR="004803C8" w:rsidRPr="009427D5">
              <w:rPr>
                <w:rFonts w:ascii="Arial" w:hAnsi="Arial" w:cs="Arial"/>
                <w:b/>
                <w:sz w:val="24"/>
                <w:szCs w:val="24"/>
              </w:rPr>
              <w:t xml:space="preserve"> </w:t>
            </w:r>
            <w:r w:rsidR="005802DC" w:rsidRPr="009427D5">
              <w:rPr>
                <w:rFonts w:ascii="Arial" w:hAnsi="Arial" w:cs="Arial"/>
                <w:b/>
                <w:sz w:val="24"/>
                <w:szCs w:val="24"/>
              </w:rPr>
              <w:t xml:space="preserve">Cumplimiento de metas y </w:t>
            </w:r>
            <w:r w:rsidR="00E87B73" w:rsidRPr="009427D5">
              <w:rPr>
                <w:rFonts w:ascii="Arial" w:hAnsi="Arial" w:cs="Arial"/>
                <w:b/>
                <w:sz w:val="24"/>
                <w:szCs w:val="24"/>
              </w:rPr>
              <w:t>análisis</w:t>
            </w:r>
            <w:r w:rsidR="005802DC" w:rsidRPr="009427D5">
              <w:rPr>
                <w:rFonts w:ascii="Arial" w:hAnsi="Arial" w:cs="Arial"/>
                <w:b/>
                <w:sz w:val="24"/>
                <w:szCs w:val="24"/>
              </w:rPr>
              <w:t xml:space="preserve"> de los indicadores definidos para la Política Pública</w:t>
            </w:r>
          </w:p>
        </w:tc>
        <w:tc>
          <w:tcPr>
            <w:tcW w:w="879" w:type="dxa"/>
          </w:tcPr>
          <w:p w:rsidR="005519A0" w:rsidRPr="009427D5" w:rsidRDefault="0008445B" w:rsidP="00F0571F">
            <w:pPr>
              <w:jc w:val="center"/>
              <w:rPr>
                <w:rFonts w:ascii="Arial" w:eastAsia="Times New Roman" w:hAnsi="Arial" w:cs="Arial"/>
                <w:b/>
                <w:bCs/>
                <w:sz w:val="24"/>
                <w:szCs w:val="24"/>
                <w:lang w:eastAsia="es-ES"/>
              </w:rPr>
            </w:pPr>
            <w:r>
              <w:rPr>
                <w:rFonts w:ascii="Arial" w:eastAsia="Times New Roman" w:hAnsi="Arial" w:cs="Arial"/>
                <w:b/>
                <w:bCs/>
                <w:sz w:val="24"/>
                <w:szCs w:val="24"/>
                <w:lang w:eastAsia="es-ES"/>
              </w:rPr>
              <w:t>18</w:t>
            </w:r>
          </w:p>
        </w:tc>
      </w:tr>
      <w:tr w:rsidR="005519A0" w:rsidRPr="009427D5" w:rsidTr="00924DFD">
        <w:trPr>
          <w:trHeight w:val="20"/>
        </w:trPr>
        <w:tc>
          <w:tcPr>
            <w:tcW w:w="8472" w:type="dxa"/>
            <w:vAlign w:val="center"/>
          </w:tcPr>
          <w:p w:rsidR="005519A0" w:rsidRPr="009427D5" w:rsidRDefault="00A44518" w:rsidP="0097524D">
            <w:pPr>
              <w:pStyle w:val="Prrafodelista"/>
              <w:numPr>
                <w:ilvl w:val="2"/>
                <w:numId w:val="23"/>
              </w:numPr>
              <w:tabs>
                <w:tab w:val="left" w:pos="313"/>
              </w:tabs>
              <w:spacing w:after="0" w:line="240" w:lineRule="auto"/>
              <w:jc w:val="both"/>
              <w:rPr>
                <w:rFonts w:ascii="Arial" w:hAnsi="Arial" w:cs="Arial"/>
                <w:b/>
                <w:bCs/>
                <w:sz w:val="24"/>
                <w:szCs w:val="24"/>
              </w:rPr>
            </w:pPr>
            <w:r w:rsidRPr="009427D5">
              <w:rPr>
                <w:rFonts w:ascii="Arial" w:hAnsi="Arial" w:cs="Arial"/>
                <w:b/>
                <w:sz w:val="24"/>
                <w:szCs w:val="24"/>
              </w:rPr>
              <w:t xml:space="preserve">Gestión y Resultados de la </w:t>
            </w:r>
            <w:r w:rsidR="005802DC" w:rsidRPr="009427D5">
              <w:rPr>
                <w:rFonts w:ascii="Arial" w:hAnsi="Arial" w:cs="Arial"/>
                <w:b/>
                <w:sz w:val="24"/>
                <w:szCs w:val="24"/>
              </w:rPr>
              <w:t xml:space="preserve">Política Pública </w:t>
            </w:r>
          </w:p>
        </w:tc>
        <w:tc>
          <w:tcPr>
            <w:tcW w:w="879" w:type="dxa"/>
          </w:tcPr>
          <w:p w:rsidR="005519A0" w:rsidRPr="009427D5" w:rsidRDefault="0008445B" w:rsidP="00F0571F">
            <w:pPr>
              <w:jc w:val="center"/>
              <w:rPr>
                <w:rFonts w:ascii="Arial" w:eastAsia="Times New Roman" w:hAnsi="Arial" w:cs="Arial"/>
                <w:b/>
                <w:bCs/>
                <w:sz w:val="24"/>
                <w:szCs w:val="24"/>
                <w:lang w:eastAsia="es-ES"/>
              </w:rPr>
            </w:pPr>
            <w:r>
              <w:rPr>
                <w:rFonts w:ascii="Arial" w:eastAsia="Times New Roman" w:hAnsi="Arial" w:cs="Arial"/>
                <w:b/>
                <w:bCs/>
                <w:sz w:val="24"/>
                <w:szCs w:val="24"/>
                <w:lang w:eastAsia="es-ES"/>
              </w:rPr>
              <w:t>50</w:t>
            </w:r>
          </w:p>
        </w:tc>
      </w:tr>
      <w:tr w:rsidR="001C2757" w:rsidRPr="009427D5" w:rsidTr="00924DFD">
        <w:trPr>
          <w:trHeight w:val="20"/>
        </w:trPr>
        <w:tc>
          <w:tcPr>
            <w:tcW w:w="8472" w:type="dxa"/>
            <w:vAlign w:val="center"/>
          </w:tcPr>
          <w:p w:rsidR="001C2757" w:rsidRPr="009427D5" w:rsidRDefault="003913C7" w:rsidP="00FC3BFE">
            <w:pPr>
              <w:spacing w:after="0" w:line="240" w:lineRule="auto"/>
              <w:ind w:left="596" w:hanging="596"/>
              <w:jc w:val="both"/>
              <w:rPr>
                <w:rFonts w:ascii="Arial" w:hAnsi="Arial" w:cs="Arial"/>
                <w:b/>
                <w:sz w:val="24"/>
                <w:szCs w:val="24"/>
              </w:rPr>
            </w:pPr>
            <w:r w:rsidRPr="009427D5">
              <w:rPr>
                <w:rFonts w:ascii="Arial" w:hAnsi="Arial" w:cs="Arial"/>
                <w:b/>
                <w:sz w:val="24"/>
                <w:szCs w:val="24"/>
              </w:rPr>
              <w:t>2.2.3</w:t>
            </w:r>
            <w:r w:rsidR="00A44518" w:rsidRPr="009427D5">
              <w:rPr>
                <w:rFonts w:ascii="Arial" w:hAnsi="Arial" w:cs="Arial"/>
                <w:b/>
                <w:sz w:val="24"/>
                <w:szCs w:val="24"/>
              </w:rPr>
              <w:t xml:space="preserve"> </w:t>
            </w:r>
            <w:r w:rsidR="001C2757" w:rsidRPr="009427D5">
              <w:rPr>
                <w:rFonts w:ascii="Arial" w:hAnsi="Arial" w:cs="Arial"/>
                <w:b/>
                <w:sz w:val="24"/>
                <w:szCs w:val="24"/>
              </w:rPr>
              <w:t xml:space="preserve">Pronunciamiento sobre Derechos y Fines fundamentales del Estado relacionados con la Política Pública evaluada </w:t>
            </w:r>
          </w:p>
        </w:tc>
        <w:tc>
          <w:tcPr>
            <w:tcW w:w="879" w:type="dxa"/>
          </w:tcPr>
          <w:p w:rsidR="001C2757" w:rsidRPr="009427D5" w:rsidRDefault="0008445B" w:rsidP="00F0571F">
            <w:pPr>
              <w:jc w:val="center"/>
              <w:rPr>
                <w:rFonts w:ascii="Arial" w:eastAsia="Times New Roman" w:hAnsi="Arial" w:cs="Arial"/>
                <w:b/>
                <w:bCs/>
                <w:sz w:val="24"/>
                <w:szCs w:val="24"/>
                <w:lang w:eastAsia="es-ES"/>
              </w:rPr>
            </w:pPr>
            <w:r>
              <w:rPr>
                <w:rFonts w:ascii="Arial" w:eastAsia="Times New Roman" w:hAnsi="Arial" w:cs="Arial"/>
                <w:b/>
                <w:bCs/>
                <w:sz w:val="24"/>
                <w:szCs w:val="24"/>
                <w:lang w:eastAsia="es-ES"/>
              </w:rPr>
              <w:t>65</w:t>
            </w:r>
          </w:p>
        </w:tc>
      </w:tr>
    </w:tbl>
    <w:p w:rsidR="005519A0" w:rsidRPr="009427D5" w:rsidRDefault="005519A0" w:rsidP="005519A0">
      <w:pPr>
        <w:jc w:val="both"/>
        <w:rPr>
          <w:rFonts w:ascii="Arial" w:hAnsi="Arial" w:cs="Arial"/>
          <w:sz w:val="24"/>
          <w:szCs w:val="24"/>
        </w:rPr>
      </w:pPr>
    </w:p>
    <w:p w:rsidR="00A306D2" w:rsidRPr="00170E87" w:rsidRDefault="005519A0" w:rsidP="00170E87">
      <w:pPr>
        <w:rPr>
          <w:rFonts w:ascii="Arial" w:hAnsi="Arial" w:cs="Arial"/>
          <w:color w:val="FF0000"/>
          <w:sz w:val="24"/>
          <w:szCs w:val="24"/>
        </w:rPr>
      </w:pPr>
      <w:r w:rsidRPr="009427D5">
        <w:rPr>
          <w:rFonts w:ascii="Arial" w:hAnsi="Arial" w:cs="Arial"/>
          <w:sz w:val="24"/>
          <w:szCs w:val="24"/>
        </w:rPr>
        <w:br w:type="page"/>
      </w:r>
    </w:p>
    <w:p w:rsidR="0055111B" w:rsidRPr="00977610" w:rsidRDefault="0055111B" w:rsidP="0055111B">
      <w:pPr>
        <w:spacing w:after="0" w:line="240" w:lineRule="auto"/>
        <w:jc w:val="both"/>
        <w:rPr>
          <w:rFonts w:ascii="Arial" w:hAnsi="Arial" w:cs="Arial"/>
        </w:rPr>
      </w:pPr>
      <w:r w:rsidRPr="00977610">
        <w:rPr>
          <w:rFonts w:ascii="Arial" w:hAnsi="Arial" w:cs="Arial"/>
        </w:rPr>
        <w:lastRenderedPageBreak/>
        <w:t>Doctor</w:t>
      </w:r>
    </w:p>
    <w:p w:rsidR="0055111B" w:rsidRPr="00977610" w:rsidRDefault="0055111B" w:rsidP="0055111B">
      <w:pPr>
        <w:spacing w:after="0" w:line="240" w:lineRule="auto"/>
        <w:jc w:val="both"/>
        <w:rPr>
          <w:rFonts w:ascii="Arial" w:hAnsi="Arial" w:cs="Arial"/>
        </w:rPr>
      </w:pPr>
      <w:r>
        <w:rPr>
          <w:rFonts w:ascii="Arial" w:hAnsi="Arial" w:cs="Arial"/>
        </w:rPr>
        <w:t>PEDRO OCTAVIO  MUNAR CADENA</w:t>
      </w:r>
    </w:p>
    <w:p w:rsidR="0055111B" w:rsidRPr="00977610" w:rsidRDefault="0055111B" w:rsidP="0055111B">
      <w:pPr>
        <w:pStyle w:val="320"/>
        <w:widowControl/>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sz w:val="22"/>
          <w:szCs w:val="22"/>
          <w:lang w:val="es-CO"/>
        </w:rPr>
      </w:pPr>
      <w:r>
        <w:rPr>
          <w:rFonts w:ascii="Arial" w:hAnsi="Arial" w:cs="Arial"/>
          <w:sz w:val="22"/>
          <w:szCs w:val="22"/>
          <w:lang w:val="es-CO"/>
        </w:rPr>
        <w:t>Presidente Sala Administrativa</w:t>
      </w:r>
    </w:p>
    <w:p w:rsidR="0055111B" w:rsidRPr="00977610" w:rsidRDefault="0055111B" w:rsidP="0055111B">
      <w:pPr>
        <w:pStyle w:val="320"/>
        <w:widowControl/>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sz w:val="22"/>
          <w:szCs w:val="22"/>
          <w:lang w:val="es-CO"/>
        </w:rPr>
      </w:pPr>
      <w:r w:rsidRPr="00977610">
        <w:rPr>
          <w:rFonts w:ascii="Arial" w:hAnsi="Arial" w:cs="Arial"/>
          <w:sz w:val="22"/>
          <w:szCs w:val="22"/>
          <w:lang w:val="es-CO"/>
        </w:rPr>
        <w:t>Consejo Superior de la Judicatura</w:t>
      </w:r>
    </w:p>
    <w:p w:rsidR="0055111B" w:rsidRPr="00977610" w:rsidRDefault="0055111B" w:rsidP="0055111B">
      <w:pPr>
        <w:pStyle w:val="320"/>
        <w:widowControl/>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sz w:val="22"/>
          <w:szCs w:val="22"/>
          <w:lang w:val="es-CO"/>
        </w:rPr>
      </w:pPr>
      <w:r>
        <w:rPr>
          <w:rFonts w:ascii="Arial" w:hAnsi="Arial" w:cs="Arial"/>
          <w:sz w:val="22"/>
          <w:szCs w:val="22"/>
          <w:lang w:val="es-CO"/>
        </w:rPr>
        <w:t>Ciudad</w:t>
      </w:r>
    </w:p>
    <w:p w:rsidR="00B2165F" w:rsidRPr="009427D5" w:rsidRDefault="00B2165F" w:rsidP="00CD6E34">
      <w:pPr>
        <w:pStyle w:val="320"/>
        <w:widowControl/>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sz w:val="24"/>
          <w:szCs w:val="24"/>
          <w:lang w:val="es-CO"/>
        </w:rPr>
      </w:pPr>
    </w:p>
    <w:p w:rsidR="00CD6E34" w:rsidRPr="009427D5" w:rsidRDefault="00CD6E34" w:rsidP="00CD6E34">
      <w:pPr>
        <w:spacing w:after="0" w:line="240" w:lineRule="auto"/>
        <w:jc w:val="both"/>
        <w:rPr>
          <w:rFonts w:ascii="Arial" w:hAnsi="Arial" w:cs="Arial"/>
          <w:sz w:val="24"/>
          <w:szCs w:val="24"/>
        </w:rPr>
      </w:pPr>
      <w:r w:rsidRPr="009427D5">
        <w:rPr>
          <w:rFonts w:ascii="Arial" w:hAnsi="Arial" w:cs="Arial"/>
          <w:sz w:val="24"/>
          <w:szCs w:val="24"/>
        </w:rPr>
        <w:t xml:space="preserve">La Contraloría General de la República, </w:t>
      </w:r>
      <w:r w:rsidR="00B45FE7" w:rsidRPr="009427D5">
        <w:rPr>
          <w:rFonts w:ascii="Arial" w:hAnsi="Arial" w:cs="Arial"/>
          <w:sz w:val="24"/>
          <w:szCs w:val="24"/>
        </w:rPr>
        <w:t xml:space="preserve">en cumplimiento del artículo 119 de la Constitución Política y </w:t>
      </w:r>
      <w:r w:rsidRPr="009427D5">
        <w:rPr>
          <w:rFonts w:ascii="Arial" w:hAnsi="Arial" w:cs="Arial"/>
          <w:sz w:val="24"/>
          <w:szCs w:val="24"/>
        </w:rPr>
        <w:t>con fundamento en l</w:t>
      </w:r>
      <w:r w:rsidR="00B2165F" w:rsidRPr="009427D5">
        <w:rPr>
          <w:rFonts w:ascii="Arial" w:hAnsi="Arial" w:cs="Arial"/>
          <w:sz w:val="24"/>
          <w:szCs w:val="24"/>
        </w:rPr>
        <w:t xml:space="preserve">as facultades otorgadas por el </w:t>
      </w:r>
      <w:r w:rsidR="00021F03" w:rsidRPr="009427D5">
        <w:rPr>
          <w:rFonts w:ascii="Arial" w:hAnsi="Arial" w:cs="Arial"/>
          <w:sz w:val="24"/>
          <w:szCs w:val="24"/>
        </w:rPr>
        <w:t>artículo</w:t>
      </w:r>
      <w:r w:rsidRPr="009427D5">
        <w:rPr>
          <w:rFonts w:ascii="Arial" w:hAnsi="Arial" w:cs="Arial"/>
          <w:sz w:val="24"/>
          <w:szCs w:val="24"/>
        </w:rPr>
        <w:t xml:space="preserve"> 267 de la </w:t>
      </w:r>
      <w:r w:rsidR="00225D39" w:rsidRPr="009427D5">
        <w:rPr>
          <w:rFonts w:ascii="Arial" w:hAnsi="Arial" w:cs="Arial"/>
          <w:sz w:val="24"/>
          <w:szCs w:val="24"/>
        </w:rPr>
        <w:t>citada Carta</w:t>
      </w:r>
      <w:r w:rsidR="00B2165F" w:rsidRPr="009427D5">
        <w:rPr>
          <w:rFonts w:ascii="Arial" w:hAnsi="Arial" w:cs="Arial"/>
          <w:sz w:val="24"/>
          <w:szCs w:val="24"/>
        </w:rPr>
        <w:t>,</w:t>
      </w:r>
      <w:r w:rsidRPr="009427D5">
        <w:rPr>
          <w:rFonts w:ascii="Arial" w:hAnsi="Arial" w:cs="Arial"/>
          <w:sz w:val="24"/>
          <w:szCs w:val="24"/>
        </w:rPr>
        <w:t xml:space="preserve"> en pro de la defensa de los intereses patrimoniales del Estado, practicó Auditoría a l</w:t>
      </w:r>
      <w:r w:rsidR="00766862" w:rsidRPr="009427D5">
        <w:rPr>
          <w:rFonts w:ascii="Arial" w:hAnsi="Arial" w:cs="Arial"/>
          <w:sz w:val="24"/>
          <w:szCs w:val="24"/>
        </w:rPr>
        <w:t xml:space="preserve">os resultados </w:t>
      </w:r>
      <w:r w:rsidR="00225D39" w:rsidRPr="009427D5">
        <w:rPr>
          <w:rFonts w:ascii="Arial" w:hAnsi="Arial" w:cs="Arial"/>
          <w:sz w:val="24"/>
          <w:szCs w:val="24"/>
        </w:rPr>
        <w:t xml:space="preserve">de la Administración en el desarrollo de </w:t>
      </w:r>
      <w:r w:rsidR="00766862" w:rsidRPr="009427D5">
        <w:rPr>
          <w:rFonts w:ascii="Arial" w:hAnsi="Arial" w:cs="Arial"/>
          <w:sz w:val="24"/>
          <w:szCs w:val="24"/>
        </w:rPr>
        <w:t>la</w:t>
      </w:r>
      <w:r w:rsidRPr="009427D5">
        <w:rPr>
          <w:rFonts w:ascii="Arial" w:hAnsi="Arial" w:cs="Arial"/>
          <w:sz w:val="24"/>
          <w:szCs w:val="24"/>
        </w:rPr>
        <w:t xml:space="preserve"> Política Pública</w:t>
      </w:r>
      <w:r w:rsidR="00BE56D9" w:rsidRPr="009427D5">
        <w:rPr>
          <w:rFonts w:ascii="Arial" w:hAnsi="Arial" w:cs="Arial"/>
          <w:sz w:val="24"/>
          <w:szCs w:val="24"/>
        </w:rPr>
        <w:t>,</w:t>
      </w:r>
      <w:r w:rsidRPr="009427D5">
        <w:rPr>
          <w:rFonts w:ascii="Arial" w:hAnsi="Arial" w:cs="Arial"/>
          <w:sz w:val="24"/>
          <w:szCs w:val="24"/>
        </w:rPr>
        <w:t xml:space="preserve"> </w:t>
      </w:r>
      <w:r w:rsidR="002740C7" w:rsidRPr="009427D5">
        <w:rPr>
          <w:rFonts w:ascii="Arial" w:hAnsi="Arial" w:cs="Arial"/>
          <w:sz w:val="24"/>
          <w:szCs w:val="24"/>
        </w:rPr>
        <w:t>Promover el Fortalecimiento de la Justicia - Justicia Formal, Oral y Descongestión</w:t>
      </w:r>
      <w:r w:rsidR="00A73C76" w:rsidRPr="009427D5">
        <w:rPr>
          <w:rFonts w:ascii="Arial" w:hAnsi="Arial" w:cs="Arial"/>
          <w:sz w:val="24"/>
          <w:szCs w:val="24"/>
        </w:rPr>
        <w:t xml:space="preserve"> </w:t>
      </w:r>
      <w:r w:rsidR="00051235" w:rsidRPr="009427D5">
        <w:rPr>
          <w:rFonts w:ascii="Arial" w:hAnsi="Arial" w:cs="Arial"/>
          <w:sz w:val="24"/>
          <w:szCs w:val="24"/>
        </w:rPr>
        <w:t>contenida en e</w:t>
      </w:r>
      <w:r w:rsidRPr="009427D5">
        <w:rPr>
          <w:rFonts w:ascii="Arial" w:hAnsi="Arial" w:cs="Arial"/>
          <w:sz w:val="24"/>
          <w:szCs w:val="24"/>
        </w:rPr>
        <w:t>l Plan Nacional de Desarrollo “</w:t>
      </w:r>
      <w:r w:rsidRPr="009427D5">
        <w:rPr>
          <w:rFonts w:ascii="Arial" w:hAnsi="Arial" w:cs="Arial"/>
          <w:i/>
          <w:sz w:val="24"/>
          <w:szCs w:val="24"/>
        </w:rPr>
        <w:t>Prosperidad para todos</w:t>
      </w:r>
      <w:r w:rsidRPr="009427D5">
        <w:rPr>
          <w:rFonts w:ascii="Arial" w:hAnsi="Arial" w:cs="Arial"/>
          <w:sz w:val="24"/>
          <w:szCs w:val="24"/>
        </w:rPr>
        <w:t>”, 2010-2014, a través de la evaluación de los principios de la gestión fiscal: eficiencia y eficacia</w:t>
      </w:r>
      <w:r w:rsidR="00FD1F61" w:rsidRPr="009427D5">
        <w:rPr>
          <w:rFonts w:ascii="Arial" w:hAnsi="Arial" w:cs="Arial"/>
          <w:sz w:val="24"/>
          <w:szCs w:val="24"/>
        </w:rPr>
        <w:t>,</w:t>
      </w:r>
      <w:r w:rsidRPr="009427D5">
        <w:rPr>
          <w:rFonts w:ascii="Arial" w:hAnsi="Arial" w:cs="Arial"/>
          <w:sz w:val="24"/>
          <w:szCs w:val="24"/>
        </w:rPr>
        <w:t xml:space="preserve"> con que se ha realizado la inversión y disposición de los </w:t>
      </w:r>
      <w:r w:rsidR="004803C8" w:rsidRPr="009427D5">
        <w:rPr>
          <w:rFonts w:ascii="Arial" w:hAnsi="Arial" w:cs="Arial"/>
          <w:sz w:val="24"/>
          <w:szCs w:val="24"/>
        </w:rPr>
        <w:t>recursos</w:t>
      </w:r>
      <w:r w:rsidR="00FD1F61" w:rsidRPr="009427D5">
        <w:rPr>
          <w:rFonts w:ascii="Arial" w:hAnsi="Arial" w:cs="Arial"/>
          <w:sz w:val="24"/>
          <w:szCs w:val="24"/>
        </w:rPr>
        <w:t xml:space="preserve"> públicos</w:t>
      </w:r>
      <w:r w:rsidRPr="009427D5">
        <w:rPr>
          <w:rFonts w:ascii="Arial" w:hAnsi="Arial" w:cs="Arial"/>
          <w:sz w:val="24"/>
          <w:szCs w:val="24"/>
        </w:rPr>
        <w:t xml:space="preserve"> para la protección de los derechos fundamentales de los colombianos, en el marco de </w:t>
      </w:r>
      <w:r w:rsidR="00FD1F61" w:rsidRPr="009427D5">
        <w:rPr>
          <w:rFonts w:ascii="Arial" w:hAnsi="Arial" w:cs="Arial"/>
          <w:sz w:val="24"/>
          <w:szCs w:val="24"/>
        </w:rPr>
        <w:t>un Estado Social de Derecho y en</w:t>
      </w:r>
      <w:r w:rsidRPr="009427D5">
        <w:rPr>
          <w:rFonts w:ascii="Arial" w:hAnsi="Arial" w:cs="Arial"/>
          <w:sz w:val="24"/>
          <w:szCs w:val="24"/>
        </w:rPr>
        <w:t xml:space="preserve"> cumplimiento de los fines esenciales del Estado.</w:t>
      </w:r>
    </w:p>
    <w:p w:rsidR="00CD6E34" w:rsidRPr="009427D5" w:rsidRDefault="00CD6E34" w:rsidP="00CD6E34">
      <w:pPr>
        <w:spacing w:after="0" w:line="240" w:lineRule="auto"/>
        <w:jc w:val="both"/>
        <w:rPr>
          <w:rFonts w:ascii="Arial" w:hAnsi="Arial" w:cs="Arial"/>
          <w:sz w:val="24"/>
          <w:szCs w:val="24"/>
        </w:rPr>
      </w:pPr>
    </w:p>
    <w:p w:rsidR="00CD6E34" w:rsidRPr="009427D5" w:rsidRDefault="00850E8F" w:rsidP="00850E8F">
      <w:pPr>
        <w:spacing w:after="0" w:line="240" w:lineRule="auto"/>
        <w:jc w:val="both"/>
        <w:rPr>
          <w:rFonts w:ascii="Arial" w:hAnsi="Arial" w:cs="Arial"/>
          <w:sz w:val="24"/>
          <w:szCs w:val="24"/>
        </w:rPr>
      </w:pPr>
      <w:r w:rsidRPr="009427D5">
        <w:rPr>
          <w:rFonts w:ascii="Arial" w:hAnsi="Arial" w:cs="Arial"/>
          <w:sz w:val="24"/>
          <w:szCs w:val="24"/>
        </w:rPr>
        <w:t xml:space="preserve">La información sobre la cual efectuó el análisis la Contraloría es responsabilidad del Gobierno Nacional, información que fue dispuesta a través de los canales oficiales y públicos y de los ofrecidos por cada una de las entidades involucradas en la gestión de la Política Pública. </w:t>
      </w:r>
      <w:r w:rsidR="00CD6E34" w:rsidRPr="009427D5">
        <w:rPr>
          <w:rFonts w:ascii="Arial" w:hAnsi="Arial" w:cs="Arial"/>
          <w:sz w:val="24"/>
          <w:szCs w:val="24"/>
        </w:rPr>
        <w:t xml:space="preserve">La responsabilidad de la Contraloría General de la República consiste en producir un informe que contenga el </w:t>
      </w:r>
      <w:r w:rsidR="00BA3A34" w:rsidRPr="009427D5">
        <w:rPr>
          <w:rFonts w:ascii="Arial" w:hAnsi="Arial" w:cs="Arial"/>
          <w:sz w:val="24"/>
          <w:szCs w:val="24"/>
        </w:rPr>
        <w:t>dictamen sobre la Política Pública</w:t>
      </w:r>
      <w:r w:rsidR="00C6118F" w:rsidRPr="009427D5">
        <w:rPr>
          <w:rFonts w:ascii="Arial" w:hAnsi="Arial" w:cs="Arial"/>
          <w:sz w:val="24"/>
          <w:szCs w:val="24"/>
        </w:rPr>
        <w:t xml:space="preserve"> </w:t>
      </w:r>
      <w:r w:rsidR="004803C8" w:rsidRPr="009427D5">
        <w:rPr>
          <w:rFonts w:ascii="Arial" w:hAnsi="Arial" w:cs="Arial"/>
          <w:sz w:val="24"/>
          <w:szCs w:val="24"/>
        </w:rPr>
        <w:t>evaluada</w:t>
      </w:r>
      <w:r w:rsidR="00BA3A34" w:rsidRPr="009427D5">
        <w:rPr>
          <w:rFonts w:ascii="Arial" w:hAnsi="Arial" w:cs="Arial"/>
          <w:sz w:val="24"/>
          <w:szCs w:val="24"/>
        </w:rPr>
        <w:t xml:space="preserve">. </w:t>
      </w:r>
    </w:p>
    <w:p w:rsidR="00DF1819" w:rsidRPr="009427D5" w:rsidRDefault="00DF1819" w:rsidP="00CD6E34">
      <w:pPr>
        <w:pStyle w:val="320"/>
        <w:widowControl/>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sz w:val="24"/>
          <w:szCs w:val="24"/>
          <w:lang w:val="es-CO"/>
        </w:rPr>
      </w:pPr>
    </w:p>
    <w:p w:rsidR="00DF1819" w:rsidRPr="009427D5" w:rsidRDefault="00DF1819" w:rsidP="00DF1819">
      <w:pPr>
        <w:spacing w:after="0" w:line="240" w:lineRule="auto"/>
        <w:jc w:val="both"/>
        <w:rPr>
          <w:rFonts w:ascii="Arial" w:hAnsi="Arial" w:cs="Arial"/>
          <w:sz w:val="24"/>
          <w:szCs w:val="24"/>
        </w:rPr>
      </w:pPr>
      <w:r w:rsidRPr="009427D5">
        <w:rPr>
          <w:rFonts w:ascii="Arial" w:hAnsi="Arial" w:cs="Arial"/>
          <w:sz w:val="24"/>
          <w:szCs w:val="24"/>
        </w:rPr>
        <w:t xml:space="preserve">La evaluación se llevó a cabo de acuerdo con </w:t>
      </w:r>
      <w:r w:rsidR="004803C8" w:rsidRPr="009427D5">
        <w:rPr>
          <w:rFonts w:ascii="Arial" w:hAnsi="Arial" w:cs="Arial"/>
          <w:sz w:val="24"/>
          <w:szCs w:val="24"/>
        </w:rPr>
        <w:t>N</w:t>
      </w:r>
      <w:r w:rsidRPr="009427D5">
        <w:rPr>
          <w:rFonts w:ascii="Arial" w:hAnsi="Arial" w:cs="Arial"/>
          <w:sz w:val="24"/>
          <w:szCs w:val="24"/>
        </w:rPr>
        <w:t xml:space="preserve">ormas de </w:t>
      </w:r>
      <w:r w:rsidR="004803C8" w:rsidRPr="009427D5">
        <w:rPr>
          <w:rFonts w:ascii="Arial" w:hAnsi="Arial" w:cs="Arial"/>
          <w:sz w:val="24"/>
          <w:szCs w:val="24"/>
        </w:rPr>
        <w:t xml:space="preserve">Auditoría Generalmente Aceptadas, </w:t>
      </w:r>
      <w:r w:rsidRPr="009427D5">
        <w:rPr>
          <w:rFonts w:ascii="Arial" w:hAnsi="Arial" w:cs="Arial"/>
          <w:sz w:val="24"/>
          <w:szCs w:val="24"/>
        </w:rPr>
        <w:t xml:space="preserve">compatibles con las </w:t>
      </w:r>
      <w:r w:rsidR="004803C8" w:rsidRPr="009427D5">
        <w:rPr>
          <w:rFonts w:ascii="Arial" w:hAnsi="Arial" w:cs="Arial"/>
          <w:sz w:val="24"/>
          <w:szCs w:val="24"/>
        </w:rPr>
        <w:t>N</w:t>
      </w:r>
      <w:r w:rsidRPr="009427D5">
        <w:rPr>
          <w:rFonts w:ascii="Arial" w:hAnsi="Arial" w:cs="Arial"/>
          <w:sz w:val="24"/>
          <w:szCs w:val="24"/>
        </w:rPr>
        <w:t xml:space="preserve">ormas </w:t>
      </w:r>
      <w:r w:rsidR="004803C8" w:rsidRPr="009427D5">
        <w:rPr>
          <w:rFonts w:ascii="Arial" w:hAnsi="Arial" w:cs="Arial"/>
          <w:sz w:val="24"/>
          <w:szCs w:val="24"/>
        </w:rPr>
        <w:t>I</w:t>
      </w:r>
      <w:r w:rsidRPr="009427D5">
        <w:rPr>
          <w:rFonts w:ascii="Arial" w:hAnsi="Arial" w:cs="Arial"/>
          <w:sz w:val="24"/>
          <w:szCs w:val="24"/>
        </w:rPr>
        <w:t xml:space="preserve">nternacionales de </w:t>
      </w:r>
      <w:r w:rsidR="004803C8" w:rsidRPr="009427D5">
        <w:rPr>
          <w:rFonts w:ascii="Arial" w:hAnsi="Arial" w:cs="Arial"/>
          <w:sz w:val="24"/>
          <w:szCs w:val="24"/>
        </w:rPr>
        <w:t>A</w:t>
      </w:r>
      <w:r w:rsidRPr="009427D5">
        <w:rPr>
          <w:rFonts w:ascii="Arial" w:hAnsi="Arial" w:cs="Arial"/>
          <w:sz w:val="24"/>
          <w:szCs w:val="24"/>
        </w:rPr>
        <w:t xml:space="preserve">uditoría </w:t>
      </w:r>
      <w:r w:rsidR="007A3776" w:rsidRPr="009427D5">
        <w:rPr>
          <w:rFonts w:ascii="Arial" w:hAnsi="Arial" w:cs="Arial"/>
          <w:sz w:val="24"/>
          <w:szCs w:val="24"/>
        </w:rPr>
        <w:t>– (</w:t>
      </w:r>
      <w:r w:rsidRPr="009427D5">
        <w:rPr>
          <w:rFonts w:ascii="Arial" w:hAnsi="Arial" w:cs="Arial"/>
          <w:sz w:val="24"/>
          <w:szCs w:val="24"/>
        </w:rPr>
        <w:t xml:space="preserve">NIA´S) y con políticas y procedimientos prescritos por la Contraloría General de la República. </w:t>
      </w:r>
      <w:r w:rsidR="00FD1F61" w:rsidRPr="009427D5">
        <w:rPr>
          <w:rFonts w:ascii="Arial" w:hAnsi="Arial" w:cs="Arial"/>
          <w:sz w:val="24"/>
          <w:szCs w:val="24"/>
        </w:rPr>
        <w:t>L</w:t>
      </w:r>
      <w:r w:rsidRPr="009427D5">
        <w:rPr>
          <w:rFonts w:ascii="Arial" w:hAnsi="Arial" w:cs="Arial"/>
          <w:sz w:val="24"/>
          <w:szCs w:val="24"/>
        </w:rPr>
        <w:t xml:space="preserve">a auditoría proporciona una base razonable para expresar </w:t>
      </w:r>
      <w:r w:rsidR="004803C8" w:rsidRPr="009427D5">
        <w:rPr>
          <w:rFonts w:ascii="Arial" w:hAnsi="Arial" w:cs="Arial"/>
          <w:sz w:val="24"/>
          <w:szCs w:val="24"/>
        </w:rPr>
        <w:t>el dictamen</w:t>
      </w:r>
      <w:r w:rsidRPr="009427D5">
        <w:rPr>
          <w:rFonts w:ascii="Arial" w:hAnsi="Arial" w:cs="Arial"/>
          <w:sz w:val="24"/>
          <w:szCs w:val="24"/>
        </w:rPr>
        <w:t>.</w:t>
      </w:r>
    </w:p>
    <w:p w:rsidR="00DF1819" w:rsidRPr="009427D5" w:rsidRDefault="00DF1819" w:rsidP="00DF18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hAnsi="Arial" w:cs="Arial"/>
          <w:sz w:val="24"/>
          <w:szCs w:val="24"/>
        </w:rPr>
      </w:pPr>
    </w:p>
    <w:p w:rsidR="00DF1819" w:rsidRPr="009427D5" w:rsidRDefault="00DF1819" w:rsidP="00DF1819">
      <w:pPr>
        <w:pStyle w:val="Carta"/>
        <w:suppressAutoHyphens w:val="0"/>
        <w:rPr>
          <w:rFonts w:ascii="Arial" w:hAnsi="Arial" w:cs="Arial"/>
          <w:szCs w:val="24"/>
          <w:lang w:val="es-CO"/>
        </w:rPr>
      </w:pPr>
      <w:r w:rsidRPr="009427D5">
        <w:rPr>
          <w:rFonts w:ascii="Arial" w:hAnsi="Arial" w:cs="Arial"/>
          <w:szCs w:val="24"/>
          <w:lang w:val="es-CO"/>
        </w:rPr>
        <w:t>Los estudios y análisis se encuentran debidamente documentados con base en la información suministrada y en papeles de trabajo, los cuales reposan en los archivos del aplicativo S</w:t>
      </w:r>
      <w:r w:rsidR="001F1790" w:rsidRPr="009427D5">
        <w:rPr>
          <w:rFonts w:ascii="Arial" w:hAnsi="Arial" w:cs="Arial"/>
          <w:szCs w:val="24"/>
          <w:lang w:val="es-CO"/>
        </w:rPr>
        <w:t>istema Integrado para el Control de Auditorías (SICA)</w:t>
      </w:r>
      <w:r w:rsidR="004803C8" w:rsidRPr="009427D5">
        <w:rPr>
          <w:rFonts w:ascii="Arial" w:hAnsi="Arial" w:cs="Arial"/>
          <w:szCs w:val="24"/>
          <w:lang w:val="es-CO"/>
        </w:rPr>
        <w:t xml:space="preserve"> y en los demás a</w:t>
      </w:r>
      <w:r w:rsidR="002403D0" w:rsidRPr="009427D5">
        <w:rPr>
          <w:rFonts w:ascii="Arial" w:hAnsi="Arial" w:cs="Arial"/>
          <w:szCs w:val="24"/>
          <w:lang w:val="es-CO"/>
        </w:rPr>
        <w:t>rchivos de gestión de este Órgano de Control</w:t>
      </w:r>
      <w:r w:rsidR="001F1790" w:rsidRPr="009427D5">
        <w:rPr>
          <w:rFonts w:ascii="Arial" w:hAnsi="Arial" w:cs="Arial"/>
          <w:szCs w:val="24"/>
          <w:lang w:val="es-CO"/>
        </w:rPr>
        <w:t>.</w:t>
      </w:r>
    </w:p>
    <w:p w:rsidR="00CD6E34" w:rsidRPr="009427D5" w:rsidRDefault="00CD6E34" w:rsidP="00BA3A34">
      <w:pPr>
        <w:spacing w:after="0" w:line="240" w:lineRule="auto"/>
        <w:jc w:val="both"/>
        <w:rPr>
          <w:rFonts w:ascii="Arial" w:hAnsi="Arial" w:cs="Arial"/>
          <w:sz w:val="24"/>
          <w:szCs w:val="24"/>
        </w:rPr>
      </w:pPr>
    </w:p>
    <w:p w:rsidR="0038249F" w:rsidRDefault="00337B97" w:rsidP="0038249F">
      <w:pPr>
        <w:pStyle w:val="Carta"/>
        <w:suppressAutoHyphens w:val="0"/>
        <w:rPr>
          <w:rFonts w:ascii="Arial" w:hAnsi="Arial" w:cs="Arial"/>
          <w:szCs w:val="24"/>
          <w:lang w:val="es-CO"/>
        </w:rPr>
      </w:pPr>
      <w:r w:rsidRPr="009427D5">
        <w:rPr>
          <w:rFonts w:ascii="Arial" w:hAnsi="Arial" w:cs="Arial"/>
          <w:szCs w:val="24"/>
          <w:lang w:val="es-CO"/>
        </w:rPr>
        <w:t>La</w:t>
      </w:r>
      <w:r w:rsidR="0038249F" w:rsidRPr="009427D5">
        <w:rPr>
          <w:rFonts w:ascii="Arial" w:hAnsi="Arial" w:cs="Arial"/>
          <w:szCs w:val="24"/>
          <w:lang w:val="es-CO"/>
        </w:rPr>
        <w:t xml:space="preserve">s </w:t>
      </w:r>
      <w:r w:rsidRPr="009427D5">
        <w:rPr>
          <w:rFonts w:ascii="Arial" w:hAnsi="Arial" w:cs="Arial"/>
          <w:szCs w:val="24"/>
          <w:lang w:val="es-CO"/>
        </w:rPr>
        <w:t xml:space="preserve">conclusiones y </w:t>
      </w:r>
      <w:r w:rsidR="0038249F" w:rsidRPr="009427D5">
        <w:rPr>
          <w:rFonts w:ascii="Arial" w:hAnsi="Arial" w:cs="Arial"/>
          <w:szCs w:val="24"/>
          <w:lang w:val="es-CO"/>
        </w:rPr>
        <w:t>hallazgos se dieron a conocer oportunamente a la</w:t>
      </w:r>
      <w:r w:rsidR="00BE1146" w:rsidRPr="009427D5">
        <w:rPr>
          <w:rFonts w:ascii="Arial" w:hAnsi="Arial" w:cs="Arial"/>
          <w:szCs w:val="24"/>
          <w:lang w:val="es-CO"/>
        </w:rPr>
        <w:t xml:space="preserve"> </w:t>
      </w:r>
      <w:r w:rsidR="0038249F" w:rsidRPr="009427D5">
        <w:rPr>
          <w:rFonts w:ascii="Arial" w:hAnsi="Arial" w:cs="Arial"/>
          <w:szCs w:val="24"/>
          <w:lang w:val="es-CO"/>
        </w:rPr>
        <w:t>entidad</w:t>
      </w:r>
      <w:r w:rsidR="00BE1146" w:rsidRPr="009427D5">
        <w:rPr>
          <w:rFonts w:ascii="Arial" w:hAnsi="Arial" w:cs="Arial"/>
          <w:szCs w:val="24"/>
          <w:lang w:val="es-CO"/>
        </w:rPr>
        <w:t xml:space="preserve"> </w:t>
      </w:r>
      <w:r w:rsidR="0038249F" w:rsidRPr="009427D5">
        <w:rPr>
          <w:rFonts w:ascii="Arial" w:hAnsi="Arial" w:cs="Arial"/>
          <w:szCs w:val="24"/>
          <w:lang w:val="es-CO"/>
        </w:rPr>
        <w:t xml:space="preserve"> dentro del desarrollo de la auditoría; las respuestas recibidas fueron analizadas y consideradas para el presente informe.</w:t>
      </w:r>
    </w:p>
    <w:p w:rsidR="00475B07" w:rsidRDefault="00475B07" w:rsidP="0038249F">
      <w:pPr>
        <w:pStyle w:val="Carta"/>
        <w:suppressAutoHyphens w:val="0"/>
        <w:rPr>
          <w:rFonts w:ascii="Arial" w:hAnsi="Arial" w:cs="Arial"/>
          <w:szCs w:val="24"/>
          <w:lang w:val="es-CO"/>
        </w:rPr>
      </w:pPr>
    </w:p>
    <w:p w:rsidR="0055111B" w:rsidRDefault="0055111B" w:rsidP="0038249F">
      <w:pPr>
        <w:pStyle w:val="Carta"/>
        <w:suppressAutoHyphens w:val="0"/>
        <w:rPr>
          <w:rFonts w:ascii="Arial" w:hAnsi="Arial" w:cs="Arial"/>
          <w:szCs w:val="24"/>
          <w:lang w:val="es-CO"/>
        </w:rPr>
      </w:pPr>
    </w:p>
    <w:p w:rsidR="00170E87" w:rsidRDefault="00170E87" w:rsidP="0038249F">
      <w:pPr>
        <w:pStyle w:val="Carta"/>
        <w:suppressAutoHyphens w:val="0"/>
        <w:rPr>
          <w:rFonts w:ascii="Arial" w:hAnsi="Arial" w:cs="Arial"/>
          <w:szCs w:val="24"/>
          <w:lang w:val="es-CO"/>
        </w:rPr>
      </w:pPr>
    </w:p>
    <w:p w:rsidR="00170E87" w:rsidRDefault="00170E87" w:rsidP="0038249F">
      <w:pPr>
        <w:pStyle w:val="Carta"/>
        <w:suppressAutoHyphens w:val="0"/>
        <w:rPr>
          <w:rFonts w:ascii="Arial" w:hAnsi="Arial" w:cs="Arial"/>
          <w:szCs w:val="24"/>
          <w:lang w:val="es-CO"/>
        </w:rPr>
      </w:pPr>
    </w:p>
    <w:p w:rsidR="00BA3A34" w:rsidRPr="009427D5" w:rsidRDefault="009757F4" w:rsidP="00BA3A34">
      <w:pPr>
        <w:pStyle w:val="Prrafodelista"/>
        <w:numPr>
          <w:ilvl w:val="1"/>
          <w:numId w:val="5"/>
        </w:numPr>
        <w:spacing w:after="0" w:line="240" w:lineRule="auto"/>
        <w:jc w:val="both"/>
        <w:rPr>
          <w:rFonts w:ascii="Arial" w:hAnsi="Arial" w:cs="Arial"/>
          <w:b/>
          <w:sz w:val="24"/>
          <w:szCs w:val="24"/>
        </w:rPr>
      </w:pPr>
      <w:r w:rsidRPr="009427D5">
        <w:rPr>
          <w:rFonts w:ascii="Arial" w:hAnsi="Arial" w:cs="Arial"/>
          <w:b/>
          <w:sz w:val="24"/>
          <w:szCs w:val="24"/>
        </w:rPr>
        <w:lastRenderedPageBreak/>
        <w:t>ALCANCE</w:t>
      </w:r>
    </w:p>
    <w:p w:rsidR="00BA3A34" w:rsidRPr="009427D5" w:rsidRDefault="00BA3A34" w:rsidP="00BA3A34">
      <w:pPr>
        <w:spacing w:after="0" w:line="240" w:lineRule="auto"/>
        <w:jc w:val="both"/>
        <w:rPr>
          <w:rFonts w:ascii="Arial" w:hAnsi="Arial" w:cs="Arial"/>
          <w:sz w:val="24"/>
          <w:szCs w:val="24"/>
        </w:rPr>
      </w:pPr>
    </w:p>
    <w:p w:rsidR="0033654D" w:rsidRPr="009427D5" w:rsidRDefault="00CD6E34" w:rsidP="00DC0A9E">
      <w:pPr>
        <w:spacing w:after="0" w:line="240" w:lineRule="auto"/>
        <w:jc w:val="both"/>
        <w:rPr>
          <w:rFonts w:ascii="Arial" w:hAnsi="Arial" w:cs="Arial"/>
          <w:i/>
          <w:color w:val="FF0000"/>
          <w:sz w:val="24"/>
          <w:szCs w:val="24"/>
        </w:rPr>
      </w:pPr>
      <w:r w:rsidRPr="009427D5">
        <w:rPr>
          <w:rFonts w:ascii="Arial" w:hAnsi="Arial" w:cs="Arial"/>
          <w:sz w:val="24"/>
          <w:szCs w:val="24"/>
        </w:rPr>
        <w:t>La a</w:t>
      </w:r>
      <w:r w:rsidR="00B2165F" w:rsidRPr="009427D5">
        <w:rPr>
          <w:rFonts w:ascii="Arial" w:hAnsi="Arial" w:cs="Arial"/>
          <w:sz w:val="24"/>
          <w:szCs w:val="24"/>
        </w:rPr>
        <w:t xml:space="preserve">uditoría </w:t>
      </w:r>
      <w:r w:rsidRPr="009427D5">
        <w:rPr>
          <w:rFonts w:ascii="Arial" w:hAnsi="Arial" w:cs="Arial"/>
          <w:sz w:val="24"/>
          <w:szCs w:val="24"/>
        </w:rPr>
        <w:t xml:space="preserve">a que se refiere el presente informe </w:t>
      </w:r>
      <w:r w:rsidR="007E23C0" w:rsidRPr="009427D5">
        <w:rPr>
          <w:rFonts w:ascii="Arial" w:hAnsi="Arial" w:cs="Arial"/>
          <w:sz w:val="24"/>
          <w:szCs w:val="24"/>
        </w:rPr>
        <w:t>se realizó sobre la política pública Justicia Forma</w:t>
      </w:r>
      <w:r w:rsidR="00E910DB">
        <w:rPr>
          <w:rFonts w:ascii="Arial" w:hAnsi="Arial" w:cs="Arial"/>
          <w:sz w:val="24"/>
          <w:szCs w:val="24"/>
        </w:rPr>
        <w:t>l</w:t>
      </w:r>
      <w:r w:rsidR="007E23C0" w:rsidRPr="009427D5">
        <w:rPr>
          <w:rFonts w:ascii="Arial" w:hAnsi="Arial" w:cs="Arial"/>
          <w:sz w:val="24"/>
          <w:szCs w:val="24"/>
        </w:rPr>
        <w:t>, descongestión y oralidad, para las vigencias 2010-2013, efectuada en el Consejo Superior de la Judicatura (CSJ)</w:t>
      </w:r>
      <w:r w:rsidR="0033654D" w:rsidRPr="009427D5">
        <w:rPr>
          <w:rFonts w:ascii="Arial" w:hAnsi="Arial" w:cs="Arial"/>
          <w:sz w:val="24"/>
          <w:szCs w:val="24"/>
        </w:rPr>
        <w:t>, con información centralizada del territorio nacional.</w:t>
      </w:r>
    </w:p>
    <w:p w:rsidR="00DC0A9E" w:rsidRPr="009427D5" w:rsidRDefault="00DC0A9E" w:rsidP="00DC0A9E">
      <w:pPr>
        <w:spacing w:after="0" w:line="240" w:lineRule="auto"/>
        <w:jc w:val="both"/>
        <w:rPr>
          <w:rFonts w:ascii="Arial" w:hAnsi="Arial" w:cs="Arial"/>
          <w:i/>
          <w:color w:val="FF0000"/>
          <w:sz w:val="24"/>
          <w:szCs w:val="24"/>
        </w:rPr>
      </w:pPr>
    </w:p>
    <w:p w:rsidR="00D17E0E" w:rsidRPr="009427D5" w:rsidRDefault="007E23C0" w:rsidP="00D17E0E">
      <w:pPr>
        <w:pStyle w:val="Textopredeterminado"/>
        <w:jc w:val="both"/>
        <w:rPr>
          <w:rFonts w:ascii="Arial" w:eastAsiaTheme="minorHAnsi" w:hAnsi="Arial" w:cs="Arial"/>
          <w:szCs w:val="24"/>
          <w:lang w:val="es-CO" w:eastAsia="en-US"/>
        </w:rPr>
      </w:pPr>
      <w:r w:rsidRPr="009427D5">
        <w:rPr>
          <w:rFonts w:ascii="Arial" w:eastAsiaTheme="minorHAnsi" w:hAnsi="Arial" w:cs="Arial"/>
          <w:szCs w:val="24"/>
          <w:lang w:val="es-CO" w:eastAsia="en-US"/>
        </w:rPr>
        <w:t xml:space="preserve">Atendiendo </w:t>
      </w:r>
      <w:r w:rsidR="00D17E0E" w:rsidRPr="009427D5">
        <w:rPr>
          <w:rFonts w:ascii="Arial" w:eastAsiaTheme="minorHAnsi" w:hAnsi="Arial" w:cs="Arial"/>
          <w:szCs w:val="24"/>
          <w:lang w:val="es-CO" w:eastAsia="en-US"/>
        </w:rPr>
        <w:t xml:space="preserve">los objetivos general y específico de la Actuación Especial, se definió que el alcance de la labor de </w:t>
      </w:r>
      <w:r w:rsidR="00536BE2" w:rsidRPr="009427D5">
        <w:rPr>
          <w:rFonts w:ascii="Arial" w:eastAsiaTheme="minorHAnsi" w:hAnsi="Arial" w:cs="Arial"/>
          <w:szCs w:val="24"/>
          <w:lang w:val="es-CO" w:eastAsia="en-US"/>
        </w:rPr>
        <w:t>V</w:t>
      </w:r>
      <w:r w:rsidR="00D17E0E" w:rsidRPr="009427D5">
        <w:rPr>
          <w:rFonts w:ascii="Arial" w:eastAsiaTheme="minorHAnsi" w:hAnsi="Arial" w:cs="Arial"/>
          <w:szCs w:val="24"/>
          <w:lang w:val="es-CO" w:eastAsia="en-US"/>
        </w:rPr>
        <w:t xml:space="preserve">igilancia y </w:t>
      </w:r>
      <w:r w:rsidR="00536BE2" w:rsidRPr="009427D5">
        <w:rPr>
          <w:rFonts w:ascii="Arial" w:eastAsiaTheme="minorHAnsi" w:hAnsi="Arial" w:cs="Arial"/>
          <w:szCs w:val="24"/>
          <w:lang w:val="es-CO" w:eastAsia="en-US"/>
        </w:rPr>
        <w:t>C</w:t>
      </w:r>
      <w:r w:rsidR="00D17E0E" w:rsidRPr="009427D5">
        <w:rPr>
          <w:rFonts w:ascii="Arial" w:eastAsiaTheme="minorHAnsi" w:hAnsi="Arial" w:cs="Arial"/>
          <w:szCs w:val="24"/>
          <w:lang w:val="es-CO" w:eastAsia="en-US"/>
        </w:rPr>
        <w:t xml:space="preserve">ontrol </w:t>
      </w:r>
      <w:r w:rsidR="00536BE2" w:rsidRPr="009427D5">
        <w:rPr>
          <w:rFonts w:ascii="Arial" w:eastAsiaTheme="minorHAnsi" w:hAnsi="Arial" w:cs="Arial"/>
          <w:szCs w:val="24"/>
          <w:lang w:val="es-CO" w:eastAsia="en-US"/>
        </w:rPr>
        <w:t>F</w:t>
      </w:r>
      <w:r w:rsidR="00D17E0E" w:rsidRPr="009427D5">
        <w:rPr>
          <w:rFonts w:ascii="Arial" w:eastAsiaTheme="minorHAnsi" w:hAnsi="Arial" w:cs="Arial"/>
          <w:szCs w:val="24"/>
          <w:lang w:val="es-CO" w:eastAsia="en-US"/>
        </w:rPr>
        <w:t xml:space="preserve">iscal, </w:t>
      </w:r>
      <w:r w:rsidR="00536BE2" w:rsidRPr="009427D5">
        <w:rPr>
          <w:rFonts w:ascii="Arial" w:eastAsiaTheme="minorHAnsi" w:hAnsi="Arial" w:cs="Arial"/>
          <w:szCs w:val="24"/>
          <w:lang w:val="es-CO" w:eastAsia="en-US"/>
        </w:rPr>
        <w:t>fue</w:t>
      </w:r>
      <w:r w:rsidR="00D17E0E" w:rsidRPr="009427D5">
        <w:rPr>
          <w:rFonts w:ascii="Arial" w:eastAsiaTheme="minorHAnsi" w:hAnsi="Arial" w:cs="Arial"/>
          <w:szCs w:val="24"/>
          <w:lang w:val="es-CO" w:eastAsia="en-US"/>
        </w:rPr>
        <w:t xml:space="preserve"> evaluar el avance en el cumplimiento de las metas relacionadas con el Objetivo Estratégico No. 2 del Plan Sectorial de Desarrollo de la Rama Judicial 2011-2014, denominado </w:t>
      </w:r>
      <w:r w:rsidR="00536BE2" w:rsidRPr="009427D5">
        <w:rPr>
          <w:rFonts w:ascii="Arial" w:eastAsiaTheme="minorHAnsi" w:hAnsi="Arial" w:cs="Arial"/>
          <w:szCs w:val="24"/>
          <w:lang w:val="es-CO" w:eastAsia="en-US"/>
        </w:rPr>
        <w:t>F</w:t>
      </w:r>
      <w:r w:rsidR="00D17E0E" w:rsidRPr="009427D5">
        <w:rPr>
          <w:rFonts w:ascii="Arial" w:eastAsiaTheme="minorHAnsi" w:hAnsi="Arial" w:cs="Arial"/>
          <w:szCs w:val="24"/>
          <w:lang w:val="es-CO" w:eastAsia="en-US"/>
        </w:rPr>
        <w:t xml:space="preserve">ortalecimiento de la </w:t>
      </w:r>
      <w:r w:rsidR="00536BE2" w:rsidRPr="009427D5">
        <w:rPr>
          <w:rFonts w:ascii="Arial" w:eastAsiaTheme="minorHAnsi" w:hAnsi="Arial" w:cs="Arial"/>
          <w:szCs w:val="24"/>
          <w:lang w:val="es-CO" w:eastAsia="en-US"/>
        </w:rPr>
        <w:t>E</w:t>
      </w:r>
      <w:r w:rsidR="00D17E0E" w:rsidRPr="009427D5">
        <w:rPr>
          <w:rFonts w:ascii="Arial" w:eastAsiaTheme="minorHAnsi" w:hAnsi="Arial" w:cs="Arial"/>
          <w:szCs w:val="24"/>
          <w:lang w:val="es-CO" w:eastAsia="en-US"/>
        </w:rPr>
        <w:t xml:space="preserve">ficacia y </w:t>
      </w:r>
      <w:r w:rsidR="00536BE2" w:rsidRPr="009427D5">
        <w:rPr>
          <w:rFonts w:ascii="Arial" w:eastAsiaTheme="minorHAnsi" w:hAnsi="Arial" w:cs="Arial"/>
          <w:szCs w:val="24"/>
          <w:lang w:val="es-CO" w:eastAsia="en-US"/>
        </w:rPr>
        <w:t>E</w:t>
      </w:r>
      <w:r w:rsidR="00D17E0E" w:rsidRPr="009427D5">
        <w:rPr>
          <w:rFonts w:ascii="Arial" w:eastAsiaTheme="minorHAnsi" w:hAnsi="Arial" w:cs="Arial"/>
          <w:szCs w:val="24"/>
          <w:lang w:val="es-CO" w:eastAsia="en-US"/>
        </w:rPr>
        <w:t xml:space="preserve">ficiencia de la </w:t>
      </w:r>
      <w:r w:rsidR="00536BE2" w:rsidRPr="009427D5">
        <w:rPr>
          <w:rFonts w:ascii="Arial" w:eastAsiaTheme="minorHAnsi" w:hAnsi="Arial" w:cs="Arial"/>
          <w:szCs w:val="24"/>
          <w:lang w:val="es-CO" w:eastAsia="en-US"/>
        </w:rPr>
        <w:t>G</w:t>
      </w:r>
      <w:r w:rsidR="00D17E0E" w:rsidRPr="009427D5">
        <w:rPr>
          <w:rFonts w:ascii="Arial" w:eastAsiaTheme="minorHAnsi" w:hAnsi="Arial" w:cs="Arial"/>
          <w:szCs w:val="24"/>
          <w:lang w:val="es-CO" w:eastAsia="en-US"/>
        </w:rPr>
        <w:t xml:space="preserve">estión </w:t>
      </w:r>
      <w:r w:rsidR="00536BE2" w:rsidRPr="009427D5">
        <w:rPr>
          <w:rFonts w:ascii="Arial" w:eastAsiaTheme="minorHAnsi" w:hAnsi="Arial" w:cs="Arial"/>
          <w:szCs w:val="24"/>
          <w:lang w:val="es-CO" w:eastAsia="en-US"/>
        </w:rPr>
        <w:t>J</w:t>
      </w:r>
      <w:r w:rsidR="00D17E0E" w:rsidRPr="009427D5">
        <w:rPr>
          <w:rFonts w:ascii="Arial" w:eastAsiaTheme="minorHAnsi" w:hAnsi="Arial" w:cs="Arial"/>
          <w:szCs w:val="24"/>
          <w:lang w:val="es-CO" w:eastAsia="en-US"/>
        </w:rPr>
        <w:t>udicial, especialmente en lo relacionado con las políticas para implementar los mandatos legales de oralidad y propender por mantener la administración de justicia al día.</w:t>
      </w:r>
    </w:p>
    <w:p w:rsidR="00D17E0E" w:rsidRPr="009427D5" w:rsidRDefault="00D17E0E" w:rsidP="00D17E0E">
      <w:pPr>
        <w:pStyle w:val="Textopredeterminado"/>
        <w:jc w:val="both"/>
        <w:rPr>
          <w:szCs w:val="24"/>
          <w:lang w:val="es-CO"/>
        </w:rPr>
      </w:pPr>
    </w:p>
    <w:p w:rsidR="00D17E0E" w:rsidRPr="009427D5" w:rsidRDefault="00D17E0E" w:rsidP="00D17E0E">
      <w:pPr>
        <w:pStyle w:val="Textopredeterminado"/>
        <w:jc w:val="both"/>
        <w:rPr>
          <w:rFonts w:ascii="Arial" w:eastAsiaTheme="minorHAnsi" w:hAnsi="Arial" w:cs="Arial"/>
          <w:szCs w:val="24"/>
          <w:lang w:val="es-CO" w:eastAsia="en-US"/>
        </w:rPr>
      </w:pPr>
      <w:r w:rsidRPr="009427D5">
        <w:rPr>
          <w:rFonts w:ascii="Arial" w:eastAsiaTheme="minorHAnsi" w:hAnsi="Arial" w:cs="Arial"/>
          <w:szCs w:val="24"/>
          <w:lang w:val="es-CO" w:eastAsia="en-US"/>
        </w:rPr>
        <w:t xml:space="preserve">De acuerdo con la información suministrada por la Entidad, se decidió evaluar la totalidad de listado de proyectos de inversión asociados con la implementación de la Oralidad y el Plan Nacional de Descongestión, para las vigencias 2010-2013, es decir ocho proyectos, a saber:  </w:t>
      </w:r>
    </w:p>
    <w:p w:rsidR="00D17E0E" w:rsidRPr="009427D5" w:rsidRDefault="00D17E0E" w:rsidP="00D17E0E">
      <w:pPr>
        <w:pStyle w:val="Textopredeterminado"/>
        <w:jc w:val="both"/>
        <w:rPr>
          <w:rFonts w:ascii="Arial" w:eastAsiaTheme="minorHAnsi" w:hAnsi="Arial" w:cs="Arial"/>
          <w:szCs w:val="24"/>
          <w:lang w:val="es-CO" w:eastAsia="en-US"/>
        </w:rPr>
      </w:pPr>
    </w:p>
    <w:p w:rsidR="00D17E0E" w:rsidRPr="009427D5" w:rsidRDefault="00D17E0E" w:rsidP="007E23C0">
      <w:pPr>
        <w:pStyle w:val="Textopredeterminado"/>
        <w:numPr>
          <w:ilvl w:val="0"/>
          <w:numId w:val="16"/>
        </w:numPr>
        <w:jc w:val="both"/>
        <w:rPr>
          <w:rFonts w:ascii="Arial" w:eastAsiaTheme="minorHAnsi" w:hAnsi="Arial" w:cs="Arial"/>
          <w:szCs w:val="24"/>
          <w:lang w:val="es-CO" w:eastAsia="en-US"/>
        </w:rPr>
      </w:pPr>
      <w:r w:rsidRPr="009427D5">
        <w:rPr>
          <w:rFonts w:ascii="Arial" w:eastAsiaTheme="minorHAnsi" w:hAnsi="Arial" w:cs="Arial"/>
          <w:szCs w:val="24"/>
          <w:lang w:val="es-CO" w:eastAsia="en-US"/>
        </w:rPr>
        <w:t xml:space="preserve">Capacitación, formación de funcionarios y empleados judiciales y del personal administrativo. </w:t>
      </w:r>
    </w:p>
    <w:p w:rsidR="00DC0A9E" w:rsidRPr="009427D5" w:rsidRDefault="00DC0A9E" w:rsidP="007E23C0">
      <w:pPr>
        <w:pStyle w:val="Textopredeterminado"/>
        <w:ind w:left="720"/>
        <w:jc w:val="both"/>
        <w:rPr>
          <w:rFonts w:ascii="Arial" w:eastAsiaTheme="minorHAnsi" w:hAnsi="Arial" w:cs="Arial"/>
          <w:szCs w:val="24"/>
          <w:lang w:val="es-CO" w:eastAsia="en-US"/>
        </w:rPr>
      </w:pPr>
    </w:p>
    <w:p w:rsidR="00D17E0E" w:rsidRPr="009427D5" w:rsidRDefault="00D17E0E" w:rsidP="007E23C0">
      <w:pPr>
        <w:pStyle w:val="Textopredeterminado"/>
        <w:numPr>
          <w:ilvl w:val="0"/>
          <w:numId w:val="16"/>
        </w:numPr>
        <w:jc w:val="both"/>
        <w:rPr>
          <w:rFonts w:ascii="Arial" w:eastAsiaTheme="minorHAnsi" w:hAnsi="Arial" w:cs="Arial"/>
          <w:szCs w:val="24"/>
          <w:lang w:val="es-CO" w:eastAsia="en-US"/>
        </w:rPr>
      </w:pPr>
      <w:r w:rsidRPr="009427D5">
        <w:rPr>
          <w:rFonts w:ascii="Arial" w:eastAsiaTheme="minorHAnsi" w:hAnsi="Arial" w:cs="Arial"/>
          <w:szCs w:val="24"/>
          <w:lang w:val="es-CO" w:eastAsia="en-US"/>
        </w:rPr>
        <w:t xml:space="preserve">Sistematización de despachos judiciales a nivel nacional. </w:t>
      </w:r>
    </w:p>
    <w:p w:rsidR="00DC0A9E" w:rsidRPr="009427D5" w:rsidRDefault="00DC0A9E" w:rsidP="007E23C0">
      <w:pPr>
        <w:pStyle w:val="Prrafodelista"/>
        <w:spacing w:after="0" w:line="240" w:lineRule="auto"/>
        <w:rPr>
          <w:rFonts w:ascii="Arial" w:hAnsi="Arial" w:cs="Arial"/>
          <w:szCs w:val="24"/>
        </w:rPr>
      </w:pPr>
    </w:p>
    <w:p w:rsidR="00D17E0E" w:rsidRPr="009427D5" w:rsidRDefault="00D17E0E" w:rsidP="007E23C0">
      <w:pPr>
        <w:pStyle w:val="Textopredeterminado"/>
        <w:numPr>
          <w:ilvl w:val="0"/>
          <w:numId w:val="16"/>
        </w:numPr>
        <w:jc w:val="both"/>
        <w:rPr>
          <w:rFonts w:ascii="Arial" w:eastAsiaTheme="minorHAnsi" w:hAnsi="Arial" w:cs="Arial"/>
          <w:szCs w:val="24"/>
          <w:lang w:val="es-CO" w:eastAsia="en-US"/>
        </w:rPr>
      </w:pPr>
      <w:r w:rsidRPr="009427D5">
        <w:rPr>
          <w:rFonts w:ascii="Arial" w:eastAsiaTheme="minorHAnsi" w:hAnsi="Arial" w:cs="Arial"/>
          <w:szCs w:val="24"/>
          <w:lang w:val="es-CO" w:eastAsia="en-US"/>
        </w:rPr>
        <w:t xml:space="preserve">Construcción, adecuación y dotación de sedes de juzgados laborales y salas de audiencias para implementación del Sistema Oral a nivel nacional. </w:t>
      </w:r>
    </w:p>
    <w:p w:rsidR="00DC0A9E" w:rsidRPr="009427D5" w:rsidRDefault="00DC0A9E" w:rsidP="007E23C0">
      <w:pPr>
        <w:pStyle w:val="Textopredeterminado"/>
        <w:ind w:left="720"/>
        <w:jc w:val="both"/>
        <w:rPr>
          <w:rFonts w:ascii="Arial" w:eastAsiaTheme="minorHAnsi" w:hAnsi="Arial" w:cs="Arial"/>
          <w:szCs w:val="24"/>
          <w:lang w:val="es-CO" w:eastAsia="en-US"/>
        </w:rPr>
      </w:pPr>
    </w:p>
    <w:p w:rsidR="00D17E0E" w:rsidRPr="009427D5" w:rsidRDefault="00D17E0E" w:rsidP="007E23C0">
      <w:pPr>
        <w:pStyle w:val="Textopredeterminado"/>
        <w:numPr>
          <w:ilvl w:val="0"/>
          <w:numId w:val="16"/>
        </w:numPr>
        <w:jc w:val="both"/>
        <w:rPr>
          <w:rFonts w:ascii="Arial" w:eastAsiaTheme="minorHAnsi" w:hAnsi="Arial" w:cs="Arial"/>
          <w:szCs w:val="24"/>
          <w:lang w:val="es-CO" w:eastAsia="en-US"/>
        </w:rPr>
      </w:pPr>
      <w:r w:rsidRPr="009427D5">
        <w:rPr>
          <w:rFonts w:ascii="Arial" w:eastAsiaTheme="minorHAnsi" w:hAnsi="Arial" w:cs="Arial"/>
          <w:szCs w:val="24"/>
          <w:lang w:val="es-CO" w:eastAsia="en-US"/>
        </w:rPr>
        <w:t xml:space="preserve">Construcción, adquisición, adecuación y dotación de sedes y salas de audiencia para la implementación del sistema oral de los juzgados de menores a nivel nacional. </w:t>
      </w:r>
    </w:p>
    <w:p w:rsidR="00DC0A9E" w:rsidRPr="009427D5" w:rsidRDefault="00DC0A9E" w:rsidP="007E23C0">
      <w:pPr>
        <w:pStyle w:val="Prrafodelista"/>
        <w:spacing w:after="0" w:line="240" w:lineRule="auto"/>
        <w:rPr>
          <w:rFonts w:ascii="Arial" w:hAnsi="Arial" w:cs="Arial"/>
          <w:szCs w:val="24"/>
        </w:rPr>
      </w:pPr>
    </w:p>
    <w:p w:rsidR="00D17E0E" w:rsidRPr="009427D5" w:rsidRDefault="00D17E0E" w:rsidP="007E23C0">
      <w:pPr>
        <w:pStyle w:val="Textopredeterminado"/>
        <w:numPr>
          <w:ilvl w:val="0"/>
          <w:numId w:val="16"/>
        </w:numPr>
        <w:jc w:val="both"/>
        <w:rPr>
          <w:rFonts w:ascii="Arial" w:eastAsiaTheme="minorHAnsi" w:hAnsi="Arial" w:cs="Arial"/>
          <w:szCs w:val="24"/>
          <w:lang w:val="es-CO" w:eastAsia="en-US"/>
        </w:rPr>
      </w:pPr>
      <w:r w:rsidRPr="009427D5">
        <w:rPr>
          <w:rFonts w:ascii="Arial" w:eastAsiaTheme="minorHAnsi" w:hAnsi="Arial" w:cs="Arial"/>
          <w:szCs w:val="24"/>
          <w:lang w:val="es-CO" w:eastAsia="en-US"/>
        </w:rPr>
        <w:t xml:space="preserve">Construcción, adquisición, adecuación y dotación de sedes y salas de audiencia para la implementación del sistema oral de los juzgados civiles a nivel nacional. </w:t>
      </w:r>
    </w:p>
    <w:p w:rsidR="00DC0A9E" w:rsidRPr="009427D5" w:rsidRDefault="00DC0A9E" w:rsidP="007E23C0">
      <w:pPr>
        <w:pStyle w:val="Prrafodelista"/>
        <w:spacing w:after="0" w:line="240" w:lineRule="auto"/>
        <w:rPr>
          <w:rFonts w:ascii="Arial" w:hAnsi="Arial" w:cs="Arial"/>
          <w:szCs w:val="24"/>
        </w:rPr>
      </w:pPr>
    </w:p>
    <w:p w:rsidR="00DC0A9E" w:rsidRPr="009427D5" w:rsidRDefault="00D17E0E" w:rsidP="007E23C0">
      <w:pPr>
        <w:pStyle w:val="Textopredeterminado"/>
        <w:numPr>
          <w:ilvl w:val="0"/>
          <w:numId w:val="16"/>
        </w:numPr>
        <w:jc w:val="both"/>
        <w:rPr>
          <w:rFonts w:ascii="Arial" w:eastAsiaTheme="minorHAnsi" w:hAnsi="Arial" w:cs="Arial"/>
          <w:szCs w:val="24"/>
          <w:lang w:val="es-CO" w:eastAsia="en-US"/>
        </w:rPr>
      </w:pPr>
      <w:r w:rsidRPr="009427D5">
        <w:rPr>
          <w:rFonts w:ascii="Arial" w:eastAsiaTheme="minorHAnsi" w:hAnsi="Arial" w:cs="Arial"/>
          <w:szCs w:val="24"/>
          <w:lang w:val="es-CO" w:eastAsia="en-US"/>
        </w:rPr>
        <w:t xml:space="preserve">Construcción, adquisición, adecuación y dotación de sedes y salas de audiencia para la implementación del sistema oral de los juzgados de familia a nivel nacional. </w:t>
      </w:r>
    </w:p>
    <w:p w:rsidR="00DC0A9E" w:rsidRDefault="00DC0A9E" w:rsidP="007E23C0">
      <w:pPr>
        <w:pStyle w:val="Textopredeterminado"/>
        <w:ind w:left="720"/>
        <w:jc w:val="both"/>
        <w:rPr>
          <w:rFonts w:ascii="Arial" w:eastAsiaTheme="minorHAnsi" w:hAnsi="Arial" w:cs="Arial"/>
          <w:szCs w:val="24"/>
          <w:lang w:val="es-CO" w:eastAsia="en-US"/>
        </w:rPr>
      </w:pPr>
    </w:p>
    <w:p w:rsidR="00A306D2" w:rsidRDefault="00A306D2" w:rsidP="007E23C0">
      <w:pPr>
        <w:pStyle w:val="Textopredeterminado"/>
        <w:ind w:left="720"/>
        <w:jc w:val="both"/>
        <w:rPr>
          <w:rFonts w:ascii="Arial" w:eastAsiaTheme="minorHAnsi" w:hAnsi="Arial" w:cs="Arial"/>
          <w:szCs w:val="24"/>
          <w:lang w:val="es-CO" w:eastAsia="en-US"/>
        </w:rPr>
      </w:pPr>
    </w:p>
    <w:p w:rsidR="00D17E0E" w:rsidRPr="009427D5" w:rsidRDefault="00D17E0E" w:rsidP="007E23C0">
      <w:pPr>
        <w:pStyle w:val="Textopredeterminado"/>
        <w:numPr>
          <w:ilvl w:val="0"/>
          <w:numId w:val="16"/>
        </w:numPr>
        <w:jc w:val="both"/>
        <w:rPr>
          <w:rFonts w:ascii="Arial" w:eastAsiaTheme="minorHAnsi" w:hAnsi="Arial" w:cs="Arial"/>
          <w:szCs w:val="24"/>
          <w:lang w:val="es-CO" w:eastAsia="en-US"/>
        </w:rPr>
      </w:pPr>
      <w:r w:rsidRPr="009427D5">
        <w:rPr>
          <w:rFonts w:ascii="Arial" w:eastAsiaTheme="minorHAnsi" w:hAnsi="Arial" w:cs="Arial"/>
          <w:szCs w:val="24"/>
          <w:lang w:val="es-CO" w:eastAsia="en-US"/>
        </w:rPr>
        <w:lastRenderedPageBreak/>
        <w:t xml:space="preserve">Construcción y adecuación de salas de audiencias para oralidad en lo contencioso administrativo a nivel nacional. </w:t>
      </w:r>
    </w:p>
    <w:p w:rsidR="00D17E0E" w:rsidRPr="009427D5" w:rsidRDefault="00D17E0E" w:rsidP="007E23C0">
      <w:pPr>
        <w:pStyle w:val="Textopredeterminado"/>
        <w:numPr>
          <w:ilvl w:val="0"/>
          <w:numId w:val="16"/>
        </w:numPr>
        <w:jc w:val="both"/>
        <w:rPr>
          <w:rFonts w:ascii="Arial" w:eastAsiaTheme="minorHAnsi" w:hAnsi="Arial" w:cs="Arial"/>
          <w:szCs w:val="24"/>
          <w:lang w:val="es-CO" w:eastAsia="en-US"/>
        </w:rPr>
      </w:pPr>
      <w:r w:rsidRPr="009427D5">
        <w:rPr>
          <w:rFonts w:ascii="Arial" w:eastAsiaTheme="minorHAnsi" w:hAnsi="Arial" w:cs="Arial"/>
          <w:szCs w:val="24"/>
          <w:lang w:val="es-CO" w:eastAsia="en-US"/>
        </w:rPr>
        <w:t xml:space="preserve">Adquisición y/o adecuación y dotación de salas de audiencias para Sistema Penal Acusatorio a nivel nacional.  </w:t>
      </w:r>
    </w:p>
    <w:p w:rsidR="00DC0A9E" w:rsidRPr="009427D5" w:rsidRDefault="00DC0A9E" w:rsidP="007E23C0">
      <w:pPr>
        <w:pStyle w:val="Prrafodelista"/>
        <w:spacing w:after="0" w:line="240" w:lineRule="auto"/>
        <w:rPr>
          <w:rFonts w:ascii="Arial" w:hAnsi="Arial" w:cs="Arial"/>
          <w:szCs w:val="24"/>
        </w:rPr>
      </w:pPr>
    </w:p>
    <w:p w:rsidR="00D17E0E" w:rsidRPr="009427D5" w:rsidRDefault="00D17E0E" w:rsidP="00D17E0E">
      <w:pPr>
        <w:pStyle w:val="Textopredeterminado"/>
        <w:jc w:val="both"/>
        <w:rPr>
          <w:rFonts w:ascii="Arial" w:eastAsiaTheme="minorHAnsi" w:hAnsi="Arial" w:cs="Arial"/>
          <w:szCs w:val="24"/>
          <w:lang w:val="es-CO" w:eastAsia="en-US"/>
        </w:rPr>
      </w:pPr>
      <w:r w:rsidRPr="009427D5">
        <w:rPr>
          <w:rFonts w:ascii="Arial" w:eastAsiaTheme="minorHAnsi" w:hAnsi="Arial" w:cs="Arial"/>
          <w:szCs w:val="24"/>
          <w:lang w:val="es-CO" w:eastAsia="en-US"/>
        </w:rPr>
        <w:t>Vale resaltar que de los proyectos de inversión a los que se hizo referencia, se tom</w:t>
      </w:r>
      <w:r w:rsidR="00DC0A9E" w:rsidRPr="009427D5">
        <w:rPr>
          <w:rFonts w:ascii="Arial" w:eastAsiaTheme="minorHAnsi" w:hAnsi="Arial" w:cs="Arial"/>
          <w:szCs w:val="24"/>
          <w:lang w:val="es-CO" w:eastAsia="en-US"/>
        </w:rPr>
        <w:t>ó</w:t>
      </w:r>
      <w:r w:rsidRPr="009427D5">
        <w:rPr>
          <w:rFonts w:ascii="Arial" w:eastAsiaTheme="minorHAnsi" w:hAnsi="Arial" w:cs="Arial"/>
          <w:szCs w:val="24"/>
          <w:lang w:val="es-CO" w:eastAsia="en-US"/>
        </w:rPr>
        <w:t xml:space="preserve"> una muestra </w:t>
      </w:r>
      <w:r w:rsidR="00980B9F" w:rsidRPr="009427D5">
        <w:rPr>
          <w:rFonts w:ascii="Arial" w:eastAsiaTheme="minorHAnsi" w:hAnsi="Arial" w:cs="Arial"/>
          <w:szCs w:val="24"/>
          <w:lang w:val="es-CO" w:eastAsia="en-US"/>
        </w:rPr>
        <w:t>s</w:t>
      </w:r>
      <w:r w:rsidRPr="009427D5">
        <w:rPr>
          <w:rFonts w:ascii="Arial" w:eastAsiaTheme="minorHAnsi" w:hAnsi="Arial" w:cs="Arial"/>
          <w:szCs w:val="24"/>
          <w:lang w:val="es-CO" w:eastAsia="en-US"/>
        </w:rPr>
        <w:t xml:space="preserve">electiva </w:t>
      </w:r>
      <w:r w:rsidR="00980B9F" w:rsidRPr="009427D5">
        <w:rPr>
          <w:rFonts w:ascii="Arial" w:eastAsiaTheme="minorHAnsi" w:hAnsi="Arial" w:cs="Arial"/>
          <w:szCs w:val="24"/>
          <w:lang w:val="es-CO" w:eastAsia="en-US"/>
        </w:rPr>
        <w:t>de dieciocho co</w:t>
      </w:r>
      <w:r w:rsidRPr="009427D5">
        <w:rPr>
          <w:rFonts w:ascii="Arial" w:eastAsiaTheme="minorHAnsi" w:hAnsi="Arial" w:cs="Arial"/>
          <w:szCs w:val="24"/>
          <w:lang w:val="es-CO" w:eastAsia="en-US"/>
        </w:rPr>
        <w:t>ntratos asociados a su ejecución.  Adicionalmente, se verific</w:t>
      </w:r>
      <w:r w:rsidR="00DC0A9E" w:rsidRPr="009427D5">
        <w:rPr>
          <w:rFonts w:ascii="Arial" w:eastAsiaTheme="minorHAnsi" w:hAnsi="Arial" w:cs="Arial"/>
          <w:szCs w:val="24"/>
          <w:lang w:val="es-CO" w:eastAsia="en-US"/>
        </w:rPr>
        <w:t>ó</w:t>
      </w:r>
      <w:r w:rsidRPr="009427D5">
        <w:rPr>
          <w:rFonts w:ascii="Arial" w:eastAsiaTheme="minorHAnsi" w:hAnsi="Arial" w:cs="Arial"/>
          <w:szCs w:val="24"/>
          <w:lang w:val="es-CO" w:eastAsia="en-US"/>
        </w:rPr>
        <w:t xml:space="preserve"> el nivel de coordinación en la ejecución de la Política Pública entre el Ministerio de Justicia y el Consejo Superior de la Judicatura, acorde con lo establecido en el Plan Nacional de Desarrollo.  </w:t>
      </w:r>
    </w:p>
    <w:p w:rsidR="00D17E0E" w:rsidRPr="009427D5" w:rsidRDefault="00D17E0E" w:rsidP="00D17E0E">
      <w:pPr>
        <w:pStyle w:val="Textopredeterminado"/>
        <w:jc w:val="both"/>
        <w:rPr>
          <w:rFonts w:ascii="Arial" w:eastAsiaTheme="minorHAnsi" w:hAnsi="Arial" w:cs="Arial"/>
          <w:szCs w:val="24"/>
          <w:lang w:val="es-CO" w:eastAsia="en-US"/>
        </w:rPr>
      </w:pPr>
    </w:p>
    <w:p w:rsidR="00225D39" w:rsidRPr="009427D5" w:rsidRDefault="00225D39" w:rsidP="00BA3A34">
      <w:pPr>
        <w:spacing w:after="0" w:line="240" w:lineRule="auto"/>
        <w:jc w:val="both"/>
        <w:rPr>
          <w:rFonts w:ascii="Arial" w:hAnsi="Arial" w:cs="Arial"/>
          <w:sz w:val="24"/>
          <w:szCs w:val="24"/>
        </w:rPr>
      </w:pPr>
      <w:r w:rsidRPr="009427D5">
        <w:rPr>
          <w:rFonts w:ascii="Arial" w:hAnsi="Arial" w:cs="Arial"/>
          <w:sz w:val="24"/>
          <w:szCs w:val="24"/>
        </w:rPr>
        <w:t>Dicha selección es una muestra representativa de los aspectos más relevantes de la política pública bajo examen</w:t>
      </w:r>
      <w:r w:rsidR="00283A5E" w:rsidRPr="009427D5">
        <w:rPr>
          <w:rFonts w:ascii="Arial" w:hAnsi="Arial" w:cs="Arial"/>
          <w:sz w:val="24"/>
          <w:szCs w:val="24"/>
        </w:rPr>
        <w:t>,</w:t>
      </w:r>
      <w:r w:rsidRPr="009427D5">
        <w:rPr>
          <w:rFonts w:ascii="Arial" w:hAnsi="Arial" w:cs="Arial"/>
          <w:sz w:val="24"/>
          <w:szCs w:val="24"/>
        </w:rPr>
        <w:t xml:space="preserve"> que </w:t>
      </w:r>
      <w:r w:rsidR="00283A5E" w:rsidRPr="009427D5">
        <w:rPr>
          <w:rFonts w:ascii="Arial" w:hAnsi="Arial" w:cs="Arial"/>
          <w:sz w:val="24"/>
          <w:szCs w:val="24"/>
        </w:rPr>
        <w:t>se estima</w:t>
      </w:r>
      <w:r w:rsidRPr="009427D5">
        <w:rPr>
          <w:rFonts w:ascii="Arial" w:hAnsi="Arial" w:cs="Arial"/>
          <w:sz w:val="24"/>
          <w:szCs w:val="24"/>
        </w:rPr>
        <w:t xml:space="preserve"> apropiad</w:t>
      </w:r>
      <w:r w:rsidR="004803C8" w:rsidRPr="009427D5">
        <w:rPr>
          <w:rFonts w:ascii="Arial" w:hAnsi="Arial" w:cs="Arial"/>
          <w:sz w:val="24"/>
          <w:szCs w:val="24"/>
        </w:rPr>
        <w:t>a para la formulación de</w:t>
      </w:r>
      <w:r w:rsidR="00283A5E" w:rsidRPr="009427D5">
        <w:rPr>
          <w:rFonts w:ascii="Arial" w:hAnsi="Arial" w:cs="Arial"/>
          <w:sz w:val="24"/>
          <w:szCs w:val="24"/>
        </w:rPr>
        <w:t xml:space="preserve">l </w:t>
      </w:r>
      <w:r w:rsidR="004803C8" w:rsidRPr="009427D5">
        <w:rPr>
          <w:rFonts w:ascii="Arial" w:hAnsi="Arial" w:cs="Arial"/>
          <w:sz w:val="24"/>
          <w:szCs w:val="24"/>
        </w:rPr>
        <w:t>dictamen.</w:t>
      </w:r>
    </w:p>
    <w:p w:rsidR="00500A3E" w:rsidRPr="009427D5" w:rsidRDefault="00500A3E" w:rsidP="00BA3A34">
      <w:pPr>
        <w:spacing w:after="0" w:line="240" w:lineRule="auto"/>
        <w:jc w:val="both"/>
        <w:rPr>
          <w:rFonts w:ascii="Arial" w:hAnsi="Arial" w:cs="Arial"/>
          <w:sz w:val="24"/>
          <w:szCs w:val="24"/>
        </w:rPr>
      </w:pPr>
    </w:p>
    <w:p w:rsidR="00CD6E34" w:rsidRPr="009427D5" w:rsidRDefault="00500A3E" w:rsidP="00BA3A34">
      <w:pPr>
        <w:spacing w:after="0" w:line="240" w:lineRule="auto"/>
        <w:jc w:val="both"/>
        <w:rPr>
          <w:rFonts w:ascii="Arial" w:hAnsi="Arial" w:cs="Arial"/>
          <w:sz w:val="24"/>
          <w:szCs w:val="24"/>
        </w:rPr>
      </w:pPr>
      <w:r w:rsidRPr="009427D5">
        <w:rPr>
          <w:rFonts w:ascii="Arial" w:hAnsi="Arial" w:cs="Arial"/>
          <w:sz w:val="24"/>
          <w:szCs w:val="24"/>
        </w:rPr>
        <w:t>En el desarrollo de la auditoría se presentaron limitaciones referentes a la entrega parcial de información, durante el desarrollo del presente proceso, situación que generó retrasos en el análisis correspondiente.</w:t>
      </w:r>
    </w:p>
    <w:p w:rsidR="00500A3E" w:rsidRPr="009427D5" w:rsidRDefault="00500A3E" w:rsidP="00BA3A34">
      <w:pPr>
        <w:spacing w:after="0" w:line="240" w:lineRule="auto"/>
        <w:jc w:val="both"/>
        <w:rPr>
          <w:rFonts w:ascii="Arial" w:hAnsi="Arial" w:cs="Arial"/>
          <w:b/>
          <w:sz w:val="24"/>
          <w:szCs w:val="24"/>
        </w:rPr>
      </w:pPr>
    </w:p>
    <w:p w:rsidR="00CD6E34" w:rsidRPr="009427D5" w:rsidRDefault="009757F4" w:rsidP="00BA3A34">
      <w:pPr>
        <w:spacing w:after="0" w:line="240" w:lineRule="auto"/>
        <w:jc w:val="both"/>
        <w:rPr>
          <w:rFonts w:ascii="Arial" w:hAnsi="Arial" w:cs="Arial"/>
          <w:b/>
          <w:sz w:val="24"/>
          <w:szCs w:val="24"/>
        </w:rPr>
      </w:pPr>
      <w:r w:rsidRPr="009427D5">
        <w:rPr>
          <w:rFonts w:ascii="Arial" w:hAnsi="Arial" w:cs="Arial"/>
          <w:b/>
          <w:sz w:val="24"/>
          <w:szCs w:val="24"/>
        </w:rPr>
        <w:t xml:space="preserve">1.2 DICTAMEN </w:t>
      </w:r>
    </w:p>
    <w:p w:rsidR="00BA3A34" w:rsidRPr="009427D5" w:rsidRDefault="00BA3A34" w:rsidP="00BA3A34">
      <w:pPr>
        <w:spacing w:after="0" w:line="240" w:lineRule="auto"/>
        <w:jc w:val="both"/>
        <w:rPr>
          <w:rFonts w:ascii="Arial" w:hAnsi="Arial" w:cs="Arial"/>
          <w:b/>
          <w:sz w:val="24"/>
          <w:szCs w:val="24"/>
        </w:rPr>
      </w:pPr>
    </w:p>
    <w:p w:rsidR="00BA3A34" w:rsidRPr="009427D5" w:rsidRDefault="00BA3A34" w:rsidP="00BA3A34">
      <w:pPr>
        <w:spacing w:after="0" w:line="240" w:lineRule="auto"/>
        <w:jc w:val="both"/>
        <w:rPr>
          <w:rFonts w:ascii="Arial" w:hAnsi="Arial" w:cs="Arial"/>
          <w:b/>
          <w:sz w:val="24"/>
          <w:szCs w:val="24"/>
        </w:rPr>
      </w:pPr>
      <w:r w:rsidRPr="009427D5">
        <w:rPr>
          <w:rFonts w:ascii="Arial" w:hAnsi="Arial" w:cs="Arial"/>
          <w:sz w:val="24"/>
          <w:szCs w:val="24"/>
        </w:rPr>
        <w:t xml:space="preserve">La Contraloría General de la República como resultado de la Auditoría a la </w:t>
      </w:r>
      <w:r w:rsidR="004C07E8" w:rsidRPr="009427D5">
        <w:rPr>
          <w:rFonts w:ascii="Arial" w:hAnsi="Arial" w:cs="Arial"/>
          <w:sz w:val="24"/>
          <w:szCs w:val="24"/>
        </w:rPr>
        <w:t>P</w:t>
      </w:r>
      <w:r w:rsidRPr="009427D5">
        <w:rPr>
          <w:rFonts w:ascii="Arial" w:hAnsi="Arial" w:cs="Arial"/>
          <w:sz w:val="24"/>
          <w:szCs w:val="24"/>
        </w:rPr>
        <w:t xml:space="preserve">olítica </w:t>
      </w:r>
      <w:r w:rsidR="004C07E8" w:rsidRPr="009427D5">
        <w:rPr>
          <w:rFonts w:ascii="Arial" w:hAnsi="Arial" w:cs="Arial"/>
          <w:sz w:val="24"/>
          <w:szCs w:val="24"/>
        </w:rPr>
        <w:t>P</w:t>
      </w:r>
      <w:r w:rsidRPr="009427D5">
        <w:rPr>
          <w:rFonts w:ascii="Arial" w:hAnsi="Arial" w:cs="Arial"/>
          <w:sz w:val="24"/>
          <w:szCs w:val="24"/>
        </w:rPr>
        <w:t>ública de</w:t>
      </w:r>
      <w:r w:rsidRPr="009427D5">
        <w:rPr>
          <w:rFonts w:ascii="Arial" w:hAnsi="Arial" w:cs="Arial"/>
          <w:b/>
          <w:sz w:val="24"/>
          <w:szCs w:val="24"/>
        </w:rPr>
        <w:t xml:space="preserve"> </w:t>
      </w:r>
      <w:r w:rsidR="00DC0A9E" w:rsidRPr="009427D5">
        <w:rPr>
          <w:rFonts w:ascii="Arial" w:hAnsi="Arial" w:cs="Arial"/>
          <w:sz w:val="24"/>
          <w:szCs w:val="24"/>
        </w:rPr>
        <w:t>Promover el</w:t>
      </w:r>
      <w:r w:rsidR="002228E2" w:rsidRPr="009427D5">
        <w:rPr>
          <w:rFonts w:ascii="Arial" w:hAnsi="Arial" w:cs="Arial"/>
          <w:sz w:val="24"/>
          <w:szCs w:val="24"/>
        </w:rPr>
        <w:t xml:space="preserve"> Fortalecimiento de la Justicia: Jus</w:t>
      </w:r>
      <w:r w:rsidR="00DC0A9E" w:rsidRPr="009427D5">
        <w:rPr>
          <w:rFonts w:ascii="Arial" w:hAnsi="Arial" w:cs="Arial"/>
          <w:sz w:val="24"/>
          <w:szCs w:val="24"/>
        </w:rPr>
        <w:t>ticia Formal, Oral y Descongestión</w:t>
      </w:r>
      <w:r w:rsidRPr="009427D5">
        <w:rPr>
          <w:rFonts w:ascii="Arial" w:hAnsi="Arial" w:cs="Arial"/>
          <w:sz w:val="24"/>
          <w:szCs w:val="24"/>
        </w:rPr>
        <w:t xml:space="preserve">, dictamina que </w:t>
      </w:r>
      <w:r w:rsidR="004C42CA" w:rsidRPr="009427D5">
        <w:rPr>
          <w:rFonts w:ascii="Arial" w:hAnsi="Arial" w:cs="Arial"/>
          <w:sz w:val="24"/>
          <w:szCs w:val="24"/>
        </w:rPr>
        <w:t xml:space="preserve">la misma </w:t>
      </w:r>
      <w:r w:rsidRPr="009427D5">
        <w:rPr>
          <w:rFonts w:ascii="Arial" w:hAnsi="Arial" w:cs="Arial"/>
          <w:sz w:val="24"/>
          <w:szCs w:val="24"/>
        </w:rPr>
        <w:t xml:space="preserve">cumple con los principios de </w:t>
      </w:r>
      <w:r w:rsidR="00B616EE" w:rsidRPr="009427D5">
        <w:rPr>
          <w:rFonts w:ascii="Arial" w:hAnsi="Arial" w:cs="Arial"/>
          <w:sz w:val="24"/>
          <w:szCs w:val="24"/>
        </w:rPr>
        <w:t xml:space="preserve">economía, </w:t>
      </w:r>
      <w:r w:rsidRPr="009427D5">
        <w:rPr>
          <w:rFonts w:ascii="Arial" w:hAnsi="Arial" w:cs="Arial"/>
          <w:sz w:val="24"/>
          <w:szCs w:val="24"/>
        </w:rPr>
        <w:t xml:space="preserve">eficiencia y eficacia en la inversión y disposición de los </w:t>
      </w:r>
      <w:r w:rsidR="00027581" w:rsidRPr="009427D5">
        <w:rPr>
          <w:rFonts w:ascii="Arial" w:hAnsi="Arial" w:cs="Arial"/>
          <w:sz w:val="24"/>
          <w:szCs w:val="24"/>
        </w:rPr>
        <w:t>recursos</w:t>
      </w:r>
      <w:r w:rsidRPr="009427D5">
        <w:rPr>
          <w:rFonts w:ascii="Arial" w:hAnsi="Arial" w:cs="Arial"/>
          <w:sz w:val="24"/>
          <w:szCs w:val="24"/>
        </w:rPr>
        <w:t xml:space="preserve"> públicos por cuanto:</w:t>
      </w:r>
      <w:r w:rsidRPr="009427D5">
        <w:rPr>
          <w:rFonts w:ascii="Arial" w:hAnsi="Arial" w:cs="Arial"/>
          <w:b/>
          <w:sz w:val="24"/>
          <w:szCs w:val="24"/>
        </w:rPr>
        <w:t xml:space="preserve"> </w:t>
      </w:r>
    </w:p>
    <w:p w:rsidR="004254F2" w:rsidRPr="009427D5" w:rsidRDefault="004254F2" w:rsidP="00BA3A34">
      <w:pPr>
        <w:spacing w:after="0" w:line="240" w:lineRule="auto"/>
        <w:jc w:val="both"/>
        <w:rPr>
          <w:rFonts w:ascii="Arial" w:hAnsi="Arial" w:cs="Arial"/>
          <w:i/>
          <w:color w:val="FF0000"/>
          <w:sz w:val="24"/>
          <w:szCs w:val="24"/>
        </w:rPr>
      </w:pPr>
    </w:p>
    <w:p w:rsidR="00B616EE" w:rsidRPr="009427D5" w:rsidRDefault="00B616EE" w:rsidP="00BA3A34">
      <w:pPr>
        <w:spacing w:after="0" w:line="240" w:lineRule="auto"/>
        <w:jc w:val="both"/>
        <w:rPr>
          <w:rFonts w:ascii="Arial" w:hAnsi="Arial" w:cs="Arial"/>
          <w:sz w:val="24"/>
          <w:szCs w:val="24"/>
        </w:rPr>
      </w:pPr>
      <w:r w:rsidRPr="009427D5">
        <w:rPr>
          <w:rFonts w:ascii="Arial" w:hAnsi="Arial" w:cs="Arial"/>
          <w:sz w:val="24"/>
          <w:szCs w:val="24"/>
        </w:rPr>
        <w:t>Los proyectos de inversión seleccionados</w:t>
      </w:r>
      <w:r w:rsidR="004254F2" w:rsidRPr="009427D5">
        <w:rPr>
          <w:rFonts w:ascii="Arial" w:hAnsi="Arial" w:cs="Arial"/>
          <w:sz w:val="24"/>
          <w:szCs w:val="24"/>
        </w:rPr>
        <w:t>,</w:t>
      </w:r>
      <w:r w:rsidRPr="009427D5">
        <w:rPr>
          <w:rFonts w:ascii="Arial" w:hAnsi="Arial" w:cs="Arial"/>
          <w:sz w:val="24"/>
          <w:szCs w:val="24"/>
        </w:rPr>
        <w:t xml:space="preserve"> los cuales están relacionados con las políticas evaluadas tienen coherencia y consistencia con los objetivos propuestos en el Plan Nacional de Desarrollo</w:t>
      </w:r>
      <w:r w:rsidR="004254F2" w:rsidRPr="009427D5">
        <w:rPr>
          <w:rFonts w:ascii="Arial" w:hAnsi="Arial" w:cs="Arial"/>
          <w:sz w:val="24"/>
          <w:szCs w:val="24"/>
        </w:rPr>
        <w:t xml:space="preserve"> 2010-2014</w:t>
      </w:r>
      <w:r w:rsidRPr="009427D5">
        <w:rPr>
          <w:rFonts w:ascii="Arial" w:hAnsi="Arial" w:cs="Arial"/>
          <w:sz w:val="24"/>
          <w:szCs w:val="24"/>
        </w:rPr>
        <w:t xml:space="preserve"> y</w:t>
      </w:r>
      <w:r w:rsidR="004254F2" w:rsidRPr="009427D5">
        <w:rPr>
          <w:rFonts w:ascii="Arial" w:hAnsi="Arial" w:cs="Arial"/>
          <w:sz w:val="24"/>
          <w:szCs w:val="24"/>
        </w:rPr>
        <w:t xml:space="preserve"> el</w:t>
      </w:r>
      <w:r w:rsidRPr="009427D5">
        <w:rPr>
          <w:rFonts w:ascii="Arial" w:hAnsi="Arial" w:cs="Arial"/>
          <w:sz w:val="24"/>
          <w:szCs w:val="24"/>
        </w:rPr>
        <w:t xml:space="preserve"> </w:t>
      </w:r>
      <w:r w:rsidR="004254F2" w:rsidRPr="009427D5">
        <w:rPr>
          <w:rFonts w:ascii="Arial" w:hAnsi="Arial" w:cs="Arial"/>
          <w:sz w:val="24"/>
          <w:szCs w:val="24"/>
        </w:rPr>
        <w:t>Plan Sectorial de Desarrollo de la Rama Judicial 2011-2014</w:t>
      </w:r>
      <w:r w:rsidR="006D72AE" w:rsidRPr="009427D5">
        <w:rPr>
          <w:rFonts w:ascii="Arial" w:hAnsi="Arial" w:cs="Arial"/>
          <w:sz w:val="24"/>
          <w:szCs w:val="24"/>
        </w:rPr>
        <w:t xml:space="preserve"> y </w:t>
      </w:r>
      <w:r w:rsidRPr="009427D5">
        <w:rPr>
          <w:rFonts w:ascii="Arial" w:hAnsi="Arial" w:cs="Arial"/>
          <w:sz w:val="24"/>
          <w:szCs w:val="24"/>
        </w:rPr>
        <w:t xml:space="preserve">fueron orientados hacia el fortalecimiento de las funciones misionales de la </w:t>
      </w:r>
      <w:r w:rsidR="004254F2" w:rsidRPr="009427D5">
        <w:rPr>
          <w:rFonts w:ascii="Arial" w:hAnsi="Arial" w:cs="Arial"/>
          <w:sz w:val="24"/>
          <w:szCs w:val="24"/>
        </w:rPr>
        <w:t>Rama Judicial, con relación a las estrategias de descongestión y oralidad</w:t>
      </w:r>
      <w:r w:rsidR="00DD4385" w:rsidRPr="009427D5">
        <w:rPr>
          <w:rFonts w:ascii="Arial" w:hAnsi="Arial" w:cs="Arial"/>
          <w:sz w:val="24"/>
          <w:szCs w:val="24"/>
        </w:rPr>
        <w:t>.</w:t>
      </w:r>
    </w:p>
    <w:p w:rsidR="00DD4385" w:rsidRPr="009427D5" w:rsidRDefault="00DD4385" w:rsidP="00DD4385">
      <w:pPr>
        <w:spacing w:after="0" w:line="240" w:lineRule="auto"/>
        <w:jc w:val="both"/>
        <w:rPr>
          <w:rFonts w:ascii="Arial" w:hAnsi="Arial" w:cs="Arial"/>
          <w:sz w:val="24"/>
          <w:szCs w:val="24"/>
        </w:rPr>
      </w:pPr>
    </w:p>
    <w:p w:rsidR="00DD4385" w:rsidRPr="009427D5" w:rsidRDefault="00DD4385" w:rsidP="00DD4385">
      <w:pPr>
        <w:spacing w:after="0" w:line="240" w:lineRule="auto"/>
        <w:jc w:val="both"/>
        <w:rPr>
          <w:rFonts w:ascii="Arial" w:hAnsi="Arial" w:cs="Arial"/>
          <w:color w:val="000000" w:themeColor="text1"/>
          <w:sz w:val="24"/>
          <w:szCs w:val="24"/>
        </w:rPr>
      </w:pPr>
      <w:r w:rsidRPr="009427D5">
        <w:rPr>
          <w:rFonts w:ascii="Arial" w:hAnsi="Arial" w:cs="Arial"/>
          <w:sz w:val="24"/>
          <w:szCs w:val="24"/>
        </w:rPr>
        <w:t xml:space="preserve">Lo anterior se fundamenta en que se </w:t>
      </w:r>
      <w:r w:rsidRPr="009427D5">
        <w:rPr>
          <w:rFonts w:ascii="Arial" w:hAnsi="Arial" w:cs="Arial"/>
          <w:color w:val="000000" w:themeColor="text1"/>
          <w:sz w:val="24"/>
          <w:szCs w:val="24"/>
        </w:rPr>
        <w:t xml:space="preserve">ha logrado cumplir con el 66% de la meta establecida para disminuir el inventario final de procesos judiciales a Diciembre de 2013. Así mismo se ha reducido el índice de congestión efectivo </w:t>
      </w:r>
      <w:r w:rsidR="00884581" w:rsidRPr="009427D5">
        <w:rPr>
          <w:rFonts w:ascii="Arial" w:hAnsi="Arial" w:cs="Arial"/>
          <w:color w:val="000000" w:themeColor="text1"/>
          <w:sz w:val="24"/>
          <w:szCs w:val="24"/>
        </w:rPr>
        <w:t xml:space="preserve">en </w:t>
      </w:r>
      <w:r w:rsidR="006D72AE" w:rsidRPr="009427D5">
        <w:rPr>
          <w:rFonts w:ascii="Arial" w:hAnsi="Arial" w:cs="Arial"/>
          <w:color w:val="000000" w:themeColor="text1"/>
          <w:sz w:val="24"/>
          <w:szCs w:val="24"/>
        </w:rPr>
        <w:t>10 p</w:t>
      </w:r>
      <w:r w:rsidR="00907213" w:rsidRPr="009427D5">
        <w:rPr>
          <w:rFonts w:ascii="Arial" w:hAnsi="Arial" w:cs="Arial"/>
          <w:color w:val="000000" w:themeColor="text1"/>
          <w:sz w:val="24"/>
          <w:szCs w:val="24"/>
        </w:rPr>
        <w:t>unto</w:t>
      </w:r>
      <w:r w:rsidR="00884581" w:rsidRPr="009427D5">
        <w:rPr>
          <w:rFonts w:ascii="Arial" w:hAnsi="Arial" w:cs="Arial"/>
          <w:color w:val="000000" w:themeColor="text1"/>
          <w:sz w:val="24"/>
          <w:szCs w:val="24"/>
        </w:rPr>
        <w:t xml:space="preserve">s porcentuales, al pasar de </w:t>
      </w:r>
      <w:r w:rsidR="006D72AE" w:rsidRPr="009427D5">
        <w:rPr>
          <w:rFonts w:ascii="Arial" w:hAnsi="Arial" w:cs="Arial"/>
          <w:color w:val="000000" w:themeColor="text1"/>
          <w:sz w:val="24"/>
          <w:szCs w:val="24"/>
        </w:rPr>
        <w:t xml:space="preserve">57% en 2010 </w:t>
      </w:r>
      <w:r w:rsidR="00884581" w:rsidRPr="009427D5">
        <w:rPr>
          <w:rFonts w:ascii="Arial" w:hAnsi="Arial" w:cs="Arial"/>
          <w:color w:val="000000" w:themeColor="text1"/>
          <w:sz w:val="24"/>
          <w:szCs w:val="24"/>
        </w:rPr>
        <w:t xml:space="preserve">a </w:t>
      </w:r>
      <w:r w:rsidR="006D72AE" w:rsidRPr="009427D5">
        <w:rPr>
          <w:rFonts w:ascii="Arial" w:hAnsi="Arial" w:cs="Arial"/>
          <w:color w:val="000000" w:themeColor="text1"/>
          <w:sz w:val="24"/>
          <w:szCs w:val="24"/>
        </w:rPr>
        <w:t>47% en 2013.</w:t>
      </w:r>
    </w:p>
    <w:p w:rsidR="00DD4385" w:rsidRDefault="00DD4385" w:rsidP="00BA3A34">
      <w:pPr>
        <w:spacing w:after="0" w:line="240" w:lineRule="auto"/>
        <w:jc w:val="both"/>
        <w:rPr>
          <w:rFonts w:ascii="Arial" w:hAnsi="Arial" w:cs="Arial"/>
          <w:i/>
          <w:sz w:val="24"/>
          <w:szCs w:val="24"/>
        </w:rPr>
      </w:pPr>
    </w:p>
    <w:p w:rsidR="00170E87" w:rsidRDefault="00170E87" w:rsidP="00BA3A34">
      <w:pPr>
        <w:spacing w:after="0" w:line="240" w:lineRule="auto"/>
        <w:jc w:val="both"/>
        <w:rPr>
          <w:rFonts w:ascii="Arial" w:hAnsi="Arial" w:cs="Arial"/>
          <w:i/>
          <w:sz w:val="24"/>
          <w:szCs w:val="24"/>
        </w:rPr>
      </w:pPr>
    </w:p>
    <w:p w:rsidR="00A306D2" w:rsidRDefault="00A306D2" w:rsidP="00BA3A34">
      <w:pPr>
        <w:spacing w:after="0" w:line="240" w:lineRule="auto"/>
        <w:jc w:val="both"/>
        <w:rPr>
          <w:rFonts w:ascii="Arial" w:hAnsi="Arial" w:cs="Arial"/>
          <w:i/>
          <w:sz w:val="24"/>
          <w:szCs w:val="24"/>
        </w:rPr>
      </w:pPr>
    </w:p>
    <w:p w:rsidR="00A306D2" w:rsidRDefault="00A306D2" w:rsidP="00BA3A34">
      <w:pPr>
        <w:spacing w:after="0" w:line="240" w:lineRule="auto"/>
        <w:jc w:val="both"/>
        <w:rPr>
          <w:rFonts w:ascii="Arial" w:hAnsi="Arial" w:cs="Arial"/>
          <w:i/>
          <w:sz w:val="24"/>
          <w:szCs w:val="24"/>
        </w:rPr>
      </w:pPr>
    </w:p>
    <w:p w:rsidR="00A306D2" w:rsidRPr="009427D5" w:rsidRDefault="00A306D2" w:rsidP="00BA3A34">
      <w:pPr>
        <w:spacing w:after="0" w:line="240" w:lineRule="auto"/>
        <w:jc w:val="both"/>
        <w:rPr>
          <w:rFonts w:ascii="Arial" w:hAnsi="Arial" w:cs="Arial"/>
          <w:i/>
          <w:sz w:val="24"/>
          <w:szCs w:val="24"/>
        </w:rPr>
      </w:pPr>
    </w:p>
    <w:p w:rsidR="00B2165F" w:rsidRPr="009427D5" w:rsidRDefault="00BA3A34" w:rsidP="00B2165F">
      <w:pPr>
        <w:spacing w:after="0" w:line="240" w:lineRule="auto"/>
        <w:jc w:val="both"/>
        <w:rPr>
          <w:rFonts w:ascii="Arial" w:hAnsi="Arial" w:cs="Arial"/>
          <w:sz w:val="24"/>
          <w:szCs w:val="24"/>
        </w:rPr>
      </w:pPr>
      <w:r w:rsidRPr="009427D5">
        <w:rPr>
          <w:rFonts w:ascii="Arial" w:hAnsi="Arial" w:cs="Arial"/>
          <w:sz w:val="24"/>
          <w:szCs w:val="24"/>
        </w:rPr>
        <w:t>De igual forma,</w:t>
      </w:r>
      <w:r w:rsidR="0038249F" w:rsidRPr="009427D5">
        <w:rPr>
          <w:rFonts w:ascii="Arial" w:hAnsi="Arial" w:cs="Arial"/>
          <w:sz w:val="24"/>
          <w:szCs w:val="24"/>
        </w:rPr>
        <w:t xml:space="preserve"> en la evaluación de la Política Pública</w:t>
      </w:r>
      <w:r w:rsidRPr="009427D5">
        <w:rPr>
          <w:rFonts w:ascii="Arial" w:hAnsi="Arial" w:cs="Arial"/>
          <w:sz w:val="24"/>
          <w:szCs w:val="24"/>
        </w:rPr>
        <w:t xml:space="preserve"> </w:t>
      </w:r>
      <w:r w:rsidR="0038249F" w:rsidRPr="009427D5">
        <w:rPr>
          <w:rFonts w:ascii="Arial" w:hAnsi="Arial" w:cs="Arial"/>
          <w:sz w:val="24"/>
          <w:szCs w:val="24"/>
        </w:rPr>
        <w:t xml:space="preserve">se estableció que se respetaron los derechos fundamentales establecidos en la Constitución Política de Colombia y se alcanzaron </w:t>
      </w:r>
      <w:r w:rsidR="00FD1A4B" w:rsidRPr="009427D5">
        <w:rPr>
          <w:rFonts w:ascii="Arial" w:hAnsi="Arial" w:cs="Arial"/>
          <w:sz w:val="24"/>
          <w:szCs w:val="24"/>
        </w:rPr>
        <w:t>l</w:t>
      </w:r>
      <w:r w:rsidR="0038249F" w:rsidRPr="009427D5">
        <w:rPr>
          <w:rFonts w:ascii="Arial" w:hAnsi="Arial" w:cs="Arial"/>
          <w:sz w:val="24"/>
          <w:szCs w:val="24"/>
        </w:rPr>
        <w:t xml:space="preserve">os fines esenciales del Estado. </w:t>
      </w:r>
    </w:p>
    <w:p w:rsidR="00FD1A4B" w:rsidRPr="009427D5" w:rsidRDefault="00FD1A4B" w:rsidP="00FD1A4B">
      <w:pPr>
        <w:spacing w:after="0" w:line="240" w:lineRule="auto"/>
        <w:jc w:val="both"/>
        <w:rPr>
          <w:rFonts w:ascii="Arial" w:hAnsi="Arial" w:cs="Arial"/>
          <w:sz w:val="24"/>
          <w:szCs w:val="24"/>
        </w:rPr>
      </w:pPr>
    </w:p>
    <w:p w:rsidR="00FD1A4B" w:rsidRPr="009427D5" w:rsidRDefault="00FD1A4B" w:rsidP="00FD1A4B">
      <w:pPr>
        <w:spacing w:after="0" w:line="240" w:lineRule="auto"/>
        <w:jc w:val="both"/>
        <w:rPr>
          <w:rFonts w:ascii="Arial" w:hAnsi="Arial" w:cs="Arial"/>
          <w:sz w:val="24"/>
          <w:szCs w:val="24"/>
        </w:rPr>
      </w:pPr>
      <w:r w:rsidRPr="009427D5">
        <w:rPr>
          <w:rFonts w:ascii="Arial" w:hAnsi="Arial" w:cs="Arial"/>
          <w:sz w:val="24"/>
          <w:szCs w:val="24"/>
        </w:rPr>
        <w:t>La Rama Judicial ha trabajado en diferentes aspectos para garantizar la efectividad de los derechos de los ciudadanos a lo largo del territorio nacional, entre los que se destacan: acciones constitucionales de tutela, popular, de grupo, de cumplimiento, los cuales son mecanismos ágiles para la protección de derechos fundamentales; la política de género; la coordinación y seguimiento de las jurisdicción especiales de indígenas y jueces de paz;</w:t>
      </w:r>
      <w:r w:rsidRPr="009427D5">
        <w:rPr>
          <w:rFonts w:ascii="Arial" w:hAnsi="Arial" w:cs="Arial"/>
          <w:i/>
          <w:color w:val="000000" w:themeColor="text1"/>
          <w:sz w:val="24"/>
          <w:szCs w:val="24"/>
        </w:rPr>
        <w:t xml:space="preserve"> </w:t>
      </w:r>
      <w:r w:rsidRPr="009427D5">
        <w:rPr>
          <w:rFonts w:ascii="Arial" w:hAnsi="Arial" w:cs="Arial"/>
          <w:color w:val="000000" w:themeColor="text1"/>
          <w:sz w:val="24"/>
          <w:szCs w:val="24"/>
        </w:rPr>
        <w:t>las Medidas Constitucionales para la protección de Niños, Niñas y Adolescentes</w:t>
      </w:r>
      <w:r w:rsidRPr="009427D5">
        <w:rPr>
          <w:rFonts w:ascii="Arial" w:hAnsi="Arial" w:cs="Arial"/>
          <w:sz w:val="24"/>
          <w:szCs w:val="24"/>
        </w:rPr>
        <w:t>; la Ley de Restitución de Tierras y la Ley de Justicia y Paz Transicional.</w:t>
      </w:r>
    </w:p>
    <w:p w:rsidR="00FD1A4B" w:rsidRPr="009427D5" w:rsidRDefault="00FD1A4B" w:rsidP="00FD1A4B">
      <w:pPr>
        <w:spacing w:after="0" w:line="240" w:lineRule="auto"/>
        <w:jc w:val="both"/>
        <w:rPr>
          <w:rFonts w:ascii="Arial" w:hAnsi="Arial" w:cs="Arial"/>
          <w:sz w:val="24"/>
          <w:szCs w:val="24"/>
        </w:rPr>
      </w:pPr>
    </w:p>
    <w:p w:rsidR="00BA3A34" w:rsidRPr="009427D5" w:rsidRDefault="009757F4" w:rsidP="00AE4612">
      <w:pPr>
        <w:spacing w:after="0" w:line="240" w:lineRule="auto"/>
        <w:rPr>
          <w:rFonts w:ascii="Arial" w:hAnsi="Arial" w:cs="Arial"/>
          <w:b/>
          <w:bCs/>
          <w:sz w:val="24"/>
          <w:szCs w:val="24"/>
        </w:rPr>
      </w:pPr>
      <w:r w:rsidRPr="009427D5">
        <w:rPr>
          <w:rFonts w:ascii="Arial" w:hAnsi="Arial" w:cs="Arial"/>
          <w:b/>
          <w:bCs/>
          <w:sz w:val="24"/>
          <w:szCs w:val="24"/>
        </w:rPr>
        <w:t>1.3 RELACIÓN DE HALLAZGOS</w:t>
      </w:r>
    </w:p>
    <w:p w:rsidR="00BA3A34" w:rsidRPr="009427D5" w:rsidRDefault="00BA3A34" w:rsidP="00AE4612">
      <w:pPr>
        <w:pStyle w:val="320"/>
        <w:widowControl/>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sz w:val="24"/>
          <w:szCs w:val="24"/>
          <w:lang w:val="es-CO"/>
        </w:rPr>
      </w:pPr>
    </w:p>
    <w:p w:rsidR="00BE1146" w:rsidRPr="009427D5" w:rsidRDefault="00BA3A34" w:rsidP="00AE4612">
      <w:pPr>
        <w:spacing w:after="0" w:line="240" w:lineRule="auto"/>
        <w:jc w:val="both"/>
        <w:rPr>
          <w:rFonts w:ascii="Arial" w:hAnsi="Arial" w:cs="Arial"/>
          <w:sz w:val="24"/>
          <w:szCs w:val="24"/>
        </w:rPr>
      </w:pPr>
      <w:r w:rsidRPr="009427D5">
        <w:rPr>
          <w:rFonts w:ascii="Arial" w:hAnsi="Arial" w:cs="Arial"/>
          <w:sz w:val="24"/>
          <w:szCs w:val="24"/>
        </w:rPr>
        <w:t xml:space="preserve">En desarrollo de la presente Auditoría, se establecieron </w:t>
      </w:r>
      <w:r w:rsidR="00F229EC" w:rsidRPr="009427D5">
        <w:rPr>
          <w:rFonts w:ascii="Arial" w:hAnsi="Arial" w:cs="Arial"/>
          <w:sz w:val="24"/>
          <w:szCs w:val="24"/>
        </w:rPr>
        <w:t xml:space="preserve">nueve (9) </w:t>
      </w:r>
      <w:r w:rsidRPr="009427D5">
        <w:rPr>
          <w:rFonts w:ascii="Arial" w:hAnsi="Arial" w:cs="Arial"/>
          <w:sz w:val="24"/>
          <w:szCs w:val="24"/>
        </w:rPr>
        <w:t>hallazgos administrativos</w:t>
      </w:r>
      <w:r w:rsidR="00BE1146" w:rsidRPr="009427D5">
        <w:rPr>
          <w:rFonts w:ascii="Arial" w:hAnsi="Arial" w:cs="Arial"/>
          <w:sz w:val="24"/>
          <w:szCs w:val="24"/>
        </w:rPr>
        <w:t>, con las siguientes connotaciones:</w:t>
      </w:r>
    </w:p>
    <w:p w:rsidR="00BE1146" w:rsidRPr="009427D5" w:rsidRDefault="00BE1146" w:rsidP="00B2165F">
      <w:pPr>
        <w:spacing w:after="0" w:line="240" w:lineRule="auto"/>
        <w:jc w:val="both"/>
        <w:rPr>
          <w:rFonts w:ascii="Arial" w:hAnsi="Arial" w:cs="Arial"/>
          <w:sz w:val="24"/>
          <w:szCs w:val="24"/>
        </w:rPr>
      </w:pPr>
    </w:p>
    <w:p w:rsidR="00BE1146" w:rsidRPr="00A306D2" w:rsidRDefault="00BE1146" w:rsidP="00BE1146">
      <w:pPr>
        <w:spacing w:after="0" w:line="240" w:lineRule="auto"/>
        <w:jc w:val="center"/>
        <w:rPr>
          <w:rFonts w:ascii="Arial" w:hAnsi="Arial" w:cs="Arial"/>
          <w:b/>
          <w:sz w:val="16"/>
          <w:szCs w:val="16"/>
        </w:rPr>
      </w:pPr>
      <w:r w:rsidRPr="00A306D2">
        <w:rPr>
          <w:rFonts w:ascii="Arial" w:hAnsi="Arial" w:cs="Arial"/>
          <w:b/>
          <w:sz w:val="16"/>
          <w:szCs w:val="16"/>
        </w:rPr>
        <w:t>Tabla No.</w:t>
      </w:r>
      <w:r w:rsidR="00974B69" w:rsidRPr="00A306D2">
        <w:rPr>
          <w:rFonts w:ascii="Arial" w:hAnsi="Arial" w:cs="Arial"/>
          <w:b/>
          <w:sz w:val="16"/>
          <w:szCs w:val="16"/>
        </w:rPr>
        <w:t>1</w:t>
      </w:r>
      <w:r w:rsidR="008A2EC6" w:rsidRPr="00A306D2">
        <w:rPr>
          <w:rFonts w:ascii="Arial" w:hAnsi="Arial" w:cs="Arial"/>
          <w:b/>
          <w:sz w:val="16"/>
          <w:szCs w:val="16"/>
        </w:rPr>
        <w:t xml:space="preserve">  </w:t>
      </w:r>
      <w:r w:rsidRPr="00A306D2">
        <w:rPr>
          <w:rFonts w:ascii="Arial" w:hAnsi="Arial" w:cs="Arial"/>
          <w:b/>
          <w:sz w:val="16"/>
          <w:szCs w:val="16"/>
        </w:rPr>
        <w:t>Relación de Hallazgos</w:t>
      </w:r>
    </w:p>
    <w:tbl>
      <w:tblPr>
        <w:tblStyle w:val="Tablaconcuadrcula"/>
        <w:tblW w:w="0" w:type="auto"/>
        <w:jc w:val="center"/>
        <w:tblLook w:val="04A0" w:firstRow="1" w:lastRow="0" w:firstColumn="1" w:lastColumn="0" w:noHBand="0" w:noVBand="1"/>
      </w:tblPr>
      <w:tblGrid>
        <w:gridCol w:w="2848"/>
        <w:gridCol w:w="1128"/>
        <w:gridCol w:w="2552"/>
      </w:tblGrid>
      <w:tr w:rsidR="00BE1146" w:rsidRPr="00A306D2" w:rsidTr="005D2848">
        <w:trPr>
          <w:jc w:val="center"/>
        </w:trPr>
        <w:tc>
          <w:tcPr>
            <w:tcW w:w="2848" w:type="dxa"/>
            <w:vAlign w:val="center"/>
          </w:tcPr>
          <w:p w:rsidR="00BE1146" w:rsidRPr="00A306D2" w:rsidRDefault="00BE1146" w:rsidP="00BE1146">
            <w:pPr>
              <w:jc w:val="center"/>
              <w:rPr>
                <w:rFonts w:ascii="Arial" w:hAnsi="Arial" w:cs="Arial"/>
                <w:b/>
                <w:sz w:val="16"/>
                <w:szCs w:val="16"/>
              </w:rPr>
            </w:pPr>
            <w:r w:rsidRPr="00A306D2">
              <w:rPr>
                <w:rFonts w:ascii="Arial" w:hAnsi="Arial" w:cs="Arial"/>
                <w:b/>
                <w:sz w:val="16"/>
                <w:szCs w:val="16"/>
              </w:rPr>
              <w:t>Tipo de Hallazgo</w:t>
            </w:r>
          </w:p>
        </w:tc>
        <w:tc>
          <w:tcPr>
            <w:tcW w:w="1128" w:type="dxa"/>
            <w:vAlign w:val="center"/>
          </w:tcPr>
          <w:p w:rsidR="00BE1146" w:rsidRPr="00A306D2" w:rsidRDefault="00BE1146" w:rsidP="00BE1146">
            <w:pPr>
              <w:jc w:val="center"/>
              <w:rPr>
                <w:rFonts w:ascii="Arial" w:hAnsi="Arial" w:cs="Arial"/>
                <w:b/>
                <w:sz w:val="16"/>
                <w:szCs w:val="16"/>
              </w:rPr>
            </w:pPr>
            <w:r w:rsidRPr="00A306D2">
              <w:rPr>
                <w:rFonts w:ascii="Arial" w:hAnsi="Arial" w:cs="Arial"/>
                <w:b/>
                <w:sz w:val="16"/>
                <w:szCs w:val="16"/>
              </w:rPr>
              <w:t>No. de hallazgos</w:t>
            </w:r>
          </w:p>
        </w:tc>
        <w:tc>
          <w:tcPr>
            <w:tcW w:w="2552" w:type="dxa"/>
            <w:vAlign w:val="center"/>
          </w:tcPr>
          <w:p w:rsidR="00BE1146" w:rsidRPr="00A306D2" w:rsidRDefault="00BE1146" w:rsidP="005D2848">
            <w:pPr>
              <w:jc w:val="center"/>
              <w:rPr>
                <w:rFonts w:ascii="Arial" w:hAnsi="Arial" w:cs="Arial"/>
                <w:b/>
                <w:sz w:val="16"/>
                <w:szCs w:val="16"/>
              </w:rPr>
            </w:pPr>
            <w:r w:rsidRPr="00A306D2">
              <w:rPr>
                <w:rFonts w:ascii="Arial" w:hAnsi="Arial" w:cs="Arial"/>
                <w:b/>
                <w:sz w:val="16"/>
                <w:szCs w:val="16"/>
              </w:rPr>
              <w:t>Entidad donde se detectó</w:t>
            </w:r>
          </w:p>
        </w:tc>
      </w:tr>
      <w:tr w:rsidR="00BE1146" w:rsidRPr="00A306D2" w:rsidTr="005D2848">
        <w:trPr>
          <w:jc w:val="center"/>
        </w:trPr>
        <w:tc>
          <w:tcPr>
            <w:tcW w:w="2848" w:type="dxa"/>
          </w:tcPr>
          <w:p w:rsidR="00BE1146" w:rsidRPr="00A306D2" w:rsidRDefault="00BE1146" w:rsidP="00BE1146">
            <w:pPr>
              <w:jc w:val="center"/>
              <w:rPr>
                <w:rFonts w:ascii="Arial" w:hAnsi="Arial" w:cs="Arial"/>
                <w:sz w:val="16"/>
                <w:szCs w:val="16"/>
              </w:rPr>
            </w:pPr>
            <w:r w:rsidRPr="00A306D2">
              <w:rPr>
                <w:rFonts w:ascii="Arial" w:hAnsi="Arial" w:cs="Arial"/>
                <w:sz w:val="16"/>
                <w:szCs w:val="16"/>
              </w:rPr>
              <w:t>Administrativo</w:t>
            </w:r>
          </w:p>
        </w:tc>
        <w:tc>
          <w:tcPr>
            <w:tcW w:w="1128" w:type="dxa"/>
          </w:tcPr>
          <w:p w:rsidR="00BE1146" w:rsidRPr="00A306D2" w:rsidRDefault="00F229EC" w:rsidP="00BE1146">
            <w:pPr>
              <w:jc w:val="center"/>
              <w:rPr>
                <w:rFonts w:ascii="Arial" w:hAnsi="Arial" w:cs="Arial"/>
                <w:sz w:val="16"/>
                <w:szCs w:val="16"/>
              </w:rPr>
            </w:pPr>
            <w:r w:rsidRPr="00A306D2">
              <w:rPr>
                <w:rFonts w:ascii="Arial" w:hAnsi="Arial" w:cs="Arial"/>
                <w:sz w:val="16"/>
                <w:szCs w:val="16"/>
              </w:rPr>
              <w:t>9</w:t>
            </w:r>
          </w:p>
        </w:tc>
        <w:tc>
          <w:tcPr>
            <w:tcW w:w="2552" w:type="dxa"/>
          </w:tcPr>
          <w:p w:rsidR="00BE1146" w:rsidRPr="00A306D2" w:rsidRDefault="00FE4FDB" w:rsidP="00BE1146">
            <w:pPr>
              <w:jc w:val="center"/>
              <w:rPr>
                <w:rFonts w:ascii="Arial" w:hAnsi="Arial" w:cs="Arial"/>
                <w:sz w:val="16"/>
                <w:szCs w:val="16"/>
              </w:rPr>
            </w:pPr>
            <w:r w:rsidRPr="00A306D2">
              <w:rPr>
                <w:rFonts w:ascii="Arial" w:hAnsi="Arial" w:cs="Arial"/>
                <w:sz w:val="16"/>
                <w:szCs w:val="16"/>
              </w:rPr>
              <w:t>CSJ</w:t>
            </w:r>
          </w:p>
        </w:tc>
      </w:tr>
      <w:tr w:rsidR="00BE1146" w:rsidRPr="00A306D2" w:rsidTr="005D2848">
        <w:trPr>
          <w:jc w:val="center"/>
        </w:trPr>
        <w:tc>
          <w:tcPr>
            <w:tcW w:w="2848" w:type="dxa"/>
          </w:tcPr>
          <w:p w:rsidR="00BE1146" w:rsidRPr="00A306D2" w:rsidRDefault="00BE1146" w:rsidP="00BE1146">
            <w:pPr>
              <w:jc w:val="center"/>
              <w:rPr>
                <w:rFonts w:ascii="Arial" w:hAnsi="Arial" w:cs="Arial"/>
                <w:sz w:val="16"/>
                <w:szCs w:val="16"/>
              </w:rPr>
            </w:pPr>
            <w:r w:rsidRPr="00A306D2">
              <w:rPr>
                <w:rFonts w:ascii="Arial" w:hAnsi="Arial" w:cs="Arial"/>
                <w:sz w:val="16"/>
                <w:szCs w:val="16"/>
              </w:rPr>
              <w:t>Disciplinario</w:t>
            </w:r>
          </w:p>
        </w:tc>
        <w:tc>
          <w:tcPr>
            <w:tcW w:w="1128" w:type="dxa"/>
          </w:tcPr>
          <w:p w:rsidR="00BE1146" w:rsidRPr="00A306D2" w:rsidRDefault="006A250D" w:rsidP="00BE1146">
            <w:pPr>
              <w:jc w:val="center"/>
              <w:rPr>
                <w:rFonts w:ascii="Arial" w:hAnsi="Arial" w:cs="Arial"/>
                <w:sz w:val="16"/>
                <w:szCs w:val="16"/>
              </w:rPr>
            </w:pPr>
            <w:r w:rsidRPr="00A306D2">
              <w:rPr>
                <w:rFonts w:ascii="Arial" w:hAnsi="Arial" w:cs="Arial"/>
                <w:sz w:val="16"/>
                <w:szCs w:val="16"/>
              </w:rPr>
              <w:t>4</w:t>
            </w:r>
          </w:p>
        </w:tc>
        <w:tc>
          <w:tcPr>
            <w:tcW w:w="2552" w:type="dxa"/>
          </w:tcPr>
          <w:p w:rsidR="00BE1146" w:rsidRPr="00A306D2" w:rsidRDefault="00FE4FDB" w:rsidP="00BE1146">
            <w:pPr>
              <w:jc w:val="center"/>
              <w:rPr>
                <w:rFonts w:ascii="Arial" w:hAnsi="Arial" w:cs="Arial"/>
                <w:sz w:val="16"/>
                <w:szCs w:val="16"/>
              </w:rPr>
            </w:pPr>
            <w:r w:rsidRPr="00A306D2">
              <w:rPr>
                <w:rFonts w:ascii="Arial" w:hAnsi="Arial" w:cs="Arial"/>
                <w:sz w:val="16"/>
                <w:szCs w:val="16"/>
              </w:rPr>
              <w:t>CSJ</w:t>
            </w:r>
          </w:p>
        </w:tc>
      </w:tr>
    </w:tbl>
    <w:p w:rsidR="004C42CA" w:rsidRPr="009427D5" w:rsidRDefault="00BE1146" w:rsidP="00DB7BB9">
      <w:pPr>
        <w:spacing w:after="0" w:line="240" w:lineRule="auto"/>
        <w:ind w:left="708" w:hanging="708"/>
        <w:jc w:val="center"/>
        <w:rPr>
          <w:rFonts w:ascii="Arial" w:hAnsi="Arial" w:cs="Arial"/>
          <w:i/>
          <w:sz w:val="16"/>
          <w:szCs w:val="16"/>
        </w:rPr>
      </w:pPr>
      <w:r w:rsidRPr="009427D5">
        <w:rPr>
          <w:rFonts w:ascii="Arial" w:hAnsi="Arial" w:cs="Arial"/>
          <w:i/>
          <w:sz w:val="16"/>
          <w:szCs w:val="16"/>
        </w:rPr>
        <w:t>Elaboró: Equipo Auditor</w:t>
      </w:r>
    </w:p>
    <w:p w:rsidR="00225160" w:rsidRPr="009427D5" w:rsidRDefault="00225160" w:rsidP="00B2165F">
      <w:pPr>
        <w:spacing w:after="0" w:line="240" w:lineRule="auto"/>
        <w:jc w:val="both"/>
        <w:rPr>
          <w:rFonts w:ascii="Arial" w:hAnsi="Arial" w:cs="Arial"/>
          <w:color w:val="FF0000"/>
          <w:sz w:val="24"/>
          <w:szCs w:val="24"/>
        </w:rPr>
      </w:pPr>
    </w:p>
    <w:p w:rsidR="00151833" w:rsidRDefault="00151833" w:rsidP="00AE4612">
      <w:pPr>
        <w:spacing w:after="0" w:line="240" w:lineRule="auto"/>
        <w:rPr>
          <w:rFonts w:ascii="Arial" w:hAnsi="Arial" w:cs="Arial"/>
          <w:b/>
          <w:bCs/>
          <w:sz w:val="24"/>
          <w:szCs w:val="24"/>
        </w:rPr>
      </w:pPr>
    </w:p>
    <w:p w:rsidR="00BA3A34" w:rsidRPr="009427D5" w:rsidRDefault="00225160" w:rsidP="00AE4612">
      <w:pPr>
        <w:spacing w:after="0" w:line="240" w:lineRule="auto"/>
        <w:rPr>
          <w:rFonts w:ascii="Arial" w:hAnsi="Arial" w:cs="Arial"/>
          <w:b/>
          <w:bCs/>
          <w:sz w:val="24"/>
          <w:szCs w:val="24"/>
        </w:rPr>
      </w:pPr>
      <w:r w:rsidRPr="009427D5">
        <w:rPr>
          <w:rFonts w:ascii="Arial" w:hAnsi="Arial" w:cs="Arial"/>
          <w:b/>
          <w:bCs/>
          <w:sz w:val="24"/>
          <w:szCs w:val="24"/>
        </w:rPr>
        <w:t>1.</w:t>
      </w:r>
      <w:r w:rsidR="006E5153">
        <w:rPr>
          <w:rFonts w:ascii="Arial" w:hAnsi="Arial" w:cs="Arial"/>
          <w:b/>
          <w:bCs/>
          <w:sz w:val="24"/>
          <w:szCs w:val="24"/>
        </w:rPr>
        <w:t>4</w:t>
      </w:r>
      <w:r w:rsidR="009757F4" w:rsidRPr="009427D5">
        <w:rPr>
          <w:rFonts w:ascii="Arial" w:hAnsi="Arial" w:cs="Arial"/>
          <w:b/>
          <w:bCs/>
          <w:sz w:val="24"/>
          <w:szCs w:val="24"/>
        </w:rPr>
        <w:t xml:space="preserve"> PLAN DE MEJORAMIENTO</w:t>
      </w:r>
    </w:p>
    <w:p w:rsidR="00AE4612" w:rsidRDefault="00AE4612" w:rsidP="001E2ABA">
      <w:pPr>
        <w:shd w:val="clear" w:color="auto" w:fill="FFFFFF"/>
        <w:spacing w:after="0" w:line="240" w:lineRule="auto"/>
        <w:jc w:val="both"/>
        <w:rPr>
          <w:rFonts w:ascii="Arial" w:hAnsi="Arial" w:cs="Arial"/>
          <w:sz w:val="24"/>
          <w:szCs w:val="24"/>
        </w:rPr>
      </w:pPr>
    </w:p>
    <w:p w:rsidR="00AF516F" w:rsidRDefault="00AF516F" w:rsidP="001E2ABA">
      <w:pPr>
        <w:shd w:val="clear" w:color="auto" w:fill="FFFFFF"/>
        <w:spacing w:after="0" w:line="240" w:lineRule="auto"/>
        <w:jc w:val="both"/>
        <w:rPr>
          <w:rFonts w:ascii="Arial" w:hAnsi="Arial" w:cs="Arial"/>
          <w:sz w:val="24"/>
          <w:szCs w:val="24"/>
        </w:rPr>
      </w:pPr>
    </w:p>
    <w:p w:rsidR="00D00843" w:rsidRDefault="00D00843" w:rsidP="001E2ABA">
      <w:pPr>
        <w:shd w:val="clear" w:color="auto" w:fill="FFFFFF"/>
        <w:spacing w:after="0" w:line="240" w:lineRule="auto"/>
        <w:jc w:val="both"/>
        <w:rPr>
          <w:rFonts w:ascii="Arial" w:hAnsi="Arial" w:cs="Arial"/>
          <w:sz w:val="24"/>
          <w:szCs w:val="24"/>
          <w:lang w:val="es-ES" w:eastAsia="es-ES"/>
        </w:rPr>
      </w:pPr>
      <w:r>
        <w:rPr>
          <w:rFonts w:ascii="Arial" w:hAnsi="Arial" w:cs="Arial"/>
          <w:sz w:val="24"/>
          <w:szCs w:val="24"/>
          <w:lang w:val="es-ES" w:eastAsia="es-ES"/>
        </w:rPr>
        <w:t>Para los hallazgos detectados, el Consejo Superior de la Judicatura, deberá formular o ajustar su plan de mejoramiento consolidado, según sea el caso, en el Sistema de Rendición de Cuentas e Informes - SIRECI</w:t>
      </w:r>
      <w:r>
        <w:rPr>
          <w:rStyle w:val="Refdenotaalpie"/>
          <w:sz w:val="24"/>
          <w:szCs w:val="24"/>
          <w:lang w:val="es-ES" w:eastAsia="es-ES"/>
        </w:rPr>
        <w:footnoteReference w:customMarkFollows="1" w:id="1"/>
        <w:t>[1]</w:t>
      </w:r>
      <w:r>
        <w:rPr>
          <w:rFonts w:ascii="Arial" w:hAnsi="Arial" w:cs="Arial"/>
          <w:sz w:val="24"/>
          <w:szCs w:val="24"/>
          <w:lang w:val="es-ES" w:eastAsia="es-ES"/>
        </w:rPr>
        <w:t>, con el fin de incluir las acciones correctivas y/o preventivas pertinentes.</w:t>
      </w:r>
    </w:p>
    <w:p w:rsidR="001E2ABA" w:rsidRDefault="001E2ABA" w:rsidP="001E2ABA">
      <w:pPr>
        <w:pStyle w:val="NormalWeb"/>
        <w:spacing w:before="0" w:beforeAutospacing="0" w:after="0" w:afterAutospacing="0"/>
        <w:jc w:val="both"/>
        <w:rPr>
          <w:rFonts w:ascii="Arial" w:hAnsi="Arial" w:cs="Arial"/>
          <w:lang w:val="es-ES" w:eastAsia="es-ES"/>
        </w:rPr>
      </w:pPr>
    </w:p>
    <w:p w:rsidR="00D00843" w:rsidRDefault="00D00843" w:rsidP="001E2ABA">
      <w:pPr>
        <w:pStyle w:val="NormalWeb"/>
        <w:spacing w:before="0" w:beforeAutospacing="0" w:after="0" w:afterAutospacing="0"/>
        <w:jc w:val="both"/>
        <w:rPr>
          <w:rFonts w:ascii="Arial" w:hAnsi="Arial" w:cs="Arial"/>
        </w:rPr>
      </w:pPr>
      <w:r>
        <w:rPr>
          <w:rFonts w:ascii="Arial" w:hAnsi="Arial" w:cs="Arial"/>
          <w:lang w:val="es-ES" w:eastAsia="es-ES"/>
        </w:rPr>
        <w:t xml:space="preserve">El plan de mejoramiento se rendirá dentro de los veinte (20) días  hábiles siguientes al recibo del presente informe. Para efectos de la habilitación en el Sistema de Rendición Electrónica de Cuentas e Informes – SIRECI, es necesario que la Entidad remita el oficio de radicación y/o documento soporte, que evidencia la fecha exacta de recibo del mismo, al correo electrónico </w:t>
      </w:r>
      <w:hyperlink r:id="rId9" w:history="1">
        <w:r>
          <w:rPr>
            <w:rStyle w:val="Hipervnculo"/>
            <w:rFonts w:ascii="Arial" w:hAnsi="Arial" w:cs="Arial"/>
          </w:rPr>
          <w:t>cgr@contraloria.gov.co</w:t>
        </w:r>
      </w:hyperlink>
      <w:r>
        <w:rPr>
          <w:rStyle w:val="Textoennegrita"/>
          <w:b w:val="0"/>
          <w:bCs w:val="0"/>
        </w:rPr>
        <w:t>.</w:t>
      </w:r>
    </w:p>
    <w:p w:rsidR="001E2ABA" w:rsidRDefault="001E2ABA" w:rsidP="001E2ABA">
      <w:pPr>
        <w:shd w:val="clear" w:color="auto" w:fill="FFFFFF"/>
        <w:spacing w:after="0" w:line="240" w:lineRule="auto"/>
        <w:jc w:val="both"/>
        <w:rPr>
          <w:rFonts w:ascii="Arial" w:hAnsi="Arial" w:cs="Arial"/>
          <w:sz w:val="24"/>
          <w:szCs w:val="24"/>
          <w:lang w:val="es-ES" w:eastAsia="es-ES"/>
        </w:rPr>
      </w:pPr>
    </w:p>
    <w:p w:rsidR="00151833" w:rsidRDefault="00151833" w:rsidP="001E2ABA">
      <w:pPr>
        <w:shd w:val="clear" w:color="auto" w:fill="FFFFFF"/>
        <w:spacing w:after="0" w:line="240" w:lineRule="auto"/>
        <w:jc w:val="both"/>
        <w:rPr>
          <w:rFonts w:ascii="Arial" w:hAnsi="Arial" w:cs="Arial"/>
          <w:sz w:val="24"/>
          <w:szCs w:val="24"/>
          <w:lang w:val="es-ES" w:eastAsia="es-ES"/>
        </w:rPr>
      </w:pPr>
    </w:p>
    <w:p w:rsidR="00151833" w:rsidRDefault="00151833" w:rsidP="001E2ABA">
      <w:pPr>
        <w:shd w:val="clear" w:color="auto" w:fill="FFFFFF"/>
        <w:spacing w:after="0" w:line="240" w:lineRule="auto"/>
        <w:jc w:val="both"/>
        <w:rPr>
          <w:rFonts w:ascii="Arial" w:hAnsi="Arial" w:cs="Arial"/>
          <w:sz w:val="24"/>
          <w:szCs w:val="24"/>
          <w:lang w:val="es-ES" w:eastAsia="es-ES"/>
        </w:rPr>
      </w:pPr>
    </w:p>
    <w:p w:rsidR="00D00843" w:rsidRDefault="00D00843" w:rsidP="001E2ABA">
      <w:pPr>
        <w:shd w:val="clear" w:color="auto" w:fill="FFFFFF"/>
        <w:spacing w:after="0" w:line="240" w:lineRule="auto"/>
        <w:jc w:val="both"/>
        <w:rPr>
          <w:rFonts w:ascii="Calibri" w:hAnsi="Calibri" w:cs="Times New Roman"/>
        </w:rPr>
      </w:pPr>
      <w:r>
        <w:rPr>
          <w:rFonts w:ascii="Arial" w:hAnsi="Arial" w:cs="Arial"/>
          <w:sz w:val="24"/>
          <w:szCs w:val="24"/>
          <w:lang w:val="es-ES" w:eastAsia="es-ES"/>
        </w:rPr>
        <w:t>Sobre dicho Plan, la CGR no emitirá pronunciamiento; sino que dentro de la siguiente actuación de vigilancia y control fiscal se evaluará la efectividad de las acciones emprendidas por la Entidad, para eliminar la</w:t>
      </w:r>
      <w:r w:rsidR="001E2ABA">
        <w:rPr>
          <w:rFonts w:ascii="Arial" w:hAnsi="Arial" w:cs="Arial"/>
          <w:sz w:val="24"/>
          <w:szCs w:val="24"/>
          <w:lang w:val="es-ES" w:eastAsia="es-ES"/>
        </w:rPr>
        <w:t>s</w:t>
      </w:r>
      <w:r>
        <w:rPr>
          <w:rFonts w:ascii="Arial" w:hAnsi="Arial" w:cs="Arial"/>
          <w:sz w:val="24"/>
          <w:szCs w:val="24"/>
          <w:lang w:val="es-ES" w:eastAsia="es-ES"/>
        </w:rPr>
        <w:t xml:space="preserve"> causa</w:t>
      </w:r>
      <w:r w:rsidR="001E2ABA">
        <w:rPr>
          <w:rFonts w:ascii="Arial" w:hAnsi="Arial" w:cs="Arial"/>
          <w:sz w:val="24"/>
          <w:szCs w:val="24"/>
          <w:lang w:val="es-ES" w:eastAsia="es-ES"/>
        </w:rPr>
        <w:t>s</w:t>
      </w:r>
      <w:r>
        <w:rPr>
          <w:rFonts w:ascii="Arial" w:hAnsi="Arial" w:cs="Arial"/>
          <w:sz w:val="24"/>
          <w:szCs w:val="24"/>
          <w:lang w:val="es-ES" w:eastAsia="es-ES"/>
        </w:rPr>
        <w:t xml:space="preserve"> de</w:t>
      </w:r>
      <w:r w:rsidR="001E2ABA">
        <w:rPr>
          <w:rFonts w:ascii="Arial" w:hAnsi="Arial" w:cs="Arial"/>
          <w:sz w:val="24"/>
          <w:szCs w:val="24"/>
          <w:lang w:val="es-ES" w:eastAsia="es-ES"/>
        </w:rPr>
        <w:t xml:space="preserve"> los </w:t>
      </w:r>
      <w:r w:rsidR="001E2ABA" w:rsidRPr="001E2ABA">
        <w:rPr>
          <w:rFonts w:ascii="Arial" w:hAnsi="Arial" w:cs="Arial"/>
          <w:sz w:val="24"/>
          <w:szCs w:val="24"/>
          <w:lang w:val="es-ES" w:eastAsia="es-ES"/>
        </w:rPr>
        <w:t>h</w:t>
      </w:r>
      <w:r w:rsidRPr="001E2ABA">
        <w:rPr>
          <w:rFonts w:ascii="Arial" w:hAnsi="Arial" w:cs="Arial"/>
          <w:sz w:val="24"/>
          <w:szCs w:val="24"/>
          <w:lang w:val="es-ES" w:eastAsia="es-ES"/>
        </w:rPr>
        <w:t>allazgo</w:t>
      </w:r>
      <w:r w:rsidR="001E2ABA" w:rsidRPr="001E2ABA">
        <w:rPr>
          <w:rFonts w:ascii="Arial" w:hAnsi="Arial" w:cs="Arial"/>
          <w:sz w:val="24"/>
          <w:szCs w:val="24"/>
          <w:lang w:val="es-ES" w:eastAsia="es-ES"/>
        </w:rPr>
        <w:t>s</w:t>
      </w:r>
      <w:r w:rsidRPr="001E2ABA">
        <w:rPr>
          <w:rFonts w:ascii="Arial" w:hAnsi="Arial" w:cs="Arial"/>
          <w:sz w:val="24"/>
          <w:szCs w:val="24"/>
          <w:lang w:val="es-ES" w:eastAsia="es-ES"/>
        </w:rPr>
        <w:t xml:space="preserve"> detectado</w:t>
      </w:r>
      <w:r w:rsidR="001E2ABA" w:rsidRPr="001E2ABA">
        <w:rPr>
          <w:rFonts w:ascii="Arial" w:hAnsi="Arial" w:cs="Arial"/>
          <w:sz w:val="24"/>
          <w:szCs w:val="24"/>
          <w:lang w:val="es-ES" w:eastAsia="es-ES"/>
        </w:rPr>
        <w:t>s</w:t>
      </w:r>
      <w:r w:rsidRPr="001E2ABA">
        <w:rPr>
          <w:rFonts w:ascii="Arial" w:hAnsi="Arial" w:cs="Arial"/>
          <w:sz w:val="24"/>
          <w:szCs w:val="24"/>
          <w:lang w:val="es-ES" w:eastAsia="es-ES"/>
        </w:rPr>
        <w:t>.</w:t>
      </w:r>
    </w:p>
    <w:p w:rsidR="00D00843" w:rsidRDefault="00D00843" w:rsidP="0092393F">
      <w:pPr>
        <w:spacing w:after="0" w:line="240" w:lineRule="auto"/>
        <w:jc w:val="both"/>
        <w:rPr>
          <w:rFonts w:ascii="Arial" w:hAnsi="Arial" w:cs="Arial"/>
          <w:sz w:val="24"/>
          <w:szCs w:val="24"/>
        </w:rPr>
      </w:pPr>
    </w:p>
    <w:p w:rsidR="00AF516F" w:rsidRDefault="00AF516F" w:rsidP="0092393F">
      <w:pPr>
        <w:spacing w:after="0" w:line="240" w:lineRule="auto"/>
        <w:jc w:val="both"/>
        <w:rPr>
          <w:rFonts w:ascii="Arial" w:hAnsi="Arial" w:cs="Arial"/>
          <w:sz w:val="24"/>
          <w:szCs w:val="24"/>
        </w:rPr>
      </w:pPr>
    </w:p>
    <w:p w:rsidR="00BA3A34" w:rsidRPr="009427D5" w:rsidRDefault="00BA3A34" w:rsidP="0092393F">
      <w:pPr>
        <w:spacing w:after="0" w:line="240" w:lineRule="auto"/>
        <w:jc w:val="both"/>
        <w:rPr>
          <w:rFonts w:ascii="Arial" w:hAnsi="Arial" w:cs="Arial"/>
          <w:sz w:val="24"/>
          <w:szCs w:val="24"/>
        </w:rPr>
      </w:pPr>
      <w:r w:rsidRPr="009427D5">
        <w:rPr>
          <w:rFonts w:ascii="Arial" w:hAnsi="Arial" w:cs="Arial"/>
          <w:sz w:val="24"/>
          <w:szCs w:val="24"/>
        </w:rPr>
        <w:t>Bogotá, D.C.</w:t>
      </w:r>
    </w:p>
    <w:p w:rsidR="00B31F26" w:rsidRDefault="00B31F26" w:rsidP="0092393F">
      <w:pPr>
        <w:spacing w:after="0" w:line="240" w:lineRule="auto"/>
        <w:jc w:val="both"/>
        <w:rPr>
          <w:rFonts w:ascii="Arial" w:hAnsi="Arial" w:cs="Arial"/>
          <w:sz w:val="24"/>
          <w:szCs w:val="24"/>
        </w:rPr>
      </w:pPr>
    </w:p>
    <w:p w:rsidR="00686C85" w:rsidRPr="009427D5" w:rsidRDefault="00686C85" w:rsidP="0092393F">
      <w:pPr>
        <w:spacing w:after="0" w:line="240" w:lineRule="auto"/>
        <w:jc w:val="both"/>
        <w:rPr>
          <w:rFonts w:ascii="Arial" w:hAnsi="Arial" w:cs="Arial"/>
          <w:sz w:val="24"/>
          <w:szCs w:val="24"/>
        </w:rPr>
      </w:pPr>
    </w:p>
    <w:p w:rsidR="00306521" w:rsidRDefault="00306521" w:rsidP="0092393F">
      <w:pPr>
        <w:spacing w:after="0" w:line="240" w:lineRule="auto"/>
        <w:jc w:val="both"/>
        <w:rPr>
          <w:rFonts w:ascii="Arial" w:hAnsi="Arial" w:cs="Arial"/>
          <w:sz w:val="24"/>
          <w:szCs w:val="24"/>
        </w:rPr>
      </w:pPr>
    </w:p>
    <w:p w:rsidR="003904A5" w:rsidRPr="009427D5" w:rsidRDefault="003904A5" w:rsidP="0092393F">
      <w:pPr>
        <w:spacing w:after="0" w:line="240" w:lineRule="auto"/>
        <w:jc w:val="both"/>
        <w:rPr>
          <w:rFonts w:ascii="Arial" w:hAnsi="Arial" w:cs="Arial"/>
          <w:sz w:val="24"/>
          <w:szCs w:val="24"/>
        </w:rPr>
      </w:pPr>
    </w:p>
    <w:p w:rsidR="0038249F" w:rsidRPr="009427D5" w:rsidRDefault="0038249F" w:rsidP="0092393F">
      <w:pPr>
        <w:spacing w:after="0" w:line="240" w:lineRule="auto"/>
        <w:jc w:val="both"/>
        <w:rPr>
          <w:rFonts w:ascii="Arial" w:hAnsi="Arial" w:cs="Arial"/>
          <w:sz w:val="24"/>
          <w:szCs w:val="24"/>
        </w:rPr>
      </w:pPr>
    </w:p>
    <w:p w:rsidR="00DC0A9E" w:rsidRPr="009427D5" w:rsidRDefault="00DC0A9E" w:rsidP="0092393F">
      <w:pPr>
        <w:spacing w:after="0" w:line="240" w:lineRule="auto"/>
        <w:rPr>
          <w:rFonts w:ascii="Arial" w:hAnsi="Arial" w:cs="Arial"/>
          <w:sz w:val="24"/>
          <w:szCs w:val="24"/>
        </w:rPr>
      </w:pPr>
      <w:r w:rsidRPr="009427D5">
        <w:rPr>
          <w:rFonts w:ascii="Arial" w:hAnsi="Arial" w:cs="Arial"/>
          <w:sz w:val="24"/>
          <w:szCs w:val="24"/>
        </w:rPr>
        <w:t xml:space="preserve">Rafael Enrique Romero Cruz </w:t>
      </w:r>
    </w:p>
    <w:p w:rsidR="004C07E8" w:rsidRPr="009427D5" w:rsidRDefault="00BA3A34" w:rsidP="0092393F">
      <w:pPr>
        <w:spacing w:after="0" w:line="240" w:lineRule="auto"/>
        <w:rPr>
          <w:rFonts w:ascii="Arial" w:hAnsi="Arial" w:cs="Arial"/>
          <w:sz w:val="24"/>
          <w:szCs w:val="24"/>
        </w:rPr>
      </w:pPr>
      <w:r w:rsidRPr="009427D5">
        <w:rPr>
          <w:rFonts w:ascii="Arial" w:hAnsi="Arial" w:cs="Arial"/>
          <w:sz w:val="24"/>
          <w:szCs w:val="24"/>
        </w:rPr>
        <w:t>Contralor Delegad</w:t>
      </w:r>
      <w:r w:rsidR="0092393F" w:rsidRPr="009427D5">
        <w:rPr>
          <w:rFonts w:ascii="Arial" w:hAnsi="Arial" w:cs="Arial"/>
          <w:sz w:val="24"/>
          <w:szCs w:val="24"/>
        </w:rPr>
        <w:t xml:space="preserve">o </w:t>
      </w:r>
      <w:r w:rsidR="00DC0A9E" w:rsidRPr="009427D5">
        <w:rPr>
          <w:rFonts w:ascii="Arial" w:hAnsi="Arial" w:cs="Arial"/>
          <w:sz w:val="24"/>
          <w:szCs w:val="24"/>
        </w:rPr>
        <w:t>para el Sector Defensa, Justicia y Seguridad</w:t>
      </w:r>
    </w:p>
    <w:p w:rsidR="00DC0A9E" w:rsidRPr="009427D5" w:rsidRDefault="00DC0A9E" w:rsidP="0092393F">
      <w:pPr>
        <w:spacing w:after="0" w:line="240" w:lineRule="auto"/>
        <w:rPr>
          <w:rFonts w:ascii="Arial" w:hAnsi="Arial" w:cs="Arial"/>
          <w:sz w:val="24"/>
          <w:szCs w:val="24"/>
        </w:rPr>
      </w:pPr>
    </w:p>
    <w:p w:rsidR="00DC0A9E" w:rsidRPr="009427D5" w:rsidRDefault="00DC0A9E" w:rsidP="0092393F">
      <w:pPr>
        <w:spacing w:after="0" w:line="240" w:lineRule="auto"/>
        <w:rPr>
          <w:rFonts w:ascii="Arial" w:hAnsi="Arial" w:cs="Arial"/>
          <w:sz w:val="16"/>
          <w:szCs w:val="16"/>
        </w:rPr>
      </w:pPr>
    </w:p>
    <w:p w:rsidR="00BA3A34" w:rsidRPr="009427D5" w:rsidRDefault="00BA3A34" w:rsidP="0092393F">
      <w:pPr>
        <w:spacing w:after="0" w:line="240" w:lineRule="auto"/>
        <w:rPr>
          <w:rFonts w:ascii="Arial" w:hAnsi="Arial" w:cs="Arial"/>
          <w:sz w:val="16"/>
          <w:szCs w:val="16"/>
        </w:rPr>
      </w:pPr>
      <w:r w:rsidRPr="009427D5">
        <w:rPr>
          <w:rFonts w:ascii="Arial" w:hAnsi="Arial" w:cs="Arial"/>
          <w:sz w:val="16"/>
          <w:szCs w:val="16"/>
        </w:rPr>
        <w:t>Aprobó:</w:t>
      </w:r>
      <w:r w:rsidRPr="009427D5">
        <w:rPr>
          <w:rFonts w:ascii="Arial" w:hAnsi="Arial" w:cs="Arial"/>
          <w:sz w:val="16"/>
          <w:szCs w:val="16"/>
        </w:rPr>
        <w:tab/>
      </w:r>
      <w:r w:rsidR="00585998">
        <w:rPr>
          <w:rFonts w:ascii="Arial" w:hAnsi="Arial" w:cs="Arial"/>
          <w:sz w:val="16"/>
          <w:szCs w:val="16"/>
        </w:rPr>
        <w:t>Pascual Uribe Martínez</w:t>
      </w:r>
      <w:r w:rsidRPr="009427D5">
        <w:rPr>
          <w:rFonts w:ascii="Arial" w:hAnsi="Arial" w:cs="Arial"/>
          <w:sz w:val="16"/>
          <w:szCs w:val="16"/>
        </w:rPr>
        <w:tab/>
        <w:t xml:space="preserve"> </w:t>
      </w:r>
    </w:p>
    <w:p w:rsidR="00BA3A34" w:rsidRPr="009427D5" w:rsidRDefault="00BA3A34" w:rsidP="0092393F">
      <w:pPr>
        <w:spacing w:after="0" w:line="240" w:lineRule="auto"/>
        <w:rPr>
          <w:rFonts w:ascii="Arial" w:hAnsi="Arial" w:cs="Arial"/>
          <w:sz w:val="16"/>
          <w:szCs w:val="16"/>
        </w:rPr>
      </w:pPr>
      <w:r w:rsidRPr="009427D5">
        <w:rPr>
          <w:rFonts w:ascii="Arial" w:hAnsi="Arial" w:cs="Arial"/>
          <w:sz w:val="16"/>
          <w:szCs w:val="16"/>
        </w:rPr>
        <w:t>Revisó:</w:t>
      </w:r>
      <w:r w:rsidRPr="009427D5">
        <w:rPr>
          <w:rFonts w:ascii="Arial" w:hAnsi="Arial" w:cs="Arial"/>
          <w:sz w:val="16"/>
          <w:szCs w:val="16"/>
        </w:rPr>
        <w:tab/>
      </w:r>
      <w:r w:rsidR="00585998">
        <w:rPr>
          <w:rFonts w:ascii="Arial" w:hAnsi="Arial" w:cs="Arial"/>
          <w:sz w:val="16"/>
          <w:szCs w:val="16"/>
        </w:rPr>
        <w:t>Carlos Enrique Uribe Lozada</w:t>
      </w:r>
      <w:r w:rsidRPr="009427D5">
        <w:rPr>
          <w:rFonts w:ascii="Arial" w:hAnsi="Arial" w:cs="Arial"/>
          <w:sz w:val="16"/>
          <w:szCs w:val="16"/>
        </w:rPr>
        <w:tab/>
      </w:r>
    </w:p>
    <w:p w:rsidR="00332C06" w:rsidRPr="009427D5" w:rsidRDefault="00BA3A34" w:rsidP="0092393F">
      <w:pPr>
        <w:spacing w:after="0" w:line="240" w:lineRule="auto"/>
        <w:rPr>
          <w:rFonts w:ascii="Arial" w:hAnsi="Arial" w:cs="Arial"/>
          <w:sz w:val="16"/>
          <w:szCs w:val="16"/>
        </w:rPr>
      </w:pPr>
      <w:r w:rsidRPr="009427D5">
        <w:rPr>
          <w:rFonts w:ascii="Arial" w:hAnsi="Arial" w:cs="Arial"/>
          <w:sz w:val="16"/>
          <w:szCs w:val="16"/>
        </w:rPr>
        <w:t>Elaboró:</w:t>
      </w:r>
      <w:r w:rsidRPr="009427D5">
        <w:rPr>
          <w:rFonts w:ascii="Arial" w:hAnsi="Arial" w:cs="Arial"/>
          <w:sz w:val="16"/>
          <w:szCs w:val="16"/>
        </w:rPr>
        <w:tab/>
      </w:r>
      <w:r w:rsidR="00332C06" w:rsidRPr="009427D5">
        <w:rPr>
          <w:rFonts w:ascii="Arial" w:hAnsi="Arial" w:cs="Arial"/>
          <w:sz w:val="16"/>
          <w:szCs w:val="16"/>
        </w:rPr>
        <w:t>Equipo Auditor</w:t>
      </w:r>
    </w:p>
    <w:p w:rsidR="00EE3CF8" w:rsidRPr="003904A5" w:rsidRDefault="00BA3A34" w:rsidP="003904A5">
      <w:pPr>
        <w:spacing w:after="0" w:line="240" w:lineRule="auto"/>
        <w:rPr>
          <w:rFonts w:ascii="Arial" w:hAnsi="Arial" w:cs="Arial"/>
          <w:sz w:val="16"/>
          <w:szCs w:val="16"/>
        </w:rPr>
      </w:pPr>
      <w:r w:rsidRPr="009427D5">
        <w:rPr>
          <w:rFonts w:ascii="Arial" w:hAnsi="Arial" w:cs="Arial"/>
          <w:sz w:val="16"/>
          <w:szCs w:val="16"/>
        </w:rPr>
        <w:tab/>
      </w:r>
      <w:r w:rsidR="00EE3CF8" w:rsidRPr="009427D5">
        <w:rPr>
          <w:rFonts w:ascii="Arial" w:hAnsi="Arial" w:cs="Arial"/>
          <w:sz w:val="24"/>
          <w:szCs w:val="24"/>
        </w:rPr>
        <w:br w:type="page"/>
      </w:r>
    </w:p>
    <w:p w:rsidR="001507A3" w:rsidRPr="00A306D2" w:rsidRDefault="0092393F" w:rsidP="00A306D2">
      <w:pPr>
        <w:pStyle w:val="Prrafodelista"/>
        <w:numPr>
          <w:ilvl w:val="0"/>
          <w:numId w:val="3"/>
        </w:numPr>
        <w:spacing w:after="0" w:line="240" w:lineRule="auto"/>
        <w:jc w:val="both"/>
        <w:rPr>
          <w:rFonts w:ascii="Arial" w:hAnsi="Arial" w:cs="Arial"/>
          <w:sz w:val="24"/>
          <w:szCs w:val="24"/>
        </w:rPr>
      </w:pPr>
      <w:r w:rsidRPr="00A306D2">
        <w:rPr>
          <w:rFonts w:ascii="Arial" w:hAnsi="Arial" w:cs="Arial"/>
          <w:b/>
          <w:sz w:val="24"/>
          <w:szCs w:val="24"/>
          <w:highlight w:val="white"/>
        </w:rPr>
        <w:lastRenderedPageBreak/>
        <w:t>RESULTADOS DE LA AUDITOR</w:t>
      </w:r>
      <w:r w:rsidR="00130FF6" w:rsidRPr="00A306D2">
        <w:rPr>
          <w:rFonts w:ascii="Arial" w:hAnsi="Arial" w:cs="Arial"/>
          <w:b/>
          <w:sz w:val="24"/>
          <w:szCs w:val="24"/>
          <w:highlight w:val="white"/>
        </w:rPr>
        <w:t>ÍA A LA POLÍ</w:t>
      </w:r>
      <w:r w:rsidRPr="00A306D2">
        <w:rPr>
          <w:rFonts w:ascii="Arial" w:hAnsi="Arial" w:cs="Arial"/>
          <w:b/>
          <w:sz w:val="24"/>
          <w:szCs w:val="24"/>
          <w:highlight w:val="white"/>
        </w:rPr>
        <w:t xml:space="preserve">TICA PÚBLICA DE: </w:t>
      </w:r>
      <w:r w:rsidR="001507A3" w:rsidRPr="00A306D2">
        <w:rPr>
          <w:rFonts w:ascii="Arial" w:hAnsi="Arial" w:cs="Arial"/>
          <w:sz w:val="24"/>
          <w:szCs w:val="24"/>
        </w:rPr>
        <w:t xml:space="preserve">Promover el Fortalecimiento de la Justicia - Justicia Formal, </w:t>
      </w:r>
      <w:r w:rsidR="00332C06" w:rsidRPr="00A306D2">
        <w:rPr>
          <w:rFonts w:ascii="Arial" w:hAnsi="Arial" w:cs="Arial"/>
          <w:sz w:val="24"/>
          <w:szCs w:val="24"/>
        </w:rPr>
        <w:t>Descongestión y Oralidad</w:t>
      </w:r>
      <w:r w:rsidR="00714A35" w:rsidRPr="00A306D2">
        <w:rPr>
          <w:rFonts w:ascii="Arial" w:hAnsi="Arial" w:cs="Arial"/>
          <w:sz w:val="24"/>
          <w:szCs w:val="24"/>
        </w:rPr>
        <w:t>.</w:t>
      </w:r>
      <w:r w:rsidR="001507A3" w:rsidRPr="00A306D2">
        <w:rPr>
          <w:rFonts w:ascii="Arial" w:hAnsi="Arial" w:cs="Arial"/>
          <w:sz w:val="24"/>
          <w:szCs w:val="24"/>
        </w:rPr>
        <w:t xml:space="preserve"> </w:t>
      </w:r>
    </w:p>
    <w:p w:rsidR="004654FF" w:rsidRPr="009427D5" w:rsidRDefault="004654FF" w:rsidP="004654FF">
      <w:pPr>
        <w:spacing w:after="0" w:line="320" w:lineRule="atLeast"/>
        <w:jc w:val="both"/>
        <w:rPr>
          <w:rFonts w:ascii="Arial" w:hAnsi="Arial" w:cs="Arial"/>
          <w:sz w:val="24"/>
          <w:szCs w:val="24"/>
        </w:rPr>
      </w:pPr>
    </w:p>
    <w:p w:rsidR="00CC46D6" w:rsidRPr="009427D5" w:rsidRDefault="009757F4" w:rsidP="004654FF">
      <w:pPr>
        <w:spacing w:after="0" w:line="320" w:lineRule="atLeast"/>
        <w:jc w:val="both"/>
        <w:rPr>
          <w:rFonts w:ascii="Arial" w:hAnsi="Arial" w:cs="Arial"/>
          <w:b/>
          <w:sz w:val="24"/>
          <w:szCs w:val="24"/>
        </w:rPr>
      </w:pPr>
      <w:r w:rsidRPr="009427D5">
        <w:rPr>
          <w:rFonts w:ascii="Arial" w:hAnsi="Arial" w:cs="Arial"/>
          <w:b/>
          <w:sz w:val="24"/>
          <w:szCs w:val="24"/>
        </w:rPr>
        <w:t>2.1 SÍNTESIS DE LA POLÍTICA PÚBLICA EVALUADA</w:t>
      </w:r>
    </w:p>
    <w:p w:rsidR="004654FF" w:rsidRDefault="004654FF" w:rsidP="004654FF">
      <w:pPr>
        <w:spacing w:after="0" w:line="320" w:lineRule="atLeast"/>
        <w:jc w:val="both"/>
        <w:rPr>
          <w:rFonts w:ascii="Arial" w:hAnsi="Arial" w:cs="Arial"/>
          <w:b/>
          <w:sz w:val="24"/>
          <w:szCs w:val="24"/>
        </w:rPr>
      </w:pPr>
    </w:p>
    <w:p w:rsidR="00332E71" w:rsidRPr="009427D5" w:rsidRDefault="00332E71" w:rsidP="00332E71">
      <w:pPr>
        <w:autoSpaceDE w:val="0"/>
        <w:autoSpaceDN w:val="0"/>
        <w:adjustRightInd w:val="0"/>
        <w:spacing w:after="0" w:line="240" w:lineRule="auto"/>
        <w:jc w:val="both"/>
        <w:rPr>
          <w:rFonts w:ascii="Arial" w:hAnsi="Arial" w:cs="Arial"/>
          <w:sz w:val="24"/>
          <w:szCs w:val="24"/>
          <w:lang w:eastAsia="es-CO"/>
        </w:rPr>
      </w:pPr>
      <w:r w:rsidRPr="009427D5">
        <w:rPr>
          <w:rFonts w:ascii="Arial" w:hAnsi="Arial" w:cs="Arial"/>
          <w:sz w:val="24"/>
          <w:szCs w:val="24"/>
        </w:rPr>
        <w:t xml:space="preserve">En el documento Bases del Plan Nacional de Desarrollo “2010-2014” se establece como uno de sus lineamientos estratégicos la “justicia formal, oralidad y descongestión”, en el cual se determina que </w:t>
      </w:r>
      <w:r w:rsidRPr="009427D5">
        <w:rPr>
          <w:rFonts w:ascii="Arial" w:hAnsi="Arial" w:cs="Arial"/>
          <w:i/>
          <w:sz w:val="24"/>
          <w:szCs w:val="24"/>
        </w:rPr>
        <w:t>“e</w:t>
      </w:r>
      <w:r w:rsidRPr="009427D5">
        <w:rPr>
          <w:rFonts w:ascii="Arial" w:hAnsi="Arial" w:cs="Arial"/>
          <w:i/>
          <w:sz w:val="24"/>
          <w:szCs w:val="24"/>
          <w:lang w:eastAsia="es-CO"/>
        </w:rPr>
        <w:t>l Gobierno trabajará coordinadamente con la Rama Judicial a fin de definir políticas ambiciosas que permitan enfrentar decididamente el problema de la congestión judicial y contar con una justicia al día”</w:t>
      </w:r>
      <w:r w:rsidRPr="009427D5">
        <w:rPr>
          <w:rFonts w:ascii="Arial" w:hAnsi="Arial" w:cs="Arial"/>
          <w:sz w:val="24"/>
          <w:szCs w:val="24"/>
          <w:lang w:eastAsia="es-CO"/>
        </w:rPr>
        <w:t xml:space="preserve">. Para ello se definió como una de las estrategias fundamentales, la implementación gradual de la oralidad en las distintas jurisdicciones y especialidades, así como la flexibilización y armonización de procedimientos.  Con ello se espera lograr reducción en los tiempos procesales y una mayor y oportuna capacidad de respuesta del aparato de justicia a las demandas ciudadanas. </w:t>
      </w:r>
      <w:r w:rsidR="00A766AD">
        <w:rPr>
          <w:rFonts w:ascii="Arial" w:hAnsi="Arial" w:cs="Arial"/>
          <w:sz w:val="24"/>
          <w:szCs w:val="24"/>
          <w:lang w:eastAsia="es-CO"/>
        </w:rPr>
        <w:t>S</w:t>
      </w:r>
      <w:r w:rsidRPr="009427D5">
        <w:rPr>
          <w:rFonts w:ascii="Arial" w:hAnsi="Arial" w:cs="Arial"/>
          <w:sz w:val="24"/>
          <w:szCs w:val="24"/>
          <w:lang w:eastAsia="es-CO"/>
        </w:rPr>
        <w:t>e establece además que para los efectos de la implementación gradual de la oralidad, se adoptarían las reformas legales correspondientes.</w:t>
      </w:r>
    </w:p>
    <w:p w:rsidR="00332E71" w:rsidRPr="009427D5" w:rsidRDefault="00332E71" w:rsidP="00332E71">
      <w:pPr>
        <w:autoSpaceDE w:val="0"/>
        <w:autoSpaceDN w:val="0"/>
        <w:adjustRightInd w:val="0"/>
        <w:spacing w:after="0" w:line="240" w:lineRule="auto"/>
        <w:jc w:val="both"/>
        <w:rPr>
          <w:rFonts w:ascii="Arial" w:hAnsi="Arial" w:cs="Arial"/>
          <w:sz w:val="24"/>
          <w:szCs w:val="24"/>
          <w:lang w:eastAsia="es-CO"/>
        </w:rPr>
      </w:pPr>
    </w:p>
    <w:p w:rsidR="00332E71" w:rsidRPr="009427D5" w:rsidRDefault="00332E71" w:rsidP="00332E71">
      <w:pPr>
        <w:autoSpaceDE w:val="0"/>
        <w:autoSpaceDN w:val="0"/>
        <w:adjustRightInd w:val="0"/>
        <w:spacing w:after="0" w:line="240" w:lineRule="auto"/>
        <w:jc w:val="both"/>
        <w:rPr>
          <w:rFonts w:ascii="Arial" w:hAnsi="Arial" w:cs="Arial"/>
          <w:sz w:val="24"/>
          <w:szCs w:val="24"/>
          <w:lang w:eastAsia="es-CO"/>
        </w:rPr>
      </w:pPr>
      <w:r w:rsidRPr="009427D5">
        <w:rPr>
          <w:rFonts w:ascii="Arial" w:hAnsi="Arial" w:cs="Arial"/>
          <w:sz w:val="24"/>
          <w:szCs w:val="24"/>
          <w:lang w:eastAsia="es-CO"/>
        </w:rPr>
        <w:t>El Plan Sectorial de Desarrollo de la Rama Judicial 2011-1014, se incorpora como parte integrante del “Plan Nacional de Desarrollo (PND) 2010-2014”</w:t>
      </w:r>
      <w:r w:rsidRPr="009427D5">
        <w:rPr>
          <w:rStyle w:val="Refdenotaalpie"/>
          <w:rFonts w:ascii="Arial" w:hAnsi="Arial" w:cs="Arial"/>
          <w:sz w:val="24"/>
          <w:szCs w:val="24"/>
          <w:lang w:eastAsia="es-CO"/>
        </w:rPr>
        <w:footnoteReference w:id="2"/>
      </w:r>
      <w:r w:rsidRPr="009427D5">
        <w:rPr>
          <w:rFonts w:ascii="Arial" w:hAnsi="Arial" w:cs="Arial"/>
          <w:sz w:val="24"/>
          <w:szCs w:val="24"/>
          <w:lang w:eastAsia="es-CO"/>
        </w:rPr>
        <w:t>. El Plan Sectorial se denomina “Hacia una justicia eficiente, un propósito nacional” y allí se establecen entre otras, como prioridades de la administración de justicia la generalización de la oralidad  y la descongestión y justicia al día, en concordancia con el PND.</w:t>
      </w:r>
    </w:p>
    <w:p w:rsidR="00332E71" w:rsidRPr="009427D5" w:rsidRDefault="00332E71" w:rsidP="004654FF">
      <w:pPr>
        <w:autoSpaceDE w:val="0"/>
        <w:autoSpaceDN w:val="0"/>
        <w:adjustRightInd w:val="0"/>
        <w:spacing w:after="0" w:line="280" w:lineRule="exact"/>
        <w:jc w:val="both"/>
        <w:rPr>
          <w:rFonts w:ascii="Arial" w:hAnsi="Arial" w:cs="Arial"/>
          <w:sz w:val="24"/>
          <w:szCs w:val="24"/>
        </w:rPr>
      </w:pPr>
    </w:p>
    <w:p w:rsidR="00332E71" w:rsidRPr="009427D5" w:rsidRDefault="00332E71" w:rsidP="00332E71">
      <w:pPr>
        <w:autoSpaceDE w:val="0"/>
        <w:autoSpaceDN w:val="0"/>
        <w:adjustRightInd w:val="0"/>
        <w:spacing w:after="0" w:line="240" w:lineRule="auto"/>
        <w:jc w:val="both"/>
        <w:rPr>
          <w:rFonts w:ascii="Arial" w:hAnsi="Arial" w:cs="Arial"/>
          <w:b/>
          <w:sz w:val="24"/>
          <w:szCs w:val="24"/>
        </w:rPr>
      </w:pPr>
      <w:r w:rsidRPr="009427D5">
        <w:rPr>
          <w:rFonts w:ascii="Arial" w:hAnsi="Arial" w:cs="Arial"/>
          <w:sz w:val="24"/>
          <w:szCs w:val="24"/>
          <w:lang w:eastAsia="es-CO"/>
        </w:rPr>
        <w:t xml:space="preserve">Como objetivo general del Plan Sectorial se determinó </w:t>
      </w:r>
      <w:r w:rsidRPr="009427D5">
        <w:rPr>
          <w:rFonts w:ascii="Arial" w:hAnsi="Arial" w:cs="Arial"/>
          <w:i/>
          <w:sz w:val="24"/>
          <w:szCs w:val="24"/>
          <w:lang w:eastAsia="es-CO"/>
        </w:rPr>
        <w:t>“Acercar la Justicia al ciudadano, con modelos de gestión judicial que visibilicen las actuaciones Judiciales, en forma sistémica con la colaboración armónica de otros organismos del Estado que apoyan la Administración de Justicia, descongestionando el servicio, tomando como eje fundamental profundizar la eficiencia y eficacia del sistema de justicia, velando por la calidad del servicio, la transparencia en las actuaciones y la autonomía administrativa e independencia judicial”.</w:t>
      </w:r>
    </w:p>
    <w:p w:rsidR="00332E71" w:rsidRPr="009427D5" w:rsidRDefault="00332E71" w:rsidP="004654FF">
      <w:pPr>
        <w:pStyle w:val="Textopredeterminado"/>
        <w:tabs>
          <w:tab w:val="left" w:pos="3120"/>
        </w:tabs>
        <w:spacing w:line="280" w:lineRule="exact"/>
        <w:jc w:val="both"/>
        <w:rPr>
          <w:rFonts w:ascii="Arial" w:hAnsi="Arial" w:cs="Arial"/>
          <w:b/>
          <w:szCs w:val="24"/>
          <w:lang w:val="es-CO"/>
        </w:rPr>
      </w:pPr>
    </w:p>
    <w:p w:rsidR="00332E71" w:rsidRDefault="00332E71" w:rsidP="00332E71">
      <w:pPr>
        <w:pStyle w:val="Textopredeterminado"/>
        <w:tabs>
          <w:tab w:val="left" w:pos="3120"/>
        </w:tabs>
        <w:jc w:val="both"/>
        <w:rPr>
          <w:rFonts w:ascii="Arial" w:hAnsi="Arial" w:cs="Arial"/>
          <w:szCs w:val="24"/>
          <w:lang w:val="es-CO"/>
        </w:rPr>
      </w:pPr>
      <w:r w:rsidRPr="009427D5">
        <w:rPr>
          <w:rFonts w:ascii="Arial" w:hAnsi="Arial" w:cs="Arial"/>
          <w:szCs w:val="24"/>
          <w:lang w:val="es-CO"/>
        </w:rPr>
        <w:t xml:space="preserve">Ahora bien, en relación con el objetivo específico fortalecer el acceso a la justicia, se planteó cumplir con el mandato judicial sobre Juez en cada Municipio y con el de fortalecer la eficiencia y eficacia de la gestión judicial, se determinó que las políticas son llevar a efecto los mandatos legales de oralidad, propender por mantener la administración de justicia al día, justicia moderna en sus </w:t>
      </w:r>
      <w:r w:rsidRPr="009427D5">
        <w:rPr>
          <w:rFonts w:ascii="Arial" w:hAnsi="Arial" w:cs="Arial"/>
          <w:szCs w:val="24"/>
          <w:lang w:val="es-CO"/>
        </w:rPr>
        <w:lastRenderedPageBreak/>
        <w:t>procedimientos, modernización de la infraestructura física y tecnológica, entre las principales.</w:t>
      </w:r>
    </w:p>
    <w:p w:rsidR="00A306D2" w:rsidRPr="009427D5" w:rsidRDefault="00A306D2" w:rsidP="00332E71">
      <w:pPr>
        <w:pStyle w:val="Textopredeterminado"/>
        <w:tabs>
          <w:tab w:val="left" w:pos="3120"/>
        </w:tabs>
        <w:jc w:val="both"/>
        <w:rPr>
          <w:rFonts w:ascii="Arial" w:hAnsi="Arial" w:cs="Arial"/>
          <w:szCs w:val="24"/>
          <w:lang w:val="es-CO"/>
        </w:rPr>
      </w:pPr>
    </w:p>
    <w:p w:rsidR="00332E71" w:rsidRPr="009427D5" w:rsidRDefault="00F625C9" w:rsidP="00332E71">
      <w:pPr>
        <w:pStyle w:val="Textopredeterminado"/>
        <w:tabs>
          <w:tab w:val="left" w:pos="3120"/>
        </w:tabs>
        <w:jc w:val="both"/>
        <w:rPr>
          <w:rFonts w:ascii="Arial" w:hAnsi="Arial" w:cs="Arial"/>
          <w:szCs w:val="24"/>
          <w:lang w:val="es-CO"/>
        </w:rPr>
      </w:pPr>
      <w:r>
        <w:rPr>
          <w:rFonts w:ascii="Arial" w:hAnsi="Arial" w:cs="Arial"/>
          <w:szCs w:val="24"/>
          <w:lang w:val="es-CO"/>
        </w:rPr>
        <w:t>E</w:t>
      </w:r>
      <w:r w:rsidR="00332E71" w:rsidRPr="009427D5">
        <w:rPr>
          <w:rFonts w:ascii="Arial" w:hAnsi="Arial" w:cs="Arial"/>
          <w:szCs w:val="24"/>
          <w:lang w:val="es-CO"/>
        </w:rPr>
        <w:t>specíficamente en relación con la generalización de la oralidad en el trámite procesal, se estableció que la Corporación ha coordinado la apuesta interinstitucional por la implementación de la oralidad en el proceso judicial, que promueve la agilidad en el procedimiento.</w:t>
      </w:r>
    </w:p>
    <w:p w:rsidR="00A66DC2" w:rsidRPr="009427D5" w:rsidRDefault="00A66DC2" w:rsidP="00332E71">
      <w:pPr>
        <w:pStyle w:val="Textopredeterminado"/>
        <w:tabs>
          <w:tab w:val="left" w:pos="3120"/>
        </w:tabs>
        <w:jc w:val="both"/>
        <w:rPr>
          <w:rFonts w:ascii="Arial" w:hAnsi="Arial" w:cs="Arial"/>
          <w:szCs w:val="24"/>
          <w:lang w:val="es-CO"/>
        </w:rPr>
      </w:pPr>
    </w:p>
    <w:p w:rsidR="00A66DC2" w:rsidRPr="009427D5" w:rsidRDefault="00A66DC2" w:rsidP="00A66DC2">
      <w:pPr>
        <w:spacing w:after="0" w:line="240" w:lineRule="auto"/>
        <w:jc w:val="both"/>
        <w:rPr>
          <w:rFonts w:ascii="Arial" w:hAnsi="Arial" w:cs="Arial"/>
          <w:sz w:val="24"/>
          <w:szCs w:val="24"/>
        </w:rPr>
      </w:pPr>
      <w:r w:rsidRPr="009427D5">
        <w:rPr>
          <w:rFonts w:ascii="Arial" w:hAnsi="Arial" w:cs="Arial"/>
          <w:sz w:val="24"/>
          <w:szCs w:val="24"/>
        </w:rPr>
        <w:t>La oralidad en la justicia colombiana surge como la solución a la problemática que se estaba presentando en el trámite de los juicios en las diferentes jurisdicciones. La congestión judicial, la mora, la impunidad y los trámites interminables, han generado en la sociedad una falta de credibilidad en la justicia y en su estructura judicial. Es por lo que se inicia la implementación de un sistema procesal más expedito que garantice la eliminación de los inconvenientes que presenta la justicia y genere confianza en el usuario</w:t>
      </w:r>
      <w:r w:rsidRPr="009427D5">
        <w:rPr>
          <w:rStyle w:val="Refdenotaalpie"/>
          <w:rFonts w:ascii="Arial" w:hAnsi="Arial" w:cs="Arial"/>
          <w:sz w:val="24"/>
          <w:szCs w:val="24"/>
        </w:rPr>
        <w:footnoteReference w:id="3"/>
      </w:r>
      <w:r w:rsidRPr="009427D5">
        <w:rPr>
          <w:rFonts w:ascii="Arial" w:hAnsi="Arial" w:cs="Arial"/>
          <w:sz w:val="24"/>
          <w:szCs w:val="24"/>
        </w:rPr>
        <w:t>.</w:t>
      </w:r>
    </w:p>
    <w:p w:rsidR="00A66DC2" w:rsidRPr="009427D5" w:rsidRDefault="00A66DC2" w:rsidP="00A66DC2">
      <w:pPr>
        <w:autoSpaceDE w:val="0"/>
        <w:autoSpaceDN w:val="0"/>
        <w:adjustRightInd w:val="0"/>
        <w:spacing w:after="0" w:line="240" w:lineRule="auto"/>
        <w:jc w:val="both"/>
        <w:rPr>
          <w:rFonts w:ascii="Arial" w:hAnsi="Arial" w:cs="Arial"/>
          <w:bCs/>
          <w:sz w:val="24"/>
          <w:szCs w:val="24"/>
        </w:rPr>
      </w:pPr>
    </w:p>
    <w:p w:rsidR="00A66DC2" w:rsidRPr="009427D5" w:rsidRDefault="00A66DC2" w:rsidP="00A66DC2">
      <w:pPr>
        <w:autoSpaceDE w:val="0"/>
        <w:autoSpaceDN w:val="0"/>
        <w:adjustRightInd w:val="0"/>
        <w:spacing w:after="0" w:line="240" w:lineRule="auto"/>
        <w:jc w:val="both"/>
        <w:rPr>
          <w:rFonts w:ascii="Arial" w:hAnsi="Arial" w:cs="Arial"/>
          <w:sz w:val="24"/>
          <w:szCs w:val="24"/>
        </w:rPr>
      </w:pPr>
      <w:r w:rsidRPr="009427D5">
        <w:rPr>
          <w:rFonts w:ascii="Arial" w:hAnsi="Arial" w:cs="Arial"/>
          <w:bCs/>
          <w:sz w:val="24"/>
          <w:szCs w:val="24"/>
        </w:rPr>
        <w:t xml:space="preserve">El principio rector de la Oralidad en los procesos judiciales se introdujo con la Ley </w:t>
      </w:r>
      <w:r w:rsidRPr="009427D5">
        <w:rPr>
          <w:rFonts w:ascii="Arial" w:hAnsi="Arial" w:cs="Arial"/>
          <w:sz w:val="24"/>
          <w:szCs w:val="24"/>
        </w:rPr>
        <w:t xml:space="preserve">270 de 1996, modificada por la Ley 1285 de 1999, así para cada una de las especialidades se estableció el marco normativo: en lo que se refiere a los asuntos penales, la Ley 906 de 2004 </w:t>
      </w:r>
      <w:r w:rsidRPr="009427D5">
        <w:rPr>
          <w:rFonts w:ascii="Arial" w:hAnsi="Arial" w:cs="Arial"/>
          <w:i/>
          <w:iCs/>
          <w:sz w:val="24"/>
          <w:szCs w:val="24"/>
        </w:rPr>
        <w:t>“Por la cual se expide el Código de Procedimiento Penal”</w:t>
      </w:r>
      <w:r w:rsidRPr="009427D5">
        <w:rPr>
          <w:rFonts w:ascii="Arial" w:hAnsi="Arial" w:cs="Arial"/>
          <w:sz w:val="24"/>
          <w:szCs w:val="24"/>
        </w:rPr>
        <w:t xml:space="preserve">, en su Artículo 9°, adoptó el Sistema Penal Acusatorio– en adelante SPA-, cuyos principios rectores son la oralidad, la celeridad y la inmediación. </w:t>
      </w:r>
    </w:p>
    <w:p w:rsidR="00A66DC2" w:rsidRPr="009427D5" w:rsidRDefault="00A66DC2" w:rsidP="00A66DC2">
      <w:pPr>
        <w:autoSpaceDE w:val="0"/>
        <w:autoSpaceDN w:val="0"/>
        <w:adjustRightInd w:val="0"/>
        <w:spacing w:after="0" w:line="240" w:lineRule="auto"/>
        <w:jc w:val="both"/>
        <w:rPr>
          <w:rFonts w:ascii="Arial" w:hAnsi="Arial" w:cs="Arial"/>
          <w:sz w:val="24"/>
          <w:szCs w:val="24"/>
        </w:rPr>
      </w:pPr>
    </w:p>
    <w:p w:rsidR="00A66DC2" w:rsidRPr="009427D5" w:rsidRDefault="00A66DC2" w:rsidP="00A66DC2">
      <w:pPr>
        <w:autoSpaceDE w:val="0"/>
        <w:autoSpaceDN w:val="0"/>
        <w:adjustRightInd w:val="0"/>
        <w:spacing w:after="0" w:line="240" w:lineRule="auto"/>
        <w:jc w:val="both"/>
        <w:rPr>
          <w:rFonts w:ascii="Arial" w:hAnsi="Arial" w:cs="Arial"/>
          <w:sz w:val="24"/>
          <w:szCs w:val="24"/>
        </w:rPr>
      </w:pPr>
      <w:r w:rsidRPr="009427D5">
        <w:rPr>
          <w:rFonts w:ascii="Arial" w:hAnsi="Arial" w:cs="Arial"/>
          <w:sz w:val="24"/>
          <w:szCs w:val="24"/>
        </w:rPr>
        <w:t xml:space="preserve">Con la Ley 1149 de 2007 </w:t>
      </w:r>
      <w:r w:rsidRPr="009427D5">
        <w:rPr>
          <w:rFonts w:ascii="Arial" w:hAnsi="Arial" w:cs="Arial"/>
          <w:i/>
          <w:iCs/>
          <w:sz w:val="24"/>
          <w:szCs w:val="24"/>
        </w:rPr>
        <w:t>“Por la cual se reforma el Código Procesal del Trabajo y de la Seguridad Social para hacer efectiva la oralidad en sus procesos</w:t>
      </w:r>
      <w:r w:rsidRPr="009427D5">
        <w:rPr>
          <w:rFonts w:ascii="Arial" w:hAnsi="Arial" w:cs="Arial"/>
          <w:sz w:val="24"/>
          <w:szCs w:val="24"/>
        </w:rPr>
        <w:t>” se dispuso la transición gradual de lo escritural a la oralidad estableciendo un término no superior a cuatro años, a partir del 1 de enero de 2008.</w:t>
      </w:r>
    </w:p>
    <w:p w:rsidR="00A66DC2" w:rsidRPr="009427D5" w:rsidRDefault="00A66DC2" w:rsidP="00A66DC2">
      <w:pPr>
        <w:autoSpaceDE w:val="0"/>
        <w:autoSpaceDN w:val="0"/>
        <w:adjustRightInd w:val="0"/>
        <w:spacing w:after="0" w:line="240" w:lineRule="auto"/>
        <w:rPr>
          <w:rFonts w:ascii="Arial" w:hAnsi="Arial" w:cs="Arial"/>
          <w:sz w:val="24"/>
          <w:szCs w:val="24"/>
        </w:rPr>
      </w:pPr>
    </w:p>
    <w:p w:rsidR="00A66DC2" w:rsidRDefault="00A66DC2" w:rsidP="00A66DC2">
      <w:pPr>
        <w:autoSpaceDE w:val="0"/>
        <w:autoSpaceDN w:val="0"/>
        <w:adjustRightInd w:val="0"/>
        <w:spacing w:after="0" w:line="240" w:lineRule="auto"/>
        <w:jc w:val="both"/>
        <w:rPr>
          <w:rFonts w:ascii="Arial" w:hAnsi="Arial" w:cs="Arial"/>
          <w:sz w:val="24"/>
          <w:szCs w:val="24"/>
        </w:rPr>
      </w:pPr>
      <w:r w:rsidRPr="009427D5">
        <w:rPr>
          <w:rFonts w:ascii="Arial" w:hAnsi="Arial" w:cs="Arial"/>
          <w:sz w:val="24"/>
          <w:szCs w:val="24"/>
        </w:rPr>
        <w:t>Respecto a la jurisdicción Ordinaria Civil, la Ley 1395 de 2010</w:t>
      </w:r>
      <w:r w:rsidRPr="009427D5">
        <w:rPr>
          <w:rFonts w:ascii="Arial" w:hAnsi="Arial" w:cs="Arial"/>
          <w:i/>
          <w:iCs/>
          <w:sz w:val="24"/>
          <w:szCs w:val="24"/>
        </w:rPr>
        <w:t xml:space="preserve"> “Por la cual se adoptan medidas en materia de descongestión judicial”</w:t>
      </w:r>
      <w:r w:rsidRPr="009427D5">
        <w:rPr>
          <w:rFonts w:ascii="Arial" w:hAnsi="Arial" w:cs="Arial"/>
          <w:sz w:val="24"/>
          <w:szCs w:val="24"/>
        </w:rPr>
        <w:t xml:space="preserve"> determinó la entrada en vigencia a partir del 1° de enero de 2011 de la oralidad en forma gradual a medida que se disponga de los recursos físicos necesarios, en un plazo máximo de tres años, que fue prorrogado al 31 de diciembre de 2014</w:t>
      </w:r>
      <w:r w:rsidRPr="009427D5">
        <w:rPr>
          <w:rStyle w:val="Refdenotaalpie"/>
          <w:rFonts w:ascii="Arial" w:hAnsi="Arial" w:cs="Arial"/>
          <w:sz w:val="24"/>
          <w:szCs w:val="24"/>
        </w:rPr>
        <w:footnoteReference w:id="4"/>
      </w:r>
      <w:r w:rsidRPr="009427D5">
        <w:rPr>
          <w:rFonts w:ascii="Arial" w:hAnsi="Arial" w:cs="Arial"/>
          <w:sz w:val="24"/>
          <w:szCs w:val="24"/>
        </w:rPr>
        <w:t>.</w:t>
      </w:r>
    </w:p>
    <w:p w:rsidR="004654FF" w:rsidRPr="009427D5" w:rsidRDefault="004654FF" w:rsidP="00A66DC2">
      <w:pPr>
        <w:autoSpaceDE w:val="0"/>
        <w:autoSpaceDN w:val="0"/>
        <w:adjustRightInd w:val="0"/>
        <w:spacing w:after="0" w:line="240" w:lineRule="auto"/>
        <w:jc w:val="both"/>
        <w:rPr>
          <w:rFonts w:ascii="Arial" w:hAnsi="Arial" w:cs="Arial"/>
          <w:color w:val="FF0000"/>
          <w:sz w:val="24"/>
          <w:szCs w:val="24"/>
        </w:rPr>
      </w:pPr>
    </w:p>
    <w:p w:rsidR="00A66DC2" w:rsidRPr="009427D5" w:rsidRDefault="00A66DC2" w:rsidP="00A66DC2">
      <w:pPr>
        <w:autoSpaceDE w:val="0"/>
        <w:autoSpaceDN w:val="0"/>
        <w:adjustRightInd w:val="0"/>
        <w:spacing w:after="0" w:line="240" w:lineRule="auto"/>
        <w:jc w:val="both"/>
        <w:rPr>
          <w:rFonts w:ascii="Arial" w:hAnsi="Arial" w:cs="Arial"/>
          <w:color w:val="FF0000"/>
          <w:sz w:val="24"/>
          <w:szCs w:val="24"/>
        </w:rPr>
      </w:pPr>
      <w:r w:rsidRPr="009427D5">
        <w:rPr>
          <w:rFonts w:ascii="Arial" w:hAnsi="Arial" w:cs="Arial"/>
          <w:bCs/>
          <w:sz w:val="24"/>
          <w:szCs w:val="24"/>
        </w:rPr>
        <w:t>En relación con las especialidades Civil, Agrario y Familia, con la expedición de la Ley 1564 de 2012 (Código General del Proceso), se establece que su  aplicación será gradual, durante el período 2012-2014 y en un plazo máximo de tres años, es decir, a 2016.</w:t>
      </w:r>
    </w:p>
    <w:p w:rsidR="00A66DC2" w:rsidRPr="009427D5" w:rsidRDefault="00A66DC2" w:rsidP="00A66DC2">
      <w:pPr>
        <w:autoSpaceDE w:val="0"/>
        <w:autoSpaceDN w:val="0"/>
        <w:adjustRightInd w:val="0"/>
        <w:spacing w:after="0" w:line="240" w:lineRule="auto"/>
        <w:rPr>
          <w:rFonts w:ascii="Arial" w:hAnsi="Arial" w:cs="Arial"/>
          <w:sz w:val="24"/>
          <w:szCs w:val="24"/>
        </w:rPr>
      </w:pPr>
    </w:p>
    <w:p w:rsidR="00A66DC2" w:rsidRPr="009427D5" w:rsidRDefault="00A66DC2" w:rsidP="000738DE">
      <w:pPr>
        <w:autoSpaceDE w:val="0"/>
        <w:autoSpaceDN w:val="0"/>
        <w:adjustRightInd w:val="0"/>
        <w:spacing w:after="0" w:line="240" w:lineRule="auto"/>
        <w:jc w:val="both"/>
        <w:rPr>
          <w:rFonts w:ascii="Arial" w:hAnsi="Arial" w:cs="Arial"/>
          <w:sz w:val="24"/>
          <w:szCs w:val="24"/>
        </w:rPr>
      </w:pPr>
      <w:r w:rsidRPr="009427D5">
        <w:rPr>
          <w:rFonts w:ascii="Arial" w:hAnsi="Arial" w:cs="Arial"/>
          <w:sz w:val="24"/>
          <w:szCs w:val="24"/>
        </w:rPr>
        <w:lastRenderedPageBreak/>
        <w:t xml:space="preserve">Finalmente, en relación con Jurisdicción de lo Contencioso Administrativo, la Ley 1437 de 2011 “Por la cual se expide el Código de Procedimiento Administrativo y de lo Contencioso Administrativo”, que entró en vigencia el 2 de julio de 2012, adoptó el nuevo modelo procesal para los asuntos de conocimiento de esta jurisdicción y estableció la ejecución de un Plan Especial de Descongestión para la implementación del nuevo régimen procesal, que no podrá sobrepasar el término de cuatro años a partir de la adopción por parte del Consejo de Estado y el Consejo Superior de la Judicatura, es decir, hasta el año 2015. </w:t>
      </w:r>
    </w:p>
    <w:p w:rsidR="00A66DC2" w:rsidRPr="009427D5" w:rsidRDefault="00A66DC2" w:rsidP="000738DE">
      <w:pPr>
        <w:autoSpaceDE w:val="0"/>
        <w:autoSpaceDN w:val="0"/>
        <w:adjustRightInd w:val="0"/>
        <w:spacing w:after="0" w:line="240" w:lineRule="auto"/>
        <w:jc w:val="both"/>
        <w:rPr>
          <w:rFonts w:ascii="Arial" w:hAnsi="Arial" w:cs="Arial"/>
          <w:bCs/>
          <w:color w:val="FF0000"/>
          <w:sz w:val="24"/>
          <w:szCs w:val="24"/>
        </w:rPr>
      </w:pPr>
    </w:p>
    <w:p w:rsidR="00332E71" w:rsidRPr="009427D5" w:rsidRDefault="00A66DC2" w:rsidP="000738DE">
      <w:pPr>
        <w:pStyle w:val="Textopredeterminado"/>
        <w:tabs>
          <w:tab w:val="left" w:pos="3120"/>
        </w:tabs>
        <w:jc w:val="both"/>
        <w:rPr>
          <w:rFonts w:ascii="Arial" w:hAnsi="Arial" w:cs="Arial"/>
          <w:szCs w:val="24"/>
          <w:lang w:val="es-CO"/>
        </w:rPr>
      </w:pPr>
      <w:r w:rsidRPr="009427D5">
        <w:rPr>
          <w:rFonts w:ascii="Arial" w:hAnsi="Arial" w:cs="Arial"/>
          <w:szCs w:val="24"/>
          <w:lang w:val="es-CO"/>
        </w:rPr>
        <w:t>De otra parte, e</w:t>
      </w:r>
      <w:r w:rsidR="00332E71" w:rsidRPr="009427D5">
        <w:rPr>
          <w:rFonts w:ascii="Arial" w:hAnsi="Arial" w:cs="Arial"/>
          <w:szCs w:val="24"/>
          <w:lang w:val="es-CO"/>
        </w:rPr>
        <w:t>n cumplimiento de lo dispuesto en la Ley 1285 de 2009, la Sala Administrativa del Consejo Superior de la Judicatura, con el propósito de brindar mayor celeridad a la Administración de Justicia, ha adoptado diversas medidas tendientes a eliminar el fenómeno de la congestión judicial, con el fin de que se puedan cumplir los principios de celeridad y eficiencia en la resolución de conflictos presentados ante los despachos Judiciales.</w:t>
      </w:r>
    </w:p>
    <w:p w:rsidR="006E4FC2" w:rsidRPr="009427D5" w:rsidRDefault="006E4FC2" w:rsidP="000738DE">
      <w:pPr>
        <w:spacing w:after="0" w:line="240" w:lineRule="auto"/>
        <w:jc w:val="both"/>
        <w:rPr>
          <w:rFonts w:ascii="Arial" w:hAnsi="Arial" w:cs="Arial"/>
          <w:sz w:val="24"/>
          <w:szCs w:val="24"/>
        </w:rPr>
      </w:pPr>
    </w:p>
    <w:p w:rsidR="00332E71" w:rsidRPr="009427D5" w:rsidRDefault="00332E71" w:rsidP="000738DE">
      <w:pPr>
        <w:spacing w:after="0" w:line="240" w:lineRule="auto"/>
        <w:jc w:val="both"/>
        <w:rPr>
          <w:rFonts w:ascii="Arial" w:hAnsi="Arial" w:cs="Arial"/>
          <w:i/>
          <w:sz w:val="24"/>
          <w:szCs w:val="24"/>
        </w:rPr>
      </w:pPr>
      <w:r w:rsidRPr="009427D5">
        <w:rPr>
          <w:rFonts w:ascii="Arial" w:hAnsi="Arial" w:cs="Arial"/>
          <w:sz w:val="24"/>
          <w:szCs w:val="24"/>
        </w:rPr>
        <w:t>Así, en su artículo 63, establece “</w:t>
      </w:r>
      <w:r w:rsidRPr="009427D5">
        <w:rPr>
          <w:rFonts w:ascii="Arial" w:hAnsi="Arial" w:cs="Arial"/>
          <w:bCs/>
          <w:i/>
          <w:sz w:val="24"/>
          <w:szCs w:val="24"/>
        </w:rPr>
        <w:t>Plan y Medidas de Descongestión</w:t>
      </w:r>
      <w:r w:rsidRPr="009427D5">
        <w:rPr>
          <w:rFonts w:ascii="Arial" w:hAnsi="Arial" w:cs="Arial"/>
          <w:i/>
          <w:sz w:val="24"/>
          <w:szCs w:val="24"/>
        </w:rPr>
        <w:t>. Habrá un plan nacional de descongestión que será concertado con la Sala Administrativa del Consejo Superior de la Judicatura, según correspondiere. En dicho plan se definirán los objetivos, los indicadores de congestión, las estrategias, términos y los mecanismos de evaluación de la aplicación de las medidas”.</w:t>
      </w:r>
    </w:p>
    <w:p w:rsidR="00332E71" w:rsidRPr="009427D5" w:rsidRDefault="00332E71" w:rsidP="00332E71">
      <w:pPr>
        <w:spacing w:after="0" w:line="240" w:lineRule="auto"/>
        <w:jc w:val="both"/>
        <w:rPr>
          <w:rFonts w:ascii="Arial" w:hAnsi="Arial" w:cs="Arial"/>
          <w:sz w:val="24"/>
          <w:szCs w:val="24"/>
        </w:rPr>
      </w:pPr>
      <w:r w:rsidRPr="009427D5">
        <w:rPr>
          <w:rFonts w:ascii="Arial" w:hAnsi="Arial" w:cs="Arial"/>
          <w:sz w:val="24"/>
          <w:szCs w:val="24"/>
        </w:rPr>
        <w:t>Entre las medidas a adoptar, la Ley determina las siguientes:</w:t>
      </w:r>
    </w:p>
    <w:p w:rsidR="00332E71" w:rsidRPr="009427D5" w:rsidRDefault="00332E71" w:rsidP="00332E71">
      <w:pPr>
        <w:spacing w:after="0" w:line="240" w:lineRule="auto"/>
        <w:jc w:val="both"/>
        <w:rPr>
          <w:rFonts w:ascii="Arial" w:hAnsi="Arial" w:cs="Arial"/>
          <w:sz w:val="24"/>
          <w:szCs w:val="24"/>
        </w:rPr>
      </w:pPr>
    </w:p>
    <w:p w:rsidR="00332E71" w:rsidRPr="009427D5" w:rsidRDefault="00332E71" w:rsidP="00332E71">
      <w:pPr>
        <w:pStyle w:val="Prrafodelista"/>
        <w:numPr>
          <w:ilvl w:val="0"/>
          <w:numId w:val="17"/>
        </w:numPr>
        <w:spacing w:after="0" w:line="240" w:lineRule="auto"/>
        <w:jc w:val="both"/>
        <w:rPr>
          <w:rFonts w:ascii="Arial" w:hAnsi="Arial" w:cs="Arial"/>
          <w:sz w:val="24"/>
          <w:szCs w:val="24"/>
        </w:rPr>
      </w:pPr>
      <w:r w:rsidRPr="009427D5">
        <w:rPr>
          <w:rFonts w:ascii="Arial" w:hAnsi="Arial" w:cs="Arial"/>
          <w:sz w:val="24"/>
          <w:szCs w:val="24"/>
        </w:rPr>
        <w:t>El Consejo Superior de la Judicatura, respetando la especialidad funcional y la competencia territorial podrá redistribuir los asuntos que los tribunales y juzgados tengan para fallo, asignándolos a despachos de la misma jerarquía, que tengan una carga laboral que, a juicio de la misma Sala, lo permita.</w:t>
      </w:r>
    </w:p>
    <w:p w:rsidR="00332E71" w:rsidRPr="009427D5" w:rsidRDefault="00332E71" w:rsidP="00332E71">
      <w:pPr>
        <w:pStyle w:val="Prrafodelista"/>
        <w:numPr>
          <w:ilvl w:val="0"/>
          <w:numId w:val="17"/>
        </w:numPr>
        <w:spacing w:after="0" w:line="240" w:lineRule="auto"/>
        <w:jc w:val="both"/>
        <w:rPr>
          <w:rFonts w:ascii="Arial" w:hAnsi="Arial" w:cs="Arial"/>
          <w:sz w:val="24"/>
          <w:szCs w:val="24"/>
        </w:rPr>
      </w:pPr>
      <w:r w:rsidRPr="009427D5">
        <w:rPr>
          <w:rFonts w:ascii="Arial" w:hAnsi="Arial" w:cs="Arial"/>
          <w:sz w:val="24"/>
          <w:szCs w:val="24"/>
        </w:rPr>
        <w:t xml:space="preserve">La Sala Administrativa creará los cargos de Jueces y Magistrados de Apoyo Itinerantes en cada jurisdicción, para atender las mayores cargas por congestión en los Despachos. </w:t>
      </w:r>
    </w:p>
    <w:p w:rsidR="00332E71" w:rsidRPr="009427D5" w:rsidRDefault="00332E71" w:rsidP="00332E71">
      <w:pPr>
        <w:pStyle w:val="Prrafodelista"/>
        <w:numPr>
          <w:ilvl w:val="0"/>
          <w:numId w:val="17"/>
        </w:numPr>
        <w:spacing w:after="0" w:line="240" w:lineRule="auto"/>
        <w:jc w:val="both"/>
        <w:rPr>
          <w:rFonts w:ascii="Arial" w:hAnsi="Arial" w:cs="Arial"/>
          <w:sz w:val="24"/>
          <w:szCs w:val="24"/>
        </w:rPr>
      </w:pPr>
      <w:r w:rsidRPr="009427D5">
        <w:rPr>
          <w:rFonts w:ascii="Arial" w:hAnsi="Arial" w:cs="Arial"/>
          <w:sz w:val="24"/>
          <w:szCs w:val="24"/>
        </w:rPr>
        <w:t xml:space="preserve">Salvo en materia penal, seleccionar los procesos cuyas pruebas, incluso inspecciones, puedan ser practicadas mediante comisión conferida por el Juez de Conocimiento, y determinar los jueces que deban trasladarse </w:t>
      </w:r>
      <w:r w:rsidR="00C4395C" w:rsidRPr="009427D5">
        <w:rPr>
          <w:rFonts w:ascii="Arial" w:hAnsi="Arial" w:cs="Arial"/>
          <w:sz w:val="24"/>
          <w:szCs w:val="24"/>
        </w:rPr>
        <w:t>fuera</w:t>
      </w:r>
      <w:r w:rsidRPr="009427D5">
        <w:rPr>
          <w:rFonts w:ascii="Arial" w:hAnsi="Arial" w:cs="Arial"/>
          <w:sz w:val="24"/>
          <w:szCs w:val="24"/>
        </w:rPr>
        <w:t xml:space="preserve"> del lugar de su sede, para instruir y practicar pruebas en procesos que estén conociendo otros jueces.</w:t>
      </w:r>
    </w:p>
    <w:p w:rsidR="00332E71" w:rsidRPr="009427D5" w:rsidRDefault="00332E71" w:rsidP="00332E71">
      <w:pPr>
        <w:pStyle w:val="Prrafodelista"/>
        <w:numPr>
          <w:ilvl w:val="0"/>
          <w:numId w:val="17"/>
        </w:numPr>
        <w:spacing w:after="0" w:line="240" w:lineRule="auto"/>
        <w:jc w:val="both"/>
        <w:rPr>
          <w:rFonts w:ascii="Arial" w:hAnsi="Arial" w:cs="Arial"/>
          <w:sz w:val="24"/>
          <w:szCs w:val="24"/>
        </w:rPr>
      </w:pPr>
      <w:r w:rsidRPr="009427D5">
        <w:rPr>
          <w:rFonts w:ascii="Arial" w:hAnsi="Arial" w:cs="Arial"/>
          <w:sz w:val="24"/>
          <w:szCs w:val="24"/>
        </w:rPr>
        <w:t>De manera excepcional, crear con carácter transitorio cargos de Jueces o Magistrados, Sustanciadores, de acuerdo con la Ley de presupuesto.</w:t>
      </w:r>
    </w:p>
    <w:p w:rsidR="00332E71" w:rsidRPr="009427D5" w:rsidRDefault="00332E71" w:rsidP="00332E71">
      <w:pPr>
        <w:pStyle w:val="Prrafodelista"/>
        <w:numPr>
          <w:ilvl w:val="0"/>
          <w:numId w:val="17"/>
        </w:numPr>
        <w:spacing w:after="0" w:line="240" w:lineRule="auto"/>
        <w:jc w:val="both"/>
        <w:rPr>
          <w:rFonts w:ascii="Arial" w:hAnsi="Arial" w:cs="Arial"/>
          <w:sz w:val="24"/>
          <w:szCs w:val="24"/>
        </w:rPr>
      </w:pPr>
      <w:r w:rsidRPr="009427D5">
        <w:rPr>
          <w:rFonts w:ascii="Arial" w:hAnsi="Arial" w:cs="Arial"/>
          <w:sz w:val="24"/>
          <w:szCs w:val="24"/>
        </w:rPr>
        <w:t>Vincular de manera transitoria a empleados judiciales encargados de realizar funciones que se definan en el Plan de Descongestión, de una Jurisdicción, de un Distrito Judicial, o Despachos Judiciales específicos, y</w:t>
      </w:r>
    </w:p>
    <w:p w:rsidR="00332E71" w:rsidRPr="009427D5" w:rsidRDefault="00332E71" w:rsidP="00332E71">
      <w:pPr>
        <w:pStyle w:val="Prrafodelista"/>
        <w:numPr>
          <w:ilvl w:val="0"/>
          <w:numId w:val="17"/>
        </w:numPr>
        <w:spacing w:after="0" w:line="240" w:lineRule="auto"/>
        <w:jc w:val="both"/>
        <w:rPr>
          <w:rFonts w:ascii="Arial" w:hAnsi="Arial" w:cs="Arial"/>
          <w:sz w:val="24"/>
          <w:szCs w:val="24"/>
        </w:rPr>
      </w:pPr>
      <w:r w:rsidRPr="009427D5">
        <w:rPr>
          <w:rFonts w:ascii="Arial" w:hAnsi="Arial" w:cs="Arial"/>
          <w:sz w:val="24"/>
          <w:szCs w:val="24"/>
        </w:rPr>
        <w:lastRenderedPageBreak/>
        <w:t>Contratar a término fijo profesionales expertos y de personal auxiliar para cumplir las funciones de apoyo que se fijen en el Plan de Descongestión.</w:t>
      </w:r>
    </w:p>
    <w:p w:rsidR="00332E71" w:rsidRPr="009427D5" w:rsidRDefault="00332E71" w:rsidP="00332E71">
      <w:pPr>
        <w:spacing w:after="0" w:line="240" w:lineRule="auto"/>
        <w:jc w:val="both"/>
        <w:rPr>
          <w:rFonts w:ascii="Arial" w:hAnsi="Arial" w:cs="Arial"/>
          <w:sz w:val="24"/>
          <w:szCs w:val="24"/>
        </w:rPr>
      </w:pPr>
      <w:r w:rsidRPr="009427D5">
        <w:rPr>
          <w:rFonts w:ascii="Arial" w:hAnsi="Arial" w:cs="Arial"/>
          <w:sz w:val="24"/>
          <w:szCs w:val="24"/>
        </w:rPr>
        <w:t xml:space="preserve">En el parágrafo transitorio del Artículo 1º que modificó el artículo 4º de la Ley 270 de 1996, estableció </w:t>
      </w:r>
      <w:r w:rsidRPr="009427D5">
        <w:rPr>
          <w:rFonts w:ascii="Arial" w:hAnsi="Arial" w:cs="Arial"/>
          <w:i/>
          <w:sz w:val="24"/>
          <w:szCs w:val="24"/>
        </w:rPr>
        <w:t>“</w:t>
      </w:r>
      <w:proofErr w:type="spellStart"/>
      <w:r w:rsidRPr="009427D5">
        <w:rPr>
          <w:rFonts w:ascii="Arial" w:hAnsi="Arial" w:cs="Arial"/>
          <w:i/>
          <w:sz w:val="24"/>
          <w:szCs w:val="24"/>
        </w:rPr>
        <w:t>Autorízase</w:t>
      </w:r>
      <w:proofErr w:type="spellEnd"/>
      <w:r w:rsidRPr="009427D5">
        <w:rPr>
          <w:rFonts w:ascii="Arial" w:hAnsi="Arial" w:cs="Arial"/>
          <w:i/>
          <w:sz w:val="24"/>
          <w:szCs w:val="24"/>
        </w:rPr>
        <w:t xml:space="preserve"> al Gobierno Nacional para que </w:t>
      </w:r>
      <w:r w:rsidRPr="009427D5">
        <w:rPr>
          <w:rFonts w:ascii="Arial" w:hAnsi="Arial" w:cs="Arial"/>
          <w:i/>
          <w:sz w:val="24"/>
          <w:szCs w:val="24"/>
          <w:u w:val="single"/>
        </w:rPr>
        <w:t>durante los próximos cuatro años</w:t>
      </w:r>
      <w:r w:rsidRPr="009427D5">
        <w:rPr>
          <w:rFonts w:ascii="Arial" w:hAnsi="Arial" w:cs="Arial"/>
          <w:i/>
          <w:sz w:val="24"/>
          <w:szCs w:val="24"/>
        </w:rPr>
        <w:t xml:space="preserve"> incluya en el presupuesto de rentas y gastos una partida equivalente hasta el 0.5% del Producto Interno Bruto de acuerdo con las disponibilidades presupuestales, el Marco Fiscal de Mediano Plazo y el Marco de Gastos, para desarrollar gradualmente la oralidad en todos los procesos judiciales que determine la ley y para la ejecución de los planes de descongestión”. </w:t>
      </w:r>
      <w:r w:rsidRPr="009427D5">
        <w:rPr>
          <w:rFonts w:ascii="Arial" w:hAnsi="Arial" w:cs="Arial"/>
          <w:sz w:val="24"/>
          <w:szCs w:val="24"/>
        </w:rPr>
        <w:t>(</w:t>
      </w:r>
      <w:r w:rsidR="00C4395C" w:rsidRPr="009427D5">
        <w:rPr>
          <w:rFonts w:ascii="Arial" w:hAnsi="Arial" w:cs="Arial"/>
          <w:sz w:val="24"/>
          <w:szCs w:val="24"/>
        </w:rPr>
        <w:t>Subrayas</w:t>
      </w:r>
      <w:r w:rsidRPr="009427D5">
        <w:rPr>
          <w:rFonts w:ascii="Arial" w:hAnsi="Arial" w:cs="Arial"/>
          <w:sz w:val="24"/>
          <w:szCs w:val="24"/>
        </w:rPr>
        <w:t xml:space="preserve"> fuera de texto).</w:t>
      </w:r>
    </w:p>
    <w:p w:rsidR="00F63686" w:rsidRPr="009427D5" w:rsidRDefault="00F63686" w:rsidP="00332E71">
      <w:pPr>
        <w:pStyle w:val="Textopredeterminado"/>
        <w:rPr>
          <w:rFonts w:ascii="Arial" w:hAnsi="Arial" w:cs="Arial"/>
          <w:i/>
          <w:szCs w:val="24"/>
          <w:lang w:val="es-CO"/>
        </w:rPr>
      </w:pPr>
    </w:p>
    <w:p w:rsidR="00332E71" w:rsidRPr="009427D5" w:rsidRDefault="00332E71" w:rsidP="00332E71">
      <w:pPr>
        <w:pStyle w:val="Textopredeterminado"/>
        <w:rPr>
          <w:rFonts w:ascii="Arial" w:hAnsi="Arial" w:cs="Arial"/>
          <w:i/>
          <w:szCs w:val="24"/>
          <w:lang w:val="es-CO"/>
        </w:rPr>
      </w:pPr>
      <w:r w:rsidRPr="009427D5">
        <w:rPr>
          <w:rFonts w:ascii="Arial" w:hAnsi="Arial" w:cs="Arial"/>
          <w:i/>
          <w:szCs w:val="24"/>
          <w:lang w:val="es-CO"/>
        </w:rPr>
        <w:t>Plan de Inversiones</w:t>
      </w:r>
    </w:p>
    <w:p w:rsidR="00332E71" w:rsidRPr="009427D5" w:rsidRDefault="00332E71" w:rsidP="00332E71">
      <w:pPr>
        <w:pStyle w:val="Textopredeterminado"/>
        <w:jc w:val="both"/>
        <w:rPr>
          <w:rFonts w:ascii="Arial" w:hAnsi="Arial" w:cs="Arial"/>
          <w:szCs w:val="24"/>
          <w:lang w:val="es-CO"/>
        </w:rPr>
      </w:pPr>
    </w:p>
    <w:p w:rsidR="00332E71" w:rsidRPr="009427D5" w:rsidRDefault="00332E71" w:rsidP="00332E71">
      <w:pPr>
        <w:pStyle w:val="Textopredeterminado"/>
        <w:jc w:val="both"/>
        <w:rPr>
          <w:rFonts w:ascii="Arial" w:hAnsi="Arial" w:cs="Arial"/>
          <w:szCs w:val="24"/>
          <w:lang w:val="es-CO"/>
        </w:rPr>
      </w:pPr>
      <w:r w:rsidRPr="009427D5">
        <w:rPr>
          <w:rFonts w:ascii="Arial" w:hAnsi="Arial" w:cs="Arial"/>
          <w:szCs w:val="24"/>
          <w:lang w:val="es-CO"/>
        </w:rPr>
        <w:t>El Plan Sectorial de la Rama 2011-2014, t</w:t>
      </w:r>
      <w:r w:rsidR="00C4395C" w:rsidRPr="009427D5">
        <w:rPr>
          <w:rFonts w:ascii="Arial" w:hAnsi="Arial" w:cs="Arial"/>
          <w:szCs w:val="24"/>
          <w:lang w:val="es-CO"/>
        </w:rPr>
        <w:t>enía u</w:t>
      </w:r>
      <w:r w:rsidRPr="009427D5">
        <w:rPr>
          <w:rFonts w:ascii="Arial" w:hAnsi="Arial" w:cs="Arial"/>
          <w:szCs w:val="24"/>
          <w:lang w:val="es-CO"/>
        </w:rPr>
        <w:t>n costo de $1,46 billones, a precios de 2013, de los cuales, 45% se ejecutarían  durante las vigencias 2011 y 2012 ($646.705 millones). El 76% de los recursos totales ($1,09 billones),  ser</w:t>
      </w:r>
      <w:r w:rsidR="00C4395C" w:rsidRPr="009427D5">
        <w:rPr>
          <w:rFonts w:ascii="Arial" w:hAnsi="Arial" w:cs="Arial"/>
          <w:szCs w:val="24"/>
          <w:lang w:val="es-CO"/>
        </w:rPr>
        <w:t xml:space="preserve">ían </w:t>
      </w:r>
      <w:r w:rsidRPr="009427D5">
        <w:rPr>
          <w:rFonts w:ascii="Arial" w:hAnsi="Arial" w:cs="Arial"/>
          <w:szCs w:val="24"/>
          <w:lang w:val="es-CO"/>
        </w:rPr>
        <w:t xml:space="preserve"> dedicados al cumplimiento del Objetivo Estratégico de Eficiencia y Eficacia de la gestión judicial, especialmente dirigidos a oralidad y descongestión judicial. </w:t>
      </w:r>
    </w:p>
    <w:p w:rsidR="00332E71" w:rsidRPr="009427D5" w:rsidRDefault="00332E71" w:rsidP="00332E71">
      <w:pPr>
        <w:pStyle w:val="Textopredeterminado"/>
        <w:tabs>
          <w:tab w:val="left" w:pos="3120"/>
        </w:tabs>
        <w:jc w:val="both"/>
        <w:rPr>
          <w:rFonts w:ascii="Arial" w:hAnsi="Arial" w:cs="Arial"/>
          <w:szCs w:val="24"/>
          <w:lang w:val="es-CO"/>
        </w:rPr>
      </w:pPr>
    </w:p>
    <w:p w:rsidR="00332E71" w:rsidRPr="009427D5" w:rsidRDefault="00332E71" w:rsidP="00332E71">
      <w:pPr>
        <w:pStyle w:val="Textopredeterminado"/>
        <w:tabs>
          <w:tab w:val="left" w:pos="3120"/>
        </w:tabs>
        <w:jc w:val="both"/>
        <w:rPr>
          <w:rFonts w:ascii="Arial" w:hAnsi="Arial" w:cs="Arial"/>
          <w:szCs w:val="24"/>
          <w:lang w:val="es-CO"/>
        </w:rPr>
      </w:pPr>
      <w:r w:rsidRPr="009427D5">
        <w:rPr>
          <w:rFonts w:ascii="Arial" w:hAnsi="Arial" w:cs="Arial"/>
          <w:szCs w:val="24"/>
          <w:lang w:val="es-CO"/>
        </w:rPr>
        <w:t>Para el objetivo de Calidad y Competitividad se destinarán $178.635 millones en el cuatrienio (12%); para Acceso $124.891 millones (9%); para Confianza, Visibilidad y Transparencia $47.302 millones (3%); y para Fortalecimiento Institucional $5.134 millones.</w:t>
      </w:r>
    </w:p>
    <w:p w:rsidR="00332E71" w:rsidRPr="009427D5" w:rsidRDefault="00332E71" w:rsidP="0092393F">
      <w:pPr>
        <w:spacing w:after="0" w:line="240" w:lineRule="auto"/>
        <w:jc w:val="both"/>
        <w:rPr>
          <w:rFonts w:ascii="Arial" w:hAnsi="Arial" w:cs="Arial"/>
          <w:b/>
          <w:sz w:val="24"/>
          <w:szCs w:val="24"/>
        </w:rPr>
      </w:pPr>
    </w:p>
    <w:p w:rsidR="005A1B75" w:rsidRPr="009427D5" w:rsidRDefault="00CC46D6" w:rsidP="005A1B75">
      <w:pPr>
        <w:spacing w:after="0" w:line="240" w:lineRule="auto"/>
        <w:jc w:val="both"/>
        <w:rPr>
          <w:rFonts w:ascii="Arial" w:hAnsi="Arial" w:cs="Arial"/>
          <w:b/>
          <w:sz w:val="24"/>
          <w:szCs w:val="24"/>
        </w:rPr>
      </w:pPr>
      <w:r w:rsidRPr="009427D5">
        <w:rPr>
          <w:rFonts w:ascii="Arial" w:hAnsi="Arial" w:cs="Arial"/>
          <w:b/>
          <w:sz w:val="24"/>
          <w:szCs w:val="24"/>
        </w:rPr>
        <w:t>2.</w:t>
      </w:r>
      <w:r w:rsidR="004C07E8" w:rsidRPr="009427D5">
        <w:rPr>
          <w:rFonts w:ascii="Arial" w:hAnsi="Arial" w:cs="Arial"/>
          <w:b/>
          <w:sz w:val="24"/>
          <w:szCs w:val="24"/>
        </w:rPr>
        <w:t>1.1</w:t>
      </w:r>
      <w:r w:rsidRPr="009427D5">
        <w:rPr>
          <w:rFonts w:ascii="Arial" w:hAnsi="Arial" w:cs="Arial"/>
          <w:b/>
          <w:sz w:val="24"/>
          <w:szCs w:val="24"/>
        </w:rPr>
        <w:t xml:space="preserve"> </w:t>
      </w:r>
      <w:r w:rsidR="005A1B75" w:rsidRPr="009427D5">
        <w:rPr>
          <w:rFonts w:ascii="Arial" w:hAnsi="Arial" w:cs="Arial"/>
          <w:b/>
          <w:sz w:val="24"/>
          <w:szCs w:val="24"/>
        </w:rPr>
        <w:t xml:space="preserve">Información general de la política </w:t>
      </w:r>
    </w:p>
    <w:p w:rsidR="00BC6BC9" w:rsidRPr="009427D5" w:rsidRDefault="00BC6BC9" w:rsidP="00332E71">
      <w:pPr>
        <w:autoSpaceDE w:val="0"/>
        <w:autoSpaceDN w:val="0"/>
        <w:adjustRightInd w:val="0"/>
        <w:spacing w:after="0" w:line="240" w:lineRule="auto"/>
        <w:jc w:val="both"/>
        <w:rPr>
          <w:rFonts w:ascii="Arial" w:hAnsi="Arial" w:cs="Arial"/>
          <w:sz w:val="24"/>
          <w:szCs w:val="24"/>
          <w:lang w:eastAsia="es-CO"/>
        </w:rPr>
      </w:pPr>
    </w:p>
    <w:p w:rsidR="00332E71" w:rsidRPr="009427D5" w:rsidRDefault="00332E71" w:rsidP="00332E71">
      <w:pPr>
        <w:autoSpaceDE w:val="0"/>
        <w:autoSpaceDN w:val="0"/>
        <w:adjustRightInd w:val="0"/>
        <w:spacing w:after="0" w:line="240" w:lineRule="auto"/>
        <w:jc w:val="both"/>
        <w:rPr>
          <w:rFonts w:ascii="Arial" w:hAnsi="Arial" w:cs="Arial"/>
          <w:sz w:val="24"/>
          <w:szCs w:val="24"/>
          <w:lang w:eastAsia="es-CO"/>
        </w:rPr>
      </w:pPr>
      <w:r w:rsidRPr="009427D5">
        <w:rPr>
          <w:rFonts w:ascii="Arial" w:hAnsi="Arial" w:cs="Arial"/>
          <w:sz w:val="24"/>
          <w:szCs w:val="24"/>
          <w:lang w:eastAsia="es-CO"/>
        </w:rPr>
        <w:t>En el marco de la Consolidación para la Paz, se estableció la siguiente meta estratégica con su respectivo indicador:</w:t>
      </w:r>
    </w:p>
    <w:p w:rsidR="00332E71" w:rsidRPr="009427D5" w:rsidRDefault="00332E71" w:rsidP="00332E71">
      <w:pPr>
        <w:autoSpaceDE w:val="0"/>
        <w:autoSpaceDN w:val="0"/>
        <w:adjustRightInd w:val="0"/>
        <w:spacing w:after="0" w:line="240" w:lineRule="auto"/>
        <w:jc w:val="both"/>
        <w:rPr>
          <w:rFonts w:ascii="Arial" w:hAnsi="Arial" w:cs="Arial"/>
          <w:sz w:val="24"/>
          <w:szCs w:val="24"/>
          <w:lang w:eastAsia="es-CO"/>
        </w:rPr>
      </w:pPr>
    </w:p>
    <w:p w:rsidR="008A2EC6" w:rsidRPr="00A306D2" w:rsidRDefault="00424F2A" w:rsidP="008A2EC6">
      <w:pPr>
        <w:autoSpaceDE w:val="0"/>
        <w:autoSpaceDN w:val="0"/>
        <w:adjustRightInd w:val="0"/>
        <w:spacing w:after="0" w:line="240" w:lineRule="auto"/>
        <w:jc w:val="center"/>
        <w:rPr>
          <w:rFonts w:ascii="Arial" w:hAnsi="Arial" w:cs="Arial"/>
          <w:b/>
          <w:sz w:val="16"/>
          <w:szCs w:val="16"/>
          <w:lang w:eastAsia="es-CO"/>
        </w:rPr>
      </w:pPr>
      <w:r w:rsidRPr="00A306D2">
        <w:rPr>
          <w:rFonts w:ascii="Arial" w:hAnsi="Arial" w:cs="Arial"/>
          <w:b/>
          <w:sz w:val="16"/>
          <w:szCs w:val="16"/>
          <w:lang w:eastAsia="es-CO"/>
        </w:rPr>
        <w:t>Tabla</w:t>
      </w:r>
      <w:r w:rsidR="008A2EC6" w:rsidRPr="00A306D2">
        <w:rPr>
          <w:rFonts w:ascii="Arial" w:hAnsi="Arial" w:cs="Arial"/>
          <w:b/>
          <w:sz w:val="16"/>
          <w:szCs w:val="16"/>
          <w:lang w:eastAsia="es-CO"/>
        </w:rPr>
        <w:t xml:space="preserve"> No.</w:t>
      </w:r>
      <w:r w:rsidRPr="00A306D2">
        <w:rPr>
          <w:rFonts w:ascii="Arial" w:hAnsi="Arial" w:cs="Arial"/>
          <w:b/>
          <w:sz w:val="16"/>
          <w:szCs w:val="16"/>
          <w:lang w:eastAsia="es-CO"/>
        </w:rPr>
        <w:t xml:space="preserve"> 2. Meta Descongestión Procesos Judiciales – </w:t>
      </w:r>
    </w:p>
    <w:p w:rsidR="00332E71" w:rsidRPr="00A306D2" w:rsidRDefault="00424F2A" w:rsidP="008A2EC6">
      <w:pPr>
        <w:autoSpaceDE w:val="0"/>
        <w:autoSpaceDN w:val="0"/>
        <w:adjustRightInd w:val="0"/>
        <w:spacing w:after="0" w:line="240" w:lineRule="auto"/>
        <w:jc w:val="center"/>
        <w:rPr>
          <w:rFonts w:ascii="Arial" w:hAnsi="Arial" w:cs="Arial"/>
          <w:b/>
          <w:sz w:val="16"/>
          <w:szCs w:val="16"/>
          <w:lang w:eastAsia="es-CO"/>
        </w:rPr>
      </w:pPr>
      <w:r w:rsidRPr="00A306D2">
        <w:rPr>
          <w:rFonts w:ascii="Arial" w:hAnsi="Arial" w:cs="Arial"/>
          <w:b/>
          <w:sz w:val="16"/>
          <w:szCs w:val="16"/>
          <w:lang w:eastAsia="es-CO"/>
        </w:rPr>
        <w:t>Documento Bases Plan de Desarrollo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1665"/>
        <w:gridCol w:w="1666"/>
        <w:gridCol w:w="2091"/>
        <w:gridCol w:w="1149"/>
      </w:tblGrid>
      <w:tr w:rsidR="00332E71" w:rsidRPr="00A306D2" w:rsidTr="00F0571F">
        <w:tc>
          <w:tcPr>
            <w:tcW w:w="2483" w:type="dxa"/>
            <w:shd w:val="clear" w:color="auto" w:fill="auto"/>
          </w:tcPr>
          <w:p w:rsidR="00332E71" w:rsidRPr="00A306D2" w:rsidRDefault="00332E71" w:rsidP="00F0571F">
            <w:pPr>
              <w:pStyle w:val="Textopredeterminado"/>
              <w:jc w:val="center"/>
              <w:rPr>
                <w:rFonts w:ascii="Arial" w:hAnsi="Arial" w:cs="Arial"/>
                <w:b/>
                <w:sz w:val="16"/>
                <w:szCs w:val="16"/>
                <w:lang w:val="es-CO"/>
              </w:rPr>
            </w:pPr>
            <w:r w:rsidRPr="00A306D2">
              <w:rPr>
                <w:rFonts w:ascii="Arial" w:hAnsi="Arial" w:cs="Arial"/>
                <w:b/>
                <w:sz w:val="16"/>
                <w:szCs w:val="16"/>
                <w:lang w:val="es-CO"/>
              </w:rPr>
              <w:t>Objetivos/Indicadores Estratégicos</w:t>
            </w:r>
          </w:p>
        </w:tc>
        <w:tc>
          <w:tcPr>
            <w:tcW w:w="1665" w:type="dxa"/>
            <w:shd w:val="clear" w:color="auto" w:fill="auto"/>
          </w:tcPr>
          <w:p w:rsidR="00332E71" w:rsidRPr="00A306D2" w:rsidRDefault="00332E71" w:rsidP="00F0571F">
            <w:pPr>
              <w:pStyle w:val="Textopredeterminado"/>
              <w:jc w:val="center"/>
              <w:rPr>
                <w:rFonts w:ascii="Arial" w:hAnsi="Arial" w:cs="Arial"/>
                <w:b/>
                <w:sz w:val="16"/>
                <w:szCs w:val="16"/>
                <w:lang w:val="es-CO"/>
              </w:rPr>
            </w:pPr>
            <w:r w:rsidRPr="00A306D2">
              <w:rPr>
                <w:rFonts w:ascii="Arial" w:hAnsi="Arial" w:cs="Arial"/>
                <w:b/>
                <w:sz w:val="16"/>
                <w:szCs w:val="16"/>
                <w:lang w:val="es-CO"/>
              </w:rPr>
              <w:t>Línea Base</w:t>
            </w:r>
          </w:p>
        </w:tc>
        <w:tc>
          <w:tcPr>
            <w:tcW w:w="1666" w:type="dxa"/>
            <w:shd w:val="clear" w:color="auto" w:fill="auto"/>
          </w:tcPr>
          <w:p w:rsidR="00332E71" w:rsidRPr="00A306D2" w:rsidRDefault="00332E71" w:rsidP="00F0571F">
            <w:pPr>
              <w:pStyle w:val="Textopredeterminado"/>
              <w:jc w:val="center"/>
              <w:rPr>
                <w:rFonts w:ascii="Arial" w:hAnsi="Arial" w:cs="Arial"/>
                <w:b/>
                <w:sz w:val="16"/>
                <w:szCs w:val="16"/>
                <w:lang w:val="es-CO"/>
              </w:rPr>
            </w:pPr>
            <w:r w:rsidRPr="00A306D2">
              <w:rPr>
                <w:rFonts w:ascii="Arial" w:hAnsi="Arial" w:cs="Arial"/>
                <w:b/>
                <w:sz w:val="16"/>
                <w:szCs w:val="16"/>
                <w:lang w:val="es-CO"/>
              </w:rPr>
              <w:t>2014</w:t>
            </w:r>
          </w:p>
        </w:tc>
        <w:tc>
          <w:tcPr>
            <w:tcW w:w="2091" w:type="dxa"/>
            <w:shd w:val="clear" w:color="auto" w:fill="auto"/>
          </w:tcPr>
          <w:p w:rsidR="00332E71" w:rsidRPr="00A306D2" w:rsidRDefault="00332E71" w:rsidP="00F0571F">
            <w:pPr>
              <w:pStyle w:val="Textopredeterminado"/>
              <w:jc w:val="center"/>
              <w:rPr>
                <w:rFonts w:ascii="Arial" w:hAnsi="Arial" w:cs="Arial"/>
                <w:b/>
                <w:sz w:val="16"/>
                <w:szCs w:val="16"/>
                <w:lang w:val="es-CO"/>
              </w:rPr>
            </w:pPr>
            <w:r w:rsidRPr="00A306D2">
              <w:rPr>
                <w:rFonts w:ascii="Arial" w:hAnsi="Arial" w:cs="Arial"/>
                <w:b/>
                <w:sz w:val="16"/>
                <w:szCs w:val="16"/>
                <w:lang w:val="es-CO"/>
              </w:rPr>
              <w:t>2019 (Visión Colombia 2019)</w:t>
            </w:r>
          </w:p>
        </w:tc>
        <w:tc>
          <w:tcPr>
            <w:tcW w:w="1149" w:type="dxa"/>
            <w:shd w:val="clear" w:color="auto" w:fill="auto"/>
          </w:tcPr>
          <w:p w:rsidR="00332E71" w:rsidRPr="00A306D2" w:rsidRDefault="00332E71" w:rsidP="00F0571F">
            <w:pPr>
              <w:pStyle w:val="Textopredeterminado"/>
              <w:jc w:val="center"/>
              <w:rPr>
                <w:rFonts w:ascii="Arial" w:hAnsi="Arial" w:cs="Arial"/>
                <w:b/>
                <w:sz w:val="16"/>
                <w:szCs w:val="16"/>
                <w:lang w:val="es-CO"/>
              </w:rPr>
            </w:pPr>
            <w:r w:rsidRPr="00A306D2">
              <w:rPr>
                <w:rFonts w:ascii="Arial" w:hAnsi="Arial" w:cs="Arial"/>
                <w:b/>
                <w:sz w:val="16"/>
                <w:szCs w:val="16"/>
                <w:lang w:val="es-CO"/>
              </w:rPr>
              <w:t>2032</w:t>
            </w:r>
          </w:p>
          <w:p w:rsidR="00332E71" w:rsidRPr="00A306D2" w:rsidRDefault="00332E71" w:rsidP="00F0571F">
            <w:pPr>
              <w:pStyle w:val="Textopredeterminado"/>
              <w:jc w:val="center"/>
              <w:rPr>
                <w:rFonts w:ascii="Arial" w:hAnsi="Arial" w:cs="Arial"/>
                <w:b/>
                <w:sz w:val="16"/>
                <w:szCs w:val="16"/>
                <w:lang w:val="es-CO"/>
              </w:rPr>
            </w:pPr>
          </w:p>
        </w:tc>
      </w:tr>
      <w:tr w:rsidR="00332E71" w:rsidRPr="00A306D2" w:rsidTr="00F0571F">
        <w:tc>
          <w:tcPr>
            <w:tcW w:w="2483" w:type="dxa"/>
            <w:shd w:val="clear" w:color="auto" w:fill="auto"/>
          </w:tcPr>
          <w:p w:rsidR="00332E71" w:rsidRPr="00A306D2" w:rsidRDefault="00332E71" w:rsidP="00F0571F">
            <w:pPr>
              <w:pStyle w:val="Textopredeterminado"/>
              <w:jc w:val="both"/>
              <w:rPr>
                <w:rFonts w:ascii="Arial" w:hAnsi="Arial" w:cs="Arial"/>
                <w:b/>
                <w:sz w:val="16"/>
                <w:szCs w:val="16"/>
                <w:lang w:val="es-CO"/>
              </w:rPr>
            </w:pPr>
            <w:r w:rsidRPr="00A306D2">
              <w:rPr>
                <w:rFonts w:ascii="Arial" w:hAnsi="Arial" w:cs="Arial"/>
                <w:b/>
                <w:sz w:val="16"/>
                <w:szCs w:val="16"/>
                <w:lang w:val="es-CO"/>
              </w:rPr>
              <w:t>Consolidación de la Paz</w:t>
            </w:r>
          </w:p>
        </w:tc>
        <w:tc>
          <w:tcPr>
            <w:tcW w:w="1665" w:type="dxa"/>
            <w:shd w:val="clear" w:color="auto" w:fill="auto"/>
          </w:tcPr>
          <w:p w:rsidR="00332E71" w:rsidRPr="00A306D2" w:rsidRDefault="00332E71" w:rsidP="00F0571F">
            <w:pPr>
              <w:pStyle w:val="Textopredeterminado"/>
              <w:jc w:val="both"/>
              <w:rPr>
                <w:rFonts w:ascii="Arial" w:hAnsi="Arial" w:cs="Arial"/>
                <w:b/>
                <w:sz w:val="16"/>
                <w:szCs w:val="16"/>
                <w:lang w:val="es-CO"/>
              </w:rPr>
            </w:pPr>
          </w:p>
        </w:tc>
        <w:tc>
          <w:tcPr>
            <w:tcW w:w="1666" w:type="dxa"/>
            <w:shd w:val="clear" w:color="auto" w:fill="auto"/>
          </w:tcPr>
          <w:p w:rsidR="00332E71" w:rsidRPr="00A306D2" w:rsidRDefault="00332E71" w:rsidP="00F0571F">
            <w:pPr>
              <w:pStyle w:val="Textopredeterminado"/>
              <w:jc w:val="both"/>
              <w:rPr>
                <w:rFonts w:ascii="Arial" w:hAnsi="Arial" w:cs="Arial"/>
                <w:b/>
                <w:sz w:val="16"/>
                <w:szCs w:val="16"/>
                <w:lang w:val="es-CO"/>
              </w:rPr>
            </w:pPr>
          </w:p>
        </w:tc>
        <w:tc>
          <w:tcPr>
            <w:tcW w:w="2091" w:type="dxa"/>
            <w:shd w:val="clear" w:color="auto" w:fill="auto"/>
          </w:tcPr>
          <w:p w:rsidR="00332E71" w:rsidRPr="00A306D2" w:rsidRDefault="00332E71" w:rsidP="00F0571F">
            <w:pPr>
              <w:pStyle w:val="Textopredeterminado"/>
              <w:jc w:val="both"/>
              <w:rPr>
                <w:rFonts w:ascii="Arial" w:hAnsi="Arial" w:cs="Arial"/>
                <w:b/>
                <w:sz w:val="16"/>
                <w:szCs w:val="16"/>
                <w:lang w:val="es-CO"/>
              </w:rPr>
            </w:pPr>
          </w:p>
        </w:tc>
        <w:tc>
          <w:tcPr>
            <w:tcW w:w="1149" w:type="dxa"/>
            <w:shd w:val="clear" w:color="auto" w:fill="auto"/>
          </w:tcPr>
          <w:p w:rsidR="00332E71" w:rsidRPr="00A306D2" w:rsidRDefault="00332E71" w:rsidP="00F0571F">
            <w:pPr>
              <w:pStyle w:val="Textopredeterminado"/>
              <w:jc w:val="both"/>
              <w:rPr>
                <w:rFonts w:ascii="Arial" w:hAnsi="Arial" w:cs="Arial"/>
                <w:b/>
                <w:sz w:val="16"/>
                <w:szCs w:val="16"/>
                <w:lang w:val="es-CO"/>
              </w:rPr>
            </w:pPr>
          </w:p>
        </w:tc>
      </w:tr>
      <w:tr w:rsidR="00332E71" w:rsidRPr="00A306D2" w:rsidTr="00F0571F">
        <w:tc>
          <w:tcPr>
            <w:tcW w:w="2483" w:type="dxa"/>
            <w:shd w:val="clear" w:color="auto" w:fill="auto"/>
          </w:tcPr>
          <w:p w:rsidR="00332E71" w:rsidRPr="00A306D2" w:rsidRDefault="00332E71" w:rsidP="00F0571F">
            <w:pPr>
              <w:pStyle w:val="Textopredeterminado"/>
              <w:jc w:val="both"/>
              <w:rPr>
                <w:rFonts w:ascii="Arial" w:hAnsi="Arial" w:cs="Arial"/>
                <w:b/>
                <w:sz w:val="16"/>
                <w:szCs w:val="16"/>
                <w:lang w:val="es-CO"/>
              </w:rPr>
            </w:pPr>
            <w:r w:rsidRPr="00A306D2">
              <w:rPr>
                <w:rFonts w:ascii="Arial" w:hAnsi="Arial" w:cs="Arial"/>
                <w:b/>
                <w:sz w:val="16"/>
                <w:szCs w:val="16"/>
                <w:lang w:val="es-CO"/>
              </w:rPr>
              <w:t>B. Justicia</w:t>
            </w:r>
          </w:p>
        </w:tc>
        <w:tc>
          <w:tcPr>
            <w:tcW w:w="1665" w:type="dxa"/>
            <w:shd w:val="clear" w:color="auto" w:fill="auto"/>
          </w:tcPr>
          <w:p w:rsidR="00332E71" w:rsidRPr="00A306D2" w:rsidRDefault="00332E71" w:rsidP="00F0571F">
            <w:pPr>
              <w:pStyle w:val="Textopredeterminado"/>
              <w:jc w:val="both"/>
              <w:rPr>
                <w:rFonts w:ascii="Arial" w:hAnsi="Arial" w:cs="Arial"/>
                <w:b/>
                <w:sz w:val="16"/>
                <w:szCs w:val="16"/>
                <w:lang w:val="es-CO"/>
              </w:rPr>
            </w:pPr>
          </w:p>
        </w:tc>
        <w:tc>
          <w:tcPr>
            <w:tcW w:w="1666" w:type="dxa"/>
            <w:shd w:val="clear" w:color="auto" w:fill="auto"/>
          </w:tcPr>
          <w:p w:rsidR="00332E71" w:rsidRPr="00A306D2" w:rsidRDefault="00332E71" w:rsidP="00F0571F">
            <w:pPr>
              <w:pStyle w:val="Textopredeterminado"/>
              <w:jc w:val="both"/>
              <w:rPr>
                <w:rFonts w:ascii="Arial" w:hAnsi="Arial" w:cs="Arial"/>
                <w:b/>
                <w:sz w:val="16"/>
                <w:szCs w:val="16"/>
                <w:lang w:val="es-CO"/>
              </w:rPr>
            </w:pPr>
          </w:p>
        </w:tc>
        <w:tc>
          <w:tcPr>
            <w:tcW w:w="2091" w:type="dxa"/>
            <w:shd w:val="clear" w:color="auto" w:fill="auto"/>
          </w:tcPr>
          <w:p w:rsidR="00332E71" w:rsidRPr="00A306D2" w:rsidRDefault="00332E71" w:rsidP="00F0571F">
            <w:pPr>
              <w:pStyle w:val="Textopredeterminado"/>
              <w:jc w:val="both"/>
              <w:rPr>
                <w:rFonts w:ascii="Arial" w:hAnsi="Arial" w:cs="Arial"/>
                <w:b/>
                <w:sz w:val="16"/>
                <w:szCs w:val="16"/>
                <w:lang w:val="es-CO"/>
              </w:rPr>
            </w:pPr>
          </w:p>
        </w:tc>
        <w:tc>
          <w:tcPr>
            <w:tcW w:w="1149" w:type="dxa"/>
            <w:shd w:val="clear" w:color="auto" w:fill="auto"/>
          </w:tcPr>
          <w:p w:rsidR="00332E71" w:rsidRPr="00A306D2" w:rsidRDefault="00332E71" w:rsidP="00F0571F">
            <w:pPr>
              <w:pStyle w:val="Textopredeterminado"/>
              <w:jc w:val="both"/>
              <w:rPr>
                <w:rFonts w:ascii="Arial" w:hAnsi="Arial" w:cs="Arial"/>
                <w:b/>
                <w:sz w:val="16"/>
                <w:szCs w:val="16"/>
                <w:lang w:val="es-CO"/>
              </w:rPr>
            </w:pPr>
          </w:p>
        </w:tc>
      </w:tr>
      <w:tr w:rsidR="00332E71" w:rsidRPr="00A306D2" w:rsidTr="00F0571F">
        <w:tc>
          <w:tcPr>
            <w:tcW w:w="2483" w:type="dxa"/>
            <w:shd w:val="clear" w:color="auto" w:fill="auto"/>
          </w:tcPr>
          <w:p w:rsidR="00332E71" w:rsidRPr="00A306D2" w:rsidRDefault="00332E71" w:rsidP="00F0571F">
            <w:pPr>
              <w:pStyle w:val="Textopredeterminado"/>
              <w:jc w:val="both"/>
              <w:rPr>
                <w:rFonts w:ascii="Arial" w:hAnsi="Arial" w:cs="Arial"/>
                <w:sz w:val="16"/>
                <w:szCs w:val="16"/>
                <w:lang w:val="es-CO"/>
              </w:rPr>
            </w:pPr>
            <w:r w:rsidRPr="00A306D2">
              <w:rPr>
                <w:rFonts w:ascii="Arial" w:hAnsi="Arial" w:cs="Arial"/>
                <w:sz w:val="16"/>
                <w:szCs w:val="16"/>
                <w:lang w:val="es-CO"/>
              </w:rPr>
              <w:t>Descongestión Judicial (Inventario de procesos judiciales en trámite)</w:t>
            </w:r>
          </w:p>
        </w:tc>
        <w:tc>
          <w:tcPr>
            <w:tcW w:w="1665" w:type="dxa"/>
            <w:shd w:val="clear" w:color="auto" w:fill="auto"/>
          </w:tcPr>
          <w:p w:rsidR="00332E71" w:rsidRPr="00A306D2" w:rsidRDefault="00332E71" w:rsidP="00F0571F">
            <w:pPr>
              <w:pStyle w:val="Textopredeterminado"/>
              <w:jc w:val="right"/>
              <w:rPr>
                <w:rFonts w:ascii="Arial" w:hAnsi="Arial" w:cs="Arial"/>
                <w:sz w:val="16"/>
                <w:szCs w:val="16"/>
                <w:lang w:val="es-CO"/>
              </w:rPr>
            </w:pPr>
            <w:r w:rsidRPr="00A306D2">
              <w:rPr>
                <w:rFonts w:ascii="Arial" w:hAnsi="Arial" w:cs="Arial"/>
                <w:sz w:val="16"/>
                <w:szCs w:val="16"/>
                <w:lang w:val="es-CO"/>
              </w:rPr>
              <w:t>2.350.000</w:t>
            </w:r>
          </w:p>
        </w:tc>
        <w:tc>
          <w:tcPr>
            <w:tcW w:w="1666" w:type="dxa"/>
            <w:shd w:val="clear" w:color="auto" w:fill="auto"/>
          </w:tcPr>
          <w:p w:rsidR="00332E71" w:rsidRPr="00A306D2" w:rsidRDefault="00332E71" w:rsidP="00F0571F">
            <w:pPr>
              <w:pStyle w:val="Textopredeterminado"/>
              <w:jc w:val="right"/>
              <w:rPr>
                <w:rFonts w:ascii="Arial" w:hAnsi="Arial" w:cs="Arial"/>
                <w:sz w:val="16"/>
                <w:szCs w:val="16"/>
                <w:lang w:val="es-CO"/>
              </w:rPr>
            </w:pPr>
            <w:r w:rsidRPr="00A306D2">
              <w:rPr>
                <w:rFonts w:ascii="Arial" w:hAnsi="Arial" w:cs="Arial"/>
                <w:sz w:val="16"/>
                <w:szCs w:val="16"/>
                <w:lang w:val="es-CO"/>
              </w:rPr>
              <w:t>1.250.000</w:t>
            </w:r>
          </w:p>
        </w:tc>
        <w:tc>
          <w:tcPr>
            <w:tcW w:w="2091" w:type="dxa"/>
            <w:shd w:val="clear" w:color="auto" w:fill="auto"/>
          </w:tcPr>
          <w:p w:rsidR="00332E71" w:rsidRPr="00A306D2" w:rsidRDefault="00332E71" w:rsidP="00F0571F">
            <w:pPr>
              <w:pStyle w:val="Textopredeterminado"/>
              <w:jc w:val="both"/>
              <w:rPr>
                <w:rFonts w:ascii="Arial" w:hAnsi="Arial" w:cs="Arial"/>
                <w:sz w:val="16"/>
                <w:szCs w:val="16"/>
                <w:lang w:val="es-CO"/>
              </w:rPr>
            </w:pPr>
          </w:p>
        </w:tc>
        <w:tc>
          <w:tcPr>
            <w:tcW w:w="1149" w:type="dxa"/>
            <w:shd w:val="clear" w:color="auto" w:fill="auto"/>
          </w:tcPr>
          <w:p w:rsidR="00332E71" w:rsidRPr="00A306D2" w:rsidRDefault="00332E71" w:rsidP="00F0571F">
            <w:pPr>
              <w:pStyle w:val="Textopredeterminado"/>
              <w:jc w:val="both"/>
              <w:rPr>
                <w:rFonts w:ascii="Arial" w:hAnsi="Arial" w:cs="Arial"/>
                <w:sz w:val="16"/>
                <w:szCs w:val="16"/>
                <w:lang w:val="es-CO"/>
              </w:rPr>
            </w:pPr>
          </w:p>
        </w:tc>
      </w:tr>
    </w:tbl>
    <w:p w:rsidR="00332E71" w:rsidRPr="009427D5" w:rsidRDefault="00424F2A" w:rsidP="00424F2A">
      <w:pPr>
        <w:spacing w:after="0" w:line="240" w:lineRule="auto"/>
        <w:jc w:val="center"/>
        <w:rPr>
          <w:rFonts w:ascii="Arial" w:hAnsi="Arial" w:cs="Arial"/>
          <w:b/>
          <w:sz w:val="18"/>
          <w:szCs w:val="18"/>
        </w:rPr>
      </w:pPr>
      <w:r w:rsidRPr="00A306D2">
        <w:rPr>
          <w:rFonts w:ascii="Arial" w:hAnsi="Arial" w:cs="Arial"/>
          <w:b/>
          <w:sz w:val="16"/>
          <w:szCs w:val="16"/>
        </w:rPr>
        <w:t>Fuente: DNP. Período Información: 2010-2014.  Fecha de corte: abril</w:t>
      </w:r>
      <w:r w:rsidRPr="009427D5">
        <w:rPr>
          <w:rFonts w:ascii="Arial" w:hAnsi="Arial" w:cs="Arial"/>
          <w:b/>
          <w:sz w:val="18"/>
          <w:szCs w:val="18"/>
        </w:rPr>
        <w:t xml:space="preserve"> </w:t>
      </w:r>
      <w:r w:rsidRPr="00A306D2">
        <w:rPr>
          <w:rFonts w:ascii="Arial" w:hAnsi="Arial" w:cs="Arial"/>
          <w:b/>
          <w:sz w:val="16"/>
          <w:szCs w:val="16"/>
        </w:rPr>
        <w:t>de 2014</w:t>
      </w:r>
    </w:p>
    <w:p w:rsidR="00424F2A" w:rsidRPr="009427D5" w:rsidRDefault="00424F2A" w:rsidP="005A1B75">
      <w:pPr>
        <w:spacing w:after="0" w:line="240" w:lineRule="auto"/>
        <w:jc w:val="both"/>
        <w:rPr>
          <w:rFonts w:ascii="Arial" w:hAnsi="Arial" w:cs="Arial"/>
          <w:b/>
          <w:sz w:val="24"/>
          <w:szCs w:val="24"/>
        </w:rPr>
      </w:pPr>
    </w:p>
    <w:p w:rsidR="00277839" w:rsidRDefault="00D306AE" w:rsidP="00BD338C">
      <w:pPr>
        <w:spacing w:after="0" w:line="240" w:lineRule="auto"/>
        <w:jc w:val="both"/>
        <w:rPr>
          <w:rFonts w:ascii="Arial" w:hAnsi="Arial" w:cs="Arial"/>
          <w:sz w:val="24"/>
          <w:szCs w:val="24"/>
        </w:rPr>
      </w:pPr>
      <w:r w:rsidRPr="009427D5">
        <w:rPr>
          <w:rFonts w:ascii="Arial" w:hAnsi="Arial" w:cs="Arial"/>
          <w:sz w:val="24"/>
          <w:szCs w:val="24"/>
        </w:rPr>
        <w:t>La meta establecida para el cuatrienio es llegar a 1.250.000 procesos de inventario de procesos judiciales en 2014, partiendo de una línea base de 2.350.000 procesos en 2010, es decir una descongestión o reducción de 1.100.000 procesos, aproximadamente 275.000 por año y 875.000 durante las vigencias 2011-2013.</w:t>
      </w:r>
    </w:p>
    <w:p w:rsidR="00BD338C" w:rsidRPr="009427D5" w:rsidRDefault="00BD338C" w:rsidP="00BD338C">
      <w:pPr>
        <w:spacing w:after="0" w:line="240" w:lineRule="auto"/>
        <w:jc w:val="both"/>
        <w:rPr>
          <w:rFonts w:ascii="Arial" w:hAnsi="Arial" w:cs="Arial"/>
          <w:i/>
          <w:sz w:val="24"/>
          <w:szCs w:val="24"/>
        </w:rPr>
      </w:pPr>
      <w:r w:rsidRPr="009427D5">
        <w:rPr>
          <w:rFonts w:ascii="Arial" w:hAnsi="Arial" w:cs="Arial"/>
          <w:i/>
          <w:sz w:val="24"/>
          <w:szCs w:val="24"/>
        </w:rPr>
        <w:lastRenderedPageBreak/>
        <w:t>Población Objetivo</w:t>
      </w:r>
    </w:p>
    <w:p w:rsidR="00BD338C" w:rsidRPr="009427D5" w:rsidRDefault="00BD338C" w:rsidP="00BD338C">
      <w:pPr>
        <w:spacing w:after="0" w:line="240" w:lineRule="auto"/>
        <w:jc w:val="both"/>
        <w:rPr>
          <w:rFonts w:ascii="Arial" w:hAnsi="Arial" w:cs="Arial"/>
          <w:szCs w:val="24"/>
        </w:rPr>
      </w:pPr>
    </w:p>
    <w:p w:rsidR="00D306AE" w:rsidRPr="009427D5" w:rsidRDefault="00D306AE" w:rsidP="003C0E9A">
      <w:pPr>
        <w:pStyle w:val="Textopredeterminado"/>
        <w:tabs>
          <w:tab w:val="left" w:pos="3120"/>
        </w:tabs>
        <w:jc w:val="both"/>
        <w:rPr>
          <w:rFonts w:ascii="Arial" w:hAnsi="Arial" w:cs="Arial"/>
          <w:szCs w:val="24"/>
          <w:lang w:val="es-CO"/>
        </w:rPr>
      </w:pPr>
      <w:r w:rsidRPr="009427D5">
        <w:rPr>
          <w:rFonts w:ascii="Arial" w:hAnsi="Arial" w:cs="Arial"/>
          <w:szCs w:val="24"/>
          <w:lang w:val="es-CO"/>
        </w:rPr>
        <w:t>Vale resaltar que la población objetivo de la política es la ciudadanía en general, pues cualquier persona puede acceder al servicio de justicia. Esto incluye los 1.1</w:t>
      </w:r>
      <w:r w:rsidR="00965C9B" w:rsidRPr="009427D5">
        <w:rPr>
          <w:rFonts w:ascii="Arial" w:hAnsi="Arial" w:cs="Arial"/>
          <w:szCs w:val="24"/>
          <w:lang w:val="es-CO"/>
        </w:rPr>
        <w:t>22</w:t>
      </w:r>
      <w:r w:rsidRPr="009427D5">
        <w:rPr>
          <w:rFonts w:ascii="Arial" w:hAnsi="Arial" w:cs="Arial"/>
          <w:szCs w:val="24"/>
          <w:lang w:val="es-CO"/>
        </w:rPr>
        <w:t xml:space="preserve"> municipios que actualmente co</w:t>
      </w:r>
      <w:r w:rsidR="00DF2A7A" w:rsidRPr="009427D5">
        <w:rPr>
          <w:rFonts w:ascii="Arial" w:hAnsi="Arial" w:cs="Arial"/>
          <w:szCs w:val="24"/>
          <w:lang w:val="es-CO"/>
        </w:rPr>
        <w:t>mponen</w:t>
      </w:r>
      <w:r w:rsidRPr="009427D5">
        <w:rPr>
          <w:rFonts w:ascii="Arial" w:hAnsi="Arial" w:cs="Arial"/>
          <w:szCs w:val="24"/>
          <w:lang w:val="es-CO"/>
        </w:rPr>
        <w:t xml:space="preserve"> nuestro país</w:t>
      </w:r>
      <w:r w:rsidR="00970692" w:rsidRPr="009427D5">
        <w:rPr>
          <w:rStyle w:val="Refdenotaalpie"/>
          <w:rFonts w:ascii="Arial" w:hAnsi="Arial" w:cs="Arial"/>
          <w:szCs w:val="24"/>
          <w:lang w:val="es-CO"/>
        </w:rPr>
        <w:footnoteReference w:id="5"/>
      </w:r>
      <w:r w:rsidRPr="009427D5">
        <w:rPr>
          <w:rFonts w:ascii="Arial" w:hAnsi="Arial" w:cs="Arial"/>
          <w:szCs w:val="24"/>
          <w:lang w:val="es-CO"/>
        </w:rPr>
        <w:t xml:space="preserve">. </w:t>
      </w:r>
      <w:r w:rsidR="00DF2A7A" w:rsidRPr="009427D5">
        <w:rPr>
          <w:rFonts w:ascii="Arial" w:hAnsi="Arial" w:cs="Arial"/>
          <w:szCs w:val="24"/>
          <w:lang w:val="es-CO"/>
        </w:rPr>
        <w:t xml:space="preserve">Los Despachos Judiciales se encuentran conformados por 202 Circuitos Judiciales, que a su vez comprenden 33 Distritos Judiciales, </w:t>
      </w:r>
      <w:r w:rsidR="004C5DB1" w:rsidRPr="009427D5">
        <w:rPr>
          <w:rFonts w:ascii="Arial" w:hAnsi="Arial" w:cs="Arial"/>
          <w:szCs w:val="24"/>
          <w:lang w:val="es-CO"/>
        </w:rPr>
        <w:t>distribuidos</w:t>
      </w:r>
      <w:r w:rsidRPr="009427D5">
        <w:rPr>
          <w:rFonts w:ascii="Arial" w:hAnsi="Arial" w:cs="Arial"/>
          <w:szCs w:val="24"/>
          <w:lang w:val="es-CO"/>
        </w:rPr>
        <w:t xml:space="preserve"> en todo el territorio nacional.  </w:t>
      </w:r>
    </w:p>
    <w:p w:rsidR="00277839" w:rsidRPr="009427D5" w:rsidRDefault="00277839" w:rsidP="003C0E9A">
      <w:pPr>
        <w:pStyle w:val="Textopredeterminado"/>
        <w:tabs>
          <w:tab w:val="left" w:pos="3120"/>
        </w:tabs>
        <w:jc w:val="both"/>
        <w:rPr>
          <w:rFonts w:ascii="Arial" w:hAnsi="Arial" w:cs="Arial"/>
          <w:szCs w:val="24"/>
          <w:lang w:val="es-CO"/>
        </w:rPr>
      </w:pPr>
    </w:p>
    <w:p w:rsidR="003C0E9A" w:rsidRPr="009427D5" w:rsidRDefault="00BD338C" w:rsidP="003C0E9A">
      <w:pPr>
        <w:pStyle w:val="Textopredeterminado"/>
        <w:tabs>
          <w:tab w:val="left" w:pos="3120"/>
        </w:tabs>
        <w:jc w:val="both"/>
        <w:rPr>
          <w:rFonts w:ascii="Arial" w:hAnsi="Arial" w:cs="Arial"/>
          <w:i/>
          <w:szCs w:val="24"/>
          <w:lang w:val="es-CO"/>
        </w:rPr>
      </w:pPr>
      <w:r w:rsidRPr="009427D5">
        <w:rPr>
          <w:rFonts w:ascii="Arial" w:hAnsi="Arial" w:cs="Arial"/>
          <w:i/>
          <w:szCs w:val="24"/>
          <w:lang w:val="es-CO"/>
        </w:rPr>
        <w:t>Ejecución Presupuestal</w:t>
      </w:r>
      <w:r w:rsidR="0002323E" w:rsidRPr="009427D5">
        <w:rPr>
          <w:rFonts w:ascii="Arial" w:hAnsi="Arial" w:cs="Arial"/>
          <w:i/>
          <w:szCs w:val="24"/>
          <w:lang w:val="es-CO"/>
        </w:rPr>
        <w:t xml:space="preserve"> Rama Judicial 2010-2013</w:t>
      </w:r>
    </w:p>
    <w:p w:rsidR="0002323E" w:rsidRPr="009427D5" w:rsidRDefault="0002323E" w:rsidP="003C0E9A">
      <w:pPr>
        <w:pStyle w:val="Textopredeterminado"/>
        <w:tabs>
          <w:tab w:val="left" w:pos="3120"/>
        </w:tabs>
        <w:jc w:val="both"/>
        <w:rPr>
          <w:rFonts w:ascii="Arial" w:hAnsi="Arial" w:cs="Arial"/>
          <w:i/>
          <w:szCs w:val="24"/>
          <w:lang w:val="es-CO"/>
        </w:rPr>
      </w:pPr>
    </w:p>
    <w:p w:rsidR="002D1512" w:rsidRPr="009427D5" w:rsidRDefault="00850E4C" w:rsidP="00850E4C">
      <w:pPr>
        <w:spacing w:after="0" w:line="240" w:lineRule="auto"/>
        <w:jc w:val="both"/>
        <w:rPr>
          <w:rFonts w:ascii="Arial" w:hAnsi="Arial" w:cs="Arial"/>
          <w:sz w:val="24"/>
          <w:szCs w:val="24"/>
        </w:rPr>
      </w:pPr>
      <w:r w:rsidRPr="009427D5">
        <w:rPr>
          <w:rFonts w:ascii="Arial" w:hAnsi="Arial" w:cs="Arial"/>
          <w:sz w:val="24"/>
          <w:szCs w:val="24"/>
        </w:rPr>
        <w:t>El presupuesto apropiado para la Rama Judicial, durante el periodo 2010-2013 ascendió a $9,53 billones (a precios constantes de 2013) que constituyó 1,8% del Presupuesto General de la Nación (PGN)</w:t>
      </w:r>
      <w:r w:rsidRPr="009427D5">
        <w:rPr>
          <w:rStyle w:val="Refdenotaalpie"/>
          <w:rFonts w:ascii="Arial" w:hAnsi="Arial" w:cs="Arial"/>
          <w:sz w:val="24"/>
          <w:szCs w:val="24"/>
        </w:rPr>
        <w:footnoteReference w:id="6"/>
      </w:r>
      <w:r w:rsidRPr="009427D5">
        <w:rPr>
          <w:rFonts w:ascii="Arial" w:hAnsi="Arial" w:cs="Arial"/>
          <w:sz w:val="24"/>
          <w:szCs w:val="24"/>
        </w:rPr>
        <w:t xml:space="preserve"> y 0,4% del PIB. De este presupuesto apropiado, se comprometieron recursos por un valor de $9,25 billones (97%), se crearon obligaciones por $8,76 billones (92%) y se pagaron $8,51 billones (89%). </w:t>
      </w:r>
    </w:p>
    <w:p w:rsidR="002D1512" w:rsidRPr="009427D5" w:rsidRDefault="002D1512" w:rsidP="00850E4C">
      <w:pPr>
        <w:spacing w:after="0" w:line="240" w:lineRule="auto"/>
        <w:jc w:val="both"/>
        <w:rPr>
          <w:rFonts w:ascii="Arial" w:hAnsi="Arial" w:cs="Arial"/>
          <w:sz w:val="24"/>
          <w:szCs w:val="24"/>
        </w:rPr>
      </w:pPr>
    </w:p>
    <w:p w:rsidR="00850E4C" w:rsidRPr="009427D5" w:rsidRDefault="00850E4C" w:rsidP="00850E4C">
      <w:pPr>
        <w:spacing w:after="0" w:line="240" w:lineRule="auto"/>
        <w:jc w:val="both"/>
        <w:rPr>
          <w:rFonts w:ascii="Arial" w:hAnsi="Arial" w:cs="Arial"/>
          <w:sz w:val="24"/>
          <w:szCs w:val="24"/>
        </w:rPr>
      </w:pPr>
      <w:r w:rsidRPr="009427D5">
        <w:rPr>
          <w:rFonts w:ascii="Arial" w:hAnsi="Arial" w:cs="Arial"/>
          <w:sz w:val="24"/>
          <w:szCs w:val="24"/>
        </w:rPr>
        <w:t>Por otro lado, se generaron reservas presupuestales por $484.390 millones (5,2% de los compromisos) y cuentas por pagar que llegaron a $252.896 millones (2,8% de los compromisos). De esta forma, se obtuvo un rezago presupuestal igual a $737.286 millones (8% del presupuesto comprometido).</w:t>
      </w:r>
    </w:p>
    <w:p w:rsidR="00850E4C" w:rsidRPr="009427D5" w:rsidRDefault="00850E4C" w:rsidP="00850E4C">
      <w:pPr>
        <w:spacing w:after="0" w:line="240" w:lineRule="auto"/>
        <w:jc w:val="both"/>
        <w:rPr>
          <w:rFonts w:ascii="Arial" w:hAnsi="Arial" w:cs="Arial"/>
          <w:sz w:val="24"/>
          <w:szCs w:val="24"/>
        </w:rPr>
      </w:pPr>
    </w:p>
    <w:p w:rsidR="000369E7" w:rsidRPr="009427D5" w:rsidRDefault="000369E7" w:rsidP="000369E7">
      <w:pPr>
        <w:spacing w:after="0" w:line="240" w:lineRule="auto"/>
        <w:jc w:val="both"/>
        <w:rPr>
          <w:rFonts w:ascii="Arial" w:hAnsi="Arial" w:cs="Arial"/>
          <w:sz w:val="24"/>
          <w:szCs w:val="24"/>
        </w:rPr>
      </w:pPr>
      <w:r w:rsidRPr="009427D5">
        <w:rPr>
          <w:rFonts w:ascii="Arial" w:hAnsi="Arial" w:cs="Arial"/>
          <w:sz w:val="24"/>
          <w:szCs w:val="24"/>
        </w:rPr>
        <w:t>Se observa un crecimiento significativo del presupuesto apropiado (40%), pues pasó de $2,01 billones en 2010 a $2,83 billones en 2013, lo cual muestra la importante evolución de los recursos dirigidos a la política pública de justicia formal, descongestión y oralidad en los últimos cuatro años. Este incremento presupuestal responde en cierta medida a la creciente demanda de este servicio por parte de los ciudadanos y a la necesidad de reducir los niveles de congestión existentes en los despachos judiciales. En relación con el presupuesto comprometido también creció 40%, pasando de $1,97 billones en 2010 a $2,77 en 2013, las obligaciones 43%, al incrementar de $1,85 a $2,66 billones y los pagos 39%, al pasar de $1,84 a $2,57 billones durante el mismo periodo.</w:t>
      </w:r>
    </w:p>
    <w:p w:rsidR="004C6A58" w:rsidRDefault="004C6A58" w:rsidP="00850E4C">
      <w:pPr>
        <w:spacing w:after="0" w:line="240" w:lineRule="auto"/>
        <w:jc w:val="center"/>
        <w:rPr>
          <w:rFonts w:ascii="Arial" w:hAnsi="Arial" w:cs="Arial"/>
          <w:b/>
          <w:sz w:val="16"/>
          <w:szCs w:val="16"/>
        </w:rPr>
      </w:pPr>
    </w:p>
    <w:p w:rsidR="004C6A58" w:rsidRDefault="004C6A58" w:rsidP="00850E4C">
      <w:pPr>
        <w:spacing w:after="0" w:line="240" w:lineRule="auto"/>
        <w:jc w:val="center"/>
        <w:rPr>
          <w:rFonts w:ascii="Arial" w:hAnsi="Arial" w:cs="Arial"/>
          <w:b/>
          <w:sz w:val="16"/>
          <w:szCs w:val="16"/>
        </w:rPr>
      </w:pPr>
    </w:p>
    <w:p w:rsidR="00850E4C" w:rsidRPr="00A306D2" w:rsidRDefault="00850E4C" w:rsidP="00850E4C">
      <w:pPr>
        <w:spacing w:after="0" w:line="240" w:lineRule="auto"/>
        <w:jc w:val="center"/>
        <w:rPr>
          <w:rFonts w:ascii="Arial" w:hAnsi="Arial" w:cs="Arial"/>
          <w:b/>
          <w:sz w:val="16"/>
          <w:szCs w:val="16"/>
        </w:rPr>
      </w:pPr>
      <w:r w:rsidRPr="00A306D2">
        <w:rPr>
          <w:rFonts w:ascii="Arial" w:hAnsi="Arial" w:cs="Arial"/>
          <w:b/>
          <w:sz w:val="16"/>
          <w:szCs w:val="16"/>
        </w:rPr>
        <w:t xml:space="preserve">Tabla </w:t>
      </w:r>
      <w:r w:rsidR="000D616A" w:rsidRPr="00A306D2">
        <w:rPr>
          <w:rFonts w:ascii="Arial" w:hAnsi="Arial" w:cs="Arial"/>
          <w:b/>
          <w:sz w:val="16"/>
          <w:szCs w:val="16"/>
        </w:rPr>
        <w:t xml:space="preserve">No. 3. </w:t>
      </w:r>
      <w:r w:rsidRPr="00A306D2">
        <w:rPr>
          <w:rFonts w:ascii="Arial" w:hAnsi="Arial" w:cs="Arial"/>
          <w:b/>
          <w:sz w:val="16"/>
          <w:szCs w:val="16"/>
        </w:rPr>
        <w:t xml:space="preserve">Rubros Presupuestales y Ejecución Presupuestal. Rama Judicial 2010-2013 (En Millones de </w:t>
      </w:r>
      <w:r w:rsidR="000369E7" w:rsidRPr="00A306D2">
        <w:rPr>
          <w:rFonts w:ascii="Arial" w:hAnsi="Arial" w:cs="Arial"/>
          <w:b/>
          <w:sz w:val="16"/>
          <w:szCs w:val="16"/>
        </w:rPr>
        <w:t>$</w:t>
      </w:r>
      <w:r w:rsidRPr="00A306D2">
        <w:rPr>
          <w:rFonts w:ascii="Arial" w:hAnsi="Arial" w:cs="Arial"/>
          <w:b/>
          <w:sz w:val="16"/>
          <w:szCs w:val="16"/>
        </w:rPr>
        <w:t xml:space="preserve"> de 2013)</w:t>
      </w:r>
    </w:p>
    <w:tbl>
      <w:tblPr>
        <w:tblW w:w="8740" w:type="dxa"/>
        <w:tblInd w:w="55" w:type="dxa"/>
        <w:tblCellMar>
          <w:left w:w="70" w:type="dxa"/>
          <w:right w:w="70" w:type="dxa"/>
        </w:tblCellMar>
        <w:tblLook w:val="04A0" w:firstRow="1" w:lastRow="0" w:firstColumn="1" w:lastColumn="0" w:noHBand="0" w:noVBand="1"/>
      </w:tblPr>
      <w:tblGrid>
        <w:gridCol w:w="2740"/>
        <w:gridCol w:w="1200"/>
        <w:gridCol w:w="1200"/>
        <w:gridCol w:w="1200"/>
        <w:gridCol w:w="1200"/>
        <w:gridCol w:w="1200"/>
      </w:tblGrid>
      <w:tr w:rsidR="00850E4C" w:rsidRPr="00A306D2" w:rsidTr="00FD55D2">
        <w:trPr>
          <w:trHeight w:val="300"/>
        </w:trPr>
        <w:tc>
          <w:tcPr>
            <w:tcW w:w="2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rPr>
                <w:rFonts w:ascii="Arial" w:eastAsia="Times New Roman" w:hAnsi="Arial" w:cs="Arial"/>
                <w:b/>
                <w:bCs/>
                <w:color w:val="000000"/>
                <w:sz w:val="16"/>
                <w:szCs w:val="16"/>
                <w:lang w:eastAsia="es-CO"/>
              </w:rPr>
            </w:pPr>
            <w:r w:rsidRPr="00A306D2">
              <w:rPr>
                <w:rFonts w:ascii="Arial" w:eastAsia="Times New Roman" w:hAnsi="Arial" w:cs="Arial"/>
                <w:b/>
                <w:bCs/>
                <w:color w:val="000000"/>
                <w:sz w:val="16"/>
                <w:szCs w:val="16"/>
                <w:lang w:eastAsia="es-CO"/>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b/>
                <w:bCs/>
                <w:color w:val="000000"/>
                <w:sz w:val="16"/>
                <w:szCs w:val="16"/>
                <w:lang w:eastAsia="es-CO"/>
              </w:rPr>
            </w:pPr>
            <w:r w:rsidRPr="00A306D2">
              <w:rPr>
                <w:rFonts w:ascii="Arial" w:eastAsia="Times New Roman" w:hAnsi="Arial" w:cs="Arial"/>
                <w:b/>
                <w:bCs/>
                <w:color w:val="000000"/>
                <w:sz w:val="16"/>
                <w:szCs w:val="16"/>
                <w:lang w:eastAsia="es-CO"/>
              </w:rPr>
              <w:t>2010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b/>
                <w:bCs/>
                <w:color w:val="000000"/>
                <w:sz w:val="16"/>
                <w:szCs w:val="16"/>
                <w:lang w:eastAsia="es-CO"/>
              </w:rPr>
            </w:pPr>
            <w:r w:rsidRPr="00A306D2">
              <w:rPr>
                <w:rFonts w:ascii="Arial" w:eastAsia="Times New Roman" w:hAnsi="Arial" w:cs="Arial"/>
                <w:b/>
                <w:bCs/>
                <w:color w:val="000000"/>
                <w:sz w:val="16"/>
                <w:szCs w:val="16"/>
                <w:lang w:eastAsia="es-CO"/>
              </w:rPr>
              <w:t>2011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b/>
                <w:bCs/>
                <w:color w:val="000000"/>
                <w:sz w:val="16"/>
                <w:szCs w:val="16"/>
                <w:lang w:eastAsia="es-CO"/>
              </w:rPr>
            </w:pPr>
            <w:r w:rsidRPr="00A306D2">
              <w:rPr>
                <w:rFonts w:ascii="Arial" w:eastAsia="Times New Roman" w:hAnsi="Arial" w:cs="Arial"/>
                <w:b/>
                <w:bCs/>
                <w:color w:val="000000"/>
                <w:sz w:val="16"/>
                <w:szCs w:val="16"/>
                <w:lang w:eastAsia="es-CO"/>
              </w:rPr>
              <w:t>2012</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b/>
                <w:bCs/>
                <w:color w:val="000000"/>
                <w:sz w:val="16"/>
                <w:szCs w:val="16"/>
                <w:lang w:eastAsia="es-CO"/>
              </w:rPr>
            </w:pPr>
            <w:r w:rsidRPr="00A306D2">
              <w:rPr>
                <w:rFonts w:ascii="Arial" w:eastAsia="Times New Roman" w:hAnsi="Arial" w:cs="Arial"/>
                <w:b/>
                <w:bCs/>
                <w:color w:val="000000"/>
                <w:sz w:val="16"/>
                <w:szCs w:val="16"/>
                <w:lang w:eastAsia="es-CO"/>
              </w:rPr>
              <w:t>2013</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b/>
                <w:bCs/>
                <w:color w:val="000000"/>
                <w:sz w:val="16"/>
                <w:szCs w:val="16"/>
                <w:lang w:eastAsia="es-CO"/>
              </w:rPr>
            </w:pPr>
            <w:r w:rsidRPr="00A306D2">
              <w:rPr>
                <w:rFonts w:ascii="Arial" w:eastAsia="Times New Roman" w:hAnsi="Arial" w:cs="Arial"/>
                <w:b/>
                <w:bCs/>
                <w:color w:val="000000"/>
                <w:sz w:val="16"/>
                <w:szCs w:val="16"/>
                <w:lang w:eastAsia="es-CO"/>
              </w:rPr>
              <w:t>TOTAL</w:t>
            </w:r>
          </w:p>
        </w:tc>
      </w:tr>
      <w:tr w:rsidR="00850E4C" w:rsidRPr="00A306D2" w:rsidTr="00FD55D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rPr>
                <w:rFonts w:ascii="Arial" w:eastAsia="Times New Roman" w:hAnsi="Arial" w:cs="Arial"/>
                <w:b/>
                <w:bCs/>
                <w:color w:val="000000"/>
                <w:sz w:val="16"/>
                <w:szCs w:val="16"/>
                <w:lang w:eastAsia="es-CO"/>
              </w:rPr>
            </w:pPr>
            <w:r w:rsidRPr="00A306D2">
              <w:rPr>
                <w:rFonts w:ascii="Arial" w:eastAsia="Times New Roman" w:hAnsi="Arial" w:cs="Arial"/>
                <w:b/>
                <w:bCs/>
                <w:color w:val="000000"/>
                <w:sz w:val="16"/>
                <w:szCs w:val="16"/>
                <w:lang w:eastAsia="es-CO"/>
              </w:rPr>
              <w:t>Apropiación Final</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color w:val="000000"/>
                <w:sz w:val="16"/>
                <w:szCs w:val="16"/>
                <w:lang w:eastAsia="es-CO"/>
              </w:rPr>
            </w:pPr>
            <w:r w:rsidRPr="00A306D2">
              <w:rPr>
                <w:rFonts w:ascii="Arial" w:eastAsia="Times New Roman" w:hAnsi="Arial" w:cs="Arial"/>
                <w:color w:val="000000"/>
                <w:sz w:val="16"/>
                <w:szCs w:val="16"/>
                <w:lang w:eastAsia="es-CO"/>
              </w:rPr>
              <w:t>2.016.458</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color w:val="000000"/>
                <w:sz w:val="16"/>
                <w:szCs w:val="16"/>
                <w:lang w:eastAsia="es-CO"/>
              </w:rPr>
            </w:pPr>
            <w:r w:rsidRPr="00A306D2">
              <w:rPr>
                <w:rFonts w:ascii="Arial" w:eastAsia="Times New Roman" w:hAnsi="Arial" w:cs="Arial"/>
                <w:color w:val="000000"/>
                <w:sz w:val="16"/>
                <w:szCs w:val="16"/>
                <w:lang w:eastAsia="es-CO"/>
              </w:rPr>
              <w:t>2.195.753</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color w:val="000000"/>
                <w:sz w:val="16"/>
                <w:szCs w:val="16"/>
                <w:lang w:eastAsia="es-CO"/>
              </w:rPr>
            </w:pPr>
            <w:r w:rsidRPr="00A306D2">
              <w:rPr>
                <w:rFonts w:ascii="Arial" w:eastAsia="Times New Roman" w:hAnsi="Arial" w:cs="Arial"/>
                <w:color w:val="000000"/>
                <w:sz w:val="16"/>
                <w:szCs w:val="16"/>
                <w:lang w:eastAsia="es-CO"/>
              </w:rPr>
              <w:t>2.491.972</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color w:val="000000"/>
                <w:sz w:val="16"/>
                <w:szCs w:val="16"/>
                <w:lang w:eastAsia="es-CO"/>
              </w:rPr>
            </w:pPr>
            <w:r w:rsidRPr="00A306D2">
              <w:rPr>
                <w:rFonts w:ascii="Arial" w:eastAsia="Times New Roman" w:hAnsi="Arial" w:cs="Arial"/>
                <w:color w:val="000000"/>
                <w:sz w:val="16"/>
                <w:szCs w:val="16"/>
                <w:lang w:eastAsia="es-CO"/>
              </w:rPr>
              <w:t>2.831.761</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b/>
                <w:bCs/>
                <w:color w:val="000000"/>
                <w:sz w:val="16"/>
                <w:szCs w:val="16"/>
                <w:lang w:eastAsia="es-CO"/>
              </w:rPr>
            </w:pPr>
            <w:r w:rsidRPr="00A306D2">
              <w:rPr>
                <w:rFonts w:ascii="Arial" w:eastAsia="Times New Roman" w:hAnsi="Arial" w:cs="Arial"/>
                <w:b/>
                <w:bCs/>
                <w:color w:val="000000"/>
                <w:sz w:val="16"/>
                <w:szCs w:val="16"/>
                <w:lang w:eastAsia="es-CO"/>
              </w:rPr>
              <w:t>9.535.944</w:t>
            </w:r>
          </w:p>
        </w:tc>
      </w:tr>
      <w:tr w:rsidR="00850E4C" w:rsidRPr="00A306D2" w:rsidTr="00FD55D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rPr>
                <w:rFonts w:ascii="Arial" w:eastAsia="Times New Roman" w:hAnsi="Arial" w:cs="Arial"/>
                <w:b/>
                <w:bCs/>
                <w:color w:val="000000"/>
                <w:sz w:val="16"/>
                <w:szCs w:val="16"/>
                <w:lang w:eastAsia="es-CO"/>
              </w:rPr>
            </w:pPr>
            <w:r w:rsidRPr="00A306D2">
              <w:rPr>
                <w:rFonts w:ascii="Arial" w:eastAsia="Times New Roman" w:hAnsi="Arial" w:cs="Arial"/>
                <w:b/>
                <w:bCs/>
                <w:color w:val="000000"/>
                <w:sz w:val="16"/>
                <w:szCs w:val="16"/>
                <w:lang w:eastAsia="es-CO"/>
              </w:rPr>
              <w:t>Compromisos</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color w:val="000000"/>
                <w:sz w:val="16"/>
                <w:szCs w:val="16"/>
                <w:lang w:eastAsia="es-CO"/>
              </w:rPr>
            </w:pPr>
            <w:r w:rsidRPr="00A306D2">
              <w:rPr>
                <w:rFonts w:ascii="Arial" w:eastAsia="Times New Roman" w:hAnsi="Arial" w:cs="Arial"/>
                <w:color w:val="000000"/>
                <w:sz w:val="16"/>
                <w:szCs w:val="16"/>
                <w:lang w:eastAsia="es-CO"/>
              </w:rPr>
              <w:t>1.972.912</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color w:val="000000"/>
                <w:sz w:val="16"/>
                <w:szCs w:val="16"/>
                <w:lang w:eastAsia="es-CO"/>
              </w:rPr>
            </w:pPr>
            <w:r w:rsidRPr="00A306D2">
              <w:rPr>
                <w:rFonts w:ascii="Arial" w:eastAsia="Times New Roman" w:hAnsi="Arial" w:cs="Arial"/>
                <w:color w:val="000000"/>
                <w:sz w:val="16"/>
                <w:szCs w:val="16"/>
                <w:lang w:eastAsia="es-CO"/>
              </w:rPr>
              <w:t>2.130.424</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color w:val="000000"/>
                <w:sz w:val="16"/>
                <w:szCs w:val="16"/>
                <w:lang w:eastAsia="es-CO"/>
              </w:rPr>
            </w:pPr>
            <w:r w:rsidRPr="00A306D2">
              <w:rPr>
                <w:rFonts w:ascii="Arial" w:eastAsia="Times New Roman" w:hAnsi="Arial" w:cs="Arial"/>
                <w:color w:val="000000"/>
                <w:sz w:val="16"/>
                <w:szCs w:val="16"/>
                <w:lang w:eastAsia="es-CO"/>
              </w:rPr>
              <w:t>2.373.285</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color w:val="000000"/>
                <w:sz w:val="16"/>
                <w:szCs w:val="16"/>
                <w:lang w:eastAsia="es-CO"/>
              </w:rPr>
            </w:pPr>
            <w:r w:rsidRPr="00A306D2">
              <w:rPr>
                <w:rFonts w:ascii="Arial" w:eastAsia="Times New Roman" w:hAnsi="Arial" w:cs="Arial"/>
                <w:color w:val="000000"/>
                <w:sz w:val="16"/>
                <w:szCs w:val="16"/>
                <w:lang w:eastAsia="es-CO"/>
              </w:rPr>
              <w:t>2.773.108</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b/>
                <w:bCs/>
                <w:color w:val="000000"/>
                <w:sz w:val="16"/>
                <w:szCs w:val="16"/>
                <w:lang w:eastAsia="es-CO"/>
              </w:rPr>
            </w:pPr>
            <w:r w:rsidRPr="00A306D2">
              <w:rPr>
                <w:rFonts w:ascii="Arial" w:eastAsia="Times New Roman" w:hAnsi="Arial" w:cs="Arial"/>
                <w:b/>
                <w:bCs/>
                <w:color w:val="000000"/>
                <w:sz w:val="16"/>
                <w:szCs w:val="16"/>
                <w:lang w:eastAsia="es-CO"/>
              </w:rPr>
              <w:t>9.249.729</w:t>
            </w:r>
          </w:p>
        </w:tc>
      </w:tr>
      <w:tr w:rsidR="00850E4C" w:rsidRPr="00A306D2" w:rsidTr="00FD55D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rPr>
                <w:rFonts w:ascii="Arial" w:eastAsia="Times New Roman" w:hAnsi="Arial" w:cs="Arial"/>
                <w:b/>
                <w:bCs/>
                <w:color w:val="000000"/>
                <w:sz w:val="16"/>
                <w:szCs w:val="16"/>
                <w:lang w:eastAsia="es-CO"/>
              </w:rPr>
            </w:pPr>
            <w:r w:rsidRPr="00A306D2">
              <w:rPr>
                <w:rFonts w:ascii="Arial" w:eastAsia="Times New Roman" w:hAnsi="Arial" w:cs="Arial"/>
                <w:b/>
                <w:bCs/>
                <w:color w:val="000000"/>
                <w:sz w:val="16"/>
                <w:szCs w:val="16"/>
                <w:lang w:eastAsia="es-CO"/>
              </w:rPr>
              <w:t>Obligaciones</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color w:val="000000"/>
                <w:sz w:val="16"/>
                <w:szCs w:val="16"/>
                <w:lang w:eastAsia="es-CO"/>
              </w:rPr>
            </w:pPr>
            <w:r w:rsidRPr="00A306D2">
              <w:rPr>
                <w:rFonts w:ascii="Arial" w:eastAsia="Times New Roman" w:hAnsi="Arial" w:cs="Arial"/>
                <w:color w:val="000000"/>
                <w:sz w:val="16"/>
                <w:szCs w:val="16"/>
                <w:lang w:eastAsia="es-CO"/>
              </w:rPr>
              <w:t>1.857.654</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color w:val="000000"/>
                <w:sz w:val="16"/>
                <w:szCs w:val="16"/>
                <w:lang w:eastAsia="es-CO"/>
              </w:rPr>
            </w:pPr>
            <w:r w:rsidRPr="00A306D2">
              <w:rPr>
                <w:rFonts w:ascii="Arial" w:eastAsia="Times New Roman" w:hAnsi="Arial" w:cs="Arial"/>
                <w:color w:val="000000"/>
                <w:sz w:val="16"/>
                <w:szCs w:val="16"/>
                <w:lang w:eastAsia="es-CO"/>
              </w:rPr>
              <w:t>1.953.248</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color w:val="000000"/>
                <w:sz w:val="16"/>
                <w:szCs w:val="16"/>
                <w:lang w:eastAsia="es-CO"/>
              </w:rPr>
            </w:pPr>
            <w:r w:rsidRPr="00A306D2">
              <w:rPr>
                <w:rFonts w:ascii="Arial" w:eastAsia="Times New Roman" w:hAnsi="Arial" w:cs="Arial"/>
                <w:color w:val="000000"/>
                <w:sz w:val="16"/>
                <w:szCs w:val="16"/>
                <w:lang w:eastAsia="es-CO"/>
              </w:rPr>
              <w:t>2.289.437</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color w:val="000000"/>
                <w:sz w:val="16"/>
                <w:szCs w:val="16"/>
                <w:lang w:eastAsia="es-CO"/>
              </w:rPr>
            </w:pPr>
            <w:r w:rsidRPr="00A306D2">
              <w:rPr>
                <w:rFonts w:ascii="Arial" w:eastAsia="Times New Roman" w:hAnsi="Arial" w:cs="Arial"/>
                <w:color w:val="000000"/>
                <w:sz w:val="16"/>
                <w:szCs w:val="16"/>
                <w:lang w:eastAsia="es-CO"/>
              </w:rPr>
              <w:t>2.665.001</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b/>
                <w:bCs/>
                <w:color w:val="000000"/>
                <w:sz w:val="16"/>
                <w:szCs w:val="16"/>
                <w:lang w:eastAsia="es-CO"/>
              </w:rPr>
            </w:pPr>
            <w:r w:rsidRPr="00A306D2">
              <w:rPr>
                <w:rFonts w:ascii="Arial" w:eastAsia="Times New Roman" w:hAnsi="Arial" w:cs="Arial"/>
                <w:b/>
                <w:bCs/>
                <w:color w:val="000000"/>
                <w:sz w:val="16"/>
                <w:szCs w:val="16"/>
                <w:lang w:eastAsia="es-CO"/>
              </w:rPr>
              <w:t>8.765.339</w:t>
            </w:r>
          </w:p>
        </w:tc>
      </w:tr>
      <w:tr w:rsidR="00850E4C" w:rsidRPr="00A306D2" w:rsidTr="00FD55D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rPr>
                <w:rFonts w:ascii="Arial" w:eastAsia="Times New Roman" w:hAnsi="Arial" w:cs="Arial"/>
                <w:b/>
                <w:bCs/>
                <w:color w:val="000000"/>
                <w:sz w:val="16"/>
                <w:szCs w:val="16"/>
                <w:lang w:eastAsia="es-CO"/>
              </w:rPr>
            </w:pPr>
            <w:r w:rsidRPr="00A306D2">
              <w:rPr>
                <w:rFonts w:ascii="Arial" w:eastAsia="Times New Roman" w:hAnsi="Arial" w:cs="Arial"/>
                <w:b/>
                <w:bCs/>
                <w:color w:val="000000"/>
                <w:sz w:val="16"/>
                <w:szCs w:val="16"/>
                <w:lang w:eastAsia="es-CO"/>
              </w:rPr>
              <w:t>Pagos</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color w:val="000000"/>
                <w:sz w:val="16"/>
                <w:szCs w:val="16"/>
                <w:lang w:eastAsia="es-CO"/>
              </w:rPr>
            </w:pPr>
            <w:r w:rsidRPr="00A306D2">
              <w:rPr>
                <w:rFonts w:ascii="Arial" w:eastAsia="Times New Roman" w:hAnsi="Arial" w:cs="Arial"/>
                <w:color w:val="000000"/>
                <w:sz w:val="16"/>
                <w:szCs w:val="16"/>
                <w:lang w:eastAsia="es-CO"/>
              </w:rPr>
              <w:t>1.848.045</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color w:val="000000"/>
                <w:sz w:val="16"/>
                <w:szCs w:val="16"/>
                <w:lang w:eastAsia="es-CO"/>
              </w:rPr>
            </w:pPr>
            <w:r w:rsidRPr="00A306D2">
              <w:rPr>
                <w:rFonts w:ascii="Arial" w:eastAsia="Times New Roman" w:hAnsi="Arial" w:cs="Arial"/>
                <w:color w:val="000000"/>
                <w:sz w:val="16"/>
                <w:szCs w:val="16"/>
                <w:lang w:eastAsia="es-CO"/>
              </w:rPr>
              <w:t>1.926.206</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color w:val="000000"/>
                <w:sz w:val="16"/>
                <w:szCs w:val="16"/>
                <w:lang w:eastAsia="es-CO"/>
              </w:rPr>
            </w:pPr>
            <w:r w:rsidRPr="00A306D2">
              <w:rPr>
                <w:rFonts w:ascii="Arial" w:eastAsia="Times New Roman" w:hAnsi="Arial" w:cs="Arial"/>
                <w:color w:val="000000"/>
                <w:sz w:val="16"/>
                <w:szCs w:val="16"/>
                <w:lang w:eastAsia="es-CO"/>
              </w:rPr>
              <w:t>2.164.786</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color w:val="000000"/>
                <w:sz w:val="16"/>
                <w:szCs w:val="16"/>
                <w:lang w:eastAsia="es-CO"/>
              </w:rPr>
            </w:pPr>
            <w:r w:rsidRPr="00A306D2">
              <w:rPr>
                <w:rFonts w:ascii="Arial" w:eastAsia="Times New Roman" w:hAnsi="Arial" w:cs="Arial"/>
                <w:color w:val="000000"/>
                <w:sz w:val="16"/>
                <w:szCs w:val="16"/>
                <w:lang w:eastAsia="es-CO"/>
              </w:rPr>
              <w:t>2.573.406</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b/>
                <w:bCs/>
                <w:color w:val="000000"/>
                <w:sz w:val="16"/>
                <w:szCs w:val="16"/>
                <w:lang w:eastAsia="es-CO"/>
              </w:rPr>
            </w:pPr>
            <w:r w:rsidRPr="00A306D2">
              <w:rPr>
                <w:rFonts w:ascii="Arial" w:eastAsia="Times New Roman" w:hAnsi="Arial" w:cs="Arial"/>
                <w:b/>
                <w:bCs/>
                <w:color w:val="000000"/>
                <w:sz w:val="16"/>
                <w:szCs w:val="16"/>
                <w:lang w:eastAsia="es-CO"/>
              </w:rPr>
              <w:t>8.512.444</w:t>
            </w:r>
          </w:p>
        </w:tc>
      </w:tr>
      <w:tr w:rsidR="00850E4C" w:rsidRPr="00A306D2" w:rsidTr="004654FF">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rPr>
                <w:rFonts w:ascii="Arial" w:eastAsia="Times New Roman" w:hAnsi="Arial" w:cs="Arial"/>
                <w:b/>
                <w:bCs/>
                <w:color w:val="000000"/>
                <w:sz w:val="16"/>
                <w:szCs w:val="16"/>
                <w:lang w:eastAsia="es-CO"/>
              </w:rPr>
            </w:pPr>
            <w:r w:rsidRPr="00A306D2">
              <w:rPr>
                <w:rFonts w:ascii="Arial" w:eastAsia="Times New Roman" w:hAnsi="Arial" w:cs="Arial"/>
                <w:b/>
                <w:bCs/>
                <w:color w:val="000000"/>
                <w:sz w:val="16"/>
                <w:szCs w:val="16"/>
                <w:lang w:eastAsia="es-CO"/>
              </w:rPr>
              <w:t>Reserva Presupuestal</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color w:val="000000"/>
                <w:sz w:val="16"/>
                <w:szCs w:val="16"/>
                <w:lang w:eastAsia="es-CO"/>
              </w:rPr>
            </w:pPr>
            <w:r w:rsidRPr="00A306D2">
              <w:rPr>
                <w:rFonts w:ascii="Arial" w:eastAsia="Times New Roman" w:hAnsi="Arial" w:cs="Arial"/>
                <w:color w:val="000000"/>
                <w:sz w:val="16"/>
                <w:szCs w:val="16"/>
                <w:lang w:eastAsia="es-CO"/>
              </w:rPr>
              <w:t>115.258</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color w:val="000000"/>
                <w:sz w:val="16"/>
                <w:szCs w:val="16"/>
                <w:lang w:eastAsia="es-CO"/>
              </w:rPr>
            </w:pPr>
            <w:r w:rsidRPr="00A306D2">
              <w:rPr>
                <w:rFonts w:ascii="Arial" w:eastAsia="Times New Roman" w:hAnsi="Arial" w:cs="Arial"/>
                <w:color w:val="000000"/>
                <w:sz w:val="16"/>
                <w:szCs w:val="16"/>
                <w:lang w:eastAsia="es-CO"/>
              </w:rPr>
              <w:t>177.176</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color w:val="000000"/>
                <w:sz w:val="16"/>
                <w:szCs w:val="16"/>
                <w:lang w:eastAsia="es-CO"/>
              </w:rPr>
            </w:pPr>
            <w:r w:rsidRPr="00A306D2">
              <w:rPr>
                <w:rFonts w:ascii="Arial" w:eastAsia="Times New Roman" w:hAnsi="Arial" w:cs="Arial"/>
                <w:color w:val="000000"/>
                <w:sz w:val="16"/>
                <w:szCs w:val="16"/>
                <w:lang w:eastAsia="es-CO"/>
              </w:rPr>
              <w:t>83.849</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color w:val="000000"/>
                <w:sz w:val="16"/>
                <w:szCs w:val="16"/>
                <w:lang w:eastAsia="es-CO"/>
              </w:rPr>
            </w:pPr>
            <w:r w:rsidRPr="00A306D2">
              <w:rPr>
                <w:rFonts w:ascii="Arial" w:eastAsia="Times New Roman" w:hAnsi="Arial" w:cs="Arial"/>
                <w:color w:val="000000"/>
                <w:sz w:val="16"/>
                <w:szCs w:val="16"/>
                <w:lang w:eastAsia="es-CO"/>
              </w:rPr>
              <w:t>108.107</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b/>
                <w:bCs/>
                <w:color w:val="000000"/>
                <w:sz w:val="16"/>
                <w:szCs w:val="16"/>
                <w:lang w:eastAsia="es-CO"/>
              </w:rPr>
            </w:pPr>
            <w:r w:rsidRPr="00A306D2">
              <w:rPr>
                <w:rFonts w:ascii="Arial" w:eastAsia="Times New Roman" w:hAnsi="Arial" w:cs="Arial"/>
                <w:b/>
                <w:bCs/>
                <w:color w:val="000000"/>
                <w:sz w:val="16"/>
                <w:szCs w:val="16"/>
                <w:lang w:eastAsia="es-CO"/>
              </w:rPr>
              <w:t>484.390</w:t>
            </w:r>
          </w:p>
        </w:tc>
      </w:tr>
      <w:tr w:rsidR="00850E4C" w:rsidRPr="00A306D2" w:rsidTr="004654FF">
        <w:trPr>
          <w:trHeight w:val="300"/>
        </w:trPr>
        <w:tc>
          <w:tcPr>
            <w:tcW w:w="2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rPr>
                <w:rFonts w:ascii="Arial" w:eastAsia="Times New Roman" w:hAnsi="Arial" w:cs="Arial"/>
                <w:b/>
                <w:bCs/>
                <w:color w:val="000000"/>
                <w:sz w:val="16"/>
                <w:szCs w:val="16"/>
                <w:lang w:eastAsia="es-CO"/>
              </w:rPr>
            </w:pPr>
            <w:r w:rsidRPr="00A306D2">
              <w:rPr>
                <w:rFonts w:ascii="Arial" w:eastAsia="Times New Roman" w:hAnsi="Arial" w:cs="Arial"/>
                <w:b/>
                <w:bCs/>
                <w:color w:val="000000"/>
                <w:sz w:val="16"/>
                <w:szCs w:val="16"/>
                <w:lang w:eastAsia="es-CO"/>
              </w:rPr>
              <w:lastRenderedPageBreak/>
              <w:t>Cuentas por Pagar</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color w:val="000000"/>
                <w:sz w:val="16"/>
                <w:szCs w:val="16"/>
                <w:lang w:eastAsia="es-CO"/>
              </w:rPr>
            </w:pPr>
            <w:r w:rsidRPr="00A306D2">
              <w:rPr>
                <w:rFonts w:ascii="Arial" w:eastAsia="Times New Roman" w:hAnsi="Arial" w:cs="Arial"/>
                <w:color w:val="000000"/>
                <w:sz w:val="16"/>
                <w:szCs w:val="16"/>
                <w:lang w:eastAsia="es-CO"/>
              </w:rPr>
              <w:t>9.609</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color w:val="000000"/>
                <w:sz w:val="16"/>
                <w:szCs w:val="16"/>
                <w:lang w:eastAsia="es-CO"/>
              </w:rPr>
            </w:pPr>
            <w:r w:rsidRPr="00A306D2">
              <w:rPr>
                <w:rFonts w:ascii="Arial" w:eastAsia="Times New Roman" w:hAnsi="Arial" w:cs="Arial"/>
                <w:color w:val="000000"/>
                <w:sz w:val="16"/>
                <w:szCs w:val="16"/>
                <w:lang w:eastAsia="es-CO"/>
              </w:rPr>
              <w:t>27.042</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color w:val="000000"/>
                <w:sz w:val="16"/>
                <w:szCs w:val="16"/>
                <w:lang w:eastAsia="es-CO"/>
              </w:rPr>
            </w:pPr>
            <w:r w:rsidRPr="00A306D2">
              <w:rPr>
                <w:rFonts w:ascii="Arial" w:eastAsia="Times New Roman" w:hAnsi="Arial" w:cs="Arial"/>
                <w:color w:val="000000"/>
                <w:sz w:val="16"/>
                <w:szCs w:val="16"/>
                <w:lang w:eastAsia="es-CO"/>
              </w:rPr>
              <w:t>124.650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color w:val="000000"/>
                <w:sz w:val="16"/>
                <w:szCs w:val="16"/>
                <w:lang w:eastAsia="es-CO"/>
              </w:rPr>
            </w:pPr>
            <w:r w:rsidRPr="00A306D2">
              <w:rPr>
                <w:rFonts w:ascii="Arial" w:eastAsia="Times New Roman" w:hAnsi="Arial" w:cs="Arial"/>
                <w:color w:val="000000"/>
                <w:sz w:val="16"/>
                <w:szCs w:val="16"/>
                <w:lang w:eastAsia="es-CO"/>
              </w:rPr>
              <w:t>91.595</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b/>
                <w:bCs/>
                <w:color w:val="000000"/>
                <w:sz w:val="16"/>
                <w:szCs w:val="16"/>
                <w:lang w:eastAsia="es-CO"/>
              </w:rPr>
            </w:pPr>
            <w:r w:rsidRPr="00A306D2">
              <w:rPr>
                <w:rFonts w:ascii="Arial" w:eastAsia="Times New Roman" w:hAnsi="Arial" w:cs="Arial"/>
                <w:b/>
                <w:bCs/>
                <w:color w:val="000000"/>
                <w:sz w:val="16"/>
                <w:szCs w:val="16"/>
                <w:lang w:eastAsia="es-CO"/>
              </w:rPr>
              <w:t>252.896</w:t>
            </w:r>
          </w:p>
        </w:tc>
      </w:tr>
      <w:tr w:rsidR="00850E4C" w:rsidRPr="00A306D2" w:rsidTr="004654FF">
        <w:trPr>
          <w:trHeight w:val="300"/>
        </w:trPr>
        <w:tc>
          <w:tcPr>
            <w:tcW w:w="2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rPr>
                <w:rFonts w:ascii="Arial" w:eastAsia="Times New Roman" w:hAnsi="Arial" w:cs="Arial"/>
                <w:b/>
                <w:bCs/>
                <w:color w:val="000000"/>
                <w:sz w:val="16"/>
                <w:szCs w:val="16"/>
                <w:lang w:eastAsia="es-CO"/>
              </w:rPr>
            </w:pPr>
            <w:r w:rsidRPr="00A306D2">
              <w:rPr>
                <w:rFonts w:ascii="Arial" w:eastAsia="Times New Roman" w:hAnsi="Arial" w:cs="Arial"/>
                <w:b/>
                <w:bCs/>
                <w:color w:val="000000"/>
                <w:sz w:val="16"/>
                <w:szCs w:val="16"/>
                <w:lang w:eastAsia="es-CO"/>
              </w:rPr>
              <w:t>Rezago Presupuestal</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color w:val="000000"/>
                <w:sz w:val="16"/>
                <w:szCs w:val="16"/>
                <w:lang w:eastAsia="es-CO"/>
              </w:rPr>
            </w:pPr>
            <w:r w:rsidRPr="00A306D2">
              <w:rPr>
                <w:rFonts w:ascii="Arial" w:eastAsia="Times New Roman" w:hAnsi="Arial" w:cs="Arial"/>
                <w:color w:val="000000"/>
                <w:sz w:val="16"/>
                <w:szCs w:val="16"/>
                <w:lang w:eastAsia="es-CO"/>
              </w:rPr>
              <w:t>124.867</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color w:val="000000"/>
                <w:sz w:val="16"/>
                <w:szCs w:val="16"/>
                <w:lang w:eastAsia="es-CO"/>
              </w:rPr>
            </w:pPr>
            <w:r w:rsidRPr="00A306D2">
              <w:rPr>
                <w:rFonts w:ascii="Arial" w:eastAsia="Times New Roman" w:hAnsi="Arial" w:cs="Arial"/>
                <w:color w:val="000000"/>
                <w:sz w:val="16"/>
                <w:szCs w:val="16"/>
                <w:lang w:eastAsia="es-CO"/>
              </w:rPr>
              <w:t>204.218</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color w:val="000000"/>
                <w:sz w:val="16"/>
                <w:szCs w:val="16"/>
                <w:lang w:eastAsia="es-CO"/>
              </w:rPr>
            </w:pPr>
            <w:r w:rsidRPr="00A306D2">
              <w:rPr>
                <w:rFonts w:ascii="Arial" w:eastAsia="Times New Roman" w:hAnsi="Arial" w:cs="Arial"/>
                <w:color w:val="000000"/>
                <w:sz w:val="16"/>
                <w:szCs w:val="16"/>
                <w:lang w:eastAsia="es-CO"/>
              </w:rPr>
              <w:t>208.499</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color w:val="000000"/>
                <w:sz w:val="16"/>
                <w:szCs w:val="16"/>
                <w:lang w:eastAsia="es-CO"/>
              </w:rPr>
            </w:pPr>
            <w:r w:rsidRPr="00A306D2">
              <w:rPr>
                <w:rFonts w:ascii="Arial" w:eastAsia="Times New Roman" w:hAnsi="Arial" w:cs="Arial"/>
                <w:color w:val="000000"/>
                <w:sz w:val="16"/>
                <w:szCs w:val="16"/>
                <w:lang w:eastAsia="es-CO"/>
              </w:rPr>
              <w:t>199.702</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b/>
                <w:bCs/>
                <w:color w:val="000000"/>
                <w:sz w:val="16"/>
                <w:szCs w:val="16"/>
                <w:lang w:eastAsia="es-CO"/>
              </w:rPr>
            </w:pPr>
            <w:r w:rsidRPr="00A306D2">
              <w:rPr>
                <w:rFonts w:ascii="Arial" w:eastAsia="Times New Roman" w:hAnsi="Arial" w:cs="Arial"/>
                <w:b/>
                <w:bCs/>
                <w:color w:val="000000"/>
                <w:sz w:val="16"/>
                <w:szCs w:val="16"/>
                <w:lang w:eastAsia="es-CO"/>
              </w:rPr>
              <w:t>737.286</w:t>
            </w:r>
          </w:p>
        </w:tc>
      </w:tr>
      <w:tr w:rsidR="00850E4C" w:rsidRPr="00A306D2" w:rsidTr="004654FF">
        <w:trPr>
          <w:trHeight w:val="300"/>
        </w:trPr>
        <w:tc>
          <w:tcPr>
            <w:tcW w:w="2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rPr>
                <w:rFonts w:ascii="Arial" w:eastAsia="Times New Roman" w:hAnsi="Arial" w:cs="Arial"/>
                <w:b/>
                <w:bCs/>
                <w:color w:val="000000"/>
                <w:sz w:val="16"/>
                <w:szCs w:val="16"/>
                <w:lang w:eastAsia="es-CO"/>
              </w:rPr>
            </w:pPr>
            <w:r w:rsidRPr="00A306D2">
              <w:rPr>
                <w:rFonts w:ascii="Arial" w:eastAsia="Times New Roman" w:hAnsi="Arial" w:cs="Arial"/>
                <w:b/>
                <w:bCs/>
                <w:color w:val="000000"/>
                <w:sz w:val="16"/>
                <w:szCs w:val="16"/>
                <w:lang w:eastAsia="es-CO"/>
              </w:rPr>
              <w:t>% Ejecución Presupuestal</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color w:val="000000"/>
                <w:sz w:val="16"/>
                <w:szCs w:val="16"/>
                <w:lang w:eastAsia="es-CO"/>
              </w:rPr>
            </w:pPr>
            <w:r w:rsidRPr="00A306D2">
              <w:rPr>
                <w:rFonts w:ascii="Arial" w:eastAsia="Times New Roman" w:hAnsi="Arial" w:cs="Arial"/>
                <w:color w:val="000000"/>
                <w:sz w:val="16"/>
                <w:szCs w:val="16"/>
                <w:lang w:eastAsia="es-CO"/>
              </w:rPr>
              <w:t>97,8%</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color w:val="000000"/>
                <w:sz w:val="16"/>
                <w:szCs w:val="16"/>
                <w:lang w:eastAsia="es-CO"/>
              </w:rPr>
            </w:pPr>
            <w:r w:rsidRPr="00A306D2">
              <w:rPr>
                <w:rFonts w:ascii="Arial" w:eastAsia="Times New Roman" w:hAnsi="Arial" w:cs="Arial"/>
                <w:color w:val="000000"/>
                <w:sz w:val="16"/>
                <w:szCs w:val="16"/>
                <w:lang w:eastAsia="es-CO"/>
              </w:rPr>
              <w:t>97,0%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color w:val="000000"/>
                <w:sz w:val="16"/>
                <w:szCs w:val="16"/>
                <w:lang w:eastAsia="es-CO"/>
              </w:rPr>
            </w:pPr>
            <w:r w:rsidRPr="00A306D2">
              <w:rPr>
                <w:rFonts w:ascii="Arial" w:eastAsia="Times New Roman" w:hAnsi="Arial" w:cs="Arial"/>
                <w:color w:val="000000"/>
                <w:sz w:val="16"/>
                <w:szCs w:val="16"/>
                <w:lang w:eastAsia="es-CO"/>
              </w:rPr>
              <w:t>95,2%</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color w:val="000000"/>
                <w:sz w:val="16"/>
                <w:szCs w:val="16"/>
                <w:lang w:eastAsia="es-CO"/>
              </w:rPr>
            </w:pPr>
            <w:r w:rsidRPr="00A306D2">
              <w:rPr>
                <w:rFonts w:ascii="Arial" w:eastAsia="Times New Roman" w:hAnsi="Arial" w:cs="Arial"/>
                <w:color w:val="000000"/>
                <w:sz w:val="16"/>
                <w:szCs w:val="16"/>
                <w:lang w:eastAsia="es-CO"/>
              </w:rPr>
              <w:t>97,9%</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b/>
                <w:bCs/>
                <w:color w:val="000000"/>
                <w:sz w:val="16"/>
                <w:szCs w:val="16"/>
                <w:lang w:eastAsia="es-CO"/>
              </w:rPr>
            </w:pPr>
            <w:r w:rsidRPr="00A306D2">
              <w:rPr>
                <w:rFonts w:ascii="Arial" w:eastAsia="Times New Roman" w:hAnsi="Arial" w:cs="Arial"/>
                <w:b/>
                <w:bCs/>
                <w:color w:val="000000"/>
                <w:sz w:val="16"/>
                <w:szCs w:val="16"/>
                <w:lang w:eastAsia="es-CO"/>
              </w:rPr>
              <w:t>97,0%</w:t>
            </w:r>
          </w:p>
        </w:tc>
      </w:tr>
      <w:tr w:rsidR="00850E4C" w:rsidRPr="00A306D2" w:rsidTr="00FD55D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rPr>
                <w:rFonts w:ascii="Arial" w:eastAsia="Times New Roman" w:hAnsi="Arial" w:cs="Arial"/>
                <w:b/>
                <w:bCs/>
                <w:color w:val="000000"/>
                <w:sz w:val="16"/>
                <w:szCs w:val="16"/>
                <w:lang w:eastAsia="es-CO"/>
              </w:rPr>
            </w:pPr>
            <w:r w:rsidRPr="00A306D2">
              <w:rPr>
                <w:rFonts w:ascii="Arial" w:eastAsia="Times New Roman" w:hAnsi="Arial" w:cs="Arial"/>
                <w:b/>
                <w:bCs/>
                <w:color w:val="000000"/>
                <w:sz w:val="16"/>
                <w:szCs w:val="16"/>
                <w:lang w:eastAsia="es-CO"/>
              </w:rPr>
              <w:t>% Rezago Presupuestal</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color w:val="000000"/>
                <w:sz w:val="16"/>
                <w:szCs w:val="16"/>
                <w:lang w:eastAsia="es-CO"/>
              </w:rPr>
            </w:pPr>
            <w:r w:rsidRPr="00A306D2">
              <w:rPr>
                <w:rFonts w:ascii="Arial" w:eastAsia="Times New Roman" w:hAnsi="Arial" w:cs="Arial"/>
                <w:color w:val="000000"/>
                <w:sz w:val="16"/>
                <w:szCs w:val="16"/>
                <w:lang w:eastAsia="es-CO"/>
              </w:rPr>
              <w:t>6,3%</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color w:val="000000"/>
                <w:sz w:val="16"/>
                <w:szCs w:val="16"/>
                <w:lang w:eastAsia="es-CO"/>
              </w:rPr>
            </w:pPr>
            <w:r w:rsidRPr="00A306D2">
              <w:rPr>
                <w:rFonts w:ascii="Arial" w:eastAsia="Times New Roman" w:hAnsi="Arial" w:cs="Arial"/>
                <w:color w:val="000000"/>
                <w:sz w:val="16"/>
                <w:szCs w:val="16"/>
                <w:lang w:eastAsia="es-CO"/>
              </w:rPr>
              <w:t>9,6%</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color w:val="000000"/>
                <w:sz w:val="16"/>
                <w:szCs w:val="16"/>
                <w:lang w:eastAsia="es-CO"/>
              </w:rPr>
            </w:pPr>
            <w:r w:rsidRPr="00A306D2">
              <w:rPr>
                <w:rFonts w:ascii="Arial" w:eastAsia="Times New Roman" w:hAnsi="Arial" w:cs="Arial"/>
                <w:color w:val="000000"/>
                <w:sz w:val="16"/>
                <w:szCs w:val="16"/>
                <w:lang w:eastAsia="es-CO"/>
              </w:rPr>
              <w:t>8,8%</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color w:val="000000"/>
                <w:sz w:val="16"/>
                <w:szCs w:val="16"/>
                <w:lang w:eastAsia="es-CO"/>
              </w:rPr>
            </w:pPr>
            <w:r w:rsidRPr="00A306D2">
              <w:rPr>
                <w:rFonts w:ascii="Arial" w:eastAsia="Times New Roman" w:hAnsi="Arial" w:cs="Arial"/>
                <w:color w:val="000000"/>
                <w:sz w:val="16"/>
                <w:szCs w:val="16"/>
                <w:lang w:eastAsia="es-CO"/>
              </w:rPr>
              <w:t>7,2%</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A306D2" w:rsidRDefault="00850E4C" w:rsidP="00FD55D2">
            <w:pPr>
              <w:spacing w:after="0" w:line="240" w:lineRule="auto"/>
              <w:jc w:val="center"/>
              <w:rPr>
                <w:rFonts w:ascii="Arial" w:eastAsia="Times New Roman" w:hAnsi="Arial" w:cs="Arial"/>
                <w:b/>
                <w:bCs/>
                <w:color w:val="000000"/>
                <w:sz w:val="16"/>
                <w:szCs w:val="16"/>
                <w:lang w:eastAsia="es-CO"/>
              </w:rPr>
            </w:pPr>
            <w:r w:rsidRPr="00A306D2">
              <w:rPr>
                <w:rFonts w:ascii="Arial" w:eastAsia="Times New Roman" w:hAnsi="Arial" w:cs="Arial"/>
                <w:b/>
                <w:bCs/>
                <w:color w:val="000000"/>
                <w:sz w:val="16"/>
                <w:szCs w:val="16"/>
                <w:lang w:eastAsia="es-CO"/>
              </w:rPr>
              <w:t>8,0%</w:t>
            </w:r>
          </w:p>
        </w:tc>
      </w:tr>
    </w:tbl>
    <w:p w:rsidR="00850E4C" w:rsidRPr="00A306D2" w:rsidRDefault="00850E4C" w:rsidP="00850E4C">
      <w:pPr>
        <w:spacing w:after="0" w:line="240" w:lineRule="auto"/>
        <w:jc w:val="center"/>
        <w:rPr>
          <w:rFonts w:ascii="Arial" w:hAnsi="Arial" w:cs="Arial"/>
          <w:b/>
          <w:sz w:val="16"/>
          <w:szCs w:val="16"/>
        </w:rPr>
      </w:pPr>
      <w:r w:rsidRPr="00A306D2">
        <w:rPr>
          <w:rFonts w:ascii="Arial" w:hAnsi="Arial" w:cs="Arial"/>
          <w:b/>
          <w:sz w:val="16"/>
          <w:szCs w:val="16"/>
        </w:rPr>
        <w:t>Fuente: Consejo Superior de la Judicatura con base a información SIIF - Min. Hacienda.</w:t>
      </w:r>
    </w:p>
    <w:p w:rsidR="00850E4C" w:rsidRPr="00A306D2" w:rsidRDefault="00850E4C" w:rsidP="00850E4C">
      <w:pPr>
        <w:spacing w:after="0" w:line="240" w:lineRule="auto"/>
        <w:jc w:val="center"/>
        <w:rPr>
          <w:rFonts w:ascii="Arial" w:hAnsi="Arial" w:cs="Arial"/>
          <w:b/>
          <w:sz w:val="16"/>
          <w:szCs w:val="16"/>
        </w:rPr>
      </w:pPr>
      <w:r w:rsidRPr="00A306D2">
        <w:rPr>
          <w:rFonts w:ascii="Arial" w:hAnsi="Arial" w:cs="Arial"/>
          <w:b/>
          <w:sz w:val="16"/>
          <w:szCs w:val="16"/>
        </w:rPr>
        <w:t>Cálculos CGR DES-DJS.  Fecha de Corte: Abril de 2014</w:t>
      </w:r>
    </w:p>
    <w:p w:rsidR="00850E4C" w:rsidRPr="00A306D2" w:rsidRDefault="00850E4C" w:rsidP="00850E4C">
      <w:pPr>
        <w:spacing w:after="0" w:line="240" w:lineRule="auto"/>
        <w:jc w:val="both"/>
        <w:rPr>
          <w:rFonts w:ascii="Arial" w:hAnsi="Arial" w:cs="Arial"/>
          <w:sz w:val="16"/>
          <w:szCs w:val="16"/>
        </w:rPr>
      </w:pPr>
    </w:p>
    <w:p w:rsidR="00850E4C" w:rsidRPr="009427D5" w:rsidRDefault="00850E4C" w:rsidP="00850E4C">
      <w:pPr>
        <w:spacing w:after="0" w:line="240" w:lineRule="auto"/>
        <w:jc w:val="both"/>
        <w:rPr>
          <w:rFonts w:ascii="Arial" w:hAnsi="Arial" w:cs="Arial"/>
          <w:sz w:val="24"/>
          <w:szCs w:val="24"/>
        </w:rPr>
      </w:pPr>
      <w:r w:rsidRPr="009427D5">
        <w:rPr>
          <w:rFonts w:ascii="Arial" w:hAnsi="Arial" w:cs="Arial"/>
          <w:sz w:val="24"/>
          <w:szCs w:val="24"/>
        </w:rPr>
        <w:t>En cuanto a la ejecución presupuestal de la Rama Judicial (compromisos sobre apropiación final) se mantuvo en un porcentaje superior al 95%, en el periodo revisado, pasando de 97,8% en 2010 a 97,9% en 2013, mostrando en términos generales el grado de eficacia en la ejecución del gasto. Sin embargo, también se observa</w:t>
      </w:r>
      <w:r w:rsidR="0084336D" w:rsidRPr="009427D5">
        <w:rPr>
          <w:rFonts w:ascii="Arial" w:hAnsi="Arial" w:cs="Arial"/>
          <w:sz w:val="24"/>
          <w:szCs w:val="24"/>
        </w:rPr>
        <w:t>n</w:t>
      </w:r>
      <w:r w:rsidRPr="009427D5">
        <w:rPr>
          <w:rFonts w:ascii="Arial" w:hAnsi="Arial" w:cs="Arial"/>
          <w:sz w:val="24"/>
          <w:szCs w:val="24"/>
        </w:rPr>
        <w:t xml:space="preserve"> rezago</w:t>
      </w:r>
      <w:r w:rsidR="0084336D" w:rsidRPr="009427D5">
        <w:rPr>
          <w:rFonts w:ascii="Arial" w:hAnsi="Arial" w:cs="Arial"/>
          <w:sz w:val="24"/>
          <w:szCs w:val="24"/>
        </w:rPr>
        <w:t>s</w:t>
      </w:r>
      <w:r w:rsidRPr="009427D5">
        <w:rPr>
          <w:rFonts w:ascii="Arial" w:hAnsi="Arial" w:cs="Arial"/>
          <w:sz w:val="24"/>
          <w:szCs w:val="24"/>
        </w:rPr>
        <w:t xml:space="preserve"> presupuestales significativos, los cuales alcanzaron sus mayores porcentajes en los años 2011 y 2012 (9,6% y 8,8% de los compromisos), esto último, se dio principalmente en el rubro de inversión y refleja algunas dificultades en la planeación y gestión presupuestal de la Entidad.</w:t>
      </w:r>
    </w:p>
    <w:p w:rsidR="00850E4C" w:rsidRPr="009427D5" w:rsidRDefault="00850E4C" w:rsidP="00850E4C">
      <w:pPr>
        <w:spacing w:after="0" w:line="240" w:lineRule="auto"/>
        <w:jc w:val="both"/>
        <w:rPr>
          <w:rFonts w:ascii="Arial" w:hAnsi="Arial" w:cs="Arial"/>
          <w:sz w:val="24"/>
          <w:szCs w:val="24"/>
        </w:rPr>
      </w:pPr>
    </w:p>
    <w:p w:rsidR="00850E4C" w:rsidRPr="009427D5" w:rsidRDefault="00850E4C" w:rsidP="00850E4C">
      <w:pPr>
        <w:spacing w:after="0" w:line="240" w:lineRule="auto"/>
        <w:jc w:val="both"/>
        <w:rPr>
          <w:rFonts w:ascii="Arial" w:hAnsi="Arial" w:cs="Arial"/>
          <w:sz w:val="24"/>
          <w:szCs w:val="24"/>
        </w:rPr>
      </w:pPr>
      <w:r w:rsidRPr="009427D5">
        <w:rPr>
          <w:rFonts w:ascii="Arial" w:hAnsi="Arial" w:cs="Arial"/>
          <w:sz w:val="24"/>
          <w:szCs w:val="24"/>
        </w:rPr>
        <w:t xml:space="preserve">Respecto a la composición del presupuesto ejecutado por la Rama Judicial entre 2010 y 2013 (Tabla </w:t>
      </w:r>
      <w:r w:rsidR="009C51E1" w:rsidRPr="009427D5">
        <w:rPr>
          <w:rFonts w:ascii="Arial" w:hAnsi="Arial" w:cs="Arial"/>
          <w:sz w:val="24"/>
          <w:szCs w:val="24"/>
        </w:rPr>
        <w:t>4</w:t>
      </w:r>
      <w:r w:rsidRPr="009427D5">
        <w:rPr>
          <w:rFonts w:ascii="Arial" w:hAnsi="Arial" w:cs="Arial"/>
          <w:sz w:val="24"/>
          <w:szCs w:val="24"/>
        </w:rPr>
        <w:t>.), el rubro que tuvo una mayor participación, fue el de gastos de personal que alcanzó $7,57 billones (82%), seguido por los gastos generales con $785.576 millones (8,5%), la inversión con $720.116 millones (7,8%) y por último, las transferencias con $164.895 millones (1,8%). Entre los gastos de personal sobresale el pago de salarios, prestaciones sociales y bonificaciones de actividad judicial</w:t>
      </w:r>
      <w:r w:rsidRPr="009427D5">
        <w:rPr>
          <w:rStyle w:val="Refdenotaalpie"/>
          <w:rFonts w:ascii="Arial" w:hAnsi="Arial" w:cs="Arial"/>
          <w:sz w:val="24"/>
          <w:szCs w:val="24"/>
        </w:rPr>
        <w:footnoteReference w:id="7"/>
      </w:r>
      <w:r w:rsidRPr="009427D5">
        <w:rPr>
          <w:rFonts w:ascii="Arial" w:hAnsi="Arial" w:cs="Arial"/>
          <w:sz w:val="24"/>
          <w:szCs w:val="24"/>
        </w:rPr>
        <w:t>, en los gastos generales: la adquisición de equipos, pago de mantenimiento, servicios públicos y arrendamientos. En la inversión, destacan los proyectos relacionados con dotación de infraestructura física, tecnológica y programas de capacitación para los funcionarios. Y en las transferencias, el pago de sentencias y conciliaciones.</w:t>
      </w:r>
    </w:p>
    <w:p w:rsidR="00264235" w:rsidRDefault="00264235" w:rsidP="00850E4C">
      <w:pPr>
        <w:spacing w:after="0" w:line="240" w:lineRule="auto"/>
        <w:jc w:val="center"/>
        <w:rPr>
          <w:rFonts w:ascii="Arial" w:hAnsi="Arial" w:cs="Arial"/>
          <w:b/>
          <w:sz w:val="20"/>
          <w:szCs w:val="20"/>
        </w:rPr>
      </w:pPr>
    </w:p>
    <w:p w:rsidR="00850E4C" w:rsidRPr="0036031F" w:rsidRDefault="00850E4C" w:rsidP="00850E4C">
      <w:pPr>
        <w:spacing w:after="0" w:line="240" w:lineRule="auto"/>
        <w:jc w:val="center"/>
        <w:rPr>
          <w:rFonts w:ascii="Arial" w:hAnsi="Arial" w:cs="Arial"/>
          <w:b/>
          <w:sz w:val="16"/>
          <w:szCs w:val="16"/>
        </w:rPr>
      </w:pPr>
      <w:r w:rsidRPr="0036031F">
        <w:rPr>
          <w:rFonts w:ascii="Arial" w:hAnsi="Arial" w:cs="Arial"/>
          <w:b/>
          <w:sz w:val="16"/>
          <w:szCs w:val="16"/>
        </w:rPr>
        <w:t xml:space="preserve">Tabla </w:t>
      </w:r>
      <w:r w:rsidR="00541D38" w:rsidRPr="0036031F">
        <w:rPr>
          <w:rFonts w:ascii="Arial" w:hAnsi="Arial" w:cs="Arial"/>
          <w:b/>
          <w:sz w:val="16"/>
          <w:szCs w:val="16"/>
        </w:rPr>
        <w:t xml:space="preserve">No. 4. </w:t>
      </w:r>
      <w:r w:rsidRPr="0036031F">
        <w:rPr>
          <w:rFonts w:ascii="Arial" w:hAnsi="Arial" w:cs="Arial"/>
          <w:b/>
          <w:sz w:val="16"/>
          <w:szCs w:val="16"/>
        </w:rPr>
        <w:t xml:space="preserve">Presupuesto Ejecutado por Tipo de Gasto. Rama Judicial 2010-2013 (En Millones de </w:t>
      </w:r>
      <w:r w:rsidR="00A81119" w:rsidRPr="0036031F">
        <w:rPr>
          <w:rFonts w:ascii="Arial" w:hAnsi="Arial" w:cs="Arial"/>
          <w:b/>
          <w:sz w:val="16"/>
          <w:szCs w:val="16"/>
        </w:rPr>
        <w:t>$</w:t>
      </w:r>
      <w:r w:rsidRPr="0036031F">
        <w:rPr>
          <w:rFonts w:ascii="Arial" w:hAnsi="Arial" w:cs="Arial"/>
          <w:b/>
          <w:sz w:val="16"/>
          <w:szCs w:val="16"/>
        </w:rPr>
        <w:t xml:space="preserve"> de 2013)</w:t>
      </w:r>
    </w:p>
    <w:tbl>
      <w:tblPr>
        <w:tblW w:w="8740" w:type="dxa"/>
        <w:tblInd w:w="55" w:type="dxa"/>
        <w:tblCellMar>
          <w:left w:w="70" w:type="dxa"/>
          <w:right w:w="70" w:type="dxa"/>
        </w:tblCellMar>
        <w:tblLook w:val="04A0" w:firstRow="1" w:lastRow="0" w:firstColumn="1" w:lastColumn="0" w:noHBand="0" w:noVBand="1"/>
      </w:tblPr>
      <w:tblGrid>
        <w:gridCol w:w="2740"/>
        <w:gridCol w:w="1200"/>
        <w:gridCol w:w="1200"/>
        <w:gridCol w:w="1200"/>
        <w:gridCol w:w="1200"/>
        <w:gridCol w:w="1200"/>
      </w:tblGrid>
      <w:tr w:rsidR="00850E4C" w:rsidRPr="0036031F" w:rsidTr="00FD55D2">
        <w:trPr>
          <w:trHeight w:val="300"/>
        </w:trPr>
        <w:tc>
          <w:tcPr>
            <w:tcW w:w="2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2010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2011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2012</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2013</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TOTAL</w:t>
            </w:r>
          </w:p>
        </w:tc>
      </w:tr>
      <w:tr w:rsidR="00850E4C" w:rsidRPr="0036031F" w:rsidTr="00FD55D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FUNCIONAMIENTO</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1.829.577</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1.942.826</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2.262.985</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2.494.226</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8.529.613</w:t>
            </w:r>
          </w:p>
        </w:tc>
      </w:tr>
      <w:tr w:rsidR="00850E4C" w:rsidRPr="0036031F" w:rsidTr="00FD55D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 xml:space="preserve">  Gastos de Personal</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1.611.291</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1.715.334</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2.014.721</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2.237.795</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7.579.142</w:t>
            </w:r>
          </w:p>
        </w:tc>
      </w:tr>
      <w:tr w:rsidR="00850E4C" w:rsidRPr="0036031F" w:rsidTr="00FD55D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 xml:space="preserve">  Gastos Generales</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174.590</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190.485</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207.613</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212.888</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785.576</w:t>
            </w:r>
          </w:p>
        </w:tc>
      </w:tr>
      <w:tr w:rsidR="00850E4C" w:rsidRPr="0036031F" w:rsidTr="00FD55D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 xml:space="preserve">  Transferencias</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43.696</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37.007</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40.650</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43.543</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164.895</w:t>
            </w:r>
          </w:p>
        </w:tc>
      </w:tr>
      <w:tr w:rsidR="00850E4C" w:rsidRPr="0036031F" w:rsidTr="00FD55D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INVERSIÓN</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143.335</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187.598</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110.301</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278.882</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720.116</w:t>
            </w:r>
          </w:p>
        </w:tc>
      </w:tr>
      <w:tr w:rsidR="00850E4C" w:rsidRPr="0036031F" w:rsidTr="00FD55D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TOTAL</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1.972.912</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2.130.424</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2.373.285</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2.773.108</w:t>
            </w:r>
          </w:p>
        </w:tc>
        <w:tc>
          <w:tcPr>
            <w:tcW w:w="1200" w:type="dxa"/>
            <w:tcBorders>
              <w:top w:val="nil"/>
              <w:left w:val="nil"/>
              <w:bottom w:val="single" w:sz="4" w:space="0" w:color="auto"/>
              <w:right w:val="single" w:sz="4" w:space="0" w:color="auto"/>
            </w:tcBorders>
            <w:shd w:val="clear" w:color="auto" w:fill="auto"/>
            <w:noWrap/>
            <w:vAlign w:val="bottom"/>
            <w:hideMark/>
          </w:tcPr>
          <w:p w:rsidR="00850E4C" w:rsidRPr="0036031F" w:rsidRDefault="00850E4C" w:rsidP="00FD55D2">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9.249.729</w:t>
            </w:r>
          </w:p>
        </w:tc>
      </w:tr>
    </w:tbl>
    <w:p w:rsidR="00850E4C" w:rsidRPr="0036031F" w:rsidRDefault="00850E4C" w:rsidP="00850E4C">
      <w:pPr>
        <w:spacing w:after="0" w:line="240" w:lineRule="auto"/>
        <w:jc w:val="center"/>
        <w:rPr>
          <w:rFonts w:ascii="Arial" w:hAnsi="Arial" w:cs="Arial"/>
          <w:b/>
          <w:sz w:val="16"/>
          <w:szCs w:val="16"/>
        </w:rPr>
      </w:pPr>
      <w:r w:rsidRPr="0036031F">
        <w:rPr>
          <w:rFonts w:ascii="Arial" w:hAnsi="Arial" w:cs="Arial"/>
          <w:b/>
          <w:sz w:val="16"/>
          <w:szCs w:val="16"/>
        </w:rPr>
        <w:t>Fuente: Consejo Superior de la Judicatura con base a información SIIF - Min. Hacienda.</w:t>
      </w:r>
    </w:p>
    <w:p w:rsidR="00850E4C" w:rsidRPr="0036031F" w:rsidRDefault="00850E4C" w:rsidP="00850E4C">
      <w:pPr>
        <w:spacing w:after="0" w:line="240" w:lineRule="auto"/>
        <w:jc w:val="center"/>
        <w:rPr>
          <w:rFonts w:ascii="Arial" w:hAnsi="Arial" w:cs="Arial"/>
          <w:b/>
          <w:sz w:val="16"/>
          <w:szCs w:val="16"/>
        </w:rPr>
      </w:pPr>
      <w:r w:rsidRPr="0036031F">
        <w:rPr>
          <w:rFonts w:ascii="Arial" w:hAnsi="Arial" w:cs="Arial"/>
          <w:b/>
          <w:sz w:val="16"/>
          <w:szCs w:val="16"/>
        </w:rPr>
        <w:t>Cálculos CGR DES-DJS.  Fecha de Corte: Abril de 2014</w:t>
      </w:r>
    </w:p>
    <w:p w:rsidR="007E6D83" w:rsidRDefault="007E6D83" w:rsidP="00850E4C">
      <w:pPr>
        <w:spacing w:after="0" w:line="240" w:lineRule="auto"/>
        <w:jc w:val="both"/>
        <w:rPr>
          <w:rFonts w:ascii="Arial" w:hAnsi="Arial" w:cs="Arial"/>
          <w:sz w:val="24"/>
          <w:szCs w:val="24"/>
        </w:rPr>
      </w:pPr>
    </w:p>
    <w:p w:rsidR="00850E4C" w:rsidRPr="009427D5" w:rsidRDefault="00850E4C" w:rsidP="00850E4C">
      <w:pPr>
        <w:spacing w:after="0" w:line="240" w:lineRule="auto"/>
        <w:jc w:val="both"/>
        <w:rPr>
          <w:rFonts w:ascii="Arial" w:hAnsi="Arial" w:cs="Arial"/>
          <w:sz w:val="24"/>
          <w:szCs w:val="24"/>
        </w:rPr>
      </w:pPr>
      <w:r w:rsidRPr="009427D5">
        <w:rPr>
          <w:rFonts w:ascii="Arial" w:hAnsi="Arial" w:cs="Arial"/>
          <w:sz w:val="24"/>
          <w:szCs w:val="24"/>
        </w:rPr>
        <w:t xml:space="preserve">El tipo de gasto que presentó mayor crecimiento durante el periodo revisado, fue el de inversión (94,6%), pues incrementó de $143.335 millones en 2010 a </w:t>
      </w:r>
      <w:r w:rsidRPr="009427D5">
        <w:rPr>
          <w:rFonts w:ascii="Arial" w:hAnsi="Arial" w:cs="Arial"/>
          <w:sz w:val="24"/>
          <w:szCs w:val="24"/>
        </w:rPr>
        <w:lastRenderedPageBreak/>
        <w:t xml:space="preserve">$278.882 en 2013, luego aparecen los gastos de personal (39%), al pasar de $1,61 billones en 2010 a $2,23 en 2013 y los gastos generales (22%), pues aumentaron de $174.590 millones en 2010 a $212.888 en 2013. Por el contrario,  las transferencias tuvieron una leve disminución (-0,4%), pasando de $43.696 millones en 2010 a $43.543 en 2013. En el caso de la inversión, señala el incremento de los recursos para la sistematización de despachos judiciales, así como, la construcción, adquisición y adecuación de sedes judiciales y salas de audiencias para el sistema oral. Y en relación </w:t>
      </w:r>
      <w:r w:rsidR="002D1512" w:rsidRPr="009427D5">
        <w:rPr>
          <w:rFonts w:ascii="Arial" w:hAnsi="Arial" w:cs="Arial"/>
          <w:sz w:val="24"/>
          <w:szCs w:val="24"/>
        </w:rPr>
        <w:t>con</w:t>
      </w:r>
      <w:r w:rsidRPr="009427D5">
        <w:rPr>
          <w:rFonts w:ascii="Arial" w:hAnsi="Arial" w:cs="Arial"/>
          <w:sz w:val="24"/>
          <w:szCs w:val="24"/>
        </w:rPr>
        <w:t xml:space="preserve"> los gastos de personal, su crecimiento obedece principalmente a una mayor vinculación de personal (tanto juzgador como de apoyo) para los despachos de descongestión.</w:t>
      </w:r>
    </w:p>
    <w:p w:rsidR="00850E4C" w:rsidRPr="009427D5" w:rsidRDefault="00850E4C" w:rsidP="00850E4C">
      <w:pPr>
        <w:spacing w:after="0" w:line="240" w:lineRule="auto"/>
        <w:jc w:val="both"/>
        <w:rPr>
          <w:rFonts w:ascii="Arial" w:hAnsi="Arial" w:cs="Arial"/>
          <w:sz w:val="24"/>
          <w:szCs w:val="24"/>
        </w:rPr>
      </w:pPr>
    </w:p>
    <w:p w:rsidR="00850E4C" w:rsidRPr="009427D5" w:rsidRDefault="00850E4C" w:rsidP="00850E4C">
      <w:pPr>
        <w:spacing w:after="0" w:line="240" w:lineRule="auto"/>
        <w:jc w:val="both"/>
        <w:rPr>
          <w:rFonts w:ascii="Arial" w:hAnsi="Arial" w:cs="Arial"/>
          <w:sz w:val="24"/>
          <w:szCs w:val="24"/>
        </w:rPr>
      </w:pPr>
      <w:r w:rsidRPr="009427D5">
        <w:rPr>
          <w:rFonts w:ascii="Arial" w:hAnsi="Arial" w:cs="Arial"/>
          <w:sz w:val="24"/>
          <w:szCs w:val="24"/>
        </w:rPr>
        <w:t>Por otra parte, debe señalarse la existencia de diferencias sustanciales en los porcentajes de ejecución presupuestal en estos tipos de gasto, durante las vigencias revisadas, donde los niveles más altos fueron para los gastos de personal (99,5%), gastos generales (96,4%) y transferencias (92,8%). Mientras que la inversión evidenció un porcentaje bastante bajo (77,4%), el cual refleja dificultades en los procesos de planeación y ejecución de los proyectos.</w:t>
      </w:r>
    </w:p>
    <w:p w:rsidR="00850E4C" w:rsidRPr="009427D5" w:rsidRDefault="00850E4C" w:rsidP="00850E4C">
      <w:pPr>
        <w:spacing w:after="0" w:line="240" w:lineRule="auto"/>
        <w:jc w:val="both"/>
        <w:rPr>
          <w:rFonts w:ascii="Arial" w:hAnsi="Arial" w:cs="Arial"/>
          <w:sz w:val="24"/>
          <w:szCs w:val="24"/>
        </w:rPr>
      </w:pPr>
    </w:p>
    <w:p w:rsidR="00850E4C" w:rsidRPr="009427D5" w:rsidRDefault="00850E4C" w:rsidP="00850E4C">
      <w:pPr>
        <w:spacing w:after="0" w:line="240" w:lineRule="auto"/>
        <w:jc w:val="both"/>
        <w:rPr>
          <w:rFonts w:ascii="Arial" w:hAnsi="Arial" w:cs="Arial"/>
          <w:sz w:val="24"/>
          <w:szCs w:val="24"/>
        </w:rPr>
      </w:pPr>
      <w:r w:rsidRPr="009427D5">
        <w:rPr>
          <w:rFonts w:ascii="Arial" w:hAnsi="Arial" w:cs="Arial"/>
          <w:sz w:val="24"/>
          <w:szCs w:val="24"/>
        </w:rPr>
        <w:t>Estas diferencias también se observan en los porcentajes de rezago presupuestal; pues los gastos de personal registraron 2% del presupuesto comprometido en dicho rubro, entre 2010 y 2013, las transferencias 3,3% y los gastos generales 13,6%. Sin embargo, en el rubro de inversión, dicho rezago llegó a 66,4% de los compromisos, siendo este un porcentaje considerablemente alto y que evidencia deficiencias en los procesos presupuestales al interior de la Rama Judicial. Lo anterior, refleja que en algunos proyectos, sus porcentajes de avance financiero fueron menores a los esperados en cada vigencia (especialmente, en proyectos de inversión relacionados con dotación de infraestructura).</w:t>
      </w:r>
    </w:p>
    <w:p w:rsidR="00850E4C" w:rsidRPr="009427D5" w:rsidRDefault="00850E4C" w:rsidP="003C0E9A">
      <w:pPr>
        <w:pStyle w:val="Textopredeterminado"/>
        <w:tabs>
          <w:tab w:val="left" w:pos="3120"/>
        </w:tabs>
        <w:jc w:val="both"/>
        <w:rPr>
          <w:rFonts w:ascii="Arial" w:hAnsi="Arial" w:cs="Arial"/>
          <w:i/>
          <w:szCs w:val="24"/>
          <w:lang w:val="es-CO"/>
        </w:rPr>
      </w:pPr>
    </w:p>
    <w:p w:rsidR="001D2D9C" w:rsidRPr="009427D5" w:rsidRDefault="00E5319D" w:rsidP="00E5319D">
      <w:pPr>
        <w:spacing w:after="0" w:line="240" w:lineRule="auto"/>
        <w:jc w:val="both"/>
        <w:rPr>
          <w:rFonts w:ascii="Arial" w:hAnsi="Arial" w:cs="Arial"/>
          <w:sz w:val="24"/>
          <w:szCs w:val="24"/>
        </w:rPr>
      </w:pPr>
      <w:r w:rsidRPr="009427D5">
        <w:rPr>
          <w:rFonts w:ascii="Arial" w:hAnsi="Arial" w:cs="Arial"/>
          <w:sz w:val="24"/>
          <w:szCs w:val="24"/>
        </w:rPr>
        <w:t>Otro aspecto importante es el comportamiento de los recursos ejecutados en el Plan Nacional de Descongestión, los cuales ascendieron a $1,37 Billones (a precios constantes de 2013), entre 2010 y 2013 (Tabla 5</w:t>
      </w:r>
      <w:r w:rsidR="001D2D9C" w:rsidRPr="009427D5">
        <w:rPr>
          <w:rFonts w:ascii="Arial" w:hAnsi="Arial" w:cs="Arial"/>
          <w:sz w:val="24"/>
          <w:szCs w:val="24"/>
        </w:rPr>
        <w:t xml:space="preserve">.), </w:t>
      </w:r>
      <w:r w:rsidRPr="009427D5">
        <w:rPr>
          <w:rFonts w:ascii="Arial" w:hAnsi="Arial" w:cs="Arial"/>
          <w:sz w:val="24"/>
          <w:szCs w:val="24"/>
        </w:rPr>
        <w:t xml:space="preserve">que constituyen un 15,3% del presupuesto ejecutado por la Rama judicial durante este periodo. </w:t>
      </w:r>
    </w:p>
    <w:p w:rsidR="001D2D9C" w:rsidRPr="009427D5" w:rsidRDefault="001D2D9C" w:rsidP="00E5319D">
      <w:pPr>
        <w:spacing w:after="0" w:line="240" w:lineRule="auto"/>
        <w:jc w:val="both"/>
        <w:rPr>
          <w:rFonts w:ascii="Arial" w:hAnsi="Arial" w:cs="Arial"/>
          <w:sz w:val="24"/>
          <w:szCs w:val="24"/>
        </w:rPr>
      </w:pPr>
    </w:p>
    <w:p w:rsidR="00E5319D" w:rsidRDefault="004775E3" w:rsidP="00E5319D">
      <w:pPr>
        <w:spacing w:after="0" w:line="240" w:lineRule="auto"/>
        <w:jc w:val="both"/>
        <w:rPr>
          <w:rFonts w:ascii="Arial" w:hAnsi="Arial" w:cs="Arial"/>
          <w:sz w:val="24"/>
          <w:szCs w:val="24"/>
        </w:rPr>
      </w:pPr>
      <w:r w:rsidRPr="009427D5">
        <w:rPr>
          <w:rFonts w:ascii="Arial" w:hAnsi="Arial" w:cs="Arial"/>
          <w:sz w:val="24"/>
          <w:szCs w:val="24"/>
        </w:rPr>
        <w:t>Dichos</w:t>
      </w:r>
      <w:r w:rsidR="00E5319D" w:rsidRPr="009427D5">
        <w:rPr>
          <w:rFonts w:ascii="Arial" w:hAnsi="Arial" w:cs="Arial"/>
          <w:sz w:val="24"/>
          <w:szCs w:val="24"/>
        </w:rPr>
        <w:t xml:space="preserve"> recursos se dirigieron a dos conceptos</w:t>
      </w:r>
      <w:r w:rsidR="001D2D9C" w:rsidRPr="009427D5">
        <w:rPr>
          <w:rFonts w:ascii="Arial" w:hAnsi="Arial" w:cs="Arial"/>
          <w:sz w:val="24"/>
          <w:szCs w:val="24"/>
        </w:rPr>
        <w:t xml:space="preserve"> de gasto</w:t>
      </w:r>
      <w:r w:rsidR="00E5319D" w:rsidRPr="009427D5">
        <w:rPr>
          <w:rFonts w:ascii="Arial" w:hAnsi="Arial" w:cs="Arial"/>
          <w:sz w:val="24"/>
          <w:szCs w:val="24"/>
        </w:rPr>
        <w:t xml:space="preserve">, en primer lugar, a gastos de personal relacionados con la contratación de jueces y personal de apoyo para </w:t>
      </w:r>
      <w:r w:rsidRPr="009427D5">
        <w:rPr>
          <w:rFonts w:ascii="Arial" w:hAnsi="Arial" w:cs="Arial"/>
          <w:sz w:val="24"/>
          <w:szCs w:val="24"/>
        </w:rPr>
        <w:t xml:space="preserve">el funcionamiento de </w:t>
      </w:r>
      <w:r w:rsidR="00E5319D" w:rsidRPr="009427D5">
        <w:rPr>
          <w:rFonts w:ascii="Arial" w:hAnsi="Arial" w:cs="Arial"/>
          <w:sz w:val="24"/>
          <w:szCs w:val="24"/>
        </w:rPr>
        <w:t>estos despachos, por un valor de $1,22 Billones (89%), y en segundo, a gastos generales como la adquisición de equipos, gastos de mantenimiento y pago de servicios públicos, cuyo valor fue de $147.792 Millones (11%).</w:t>
      </w:r>
    </w:p>
    <w:p w:rsidR="00170E87" w:rsidRDefault="00170E87" w:rsidP="00E5319D">
      <w:pPr>
        <w:spacing w:after="0" w:line="240" w:lineRule="auto"/>
        <w:jc w:val="both"/>
        <w:rPr>
          <w:rFonts w:ascii="Arial" w:hAnsi="Arial" w:cs="Arial"/>
          <w:sz w:val="24"/>
          <w:szCs w:val="24"/>
        </w:rPr>
      </w:pPr>
    </w:p>
    <w:p w:rsidR="00170E87" w:rsidRDefault="00170E87" w:rsidP="00E5319D">
      <w:pPr>
        <w:spacing w:after="0" w:line="240" w:lineRule="auto"/>
        <w:jc w:val="both"/>
        <w:rPr>
          <w:rFonts w:ascii="Arial" w:hAnsi="Arial" w:cs="Arial"/>
          <w:sz w:val="24"/>
          <w:szCs w:val="24"/>
        </w:rPr>
      </w:pPr>
    </w:p>
    <w:p w:rsidR="00170E87" w:rsidRDefault="00170E87" w:rsidP="00E5319D">
      <w:pPr>
        <w:spacing w:after="0" w:line="240" w:lineRule="auto"/>
        <w:jc w:val="both"/>
        <w:rPr>
          <w:rFonts w:ascii="Arial" w:hAnsi="Arial" w:cs="Arial"/>
          <w:sz w:val="24"/>
          <w:szCs w:val="24"/>
        </w:rPr>
      </w:pPr>
    </w:p>
    <w:p w:rsidR="00E5319D" w:rsidRPr="0036031F" w:rsidRDefault="00E5319D" w:rsidP="00E5319D">
      <w:pPr>
        <w:spacing w:after="0" w:line="240" w:lineRule="auto"/>
        <w:jc w:val="center"/>
        <w:rPr>
          <w:rFonts w:ascii="Arial" w:hAnsi="Arial" w:cs="Arial"/>
          <w:b/>
          <w:sz w:val="16"/>
          <w:szCs w:val="16"/>
        </w:rPr>
      </w:pPr>
      <w:r w:rsidRPr="0036031F">
        <w:rPr>
          <w:rFonts w:ascii="Arial" w:hAnsi="Arial" w:cs="Arial"/>
          <w:b/>
          <w:sz w:val="16"/>
          <w:szCs w:val="16"/>
        </w:rPr>
        <w:lastRenderedPageBreak/>
        <w:t>Tabla 5. Recursos Ejecutados. Plan Nacional de Descongestión 2010-2013 (En Millones de Pesos de 2013)</w:t>
      </w:r>
    </w:p>
    <w:tbl>
      <w:tblPr>
        <w:tblW w:w="8740" w:type="dxa"/>
        <w:tblInd w:w="55" w:type="dxa"/>
        <w:tblCellMar>
          <w:left w:w="70" w:type="dxa"/>
          <w:right w:w="70" w:type="dxa"/>
        </w:tblCellMar>
        <w:tblLook w:val="04A0" w:firstRow="1" w:lastRow="0" w:firstColumn="1" w:lastColumn="0" w:noHBand="0" w:noVBand="1"/>
      </w:tblPr>
      <w:tblGrid>
        <w:gridCol w:w="2740"/>
        <w:gridCol w:w="1200"/>
        <w:gridCol w:w="1200"/>
        <w:gridCol w:w="1200"/>
        <w:gridCol w:w="1200"/>
        <w:gridCol w:w="1200"/>
      </w:tblGrid>
      <w:tr w:rsidR="00E5319D" w:rsidRPr="0036031F" w:rsidTr="001B04D2">
        <w:trPr>
          <w:trHeight w:val="300"/>
        </w:trPr>
        <w:tc>
          <w:tcPr>
            <w:tcW w:w="2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319D" w:rsidRPr="0036031F" w:rsidRDefault="00E5319D" w:rsidP="001B04D2">
            <w:pPr>
              <w:spacing w:after="0" w:line="240" w:lineRule="auto"/>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E5319D" w:rsidRPr="0036031F" w:rsidRDefault="00E5319D" w:rsidP="001B04D2">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2010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E5319D" w:rsidRPr="0036031F" w:rsidRDefault="00E5319D" w:rsidP="001B04D2">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2011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E5319D" w:rsidRPr="0036031F" w:rsidRDefault="00E5319D" w:rsidP="001B04D2">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2012</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E5319D" w:rsidRPr="0036031F" w:rsidRDefault="00E5319D" w:rsidP="001B04D2">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2013</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E5319D" w:rsidRPr="0036031F" w:rsidRDefault="00E5319D" w:rsidP="001B04D2">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TOTAL</w:t>
            </w:r>
          </w:p>
        </w:tc>
      </w:tr>
      <w:tr w:rsidR="00E5319D" w:rsidRPr="0036031F" w:rsidTr="001B04D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E5319D" w:rsidRPr="0036031F" w:rsidRDefault="00E5319D" w:rsidP="001B04D2">
            <w:pPr>
              <w:spacing w:after="0" w:line="240" w:lineRule="auto"/>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Gastos de Personal</w:t>
            </w:r>
          </w:p>
        </w:tc>
        <w:tc>
          <w:tcPr>
            <w:tcW w:w="1200" w:type="dxa"/>
            <w:tcBorders>
              <w:top w:val="nil"/>
              <w:left w:val="nil"/>
              <w:bottom w:val="single" w:sz="4" w:space="0" w:color="auto"/>
              <w:right w:val="single" w:sz="4" w:space="0" w:color="auto"/>
            </w:tcBorders>
            <w:shd w:val="clear" w:color="auto" w:fill="auto"/>
            <w:noWrap/>
            <w:vAlign w:val="bottom"/>
            <w:hideMark/>
          </w:tcPr>
          <w:p w:rsidR="00E5319D" w:rsidRPr="0036031F" w:rsidRDefault="00E5319D" w:rsidP="001B04D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127.064</w:t>
            </w:r>
          </w:p>
        </w:tc>
        <w:tc>
          <w:tcPr>
            <w:tcW w:w="1200" w:type="dxa"/>
            <w:tcBorders>
              <w:top w:val="nil"/>
              <w:left w:val="nil"/>
              <w:bottom w:val="single" w:sz="4" w:space="0" w:color="auto"/>
              <w:right w:val="single" w:sz="4" w:space="0" w:color="auto"/>
            </w:tcBorders>
            <w:shd w:val="clear" w:color="auto" w:fill="auto"/>
            <w:noWrap/>
            <w:vAlign w:val="bottom"/>
            <w:hideMark/>
          </w:tcPr>
          <w:p w:rsidR="00E5319D" w:rsidRPr="0036031F" w:rsidRDefault="00E5319D" w:rsidP="001B04D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238.972</w:t>
            </w:r>
          </w:p>
        </w:tc>
        <w:tc>
          <w:tcPr>
            <w:tcW w:w="1200" w:type="dxa"/>
            <w:tcBorders>
              <w:top w:val="nil"/>
              <w:left w:val="nil"/>
              <w:bottom w:val="single" w:sz="4" w:space="0" w:color="auto"/>
              <w:right w:val="single" w:sz="4" w:space="0" w:color="auto"/>
            </w:tcBorders>
            <w:shd w:val="clear" w:color="auto" w:fill="auto"/>
            <w:noWrap/>
            <w:vAlign w:val="bottom"/>
            <w:hideMark/>
          </w:tcPr>
          <w:p w:rsidR="00E5319D" w:rsidRPr="0036031F" w:rsidRDefault="00E5319D" w:rsidP="001B04D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440.621</w:t>
            </w:r>
          </w:p>
        </w:tc>
        <w:tc>
          <w:tcPr>
            <w:tcW w:w="1200" w:type="dxa"/>
            <w:tcBorders>
              <w:top w:val="nil"/>
              <w:left w:val="nil"/>
              <w:bottom w:val="single" w:sz="4" w:space="0" w:color="auto"/>
              <w:right w:val="single" w:sz="4" w:space="0" w:color="auto"/>
            </w:tcBorders>
            <w:shd w:val="clear" w:color="auto" w:fill="auto"/>
            <w:noWrap/>
            <w:vAlign w:val="bottom"/>
            <w:hideMark/>
          </w:tcPr>
          <w:p w:rsidR="00E5319D" w:rsidRPr="0036031F" w:rsidRDefault="00E5319D" w:rsidP="001B04D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414.083</w:t>
            </w:r>
          </w:p>
        </w:tc>
        <w:tc>
          <w:tcPr>
            <w:tcW w:w="1200" w:type="dxa"/>
            <w:tcBorders>
              <w:top w:val="nil"/>
              <w:left w:val="nil"/>
              <w:bottom w:val="single" w:sz="4" w:space="0" w:color="auto"/>
              <w:right w:val="single" w:sz="4" w:space="0" w:color="auto"/>
            </w:tcBorders>
            <w:shd w:val="clear" w:color="auto" w:fill="auto"/>
            <w:noWrap/>
            <w:vAlign w:val="bottom"/>
            <w:hideMark/>
          </w:tcPr>
          <w:p w:rsidR="00E5319D" w:rsidRPr="0036031F" w:rsidRDefault="00E5319D" w:rsidP="001B04D2">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1.220.740</w:t>
            </w:r>
          </w:p>
        </w:tc>
      </w:tr>
      <w:tr w:rsidR="00E5319D" w:rsidRPr="0036031F" w:rsidTr="001B04D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E5319D" w:rsidRPr="0036031F" w:rsidRDefault="00E5319D" w:rsidP="001B04D2">
            <w:pPr>
              <w:spacing w:after="0" w:line="240" w:lineRule="auto"/>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Gastos Generales</w:t>
            </w:r>
          </w:p>
        </w:tc>
        <w:tc>
          <w:tcPr>
            <w:tcW w:w="1200" w:type="dxa"/>
            <w:tcBorders>
              <w:top w:val="nil"/>
              <w:left w:val="nil"/>
              <w:bottom w:val="single" w:sz="4" w:space="0" w:color="auto"/>
              <w:right w:val="single" w:sz="4" w:space="0" w:color="auto"/>
            </w:tcBorders>
            <w:shd w:val="clear" w:color="auto" w:fill="auto"/>
            <w:noWrap/>
            <w:vAlign w:val="bottom"/>
            <w:hideMark/>
          </w:tcPr>
          <w:p w:rsidR="00E5319D" w:rsidRPr="0036031F" w:rsidRDefault="00E5319D" w:rsidP="001B04D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13.212</w:t>
            </w:r>
          </w:p>
        </w:tc>
        <w:tc>
          <w:tcPr>
            <w:tcW w:w="1200" w:type="dxa"/>
            <w:tcBorders>
              <w:top w:val="nil"/>
              <w:left w:val="nil"/>
              <w:bottom w:val="single" w:sz="4" w:space="0" w:color="auto"/>
              <w:right w:val="single" w:sz="4" w:space="0" w:color="auto"/>
            </w:tcBorders>
            <w:shd w:val="clear" w:color="auto" w:fill="auto"/>
            <w:noWrap/>
            <w:vAlign w:val="bottom"/>
            <w:hideMark/>
          </w:tcPr>
          <w:p w:rsidR="00E5319D" w:rsidRPr="0036031F" w:rsidRDefault="00E5319D" w:rsidP="001B04D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46.671</w:t>
            </w:r>
          </w:p>
        </w:tc>
        <w:tc>
          <w:tcPr>
            <w:tcW w:w="1200" w:type="dxa"/>
            <w:tcBorders>
              <w:top w:val="nil"/>
              <w:left w:val="nil"/>
              <w:bottom w:val="single" w:sz="4" w:space="0" w:color="auto"/>
              <w:right w:val="single" w:sz="4" w:space="0" w:color="auto"/>
            </w:tcBorders>
            <w:shd w:val="clear" w:color="auto" w:fill="auto"/>
            <w:noWrap/>
            <w:vAlign w:val="bottom"/>
            <w:hideMark/>
          </w:tcPr>
          <w:p w:rsidR="00E5319D" w:rsidRPr="0036031F" w:rsidRDefault="00E5319D" w:rsidP="001B04D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56.001</w:t>
            </w:r>
          </w:p>
        </w:tc>
        <w:tc>
          <w:tcPr>
            <w:tcW w:w="1200" w:type="dxa"/>
            <w:tcBorders>
              <w:top w:val="nil"/>
              <w:left w:val="nil"/>
              <w:bottom w:val="single" w:sz="4" w:space="0" w:color="auto"/>
              <w:right w:val="single" w:sz="4" w:space="0" w:color="auto"/>
            </w:tcBorders>
            <w:shd w:val="clear" w:color="auto" w:fill="auto"/>
            <w:noWrap/>
            <w:vAlign w:val="bottom"/>
            <w:hideMark/>
          </w:tcPr>
          <w:p w:rsidR="00E5319D" w:rsidRPr="0036031F" w:rsidRDefault="00E5319D" w:rsidP="001B04D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31.908</w:t>
            </w:r>
          </w:p>
        </w:tc>
        <w:tc>
          <w:tcPr>
            <w:tcW w:w="1200" w:type="dxa"/>
            <w:tcBorders>
              <w:top w:val="nil"/>
              <w:left w:val="nil"/>
              <w:bottom w:val="single" w:sz="4" w:space="0" w:color="auto"/>
              <w:right w:val="single" w:sz="4" w:space="0" w:color="auto"/>
            </w:tcBorders>
            <w:shd w:val="clear" w:color="auto" w:fill="auto"/>
            <w:noWrap/>
            <w:vAlign w:val="bottom"/>
            <w:hideMark/>
          </w:tcPr>
          <w:p w:rsidR="00E5319D" w:rsidRPr="0036031F" w:rsidRDefault="00E5319D" w:rsidP="001B04D2">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147.792</w:t>
            </w:r>
          </w:p>
        </w:tc>
      </w:tr>
      <w:tr w:rsidR="00E5319D" w:rsidRPr="0036031F" w:rsidTr="001B04D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E5319D" w:rsidRPr="0036031F" w:rsidRDefault="00E5319D" w:rsidP="001B04D2">
            <w:pPr>
              <w:spacing w:after="0" w:line="240" w:lineRule="auto"/>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TOTAL</w:t>
            </w:r>
          </w:p>
        </w:tc>
        <w:tc>
          <w:tcPr>
            <w:tcW w:w="1200" w:type="dxa"/>
            <w:tcBorders>
              <w:top w:val="nil"/>
              <w:left w:val="nil"/>
              <w:bottom w:val="single" w:sz="4" w:space="0" w:color="auto"/>
              <w:right w:val="single" w:sz="4" w:space="0" w:color="auto"/>
            </w:tcBorders>
            <w:shd w:val="clear" w:color="auto" w:fill="auto"/>
            <w:noWrap/>
            <w:vAlign w:val="bottom"/>
            <w:hideMark/>
          </w:tcPr>
          <w:p w:rsidR="00E5319D" w:rsidRPr="0036031F" w:rsidRDefault="00E5319D" w:rsidP="001B04D2">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140.276</w:t>
            </w:r>
          </w:p>
        </w:tc>
        <w:tc>
          <w:tcPr>
            <w:tcW w:w="1200" w:type="dxa"/>
            <w:tcBorders>
              <w:top w:val="nil"/>
              <w:left w:val="nil"/>
              <w:bottom w:val="single" w:sz="4" w:space="0" w:color="auto"/>
              <w:right w:val="single" w:sz="4" w:space="0" w:color="auto"/>
            </w:tcBorders>
            <w:shd w:val="clear" w:color="auto" w:fill="auto"/>
            <w:noWrap/>
            <w:vAlign w:val="bottom"/>
            <w:hideMark/>
          </w:tcPr>
          <w:p w:rsidR="00E5319D" w:rsidRPr="0036031F" w:rsidRDefault="00E5319D" w:rsidP="001B04D2">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285.643</w:t>
            </w:r>
          </w:p>
        </w:tc>
        <w:tc>
          <w:tcPr>
            <w:tcW w:w="1200" w:type="dxa"/>
            <w:tcBorders>
              <w:top w:val="nil"/>
              <w:left w:val="nil"/>
              <w:bottom w:val="single" w:sz="4" w:space="0" w:color="auto"/>
              <w:right w:val="single" w:sz="4" w:space="0" w:color="auto"/>
            </w:tcBorders>
            <w:shd w:val="clear" w:color="auto" w:fill="auto"/>
            <w:noWrap/>
            <w:vAlign w:val="bottom"/>
            <w:hideMark/>
          </w:tcPr>
          <w:p w:rsidR="00E5319D" w:rsidRPr="0036031F" w:rsidRDefault="00E5319D" w:rsidP="001B04D2">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496.622</w:t>
            </w:r>
          </w:p>
        </w:tc>
        <w:tc>
          <w:tcPr>
            <w:tcW w:w="1200" w:type="dxa"/>
            <w:tcBorders>
              <w:top w:val="nil"/>
              <w:left w:val="nil"/>
              <w:bottom w:val="single" w:sz="4" w:space="0" w:color="auto"/>
              <w:right w:val="single" w:sz="4" w:space="0" w:color="auto"/>
            </w:tcBorders>
            <w:shd w:val="clear" w:color="auto" w:fill="auto"/>
            <w:noWrap/>
            <w:vAlign w:val="bottom"/>
            <w:hideMark/>
          </w:tcPr>
          <w:p w:rsidR="00E5319D" w:rsidRPr="0036031F" w:rsidRDefault="00E5319D" w:rsidP="001B04D2">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445.991</w:t>
            </w:r>
          </w:p>
        </w:tc>
        <w:tc>
          <w:tcPr>
            <w:tcW w:w="1200" w:type="dxa"/>
            <w:tcBorders>
              <w:top w:val="nil"/>
              <w:left w:val="nil"/>
              <w:bottom w:val="single" w:sz="4" w:space="0" w:color="auto"/>
              <w:right w:val="single" w:sz="4" w:space="0" w:color="auto"/>
            </w:tcBorders>
            <w:shd w:val="clear" w:color="auto" w:fill="auto"/>
            <w:noWrap/>
            <w:vAlign w:val="bottom"/>
            <w:hideMark/>
          </w:tcPr>
          <w:p w:rsidR="00E5319D" w:rsidRPr="0036031F" w:rsidRDefault="00E5319D" w:rsidP="001B04D2">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1.368.532</w:t>
            </w:r>
          </w:p>
        </w:tc>
      </w:tr>
      <w:tr w:rsidR="00E5319D" w:rsidRPr="0036031F" w:rsidTr="001B04D2">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E5319D" w:rsidRPr="0036031F" w:rsidRDefault="00E5319D" w:rsidP="001B04D2">
            <w:pPr>
              <w:spacing w:after="0" w:line="240" w:lineRule="auto"/>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 Gasto Rama Judicial</w:t>
            </w:r>
          </w:p>
        </w:tc>
        <w:tc>
          <w:tcPr>
            <w:tcW w:w="1200" w:type="dxa"/>
            <w:tcBorders>
              <w:top w:val="nil"/>
              <w:left w:val="nil"/>
              <w:bottom w:val="single" w:sz="4" w:space="0" w:color="auto"/>
              <w:right w:val="single" w:sz="4" w:space="0" w:color="auto"/>
            </w:tcBorders>
            <w:shd w:val="clear" w:color="auto" w:fill="auto"/>
            <w:noWrap/>
            <w:vAlign w:val="bottom"/>
            <w:hideMark/>
          </w:tcPr>
          <w:p w:rsidR="00E5319D" w:rsidRPr="0036031F" w:rsidRDefault="00E5319D" w:rsidP="001B04D2">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7,7%</w:t>
            </w:r>
          </w:p>
        </w:tc>
        <w:tc>
          <w:tcPr>
            <w:tcW w:w="1200" w:type="dxa"/>
            <w:tcBorders>
              <w:top w:val="nil"/>
              <w:left w:val="nil"/>
              <w:bottom w:val="single" w:sz="4" w:space="0" w:color="auto"/>
              <w:right w:val="single" w:sz="4" w:space="0" w:color="auto"/>
            </w:tcBorders>
            <w:shd w:val="clear" w:color="auto" w:fill="auto"/>
            <w:noWrap/>
            <w:vAlign w:val="bottom"/>
            <w:hideMark/>
          </w:tcPr>
          <w:p w:rsidR="00E5319D" w:rsidRPr="0036031F" w:rsidRDefault="00E5319D" w:rsidP="001B04D2">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14,0%</w:t>
            </w:r>
          </w:p>
        </w:tc>
        <w:tc>
          <w:tcPr>
            <w:tcW w:w="1200" w:type="dxa"/>
            <w:tcBorders>
              <w:top w:val="nil"/>
              <w:left w:val="nil"/>
              <w:bottom w:val="single" w:sz="4" w:space="0" w:color="auto"/>
              <w:right w:val="single" w:sz="4" w:space="0" w:color="auto"/>
            </w:tcBorders>
            <w:shd w:val="clear" w:color="auto" w:fill="auto"/>
            <w:noWrap/>
            <w:vAlign w:val="bottom"/>
            <w:hideMark/>
          </w:tcPr>
          <w:p w:rsidR="00E5319D" w:rsidRPr="0036031F" w:rsidRDefault="00E5319D" w:rsidP="001B04D2">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21,3%</w:t>
            </w:r>
          </w:p>
        </w:tc>
        <w:tc>
          <w:tcPr>
            <w:tcW w:w="1200" w:type="dxa"/>
            <w:tcBorders>
              <w:top w:val="nil"/>
              <w:left w:val="nil"/>
              <w:bottom w:val="single" w:sz="4" w:space="0" w:color="auto"/>
              <w:right w:val="single" w:sz="4" w:space="0" w:color="auto"/>
            </w:tcBorders>
            <w:shd w:val="clear" w:color="auto" w:fill="auto"/>
            <w:noWrap/>
            <w:vAlign w:val="bottom"/>
            <w:hideMark/>
          </w:tcPr>
          <w:p w:rsidR="00E5319D" w:rsidRPr="0036031F" w:rsidRDefault="00E5319D" w:rsidP="001B04D2">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16,1%</w:t>
            </w:r>
          </w:p>
        </w:tc>
        <w:tc>
          <w:tcPr>
            <w:tcW w:w="1200" w:type="dxa"/>
            <w:tcBorders>
              <w:top w:val="nil"/>
              <w:left w:val="nil"/>
              <w:bottom w:val="single" w:sz="4" w:space="0" w:color="auto"/>
              <w:right w:val="single" w:sz="4" w:space="0" w:color="auto"/>
            </w:tcBorders>
            <w:shd w:val="clear" w:color="auto" w:fill="auto"/>
            <w:noWrap/>
            <w:vAlign w:val="bottom"/>
            <w:hideMark/>
          </w:tcPr>
          <w:p w:rsidR="00E5319D" w:rsidRPr="0036031F" w:rsidRDefault="00E5319D" w:rsidP="001B04D2">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15,3%</w:t>
            </w:r>
          </w:p>
        </w:tc>
      </w:tr>
    </w:tbl>
    <w:p w:rsidR="00E5319D" w:rsidRPr="0036031F" w:rsidRDefault="00E5319D" w:rsidP="00E5319D">
      <w:pPr>
        <w:spacing w:after="0" w:line="240" w:lineRule="auto"/>
        <w:jc w:val="center"/>
        <w:rPr>
          <w:rFonts w:ascii="Arial" w:hAnsi="Arial" w:cs="Arial"/>
          <w:b/>
          <w:sz w:val="16"/>
          <w:szCs w:val="16"/>
        </w:rPr>
      </w:pPr>
      <w:r w:rsidRPr="0036031F">
        <w:rPr>
          <w:rFonts w:ascii="Arial" w:hAnsi="Arial" w:cs="Arial"/>
          <w:b/>
          <w:sz w:val="16"/>
          <w:szCs w:val="16"/>
        </w:rPr>
        <w:t>Fuente: Consejo Superior de la Judicatura. Cálculos CGR DES-DJS.  Fecha de Corte: Abril de 2014</w:t>
      </w:r>
    </w:p>
    <w:p w:rsidR="00E5319D" w:rsidRPr="009427D5" w:rsidRDefault="00E5319D" w:rsidP="00E5319D">
      <w:pPr>
        <w:spacing w:after="0" w:line="240" w:lineRule="auto"/>
        <w:jc w:val="both"/>
        <w:rPr>
          <w:rFonts w:ascii="Arial" w:hAnsi="Arial" w:cs="Arial"/>
          <w:sz w:val="24"/>
          <w:szCs w:val="24"/>
        </w:rPr>
      </w:pPr>
    </w:p>
    <w:p w:rsidR="00E5319D" w:rsidRPr="009427D5" w:rsidRDefault="00E5319D" w:rsidP="00E5319D">
      <w:pPr>
        <w:spacing w:after="0" w:line="240" w:lineRule="auto"/>
        <w:jc w:val="both"/>
        <w:rPr>
          <w:rFonts w:ascii="Arial" w:hAnsi="Arial" w:cs="Arial"/>
          <w:sz w:val="24"/>
          <w:szCs w:val="24"/>
        </w:rPr>
      </w:pPr>
      <w:r w:rsidRPr="009427D5">
        <w:rPr>
          <w:rFonts w:ascii="Arial" w:hAnsi="Arial" w:cs="Arial"/>
          <w:sz w:val="24"/>
          <w:szCs w:val="24"/>
        </w:rPr>
        <w:t>Se observa que los recursos de este Plan mostraron un crecimiento significativo en el periodo revisado (218%), al pasar de $140.276 Millones en el año 2010 a $445.991 Millones en 2013. También debe anotarse que la vigencia donde se registró el mayor monto fue 2012 con $496.622 Millones (21,3% del presupuesto de la Rama Judicial en ese año). Estas cifras muestran claramente la relevancia que ha tenido la estrategia de descongestión para la administración de justicia, medidas que se establecieron inicialmente con carácter transitorio, con el fin de bajar la acumulación de inventarios de procesos, disminuir la carga laboral por Juez y mejorar el nivel de productividad de los despachos judiciales.</w:t>
      </w:r>
    </w:p>
    <w:p w:rsidR="00E5319D" w:rsidRPr="009427D5" w:rsidRDefault="00E5319D" w:rsidP="00E5319D">
      <w:pPr>
        <w:spacing w:after="0" w:line="240" w:lineRule="auto"/>
        <w:jc w:val="both"/>
        <w:rPr>
          <w:rFonts w:ascii="Arial" w:hAnsi="Arial" w:cs="Arial"/>
          <w:sz w:val="24"/>
          <w:szCs w:val="24"/>
        </w:rPr>
      </w:pPr>
    </w:p>
    <w:p w:rsidR="00E5319D" w:rsidRPr="009427D5" w:rsidRDefault="00B61F90" w:rsidP="00E5319D">
      <w:pPr>
        <w:spacing w:after="0" w:line="240" w:lineRule="auto"/>
        <w:jc w:val="both"/>
        <w:rPr>
          <w:rFonts w:ascii="Arial" w:hAnsi="Arial" w:cs="Arial"/>
          <w:sz w:val="24"/>
          <w:szCs w:val="24"/>
        </w:rPr>
      </w:pPr>
      <w:r w:rsidRPr="009427D5">
        <w:rPr>
          <w:rFonts w:ascii="Arial" w:hAnsi="Arial" w:cs="Arial"/>
          <w:sz w:val="24"/>
          <w:szCs w:val="24"/>
        </w:rPr>
        <w:t xml:space="preserve">De otra parte, </w:t>
      </w:r>
      <w:r w:rsidR="00E5319D" w:rsidRPr="009427D5">
        <w:rPr>
          <w:rFonts w:ascii="Arial" w:hAnsi="Arial" w:cs="Arial"/>
          <w:sz w:val="24"/>
          <w:szCs w:val="24"/>
        </w:rPr>
        <w:t>debe tenerse en cuenta en este análisis, el alto déficit de recursos que presenta la Rama Judicial. Al respecto, la Sala Administrativa del CSJ calculó en su ejercicio de planeación presupuestal para la vigencia 2014,</w:t>
      </w:r>
      <w:r w:rsidRPr="009427D5">
        <w:rPr>
          <w:rFonts w:ascii="Arial" w:hAnsi="Arial" w:cs="Arial"/>
          <w:sz w:val="24"/>
          <w:szCs w:val="24"/>
        </w:rPr>
        <w:t xml:space="preserve"> </w:t>
      </w:r>
      <w:r w:rsidR="00E5319D" w:rsidRPr="009427D5">
        <w:rPr>
          <w:rFonts w:ascii="Arial" w:hAnsi="Arial" w:cs="Arial"/>
          <w:sz w:val="24"/>
          <w:szCs w:val="24"/>
        </w:rPr>
        <w:t>necesidades por valor de $5,08 Billones, mientras que la asignación de recursos por parte del Gobierno Nacional es de $2,8 Billones, es decir, alcanza 44% de déficit</w:t>
      </w:r>
      <w:r w:rsidR="00E5319D" w:rsidRPr="009427D5">
        <w:rPr>
          <w:rStyle w:val="Refdenotaalpie"/>
          <w:rFonts w:ascii="Arial" w:hAnsi="Arial" w:cs="Arial"/>
          <w:sz w:val="24"/>
          <w:szCs w:val="24"/>
        </w:rPr>
        <w:footnoteReference w:id="8"/>
      </w:r>
      <w:r w:rsidR="00E5319D" w:rsidRPr="009427D5">
        <w:rPr>
          <w:rFonts w:ascii="Arial" w:hAnsi="Arial" w:cs="Arial"/>
          <w:sz w:val="24"/>
          <w:szCs w:val="24"/>
        </w:rPr>
        <w:t>;  porcentaje que ha venido increment</w:t>
      </w:r>
      <w:r w:rsidRPr="009427D5">
        <w:rPr>
          <w:rFonts w:ascii="Arial" w:hAnsi="Arial" w:cs="Arial"/>
          <w:sz w:val="24"/>
          <w:szCs w:val="24"/>
        </w:rPr>
        <w:t>án</w:t>
      </w:r>
      <w:r w:rsidR="00E5319D" w:rsidRPr="009427D5">
        <w:rPr>
          <w:rFonts w:ascii="Arial" w:hAnsi="Arial" w:cs="Arial"/>
          <w:sz w:val="24"/>
          <w:szCs w:val="24"/>
        </w:rPr>
        <w:t>do</w:t>
      </w:r>
      <w:r w:rsidRPr="009427D5">
        <w:rPr>
          <w:rFonts w:ascii="Arial" w:hAnsi="Arial" w:cs="Arial"/>
          <w:sz w:val="24"/>
          <w:szCs w:val="24"/>
        </w:rPr>
        <w:t>se</w:t>
      </w:r>
      <w:r w:rsidR="00E5319D" w:rsidRPr="009427D5">
        <w:rPr>
          <w:rFonts w:ascii="Arial" w:hAnsi="Arial" w:cs="Arial"/>
          <w:sz w:val="24"/>
          <w:szCs w:val="24"/>
        </w:rPr>
        <w:t xml:space="preserve"> durante los últimos cinco años y se constituye </w:t>
      </w:r>
      <w:r w:rsidR="00892CA1" w:rsidRPr="009427D5">
        <w:rPr>
          <w:rFonts w:ascii="Arial" w:hAnsi="Arial" w:cs="Arial"/>
          <w:sz w:val="24"/>
          <w:szCs w:val="24"/>
        </w:rPr>
        <w:t xml:space="preserve">en </w:t>
      </w:r>
      <w:r w:rsidR="00E5319D" w:rsidRPr="009427D5">
        <w:rPr>
          <w:rFonts w:ascii="Arial" w:hAnsi="Arial" w:cs="Arial"/>
          <w:sz w:val="24"/>
          <w:szCs w:val="24"/>
        </w:rPr>
        <w:t>un factor limitante para la adecuada implementación de las medidas encaminadas a ampliar el acceso a la justicia a los ciudadanos y modernizar la infraestructura física y tecnológica de la Rama Judicial.</w:t>
      </w:r>
    </w:p>
    <w:p w:rsidR="00F34444" w:rsidRPr="009427D5" w:rsidRDefault="00F34444" w:rsidP="003C0E9A">
      <w:pPr>
        <w:pStyle w:val="Textopredeterminado"/>
        <w:tabs>
          <w:tab w:val="left" w:pos="3120"/>
        </w:tabs>
        <w:jc w:val="both"/>
        <w:rPr>
          <w:rFonts w:ascii="Arial" w:hAnsi="Arial" w:cs="Arial"/>
          <w:i/>
          <w:szCs w:val="24"/>
          <w:lang w:val="es-CO"/>
        </w:rPr>
      </w:pPr>
    </w:p>
    <w:p w:rsidR="005A1B75" w:rsidRPr="009427D5" w:rsidRDefault="00CC46D6" w:rsidP="005A1B75">
      <w:pPr>
        <w:spacing w:after="0" w:line="240" w:lineRule="auto"/>
        <w:jc w:val="both"/>
        <w:rPr>
          <w:rFonts w:ascii="Arial" w:hAnsi="Arial" w:cs="Arial"/>
          <w:b/>
          <w:sz w:val="24"/>
          <w:szCs w:val="24"/>
        </w:rPr>
      </w:pPr>
      <w:r w:rsidRPr="009427D5">
        <w:rPr>
          <w:rFonts w:ascii="Arial" w:hAnsi="Arial" w:cs="Arial"/>
          <w:b/>
          <w:sz w:val="24"/>
          <w:szCs w:val="24"/>
        </w:rPr>
        <w:t>2.</w:t>
      </w:r>
      <w:r w:rsidR="004C07E8" w:rsidRPr="009427D5">
        <w:rPr>
          <w:rFonts w:ascii="Arial" w:hAnsi="Arial" w:cs="Arial"/>
          <w:b/>
          <w:sz w:val="24"/>
          <w:szCs w:val="24"/>
        </w:rPr>
        <w:t>1.2</w:t>
      </w:r>
      <w:r w:rsidRPr="009427D5">
        <w:rPr>
          <w:rFonts w:ascii="Arial" w:hAnsi="Arial" w:cs="Arial"/>
          <w:b/>
          <w:sz w:val="24"/>
          <w:szCs w:val="24"/>
        </w:rPr>
        <w:t xml:space="preserve"> </w:t>
      </w:r>
      <w:r w:rsidR="005A1B75" w:rsidRPr="009427D5">
        <w:rPr>
          <w:rFonts w:ascii="Arial" w:hAnsi="Arial" w:cs="Arial"/>
          <w:b/>
          <w:sz w:val="24"/>
          <w:szCs w:val="24"/>
        </w:rPr>
        <w:t>Actores</w:t>
      </w:r>
    </w:p>
    <w:p w:rsidR="00F40FC9" w:rsidRPr="009427D5" w:rsidRDefault="00F40FC9" w:rsidP="005A1B75">
      <w:pPr>
        <w:spacing w:after="0" w:line="240" w:lineRule="auto"/>
        <w:jc w:val="both"/>
        <w:rPr>
          <w:rFonts w:ascii="Arial" w:hAnsi="Arial" w:cs="Arial"/>
          <w:b/>
          <w:sz w:val="24"/>
          <w:szCs w:val="24"/>
        </w:rPr>
      </w:pPr>
    </w:p>
    <w:p w:rsidR="00F40FC9" w:rsidRPr="009427D5" w:rsidRDefault="00F40FC9" w:rsidP="005A1B75">
      <w:pPr>
        <w:spacing w:after="0" w:line="240" w:lineRule="auto"/>
        <w:jc w:val="both"/>
        <w:rPr>
          <w:rFonts w:ascii="Arial" w:hAnsi="Arial" w:cs="Arial"/>
          <w:sz w:val="24"/>
          <w:szCs w:val="24"/>
        </w:rPr>
      </w:pPr>
      <w:r w:rsidRPr="009427D5">
        <w:rPr>
          <w:rFonts w:ascii="Arial" w:hAnsi="Arial" w:cs="Arial"/>
          <w:sz w:val="24"/>
          <w:szCs w:val="24"/>
        </w:rPr>
        <w:t xml:space="preserve">En la Política Pública de Fortalecimiento a la Justicia: Justicia Formal, Descongestión y Oralidad, intervienen </w:t>
      </w:r>
      <w:r w:rsidR="00184048" w:rsidRPr="009427D5">
        <w:rPr>
          <w:rFonts w:ascii="Arial" w:hAnsi="Arial" w:cs="Arial"/>
          <w:sz w:val="24"/>
          <w:szCs w:val="24"/>
        </w:rPr>
        <w:t xml:space="preserve">la Rama Judicial – Consejo Superior de la Judicatura </w:t>
      </w:r>
      <w:r w:rsidRPr="009427D5">
        <w:rPr>
          <w:rFonts w:ascii="Arial" w:hAnsi="Arial" w:cs="Arial"/>
          <w:sz w:val="24"/>
          <w:szCs w:val="24"/>
        </w:rPr>
        <w:t>y el Ministerio de Justicia y del Derecho</w:t>
      </w:r>
      <w:r w:rsidR="00184048" w:rsidRPr="009427D5">
        <w:rPr>
          <w:rFonts w:ascii="Arial" w:hAnsi="Arial" w:cs="Arial"/>
          <w:sz w:val="24"/>
          <w:szCs w:val="24"/>
        </w:rPr>
        <w:t xml:space="preserve">. </w:t>
      </w:r>
    </w:p>
    <w:p w:rsidR="00377799" w:rsidRPr="009427D5" w:rsidRDefault="00377799" w:rsidP="005A1B75">
      <w:pPr>
        <w:spacing w:after="0" w:line="240" w:lineRule="auto"/>
        <w:jc w:val="both"/>
        <w:rPr>
          <w:rFonts w:ascii="Arial" w:hAnsi="Arial" w:cs="Arial"/>
          <w:sz w:val="24"/>
          <w:szCs w:val="24"/>
        </w:rPr>
      </w:pPr>
    </w:p>
    <w:p w:rsidR="00377799" w:rsidRPr="009427D5" w:rsidRDefault="00377799" w:rsidP="005A1B75">
      <w:pPr>
        <w:spacing w:after="0" w:line="240" w:lineRule="auto"/>
        <w:jc w:val="both"/>
        <w:rPr>
          <w:rFonts w:ascii="Arial" w:hAnsi="Arial" w:cs="Arial"/>
          <w:sz w:val="24"/>
          <w:szCs w:val="24"/>
        </w:rPr>
      </w:pPr>
      <w:r w:rsidRPr="009427D5">
        <w:rPr>
          <w:rFonts w:ascii="Arial" w:hAnsi="Arial" w:cs="Arial"/>
          <w:sz w:val="24"/>
          <w:szCs w:val="24"/>
        </w:rPr>
        <w:t>Es así como la misión de la Administración de Justicia es impartir justicia con criterios de eficacia, eficiencia, oportunidad, accesibilidad, equidad, autonomía e independencia y para contribuir a la convivencia pacífica, la justicia social y la resolución de conflictos, respetando la dignidad de las personas, la diversidad étnica y cultural en el contexto de un Estado Social y Democrático de Derecho, abierto a la globalización en el marco del ordenamiento jurídico del país.</w:t>
      </w:r>
    </w:p>
    <w:p w:rsidR="004571A0" w:rsidRPr="009427D5" w:rsidRDefault="004571A0" w:rsidP="004571A0">
      <w:pPr>
        <w:spacing w:after="0" w:line="240" w:lineRule="auto"/>
        <w:jc w:val="both"/>
        <w:rPr>
          <w:rFonts w:ascii="Arial" w:hAnsi="Arial" w:cs="Arial"/>
          <w:color w:val="000000" w:themeColor="text1"/>
          <w:sz w:val="24"/>
          <w:szCs w:val="24"/>
        </w:rPr>
      </w:pPr>
      <w:r w:rsidRPr="009427D5">
        <w:rPr>
          <w:rFonts w:ascii="Arial" w:hAnsi="Arial" w:cs="Arial"/>
          <w:color w:val="000000" w:themeColor="text1"/>
          <w:sz w:val="24"/>
          <w:szCs w:val="24"/>
        </w:rPr>
        <w:lastRenderedPageBreak/>
        <w:t>La Rama Judicial contribuye a la construcción de la política pública desde dos dimensiones: la primera, desde las decisiones de los órganos constitucionales de la justicia que afectan la vida colectiva, límites del Estado, reglas de convivencia, finanzas públicas, entre otras, que surgen de control de constitucionalidad, de impugnación de normas, entre otras, que provienen de la Corte Constitucional, Cortes Suprema de Justicia, Consejo de Estado o Consejo Superior de la Judicatura. La segunda, formulación de políticas y estrategias de  gestión de la administración, control y seguimiento mediante el Consejo superior de la Judicatura – Sala Administrativa.</w:t>
      </w:r>
    </w:p>
    <w:p w:rsidR="00377799" w:rsidRPr="009427D5" w:rsidRDefault="00377799" w:rsidP="005A1B75">
      <w:pPr>
        <w:spacing w:after="0" w:line="240" w:lineRule="auto"/>
        <w:jc w:val="both"/>
        <w:rPr>
          <w:rFonts w:ascii="Arial" w:hAnsi="Arial" w:cs="Arial"/>
          <w:sz w:val="24"/>
          <w:szCs w:val="24"/>
        </w:rPr>
      </w:pPr>
    </w:p>
    <w:p w:rsidR="0055479A" w:rsidRPr="009427D5" w:rsidRDefault="00FD618E" w:rsidP="005A1B75">
      <w:pPr>
        <w:spacing w:after="0" w:line="240" w:lineRule="auto"/>
        <w:jc w:val="both"/>
        <w:rPr>
          <w:rFonts w:ascii="Arial" w:hAnsi="Arial" w:cs="Arial"/>
          <w:sz w:val="24"/>
          <w:szCs w:val="24"/>
        </w:rPr>
      </w:pPr>
      <w:r w:rsidRPr="009427D5">
        <w:rPr>
          <w:rFonts w:ascii="Arial" w:hAnsi="Arial" w:cs="Arial"/>
          <w:sz w:val="24"/>
          <w:szCs w:val="24"/>
        </w:rPr>
        <w:t>El Consejo Superior de la Judicatura es una corporación que ejecuta la política pública, de una manera independiente y autónoma en cumplimiento de su función constitucional y legal de administrar justicia.</w:t>
      </w:r>
      <w:r w:rsidR="0055479A" w:rsidRPr="009427D5">
        <w:rPr>
          <w:rFonts w:ascii="Arial" w:hAnsi="Arial" w:cs="Arial"/>
          <w:sz w:val="24"/>
          <w:szCs w:val="24"/>
        </w:rPr>
        <w:t xml:space="preserve"> Así mismo se interrelaciona con el Ministerio de Justicia y del Derecho, estableciendo una coordinación armónica que permite el desarrollo y consolidación de la política pública en materia de justicia y del derecho, mediante el objetivo misional de propiciar una justicia eficaz y eficiente, en el marco de una atención integral. Adicionalmente, también se coordinan mecanismos de justicia transicional para contribuir a la reconciliación nacional.</w:t>
      </w:r>
    </w:p>
    <w:p w:rsidR="0050485F" w:rsidRPr="009427D5" w:rsidRDefault="0050485F" w:rsidP="005A1B75">
      <w:pPr>
        <w:spacing w:after="0" w:line="240" w:lineRule="auto"/>
        <w:jc w:val="both"/>
        <w:rPr>
          <w:rFonts w:ascii="Arial" w:hAnsi="Arial" w:cs="Arial"/>
          <w:sz w:val="24"/>
          <w:szCs w:val="24"/>
        </w:rPr>
      </w:pPr>
    </w:p>
    <w:p w:rsidR="0050485F" w:rsidRDefault="0050485F" w:rsidP="005A1B75">
      <w:pPr>
        <w:spacing w:after="0" w:line="240" w:lineRule="auto"/>
        <w:jc w:val="both"/>
        <w:rPr>
          <w:rFonts w:ascii="Arial" w:hAnsi="Arial" w:cs="Arial"/>
          <w:sz w:val="24"/>
          <w:szCs w:val="24"/>
        </w:rPr>
      </w:pPr>
      <w:r w:rsidRPr="009427D5">
        <w:rPr>
          <w:rFonts w:ascii="Arial" w:hAnsi="Arial" w:cs="Arial"/>
          <w:sz w:val="24"/>
          <w:szCs w:val="24"/>
        </w:rPr>
        <w:t>Esta labor se materializa con una producción normativa coherente, racional y simplificada, dónde se integran y coordinan acciones que garanticen el mejor funcionamiento de la administración de justicia.</w:t>
      </w:r>
    </w:p>
    <w:p w:rsidR="005A1B75" w:rsidRDefault="005A1B75" w:rsidP="005A1B75">
      <w:pPr>
        <w:spacing w:after="0" w:line="240" w:lineRule="auto"/>
        <w:jc w:val="both"/>
        <w:rPr>
          <w:rFonts w:ascii="Arial" w:hAnsi="Arial" w:cs="Arial"/>
          <w:b/>
          <w:sz w:val="24"/>
          <w:szCs w:val="24"/>
        </w:rPr>
      </w:pPr>
    </w:p>
    <w:p w:rsidR="00CC46D6" w:rsidRPr="009427D5" w:rsidRDefault="009757F4" w:rsidP="0092393F">
      <w:pPr>
        <w:spacing w:after="0" w:line="240" w:lineRule="auto"/>
        <w:jc w:val="both"/>
        <w:rPr>
          <w:rFonts w:ascii="Arial" w:hAnsi="Arial" w:cs="Arial"/>
          <w:b/>
          <w:sz w:val="24"/>
          <w:szCs w:val="24"/>
        </w:rPr>
      </w:pPr>
      <w:r w:rsidRPr="009427D5">
        <w:rPr>
          <w:rFonts w:ascii="Arial" w:hAnsi="Arial" w:cs="Arial"/>
          <w:b/>
          <w:sz w:val="24"/>
          <w:szCs w:val="24"/>
        </w:rPr>
        <w:t>2.2 RESULTADOS DE LA EVALUACIÓN DE LA POLÍTICA PÚBLICA</w:t>
      </w:r>
    </w:p>
    <w:p w:rsidR="00F5268D" w:rsidRPr="009427D5" w:rsidRDefault="00F5268D" w:rsidP="0092393F">
      <w:pPr>
        <w:spacing w:after="0" w:line="240" w:lineRule="auto"/>
        <w:jc w:val="both"/>
        <w:rPr>
          <w:rFonts w:ascii="Arial" w:hAnsi="Arial" w:cs="Arial"/>
          <w:b/>
          <w:sz w:val="24"/>
          <w:szCs w:val="24"/>
        </w:rPr>
      </w:pPr>
    </w:p>
    <w:p w:rsidR="00FE23D9" w:rsidRPr="009427D5" w:rsidRDefault="00F5268D" w:rsidP="00B660FA">
      <w:pPr>
        <w:autoSpaceDE w:val="0"/>
        <w:autoSpaceDN w:val="0"/>
        <w:adjustRightInd w:val="0"/>
        <w:spacing w:after="0" w:line="240" w:lineRule="auto"/>
        <w:jc w:val="both"/>
        <w:rPr>
          <w:rFonts w:ascii="Helvetica" w:hAnsi="Helvetica" w:cs="Helvetica"/>
          <w:sz w:val="24"/>
          <w:szCs w:val="24"/>
        </w:rPr>
      </w:pPr>
      <w:r w:rsidRPr="009427D5">
        <w:rPr>
          <w:rFonts w:ascii="Helvetica" w:hAnsi="Helvetica" w:cs="Helvetica"/>
          <w:sz w:val="24"/>
          <w:szCs w:val="24"/>
        </w:rPr>
        <w:t xml:space="preserve">En materia de Descongestión Judicial, se suscribió el Convenio Interadministrativo 245 de 2008, entre el CSJ, la Alcaldía Mayor de Bogotá y la Alcaldía Local de Ciudad Bolívar con el apoyo de EUROSOCIAL, para la Adquisición y construcción de seis (6) Despachos Judiciales en Ciudad Bolívar; obras que pretendían descentralizar y acercar a los servicios judiciales a la población de ese sector del sur de la capital, beneficiando a 500.000 usuarios, en cuanto a mejora de los tiempos de movilidad y accesibilidad de la Administración de Justicia, Convenio que fue objeto de verificación en la Auditoría </w:t>
      </w:r>
      <w:r w:rsidR="00200E6A" w:rsidRPr="009427D5">
        <w:rPr>
          <w:rFonts w:ascii="Helvetica" w:hAnsi="Helvetica" w:cs="Helvetica"/>
          <w:sz w:val="24"/>
          <w:szCs w:val="24"/>
        </w:rPr>
        <w:t>“Rama Judicial –Consejo Superior de la Judicatura”, vigencias 2007-2011, de fecha diciembre de 201</w:t>
      </w:r>
      <w:r w:rsidRPr="009427D5">
        <w:rPr>
          <w:rFonts w:ascii="Helvetica" w:hAnsi="Helvetica" w:cs="Helvetica"/>
          <w:sz w:val="24"/>
          <w:szCs w:val="24"/>
        </w:rPr>
        <w:t>1.</w:t>
      </w:r>
    </w:p>
    <w:p w:rsidR="00F5268D" w:rsidRPr="009427D5" w:rsidRDefault="00F5268D" w:rsidP="00B660FA">
      <w:pPr>
        <w:autoSpaceDE w:val="0"/>
        <w:autoSpaceDN w:val="0"/>
        <w:adjustRightInd w:val="0"/>
        <w:spacing w:after="0" w:line="240" w:lineRule="auto"/>
        <w:jc w:val="both"/>
        <w:rPr>
          <w:rFonts w:ascii="Helvetica" w:hAnsi="Helvetica" w:cs="Helvetica"/>
          <w:sz w:val="24"/>
          <w:szCs w:val="24"/>
        </w:rPr>
      </w:pPr>
    </w:p>
    <w:p w:rsidR="004D46ED" w:rsidRPr="009427D5" w:rsidRDefault="00F5268D" w:rsidP="00B660FA">
      <w:pPr>
        <w:autoSpaceDE w:val="0"/>
        <w:autoSpaceDN w:val="0"/>
        <w:adjustRightInd w:val="0"/>
        <w:spacing w:after="0" w:line="240" w:lineRule="auto"/>
        <w:jc w:val="both"/>
        <w:rPr>
          <w:rFonts w:ascii="Helvetica" w:hAnsi="Helvetica" w:cs="Helvetica"/>
          <w:i/>
          <w:sz w:val="24"/>
          <w:szCs w:val="24"/>
        </w:rPr>
      </w:pPr>
      <w:r w:rsidRPr="009427D5">
        <w:rPr>
          <w:rFonts w:ascii="Helvetica" w:hAnsi="Helvetica" w:cs="Helvetica"/>
          <w:sz w:val="24"/>
          <w:szCs w:val="24"/>
        </w:rPr>
        <w:t xml:space="preserve">En el informe de Auditoría correspondiente se determinó un hallazgo de planeación y ejecución, en donde se concluye que </w:t>
      </w:r>
      <w:r w:rsidRPr="009427D5">
        <w:rPr>
          <w:rFonts w:ascii="Helvetica" w:hAnsi="Helvetica" w:cs="Helvetica"/>
          <w:i/>
          <w:sz w:val="24"/>
          <w:szCs w:val="24"/>
        </w:rPr>
        <w:t>“no se ha logrado a la fecha la descentralización y acercamiento de los servicios judiciales a la población, toda vez que aún no se tiene certeza de la entrada en funcionamiento de los despachos de descongestión”.</w:t>
      </w:r>
    </w:p>
    <w:p w:rsidR="00F5268D" w:rsidRPr="009427D5" w:rsidRDefault="00F5268D" w:rsidP="00B660FA">
      <w:pPr>
        <w:autoSpaceDE w:val="0"/>
        <w:autoSpaceDN w:val="0"/>
        <w:adjustRightInd w:val="0"/>
        <w:spacing w:after="0" w:line="240" w:lineRule="auto"/>
        <w:jc w:val="both"/>
        <w:rPr>
          <w:rFonts w:ascii="Helvetica" w:hAnsi="Helvetica" w:cs="Helvetica"/>
          <w:i/>
          <w:sz w:val="24"/>
          <w:szCs w:val="24"/>
        </w:rPr>
      </w:pPr>
    </w:p>
    <w:p w:rsidR="00F5268D" w:rsidRPr="009427D5" w:rsidRDefault="00F5268D" w:rsidP="00B660FA">
      <w:pPr>
        <w:autoSpaceDE w:val="0"/>
        <w:autoSpaceDN w:val="0"/>
        <w:adjustRightInd w:val="0"/>
        <w:spacing w:after="0" w:line="240" w:lineRule="auto"/>
        <w:jc w:val="both"/>
        <w:rPr>
          <w:rFonts w:ascii="Arial" w:hAnsi="Arial" w:cs="Arial"/>
          <w:sz w:val="24"/>
          <w:szCs w:val="24"/>
        </w:rPr>
      </w:pPr>
      <w:r w:rsidRPr="009427D5">
        <w:rPr>
          <w:rFonts w:ascii="Helvetica" w:hAnsi="Helvetica" w:cs="Helvetica"/>
          <w:sz w:val="24"/>
          <w:szCs w:val="24"/>
        </w:rPr>
        <w:lastRenderedPageBreak/>
        <w:t>En razón a la importancia del tema y la cobertura poblacional</w:t>
      </w:r>
      <w:r w:rsidR="00024B5E">
        <w:rPr>
          <w:rFonts w:ascii="Helvetica" w:hAnsi="Helvetica" w:cs="Helvetica"/>
          <w:sz w:val="24"/>
          <w:szCs w:val="24"/>
        </w:rPr>
        <w:t xml:space="preserve"> establecida</w:t>
      </w:r>
      <w:r w:rsidRPr="009427D5">
        <w:rPr>
          <w:rFonts w:ascii="Helvetica" w:hAnsi="Helvetica" w:cs="Helvetica"/>
          <w:sz w:val="24"/>
          <w:szCs w:val="24"/>
        </w:rPr>
        <w:t xml:space="preserve">, en el </w:t>
      </w:r>
      <w:r w:rsidR="00B56145" w:rsidRPr="009427D5">
        <w:rPr>
          <w:rFonts w:ascii="Arial" w:hAnsi="Arial" w:cs="Arial"/>
          <w:sz w:val="24"/>
          <w:szCs w:val="24"/>
        </w:rPr>
        <w:t xml:space="preserve"> presente proceso de a</w:t>
      </w:r>
      <w:r w:rsidRPr="009427D5">
        <w:rPr>
          <w:rFonts w:ascii="Arial" w:hAnsi="Arial" w:cs="Arial"/>
          <w:sz w:val="24"/>
          <w:szCs w:val="24"/>
        </w:rPr>
        <w:t xml:space="preserve">uditoría, se verificó el estado actual y funcionamiento de la Obra </w:t>
      </w:r>
      <w:proofErr w:type="spellStart"/>
      <w:r w:rsidRPr="009427D5">
        <w:rPr>
          <w:rFonts w:ascii="Arial" w:hAnsi="Arial" w:cs="Arial"/>
          <w:sz w:val="24"/>
          <w:szCs w:val="24"/>
        </w:rPr>
        <w:t>Corposol</w:t>
      </w:r>
      <w:proofErr w:type="spellEnd"/>
      <w:r w:rsidRPr="009427D5">
        <w:rPr>
          <w:rFonts w:ascii="Arial" w:hAnsi="Arial" w:cs="Arial"/>
          <w:sz w:val="24"/>
          <w:szCs w:val="24"/>
        </w:rPr>
        <w:t>.</w:t>
      </w:r>
    </w:p>
    <w:p w:rsidR="00B56145" w:rsidRPr="009427D5" w:rsidRDefault="00F5268D" w:rsidP="00B660FA">
      <w:pPr>
        <w:autoSpaceDE w:val="0"/>
        <w:autoSpaceDN w:val="0"/>
        <w:adjustRightInd w:val="0"/>
        <w:spacing w:after="0" w:line="240" w:lineRule="auto"/>
        <w:jc w:val="both"/>
        <w:rPr>
          <w:rFonts w:ascii="Arial" w:hAnsi="Arial" w:cs="Arial"/>
          <w:sz w:val="24"/>
          <w:szCs w:val="24"/>
        </w:rPr>
      </w:pPr>
      <w:r w:rsidRPr="009427D5">
        <w:rPr>
          <w:rFonts w:ascii="Arial" w:hAnsi="Arial" w:cs="Arial"/>
          <w:sz w:val="24"/>
          <w:szCs w:val="24"/>
        </w:rPr>
        <w:t xml:space="preserve"> </w:t>
      </w:r>
    </w:p>
    <w:p w:rsidR="00CC46D6" w:rsidRPr="009427D5" w:rsidRDefault="00B2165F" w:rsidP="00CC46D6">
      <w:pPr>
        <w:spacing w:after="0" w:line="240" w:lineRule="auto"/>
        <w:jc w:val="both"/>
        <w:rPr>
          <w:rFonts w:ascii="Arial" w:hAnsi="Arial" w:cs="Arial"/>
          <w:b/>
          <w:sz w:val="24"/>
          <w:szCs w:val="24"/>
        </w:rPr>
      </w:pPr>
      <w:r w:rsidRPr="009427D5">
        <w:rPr>
          <w:rFonts w:ascii="Arial" w:hAnsi="Arial" w:cs="Arial"/>
          <w:b/>
          <w:sz w:val="24"/>
          <w:szCs w:val="24"/>
        </w:rPr>
        <w:t>2.</w:t>
      </w:r>
      <w:r w:rsidR="00E87B73" w:rsidRPr="009427D5">
        <w:rPr>
          <w:rFonts w:ascii="Arial" w:hAnsi="Arial" w:cs="Arial"/>
          <w:b/>
          <w:sz w:val="24"/>
          <w:szCs w:val="24"/>
        </w:rPr>
        <w:t>2</w:t>
      </w:r>
      <w:r w:rsidR="00CC46D6" w:rsidRPr="009427D5">
        <w:rPr>
          <w:rFonts w:ascii="Arial" w:hAnsi="Arial" w:cs="Arial"/>
          <w:b/>
          <w:sz w:val="24"/>
          <w:szCs w:val="24"/>
        </w:rPr>
        <w:t>.</w:t>
      </w:r>
      <w:r w:rsidR="006A4207" w:rsidRPr="009427D5">
        <w:rPr>
          <w:rFonts w:ascii="Arial" w:hAnsi="Arial" w:cs="Arial"/>
          <w:b/>
          <w:sz w:val="24"/>
          <w:szCs w:val="24"/>
        </w:rPr>
        <w:t>1</w:t>
      </w:r>
      <w:r w:rsidR="00CC46D6" w:rsidRPr="009427D5">
        <w:rPr>
          <w:rFonts w:ascii="Arial" w:hAnsi="Arial" w:cs="Arial"/>
          <w:b/>
          <w:sz w:val="24"/>
          <w:szCs w:val="24"/>
        </w:rPr>
        <w:t xml:space="preserve"> </w:t>
      </w:r>
      <w:r w:rsidR="00DE084B" w:rsidRPr="009427D5">
        <w:rPr>
          <w:rFonts w:ascii="Arial" w:hAnsi="Arial" w:cs="Arial"/>
          <w:b/>
          <w:sz w:val="24"/>
          <w:szCs w:val="24"/>
        </w:rPr>
        <w:tab/>
      </w:r>
      <w:r w:rsidR="00CC46D6" w:rsidRPr="009427D5">
        <w:rPr>
          <w:rFonts w:ascii="Arial" w:hAnsi="Arial" w:cs="Arial"/>
          <w:b/>
          <w:sz w:val="24"/>
          <w:szCs w:val="24"/>
        </w:rPr>
        <w:t>Cumplimiento de metas</w:t>
      </w:r>
      <w:r w:rsidR="00DE084B" w:rsidRPr="009427D5">
        <w:rPr>
          <w:rFonts w:ascii="Arial" w:hAnsi="Arial" w:cs="Arial"/>
          <w:b/>
          <w:sz w:val="24"/>
          <w:szCs w:val="24"/>
        </w:rPr>
        <w:t xml:space="preserve"> y </w:t>
      </w:r>
      <w:r w:rsidR="00E87B73" w:rsidRPr="009427D5">
        <w:rPr>
          <w:rFonts w:ascii="Arial" w:hAnsi="Arial" w:cs="Arial"/>
          <w:b/>
          <w:sz w:val="24"/>
          <w:szCs w:val="24"/>
        </w:rPr>
        <w:t>análisis</w:t>
      </w:r>
      <w:r w:rsidR="00CC46D6" w:rsidRPr="009427D5">
        <w:rPr>
          <w:rFonts w:ascii="Arial" w:hAnsi="Arial" w:cs="Arial"/>
          <w:b/>
          <w:sz w:val="24"/>
          <w:szCs w:val="24"/>
        </w:rPr>
        <w:t xml:space="preserve"> de los indicadores definidos para la Política Pública</w:t>
      </w:r>
    </w:p>
    <w:p w:rsidR="00DE084B" w:rsidRPr="009427D5" w:rsidRDefault="00DE084B" w:rsidP="00B02D2E">
      <w:pPr>
        <w:spacing w:after="0" w:line="240" w:lineRule="auto"/>
        <w:jc w:val="both"/>
        <w:rPr>
          <w:rFonts w:ascii="Arial" w:hAnsi="Arial" w:cs="Arial"/>
          <w:b/>
          <w:sz w:val="24"/>
          <w:szCs w:val="24"/>
        </w:rPr>
      </w:pPr>
    </w:p>
    <w:p w:rsidR="00483051" w:rsidRPr="009427D5" w:rsidRDefault="00483051" w:rsidP="00B02D2E">
      <w:pPr>
        <w:spacing w:after="0" w:line="240" w:lineRule="auto"/>
        <w:jc w:val="both"/>
        <w:rPr>
          <w:rFonts w:ascii="Arial" w:hAnsi="Arial" w:cs="Arial"/>
          <w:i/>
          <w:sz w:val="24"/>
          <w:szCs w:val="24"/>
        </w:rPr>
      </w:pPr>
      <w:r w:rsidRPr="009427D5">
        <w:rPr>
          <w:rFonts w:ascii="Arial" w:hAnsi="Arial" w:cs="Arial"/>
          <w:i/>
          <w:sz w:val="24"/>
          <w:szCs w:val="24"/>
        </w:rPr>
        <w:t>2.2.1.1  Meta Descongestión Judicial</w:t>
      </w:r>
    </w:p>
    <w:p w:rsidR="00483051" w:rsidRPr="009427D5" w:rsidRDefault="00483051" w:rsidP="00B02D2E">
      <w:pPr>
        <w:spacing w:after="0" w:line="240" w:lineRule="auto"/>
        <w:jc w:val="both"/>
        <w:rPr>
          <w:rFonts w:ascii="Arial" w:hAnsi="Arial" w:cs="Arial"/>
          <w:sz w:val="24"/>
          <w:szCs w:val="24"/>
        </w:rPr>
      </w:pPr>
    </w:p>
    <w:p w:rsidR="00F855CE" w:rsidRPr="009427D5" w:rsidRDefault="00F855CE" w:rsidP="00B02D2E">
      <w:pPr>
        <w:spacing w:after="0" w:line="240" w:lineRule="auto"/>
        <w:jc w:val="both"/>
        <w:rPr>
          <w:rFonts w:ascii="Arial" w:hAnsi="Arial" w:cs="Arial"/>
          <w:sz w:val="24"/>
          <w:szCs w:val="24"/>
        </w:rPr>
      </w:pPr>
      <w:r w:rsidRPr="009427D5">
        <w:rPr>
          <w:rFonts w:ascii="Arial" w:hAnsi="Arial" w:cs="Arial"/>
          <w:sz w:val="24"/>
          <w:szCs w:val="24"/>
        </w:rPr>
        <w:t>Hallazgo No. 1. Meta Descongestión Judicial.</w:t>
      </w:r>
    </w:p>
    <w:p w:rsidR="00F855CE" w:rsidRPr="009427D5" w:rsidRDefault="00F855CE" w:rsidP="00B02D2E">
      <w:pPr>
        <w:spacing w:after="0" w:line="240" w:lineRule="auto"/>
        <w:jc w:val="both"/>
        <w:rPr>
          <w:rFonts w:ascii="Arial" w:hAnsi="Arial" w:cs="Arial"/>
          <w:sz w:val="24"/>
          <w:szCs w:val="24"/>
        </w:rPr>
      </w:pPr>
    </w:p>
    <w:p w:rsidR="00B02D2E" w:rsidRPr="009427D5" w:rsidRDefault="00B02D2E" w:rsidP="00B02D2E">
      <w:pPr>
        <w:spacing w:after="0" w:line="240" w:lineRule="auto"/>
        <w:jc w:val="both"/>
        <w:rPr>
          <w:rFonts w:ascii="Arial" w:hAnsi="Arial" w:cs="Arial"/>
          <w:sz w:val="24"/>
          <w:szCs w:val="24"/>
        </w:rPr>
      </w:pPr>
      <w:r w:rsidRPr="009427D5">
        <w:rPr>
          <w:rFonts w:ascii="Arial" w:hAnsi="Arial" w:cs="Arial"/>
          <w:sz w:val="24"/>
          <w:szCs w:val="24"/>
        </w:rPr>
        <w:t>Con la meta establecida en el documento Bases del Plan, se esperaba llegar en 2014, a 1.250.000 procesos de inventario en la Rama Judicial, con una reducción de 1.100.000 procesos en el cuatrienio. Sin embargo, en el portal SINERGIA, donde el Gobierno hace seguimiento a las metas determinadas en el Plan de Desarrollo, aparecen una línea base y meta diferentes a las señaladas en la Ley 1450 de 2011 (Ley del Plan de Desarrollo).</w:t>
      </w:r>
    </w:p>
    <w:p w:rsidR="00B02D2E" w:rsidRPr="009427D5" w:rsidRDefault="00B02D2E" w:rsidP="00B02D2E">
      <w:pPr>
        <w:spacing w:after="0" w:line="240" w:lineRule="auto"/>
        <w:jc w:val="both"/>
        <w:rPr>
          <w:rFonts w:ascii="Arial" w:hAnsi="Arial" w:cs="Arial"/>
          <w:sz w:val="24"/>
          <w:szCs w:val="24"/>
        </w:rPr>
      </w:pPr>
      <w:r w:rsidRPr="009427D5">
        <w:rPr>
          <w:rFonts w:ascii="Arial" w:hAnsi="Arial" w:cs="Arial"/>
          <w:sz w:val="24"/>
          <w:szCs w:val="24"/>
        </w:rPr>
        <w:br/>
        <w:t xml:space="preserve">Así, la línea base establecida en SINERGIA es de 2.654.797 procesos y la meta es llegar a 1.765.000 procesos, con una reducción de 889.797 procesos, es decir una diferencia en reducción de inventarios de 210.203 procesos. De acuerdo con la información suministrada por la Entidad a SINERGIA, con corte 31 de diciembre de 2013, se llegó a una cifra de 1.931.958 procesos, lo que equivale a un cumplimiento de 81%, el cual es considerable faltando un año para la finalización del Plan Nacional de Desarrollo 2010-2014, Tabla </w:t>
      </w:r>
      <w:r w:rsidR="00450647" w:rsidRPr="009427D5">
        <w:rPr>
          <w:rFonts w:ascii="Arial" w:hAnsi="Arial" w:cs="Arial"/>
          <w:sz w:val="24"/>
          <w:szCs w:val="24"/>
        </w:rPr>
        <w:t>6</w:t>
      </w:r>
      <w:r w:rsidRPr="009427D5">
        <w:rPr>
          <w:rFonts w:ascii="Arial" w:hAnsi="Arial" w:cs="Arial"/>
          <w:sz w:val="24"/>
          <w:szCs w:val="24"/>
        </w:rPr>
        <w:t>.</w:t>
      </w:r>
    </w:p>
    <w:p w:rsidR="003A68DB" w:rsidRDefault="003A68DB" w:rsidP="00D32F22">
      <w:pPr>
        <w:spacing w:after="0" w:line="240" w:lineRule="auto"/>
        <w:jc w:val="center"/>
        <w:rPr>
          <w:rFonts w:ascii="Arial" w:hAnsi="Arial" w:cs="Arial"/>
          <w:b/>
          <w:color w:val="000000" w:themeColor="text1"/>
          <w:sz w:val="20"/>
          <w:szCs w:val="20"/>
        </w:rPr>
      </w:pPr>
    </w:p>
    <w:p w:rsidR="001D182A" w:rsidRDefault="00AB3174" w:rsidP="00D32F22">
      <w:pPr>
        <w:spacing w:after="0" w:line="240" w:lineRule="auto"/>
        <w:jc w:val="center"/>
        <w:rPr>
          <w:rFonts w:ascii="Arial" w:hAnsi="Arial" w:cs="Arial"/>
          <w:b/>
          <w:color w:val="000000" w:themeColor="text1"/>
          <w:sz w:val="16"/>
          <w:szCs w:val="16"/>
        </w:rPr>
      </w:pPr>
      <w:r w:rsidRPr="0036031F">
        <w:rPr>
          <w:rFonts w:ascii="Arial" w:hAnsi="Arial" w:cs="Arial"/>
          <w:b/>
          <w:color w:val="000000" w:themeColor="text1"/>
          <w:sz w:val="16"/>
          <w:szCs w:val="16"/>
        </w:rPr>
        <w:t xml:space="preserve">Tabla </w:t>
      </w:r>
      <w:r w:rsidR="00450647" w:rsidRPr="0036031F">
        <w:rPr>
          <w:rFonts w:ascii="Arial" w:hAnsi="Arial" w:cs="Arial"/>
          <w:b/>
          <w:color w:val="000000" w:themeColor="text1"/>
          <w:sz w:val="16"/>
          <w:szCs w:val="16"/>
        </w:rPr>
        <w:t>No. 6</w:t>
      </w:r>
      <w:r w:rsidR="00D32F22" w:rsidRPr="0036031F">
        <w:rPr>
          <w:rFonts w:ascii="Arial" w:hAnsi="Arial" w:cs="Arial"/>
          <w:b/>
          <w:color w:val="000000" w:themeColor="text1"/>
          <w:sz w:val="16"/>
          <w:szCs w:val="16"/>
        </w:rPr>
        <w:t>. Diferencias entre la meta establecida en el Documento Bases del Plan y SINERGIA-DNP</w:t>
      </w:r>
    </w:p>
    <w:p w:rsidR="004654FF" w:rsidRPr="0036031F" w:rsidRDefault="004654FF" w:rsidP="00D32F22">
      <w:pPr>
        <w:spacing w:after="0" w:line="240" w:lineRule="auto"/>
        <w:jc w:val="center"/>
        <w:rPr>
          <w:rFonts w:ascii="Arial" w:hAnsi="Arial" w:cs="Arial"/>
          <w:b/>
          <w:color w:val="000000" w:themeColor="text1"/>
          <w:sz w:val="16"/>
          <w:szCs w:val="16"/>
        </w:rPr>
      </w:pPr>
    </w:p>
    <w:tbl>
      <w:tblPr>
        <w:tblW w:w="4522" w:type="dxa"/>
        <w:jc w:val="center"/>
        <w:tblCellMar>
          <w:left w:w="70" w:type="dxa"/>
          <w:right w:w="70" w:type="dxa"/>
        </w:tblCellMar>
        <w:tblLook w:val="04A0" w:firstRow="1" w:lastRow="0" w:firstColumn="1" w:lastColumn="0" w:noHBand="0" w:noVBand="1"/>
      </w:tblPr>
      <w:tblGrid>
        <w:gridCol w:w="2221"/>
        <w:gridCol w:w="2301"/>
      </w:tblGrid>
      <w:tr w:rsidR="0036535C" w:rsidRPr="0036031F" w:rsidTr="0036535C">
        <w:trPr>
          <w:trHeight w:val="510"/>
          <w:jc w:val="center"/>
        </w:trPr>
        <w:tc>
          <w:tcPr>
            <w:tcW w:w="222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36535C" w:rsidRPr="0036031F" w:rsidRDefault="0036535C" w:rsidP="0036535C">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SINERGIA</w:t>
            </w:r>
          </w:p>
        </w:tc>
        <w:tc>
          <w:tcPr>
            <w:tcW w:w="2301" w:type="dxa"/>
            <w:tcBorders>
              <w:top w:val="single" w:sz="8" w:space="0" w:color="auto"/>
              <w:left w:val="nil"/>
              <w:bottom w:val="single" w:sz="4" w:space="0" w:color="auto"/>
              <w:right w:val="single" w:sz="8" w:space="0" w:color="auto"/>
            </w:tcBorders>
            <w:shd w:val="clear" w:color="000000" w:fill="FFFFFF"/>
            <w:vAlign w:val="center"/>
            <w:hideMark/>
          </w:tcPr>
          <w:p w:rsidR="0036535C" w:rsidRPr="0036031F" w:rsidRDefault="0036535C" w:rsidP="0036535C">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DOCUMENTO BASES PLAN</w:t>
            </w:r>
          </w:p>
        </w:tc>
      </w:tr>
      <w:tr w:rsidR="0036535C" w:rsidRPr="0036031F" w:rsidTr="0036535C">
        <w:trPr>
          <w:trHeight w:val="300"/>
          <w:jc w:val="center"/>
        </w:trPr>
        <w:tc>
          <w:tcPr>
            <w:tcW w:w="4522"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36535C" w:rsidRPr="0036031F" w:rsidRDefault="0036535C" w:rsidP="0036535C">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Línea Base</w:t>
            </w:r>
          </w:p>
        </w:tc>
      </w:tr>
      <w:tr w:rsidR="0036535C" w:rsidRPr="0036031F" w:rsidTr="0036535C">
        <w:trPr>
          <w:trHeight w:val="315"/>
          <w:jc w:val="center"/>
        </w:trPr>
        <w:tc>
          <w:tcPr>
            <w:tcW w:w="2221" w:type="dxa"/>
            <w:tcBorders>
              <w:top w:val="nil"/>
              <w:left w:val="single" w:sz="8" w:space="0" w:color="auto"/>
              <w:bottom w:val="single" w:sz="4" w:space="0" w:color="auto"/>
              <w:right w:val="single" w:sz="4" w:space="0" w:color="auto"/>
            </w:tcBorders>
            <w:shd w:val="clear" w:color="auto" w:fill="auto"/>
            <w:noWrap/>
            <w:vAlign w:val="center"/>
            <w:hideMark/>
          </w:tcPr>
          <w:p w:rsidR="0036535C" w:rsidRPr="0036031F" w:rsidRDefault="0036535C" w:rsidP="0036535C">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2.654.797</w:t>
            </w:r>
          </w:p>
        </w:tc>
        <w:tc>
          <w:tcPr>
            <w:tcW w:w="2301" w:type="dxa"/>
            <w:tcBorders>
              <w:top w:val="nil"/>
              <w:left w:val="nil"/>
              <w:bottom w:val="single" w:sz="4" w:space="0" w:color="auto"/>
              <w:right w:val="single" w:sz="8" w:space="0" w:color="auto"/>
            </w:tcBorders>
            <w:shd w:val="clear" w:color="auto" w:fill="auto"/>
            <w:noWrap/>
            <w:vAlign w:val="bottom"/>
            <w:hideMark/>
          </w:tcPr>
          <w:p w:rsidR="0036535C" w:rsidRPr="0036031F" w:rsidRDefault="0036535C" w:rsidP="0036535C">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2.350.000</w:t>
            </w:r>
          </w:p>
        </w:tc>
      </w:tr>
      <w:tr w:rsidR="0036535C" w:rsidRPr="0036031F" w:rsidTr="0036535C">
        <w:trPr>
          <w:trHeight w:val="315"/>
          <w:jc w:val="center"/>
        </w:trPr>
        <w:tc>
          <w:tcPr>
            <w:tcW w:w="4522"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36535C" w:rsidRPr="0036031F" w:rsidRDefault="0036535C" w:rsidP="0036535C">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 xml:space="preserve">Meta </w:t>
            </w:r>
          </w:p>
        </w:tc>
      </w:tr>
      <w:tr w:rsidR="0036535C" w:rsidRPr="0036031F" w:rsidTr="0036535C">
        <w:trPr>
          <w:trHeight w:val="315"/>
          <w:jc w:val="center"/>
        </w:trPr>
        <w:tc>
          <w:tcPr>
            <w:tcW w:w="2221" w:type="dxa"/>
            <w:tcBorders>
              <w:top w:val="nil"/>
              <w:left w:val="single" w:sz="8" w:space="0" w:color="auto"/>
              <w:bottom w:val="single" w:sz="4" w:space="0" w:color="auto"/>
              <w:right w:val="single" w:sz="4" w:space="0" w:color="auto"/>
            </w:tcBorders>
            <w:shd w:val="clear" w:color="auto" w:fill="auto"/>
            <w:noWrap/>
            <w:vAlign w:val="center"/>
            <w:hideMark/>
          </w:tcPr>
          <w:p w:rsidR="0036535C" w:rsidRPr="0036031F" w:rsidRDefault="0036535C" w:rsidP="0036535C">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1.765.000</w:t>
            </w:r>
          </w:p>
        </w:tc>
        <w:tc>
          <w:tcPr>
            <w:tcW w:w="2301" w:type="dxa"/>
            <w:tcBorders>
              <w:top w:val="nil"/>
              <w:left w:val="nil"/>
              <w:bottom w:val="single" w:sz="4" w:space="0" w:color="auto"/>
              <w:right w:val="single" w:sz="8" w:space="0" w:color="auto"/>
            </w:tcBorders>
            <w:shd w:val="clear" w:color="auto" w:fill="auto"/>
            <w:noWrap/>
            <w:vAlign w:val="bottom"/>
            <w:hideMark/>
          </w:tcPr>
          <w:p w:rsidR="0036535C" w:rsidRPr="0036031F" w:rsidRDefault="0036535C" w:rsidP="0036535C">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1.250.000</w:t>
            </w:r>
          </w:p>
        </w:tc>
      </w:tr>
      <w:tr w:rsidR="0036535C" w:rsidRPr="0036031F" w:rsidTr="0036535C">
        <w:trPr>
          <w:trHeight w:val="300"/>
          <w:jc w:val="center"/>
        </w:trPr>
        <w:tc>
          <w:tcPr>
            <w:tcW w:w="4522"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36535C" w:rsidRPr="0036031F" w:rsidRDefault="0036535C" w:rsidP="0036535C">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 xml:space="preserve">Reducción Inventarios </w:t>
            </w:r>
          </w:p>
        </w:tc>
      </w:tr>
      <w:tr w:rsidR="0036535C" w:rsidRPr="0036031F" w:rsidTr="0036535C">
        <w:trPr>
          <w:trHeight w:val="315"/>
          <w:jc w:val="center"/>
        </w:trPr>
        <w:tc>
          <w:tcPr>
            <w:tcW w:w="2221" w:type="dxa"/>
            <w:tcBorders>
              <w:top w:val="nil"/>
              <w:left w:val="single" w:sz="8" w:space="0" w:color="auto"/>
              <w:bottom w:val="single" w:sz="4" w:space="0" w:color="auto"/>
              <w:right w:val="single" w:sz="4" w:space="0" w:color="auto"/>
            </w:tcBorders>
            <w:shd w:val="clear" w:color="auto" w:fill="auto"/>
            <w:noWrap/>
            <w:vAlign w:val="bottom"/>
            <w:hideMark/>
          </w:tcPr>
          <w:p w:rsidR="0036535C" w:rsidRPr="0036031F" w:rsidRDefault="0036535C" w:rsidP="0036535C">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889.797</w:t>
            </w:r>
          </w:p>
        </w:tc>
        <w:tc>
          <w:tcPr>
            <w:tcW w:w="2301" w:type="dxa"/>
            <w:tcBorders>
              <w:top w:val="nil"/>
              <w:left w:val="nil"/>
              <w:bottom w:val="single" w:sz="4" w:space="0" w:color="auto"/>
              <w:right w:val="single" w:sz="8" w:space="0" w:color="auto"/>
            </w:tcBorders>
            <w:shd w:val="clear" w:color="auto" w:fill="auto"/>
            <w:noWrap/>
            <w:vAlign w:val="bottom"/>
            <w:hideMark/>
          </w:tcPr>
          <w:p w:rsidR="0036535C" w:rsidRPr="0036031F" w:rsidRDefault="0036535C" w:rsidP="0036535C">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1.100.000</w:t>
            </w:r>
          </w:p>
        </w:tc>
      </w:tr>
      <w:tr w:rsidR="0036535C" w:rsidRPr="0036031F" w:rsidTr="0036535C">
        <w:trPr>
          <w:trHeight w:val="315"/>
          <w:jc w:val="center"/>
        </w:trPr>
        <w:tc>
          <w:tcPr>
            <w:tcW w:w="4522"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36535C" w:rsidRPr="0036031F" w:rsidRDefault="0036535C" w:rsidP="0036535C">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 Avance</w:t>
            </w:r>
          </w:p>
        </w:tc>
      </w:tr>
      <w:tr w:rsidR="0036535C" w:rsidRPr="0036031F" w:rsidTr="0036535C">
        <w:trPr>
          <w:trHeight w:val="315"/>
          <w:jc w:val="center"/>
        </w:trPr>
        <w:tc>
          <w:tcPr>
            <w:tcW w:w="2221" w:type="dxa"/>
            <w:tcBorders>
              <w:top w:val="nil"/>
              <w:left w:val="single" w:sz="8" w:space="0" w:color="auto"/>
              <w:bottom w:val="single" w:sz="4" w:space="0" w:color="auto"/>
              <w:right w:val="single" w:sz="4" w:space="0" w:color="auto"/>
            </w:tcBorders>
            <w:shd w:val="clear" w:color="auto" w:fill="auto"/>
            <w:noWrap/>
            <w:vAlign w:val="bottom"/>
            <w:hideMark/>
          </w:tcPr>
          <w:p w:rsidR="0036535C" w:rsidRPr="0036031F" w:rsidRDefault="0036535C" w:rsidP="0036535C">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81,4%</w:t>
            </w:r>
          </w:p>
        </w:tc>
        <w:tc>
          <w:tcPr>
            <w:tcW w:w="2301" w:type="dxa"/>
            <w:tcBorders>
              <w:top w:val="nil"/>
              <w:left w:val="nil"/>
              <w:bottom w:val="single" w:sz="4" w:space="0" w:color="auto"/>
              <w:right w:val="single" w:sz="8" w:space="0" w:color="auto"/>
            </w:tcBorders>
            <w:shd w:val="clear" w:color="auto" w:fill="auto"/>
            <w:noWrap/>
            <w:vAlign w:val="bottom"/>
            <w:hideMark/>
          </w:tcPr>
          <w:p w:rsidR="0036535C" w:rsidRPr="0036031F" w:rsidRDefault="00D25484" w:rsidP="0036535C">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65,8</w:t>
            </w:r>
            <w:r w:rsidR="0036535C" w:rsidRPr="0036031F">
              <w:rPr>
                <w:rFonts w:ascii="Arial" w:eastAsia="Times New Roman" w:hAnsi="Arial" w:cs="Arial"/>
                <w:color w:val="000000"/>
                <w:sz w:val="16"/>
                <w:szCs w:val="16"/>
                <w:lang w:eastAsia="es-CO"/>
              </w:rPr>
              <w:t>%</w:t>
            </w:r>
          </w:p>
        </w:tc>
      </w:tr>
      <w:tr w:rsidR="0036535C" w:rsidRPr="0036031F" w:rsidTr="0036535C">
        <w:trPr>
          <w:trHeight w:val="315"/>
          <w:jc w:val="center"/>
        </w:trPr>
        <w:tc>
          <w:tcPr>
            <w:tcW w:w="4522"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36535C" w:rsidRPr="0036031F" w:rsidRDefault="0036535C" w:rsidP="0036535C">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Diferencia Reducción Inventarios</w:t>
            </w:r>
          </w:p>
        </w:tc>
      </w:tr>
      <w:tr w:rsidR="0036535C" w:rsidRPr="0036031F" w:rsidTr="00AB3174">
        <w:trPr>
          <w:trHeight w:val="300"/>
          <w:jc w:val="center"/>
        </w:trPr>
        <w:tc>
          <w:tcPr>
            <w:tcW w:w="4522"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36535C" w:rsidRPr="0036031F" w:rsidRDefault="0036535C" w:rsidP="0036535C">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210.203</w:t>
            </w:r>
          </w:p>
        </w:tc>
      </w:tr>
    </w:tbl>
    <w:p w:rsidR="0036535C" w:rsidRPr="0036031F" w:rsidRDefault="00A67D44" w:rsidP="00A67D44">
      <w:pPr>
        <w:spacing w:after="0" w:line="240" w:lineRule="auto"/>
        <w:jc w:val="center"/>
        <w:rPr>
          <w:rFonts w:ascii="Arial" w:hAnsi="Arial" w:cs="Arial"/>
          <w:b/>
          <w:color w:val="000000" w:themeColor="text1"/>
          <w:sz w:val="16"/>
          <w:szCs w:val="16"/>
        </w:rPr>
      </w:pPr>
      <w:r w:rsidRPr="0036031F">
        <w:rPr>
          <w:rFonts w:ascii="Arial" w:hAnsi="Arial" w:cs="Arial"/>
          <w:b/>
          <w:color w:val="000000" w:themeColor="text1"/>
          <w:sz w:val="16"/>
          <w:szCs w:val="16"/>
        </w:rPr>
        <w:t>Fuente: SINERGIA- DNP y Documento Bases PND 2010-2014. Cálculos DES DJS- CGR.</w:t>
      </w:r>
      <w:r w:rsidR="00D02DCC" w:rsidRPr="0036031F">
        <w:rPr>
          <w:rFonts w:ascii="Arial" w:hAnsi="Arial" w:cs="Arial"/>
          <w:b/>
          <w:color w:val="000000" w:themeColor="text1"/>
          <w:sz w:val="16"/>
          <w:szCs w:val="16"/>
        </w:rPr>
        <w:t xml:space="preserve"> </w:t>
      </w:r>
    </w:p>
    <w:p w:rsidR="00D52C0D" w:rsidRPr="0036031F" w:rsidRDefault="00D52C0D" w:rsidP="00A67D44">
      <w:pPr>
        <w:spacing w:after="0" w:line="240" w:lineRule="auto"/>
        <w:jc w:val="center"/>
        <w:rPr>
          <w:rFonts w:ascii="Arial" w:hAnsi="Arial" w:cs="Arial"/>
          <w:b/>
          <w:color w:val="000000" w:themeColor="text1"/>
          <w:sz w:val="16"/>
          <w:szCs w:val="16"/>
        </w:rPr>
      </w:pPr>
      <w:r w:rsidRPr="0036031F">
        <w:rPr>
          <w:rFonts w:ascii="Arial" w:hAnsi="Arial" w:cs="Arial"/>
          <w:b/>
          <w:color w:val="000000" w:themeColor="text1"/>
          <w:sz w:val="16"/>
          <w:szCs w:val="16"/>
        </w:rPr>
        <w:t>Fecha de Corte: Abril de 2014</w:t>
      </w:r>
    </w:p>
    <w:p w:rsidR="00B02D2E" w:rsidRPr="009427D5" w:rsidRDefault="00B02D2E" w:rsidP="00B02D2E">
      <w:pPr>
        <w:spacing w:after="0" w:line="240" w:lineRule="auto"/>
        <w:jc w:val="both"/>
        <w:rPr>
          <w:rFonts w:ascii="Arial" w:hAnsi="Arial" w:cs="Arial"/>
          <w:sz w:val="24"/>
          <w:szCs w:val="24"/>
        </w:rPr>
      </w:pPr>
      <w:r w:rsidRPr="009427D5">
        <w:rPr>
          <w:rFonts w:ascii="Arial" w:hAnsi="Arial" w:cs="Arial"/>
          <w:sz w:val="24"/>
          <w:szCs w:val="24"/>
        </w:rPr>
        <w:lastRenderedPageBreak/>
        <w:t>No obstante, debe señalarse que la meta reportada en SINERGIA difiere considerablemente de la establecida en las “Bases del Plan Nacional de Desarrollo”, para este caso, el porcentaje de avance es solo de 66% a Diciembre de 2013, es decir, 15 puntos porcentuales menos al que aparece en SINERGIA y  9 puntos porcentuales por debajo del cumplimiento de la meta proyectada para 2013 (75%), lo que puede ocasionar que eventualmente no se alcance la cifra proyectada para 2014.</w:t>
      </w:r>
    </w:p>
    <w:p w:rsidR="00B02D2E" w:rsidRPr="009427D5" w:rsidRDefault="00B02D2E" w:rsidP="00B02D2E">
      <w:pPr>
        <w:spacing w:after="0" w:line="240" w:lineRule="auto"/>
        <w:jc w:val="both"/>
        <w:rPr>
          <w:rFonts w:ascii="Arial" w:hAnsi="Arial" w:cs="Arial"/>
          <w:sz w:val="24"/>
          <w:szCs w:val="24"/>
        </w:rPr>
      </w:pPr>
    </w:p>
    <w:p w:rsidR="00B02D2E" w:rsidRPr="009427D5" w:rsidRDefault="00B02D2E" w:rsidP="00B02D2E">
      <w:pPr>
        <w:spacing w:after="0" w:line="240" w:lineRule="auto"/>
        <w:jc w:val="both"/>
        <w:rPr>
          <w:rFonts w:ascii="Arial" w:hAnsi="Arial" w:cs="Arial"/>
          <w:sz w:val="24"/>
          <w:szCs w:val="24"/>
        </w:rPr>
      </w:pPr>
      <w:r w:rsidRPr="009427D5">
        <w:rPr>
          <w:rFonts w:ascii="Arial" w:hAnsi="Arial" w:cs="Arial"/>
          <w:sz w:val="24"/>
          <w:szCs w:val="24"/>
        </w:rPr>
        <w:t xml:space="preserve">Al respecto la Entidad argumenta que la situación presentada con las cifras de SINERGIA </w:t>
      </w:r>
      <w:r w:rsidR="00F50DD2" w:rsidRPr="009427D5">
        <w:rPr>
          <w:rFonts w:ascii="Arial" w:hAnsi="Arial" w:cs="Arial"/>
          <w:sz w:val="24"/>
          <w:szCs w:val="24"/>
        </w:rPr>
        <w:t xml:space="preserve">y el documento Bases del Plan, </w:t>
      </w:r>
      <w:r w:rsidRPr="009427D5">
        <w:rPr>
          <w:rFonts w:ascii="Arial" w:hAnsi="Arial" w:cs="Arial"/>
          <w:sz w:val="24"/>
          <w:szCs w:val="24"/>
        </w:rPr>
        <w:t xml:space="preserve">es responsabilidad de la Rama Ejecutiva – Ministerio de Justicia y del Derecho y DNP, razón por la cual no les corresponde explicar las diferencias. </w:t>
      </w:r>
    </w:p>
    <w:p w:rsidR="00ED4621" w:rsidRPr="009427D5" w:rsidRDefault="00ED4621" w:rsidP="00B02D2E">
      <w:pPr>
        <w:spacing w:after="0" w:line="240" w:lineRule="auto"/>
        <w:jc w:val="both"/>
        <w:rPr>
          <w:rFonts w:ascii="Arial" w:hAnsi="Arial" w:cs="Arial"/>
          <w:sz w:val="24"/>
          <w:szCs w:val="24"/>
        </w:rPr>
      </w:pPr>
    </w:p>
    <w:p w:rsidR="00B02D2E" w:rsidRPr="009427D5" w:rsidRDefault="00700B54" w:rsidP="00B02D2E">
      <w:pPr>
        <w:spacing w:after="0" w:line="240" w:lineRule="auto"/>
        <w:jc w:val="both"/>
        <w:rPr>
          <w:rFonts w:ascii="Arial" w:hAnsi="Arial" w:cs="Arial"/>
          <w:sz w:val="24"/>
          <w:szCs w:val="24"/>
        </w:rPr>
      </w:pPr>
      <w:r w:rsidRPr="009427D5">
        <w:rPr>
          <w:rFonts w:ascii="Arial" w:hAnsi="Arial" w:cs="Arial"/>
          <w:sz w:val="24"/>
          <w:szCs w:val="24"/>
        </w:rPr>
        <w:t xml:space="preserve">Las </w:t>
      </w:r>
      <w:r w:rsidR="00B02D2E" w:rsidRPr="009427D5">
        <w:rPr>
          <w:rFonts w:ascii="Arial" w:hAnsi="Arial" w:cs="Arial"/>
          <w:sz w:val="24"/>
          <w:szCs w:val="24"/>
        </w:rPr>
        <w:t xml:space="preserve">anteriores </w:t>
      </w:r>
      <w:r w:rsidRPr="009427D5">
        <w:rPr>
          <w:rFonts w:ascii="Arial" w:hAnsi="Arial" w:cs="Arial"/>
          <w:sz w:val="24"/>
          <w:szCs w:val="24"/>
        </w:rPr>
        <w:t>explicaciones</w:t>
      </w:r>
      <w:r w:rsidR="00B02D2E" w:rsidRPr="009427D5">
        <w:rPr>
          <w:rFonts w:ascii="Arial" w:hAnsi="Arial" w:cs="Arial"/>
          <w:sz w:val="24"/>
          <w:szCs w:val="24"/>
        </w:rPr>
        <w:t xml:space="preserve"> no son de recibo por</w:t>
      </w:r>
      <w:r w:rsidR="00873C55" w:rsidRPr="009427D5">
        <w:rPr>
          <w:rFonts w:ascii="Arial" w:hAnsi="Arial" w:cs="Arial"/>
          <w:sz w:val="24"/>
          <w:szCs w:val="24"/>
        </w:rPr>
        <w:t xml:space="preserve"> parte d</w:t>
      </w:r>
      <w:r w:rsidR="00B02D2E" w:rsidRPr="009427D5">
        <w:rPr>
          <w:rFonts w:ascii="Arial" w:hAnsi="Arial" w:cs="Arial"/>
          <w:sz w:val="24"/>
          <w:szCs w:val="24"/>
        </w:rPr>
        <w:t>el grupo auditor</w:t>
      </w:r>
      <w:r w:rsidR="00873C55" w:rsidRPr="009427D5">
        <w:rPr>
          <w:rFonts w:ascii="Arial" w:hAnsi="Arial" w:cs="Arial"/>
          <w:sz w:val="24"/>
          <w:szCs w:val="24"/>
        </w:rPr>
        <w:t>,</w:t>
      </w:r>
      <w:r w:rsidR="00B02D2E" w:rsidRPr="009427D5">
        <w:rPr>
          <w:rFonts w:ascii="Arial" w:hAnsi="Arial" w:cs="Arial"/>
          <w:sz w:val="24"/>
          <w:szCs w:val="24"/>
        </w:rPr>
        <w:t xml:space="preserve"> toda vez que el único responsable y fuente de la in</w:t>
      </w:r>
      <w:r w:rsidR="00F50DD2" w:rsidRPr="009427D5">
        <w:rPr>
          <w:rFonts w:ascii="Arial" w:hAnsi="Arial" w:cs="Arial"/>
          <w:sz w:val="24"/>
          <w:szCs w:val="24"/>
        </w:rPr>
        <w:t xml:space="preserve">formación estadística es el CSJ, </w:t>
      </w:r>
      <w:r w:rsidR="00B02D2E" w:rsidRPr="009427D5">
        <w:rPr>
          <w:rFonts w:ascii="Arial" w:hAnsi="Arial" w:cs="Arial"/>
          <w:sz w:val="24"/>
          <w:szCs w:val="24"/>
        </w:rPr>
        <w:t>a través de la UDAE</w:t>
      </w:r>
      <w:r w:rsidR="00F50DD2" w:rsidRPr="009427D5">
        <w:rPr>
          <w:rFonts w:ascii="Arial" w:hAnsi="Arial" w:cs="Arial"/>
          <w:sz w:val="24"/>
          <w:szCs w:val="24"/>
        </w:rPr>
        <w:t>. Adicionalmente,</w:t>
      </w:r>
      <w:r w:rsidR="00B02D2E" w:rsidRPr="009427D5">
        <w:rPr>
          <w:rFonts w:ascii="Arial" w:hAnsi="Arial" w:cs="Arial"/>
          <w:sz w:val="24"/>
          <w:szCs w:val="24"/>
        </w:rPr>
        <w:t xml:space="preserve"> en virtud del principio de coordinación y colaboración, las autoridades administrativas deben garantizar la armonía en el ejercicio de sus funciones con el fin de lograr los fines y cometidos estatales (artículo 6 Ley 489 de 1998). </w:t>
      </w:r>
    </w:p>
    <w:p w:rsidR="00ED4621" w:rsidRPr="009427D5" w:rsidRDefault="00ED4621" w:rsidP="00B02D2E">
      <w:pPr>
        <w:spacing w:after="0" w:line="240" w:lineRule="auto"/>
        <w:jc w:val="both"/>
        <w:rPr>
          <w:rFonts w:ascii="Arial" w:hAnsi="Arial" w:cs="Arial"/>
          <w:sz w:val="24"/>
          <w:szCs w:val="24"/>
        </w:rPr>
      </w:pPr>
    </w:p>
    <w:p w:rsidR="00F50DD2" w:rsidRPr="009427D5" w:rsidRDefault="00F50DD2" w:rsidP="00B02D2E">
      <w:pPr>
        <w:spacing w:after="0" w:line="240" w:lineRule="auto"/>
        <w:jc w:val="both"/>
        <w:rPr>
          <w:rFonts w:ascii="Arial" w:hAnsi="Arial" w:cs="Arial"/>
          <w:sz w:val="24"/>
          <w:szCs w:val="24"/>
        </w:rPr>
      </w:pPr>
      <w:r w:rsidRPr="009427D5">
        <w:rPr>
          <w:rFonts w:ascii="Arial" w:hAnsi="Arial" w:cs="Arial"/>
          <w:sz w:val="24"/>
          <w:szCs w:val="24"/>
        </w:rPr>
        <w:t xml:space="preserve">Así mismo, el grupo auditor sostuvo reuniones con funcionarios del Ministerio de Justicia y del Derecho </w:t>
      </w:r>
      <w:r w:rsidRPr="009427D5">
        <w:rPr>
          <w:rFonts w:ascii="Arial" w:hAnsi="Arial" w:cs="Arial"/>
          <w:color w:val="000000" w:themeColor="text1"/>
          <w:sz w:val="24"/>
          <w:szCs w:val="24"/>
        </w:rPr>
        <w:t>(</w:t>
      </w:r>
      <w:r w:rsidR="005A666E" w:rsidRPr="009427D5">
        <w:rPr>
          <w:rFonts w:ascii="Arial" w:hAnsi="Arial" w:cs="Arial"/>
          <w:color w:val="000000" w:themeColor="text1"/>
          <w:sz w:val="24"/>
          <w:szCs w:val="24"/>
        </w:rPr>
        <w:t>Dirección de Justicia Formal y Jurisdiccional)</w:t>
      </w:r>
      <w:r w:rsidRPr="009427D5">
        <w:rPr>
          <w:rFonts w:ascii="Arial" w:hAnsi="Arial" w:cs="Arial"/>
          <w:color w:val="000000" w:themeColor="text1"/>
          <w:sz w:val="24"/>
          <w:szCs w:val="24"/>
        </w:rPr>
        <w:t xml:space="preserve"> y del Departamento Nacional de Planeación (</w:t>
      </w:r>
      <w:r w:rsidR="005A666E" w:rsidRPr="009427D5">
        <w:rPr>
          <w:rFonts w:ascii="Arial" w:hAnsi="Arial" w:cs="Arial"/>
          <w:color w:val="000000" w:themeColor="text1"/>
          <w:sz w:val="24"/>
          <w:szCs w:val="24"/>
        </w:rPr>
        <w:t>Dirección de Justicia, Seguridad y Gobierno y Dirección de Seguimiento y Evaluación de Políticas Públicas</w:t>
      </w:r>
      <w:r w:rsidRPr="009427D5">
        <w:rPr>
          <w:rFonts w:ascii="Arial" w:hAnsi="Arial" w:cs="Arial"/>
          <w:color w:val="000000" w:themeColor="text1"/>
          <w:sz w:val="24"/>
          <w:szCs w:val="24"/>
        </w:rPr>
        <w:t xml:space="preserve">), </w:t>
      </w:r>
      <w:r w:rsidRPr="009427D5">
        <w:rPr>
          <w:rFonts w:ascii="Arial" w:hAnsi="Arial" w:cs="Arial"/>
          <w:sz w:val="24"/>
          <w:szCs w:val="24"/>
        </w:rPr>
        <w:t>quienes manifestaron que el responsable de generar y reportar dichas cifras es la Rama Judicial, dada su autonomía e independencia. Por otra parte, no tenían explicación sobre las diferencias entre la meta y la l</w:t>
      </w:r>
      <w:r w:rsidR="00094AEB" w:rsidRPr="009427D5">
        <w:rPr>
          <w:rFonts w:ascii="Arial" w:hAnsi="Arial" w:cs="Arial"/>
          <w:sz w:val="24"/>
          <w:szCs w:val="24"/>
        </w:rPr>
        <w:t xml:space="preserve">ínea base, </w:t>
      </w:r>
      <w:r w:rsidRPr="009427D5">
        <w:rPr>
          <w:rFonts w:ascii="Arial" w:hAnsi="Arial" w:cs="Arial"/>
          <w:sz w:val="24"/>
          <w:szCs w:val="24"/>
        </w:rPr>
        <w:t>registradas en SINERGIA y en el documento Bases del Plan de Desarrollo.</w:t>
      </w:r>
    </w:p>
    <w:p w:rsidR="00F50DD2" w:rsidRPr="009427D5" w:rsidRDefault="00F50DD2" w:rsidP="00B02D2E">
      <w:pPr>
        <w:spacing w:after="0" w:line="240" w:lineRule="auto"/>
        <w:jc w:val="both"/>
        <w:rPr>
          <w:rFonts w:ascii="Arial" w:hAnsi="Arial" w:cs="Arial"/>
          <w:sz w:val="24"/>
          <w:szCs w:val="24"/>
        </w:rPr>
      </w:pPr>
    </w:p>
    <w:p w:rsidR="00B02D2E" w:rsidRPr="009427D5" w:rsidRDefault="00B02D2E" w:rsidP="00B02D2E">
      <w:pPr>
        <w:spacing w:after="0" w:line="240" w:lineRule="auto"/>
        <w:jc w:val="both"/>
        <w:rPr>
          <w:rFonts w:ascii="Arial" w:hAnsi="Arial" w:cs="Arial"/>
          <w:sz w:val="24"/>
          <w:szCs w:val="24"/>
        </w:rPr>
      </w:pPr>
      <w:r w:rsidRPr="009427D5">
        <w:rPr>
          <w:rFonts w:ascii="Arial" w:hAnsi="Arial" w:cs="Arial"/>
          <w:sz w:val="24"/>
          <w:szCs w:val="24"/>
        </w:rPr>
        <w:t>Los anteriores hechos demuestran el desconocimiento de la diferencia entre ambas cifras y cuestiona la confiabilidad de las mismas, puesto que el verdadero avance de la meta, es decir el obtenido a partir de las cifras reportadas en las Bases del Plan, es menor al que aparece oficialmente publicado en SINERGIA. Así mismo genera dudas sobre el proceso de planeación empleado para determinar tanto la línea base como la meta establecida.</w:t>
      </w:r>
    </w:p>
    <w:p w:rsidR="003A68DB" w:rsidRDefault="003A68DB" w:rsidP="001C4211">
      <w:pPr>
        <w:spacing w:line="240" w:lineRule="auto"/>
        <w:jc w:val="both"/>
        <w:rPr>
          <w:rFonts w:ascii="Arial" w:hAnsi="Arial" w:cs="Arial"/>
          <w:i/>
          <w:sz w:val="24"/>
          <w:szCs w:val="24"/>
        </w:rPr>
      </w:pPr>
    </w:p>
    <w:p w:rsidR="001C4211" w:rsidRPr="009427D5" w:rsidRDefault="00483051" w:rsidP="001C4211">
      <w:pPr>
        <w:spacing w:line="240" w:lineRule="auto"/>
        <w:jc w:val="both"/>
        <w:rPr>
          <w:rFonts w:ascii="Arial" w:hAnsi="Arial" w:cs="Arial"/>
          <w:i/>
          <w:sz w:val="24"/>
          <w:szCs w:val="24"/>
        </w:rPr>
      </w:pPr>
      <w:r w:rsidRPr="009427D5">
        <w:rPr>
          <w:rFonts w:ascii="Arial" w:hAnsi="Arial" w:cs="Arial"/>
          <w:i/>
          <w:sz w:val="24"/>
          <w:szCs w:val="24"/>
        </w:rPr>
        <w:t xml:space="preserve">2.2.1.2.  </w:t>
      </w:r>
      <w:r w:rsidR="001C4211" w:rsidRPr="009427D5">
        <w:rPr>
          <w:rFonts w:ascii="Arial" w:hAnsi="Arial" w:cs="Arial"/>
          <w:i/>
          <w:sz w:val="24"/>
          <w:szCs w:val="24"/>
        </w:rPr>
        <w:t>Batería de Indicadores</w:t>
      </w:r>
    </w:p>
    <w:p w:rsidR="001C4211" w:rsidRPr="009427D5" w:rsidRDefault="001C4211" w:rsidP="001C4211">
      <w:pPr>
        <w:spacing w:line="240" w:lineRule="auto"/>
        <w:jc w:val="both"/>
        <w:rPr>
          <w:rFonts w:ascii="Arial" w:hAnsi="Arial" w:cs="Arial"/>
          <w:sz w:val="24"/>
          <w:szCs w:val="24"/>
        </w:rPr>
      </w:pPr>
      <w:r w:rsidRPr="009427D5">
        <w:rPr>
          <w:rFonts w:ascii="Arial" w:hAnsi="Arial" w:cs="Arial"/>
          <w:sz w:val="24"/>
          <w:szCs w:val="24"/>
        </w:rPr>
        <w:t>El equipo auditor diseñ</w:t>
      </w:r>
      <w:r w:rsidR="00C339D5" w:rsidRPr="009427D5">
        <w:rPr>
          <w:rFonts w:ascii="Arial" w:hAnsi="Arial" w:cs="Arial"/>
          <w:sz w:val="24"/>
          <w:szCs w:val="24"/>
        </w:rPr>
        <w:t>ó</w:t>
      </w:r>
      <w:r w:rsidRPr="009427D5">
        <w:rPr>
          <w:rFonts w:ascii="Arial" w:hAnsi="Arial" w:cs="Arial"/>
          <w:sz w:val="24"/>
          <w:szCs w:val="24"/>
        </w:rPr>
        <w:t xml:space="preserve"> un indicador para evaluar la eficacia y eficiencia de la política pública de justicia formal, descongestión y oralidad durante las vigencias 2010-2013, denominado como relación descongestión judicial - costos (RDJC), el cual muestra la </w:t>
      </w:r>
      <w:r w:rsidR="005836F2" w:rsidRPr="009427D5">
        <w:rPr>
          <w:rFonts w:ascii="Arial" w:hAnsi="Arial" w:cs="Arial"/>
          <w:sz w:val="24"/>
          <w:szCs w:val="24"/>
        </w:rPr>
        <w:t xml:space="preserve">correspondencia </w:t>
      </w:r>
      <w:r w:rsidRPr="009427D5">
        <w:rPr>
          <w:rFonts w:ascii="Arial" w:hAnsi="Arial" w:cs="Arial"/>
          <w:sz w:val="24"/>
          <w:szCs w:val="24"/>
        </w:rPr>
        <w:t xml:space="preserve">observada entre: a) el cumplimiento de las metas </w:t>
      </w:r>
      <w:r w:rsidRPr="009427D5">
        <w:rPr>
          <w:rFonts w:ascii="Arial" w:hAnsi="Arial" w:cs="Arial"/>
          <w:sz w:val="24"/>
          <w:szCs w:val="24"/>
        </w:rPr>
        <w:lastRenderedPageBreak/>
        <w:t>establecidas en las Bases del Plan Nacional de Desarrollo (PND) 2010-2014, en materia de disminución en los inventarios finales de procesos judiciales y b) el porcentaje de ejecución presupuestal de la Rama Judicial</w:t>
      </w:r>
      <w:r w:rsidRPr="009427D5">
        <w:rPr>
          <w:rStyle w:val="Refdenotaalpie"/>
          <w:rFonts w:ascii="Arial" w:hAnsi="Arial" w:cs="Arial"/>
          <w:sz w:val="24"/>
          <w:szCs w:val="24"/>
        </w:rPr>
        <w:footnoteReference w:id="9"/>
      </w:r>
      <w:r w:rsidRPr="009427D5">
        <w:rPr>
          <w:rFonts w:ascii="Arial" w:hAnsi="Arial" w:cs="Arial"/>
          <w:sz w:val="24"/>
          <w:szCs w:val="24"/>
        </w:rPr>
        <w:t>.</w:t>
      </w:r>
    </w:p>
    <w:p w:rsidR="001C4211" w:rsidRPr="009427D5" w:rsidRDefault="001C4211" w:rsidP="00DF0432">
      <w:pPr>
        <w:spacing w:after="0" w:line="240" w:lineRule="auto"/>
        <w:jc w:val="both"/>
        <w:rPr>
          <w:rFonts w:ascii="Arial" w:hAnsi="Arial" w:cs="Arial"/>
          <w:sz w:val="24"/>
          <w:szCs w:val="24"/>
        </w:rPr>
      </w:pPr>
      <w:r w:rsidRPr="009427D5">
        <w:rPr>
          <w:rFonts w:ascii="Arial" w:hAnsi="Arial" w:cs="Arial"/>
          <w:sz w:val="24"/>
          <w:szCs w:val="24"/>
        </w:rPr>
        <w:t>De acuerdo con la información reportada por la Entidad, el indicador RDJC mostró el siguiente comportamiento durante el periodo revisado.</w:t>
      </w:r>
    </w:p>
    <w:p w:rsidR="00DF0432" w:rsidRDefault="00DF0432" w:rsidP="00DF0432">
      <w:pPr>
        <w:spacing w:after="0" w:line="240" w:lineRule="auto"/>
        <w:jc w:val="both"/>
        <w:rPr>
          <w:rFonts w:ascii="Arial" w:hAnsi="Arial" w:cs="Arial"/>
          <w:sz w:val="24"/>
          <w:szCs w:val="24"/>
        </w:rPr>
      </w:pPr>
    </w:p>
    <w:p w:rsidR="001C4211" w:rsidRPr="0036031F" w:rsidRDefault="001C4211" w:rsidP="00DF0432">
      <w:pPr>
        <w:spacing w:after="0" w:line="240" w:lineRule="auto"/>
        <w:jc w:val="center"/>
        <w:rPr>
          <w:rFonts w:ascii="Arial" w:hAnsi="Arial" w:cs="Arial"/>
          <w:b/>
          <w:sz w:val="16"/>
          <w:szCs w:val="16"/>
        </w:rPr>
      </w:pPr>
      <w:r w:rsidRPr="0036031F">
        <w:rPr>
          <w:rFonts w:ascii="Arial" w:hAnsi="Arial" w:cs="Arial"/>
          <w:b/>
          <w:sz w:val="16"/>
          <w:szCs w:val="16"/>
        </w:rPr>
        <w:t xml:space="preserve">Tabla </w:t>
      </w:r>
      <w:r w:rsidR="00DF0432" w:rsidRPr="0036031F">
        <w:rPr>
          <w:rFonts w:ascii="Arial" w:hAnsi="Arial" w:cs="Arial"/>
          <w:b/>
          <w:sz w:val="16"/>
          <w:szCs w:val="16"/>
        </w:rPr>
        <w:t xml:space="preserve">No. </w:t>
      </w:r>
      <w:r w:rsidR="00B36FC8" w:rsidRPr="0036031F">
        <w:rPr>
          <w:rFonts w:ascii="Arial" w:hAnsi="Arial" w:cs="Arial"/>
          <w:b/>
          <w:sz w:val="16"/>
          <w:szCs w:val="16"/>
        </w:rPr>
        <w:t>7</w:t>
      </w:r>
      <w:r w:rsidR="00DF0432" w:rsidRPr="0036031F">
        <w:rPr>
          <w:rFonts w:ascii="Arial" w:hAnsi="Arial" w:cs="Arial"/>
          <w:b/>
          <w:sz w:val="16"/>
          <w:szCs w:val="16"/>
        </w:rPr>
        <w:t xml:space="preserve">. </w:t>
      </w:r>
      <w:r w:rsidRPr="0036031F">
        <w:rPr>
          <w:rFonts w:ascii="Arial" w:hAnsi="Arial" w:cs="Arial"/>
          <w:b/>
          <w:sz w:val="16"/>
          <w:szCs w:val="16"/>
        </w:rPr>
        <w:t xml:space="preserve"> Indicador Descongestión Judicial - Costos. 2011-2013</w:t>
      </w:r>
    </w:p>
    <w:tbl>
      <w:tblPr>
        <w:tblW w:w="8600" w:type="dxa"/>
        <w:jc w:val="center"/>
        <w:tblCellMar>
          <w:left w:w="70" w:type="dxa"/>
          <w:right w:w="70" w:type="dxa"/>
        </w:tblCellMar>
        <w:tblLook w:val="04A0" w:firstRow="1" w:lastRow="0" w:firstColumn="1" w:lastColumn="0" w:noHBand="0" w:noVBand="1"/>
      </w:tblPr>
      <w:tblGrid>
        <w:gridCol w:w="3740"/>
        <w:gridCol w:w="1260"/>
        <w:gridCol w:w="1200"/>
        <w:gridCol w:w="1200"/>
        <w:gridCol w:w="1200"/>
      </w:tblGrid>
      <w:tr w:rsidR="001C4211" w:rsidRPr="0036031F" w:rsidTr="00CF1D78">
        <w:trPr>
          <w:trHeight w:val="600"/>
          <w:jc w:val="center"/>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211" w:rsidRPr="0036031F" w:rsidRDefault="001C4211" w:rsidP="00CF1D78">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1C4211" w:rsidRPr="0036031F" w:rsidRDefault="001C4211" w:rsidP="00CF1D78">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2011</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1C4211" w:rsidRPr="0036031F" w:rsidRDefault="001C4211" w:rsidP="00CF1D78">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2012</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1C4211" w:rsidRPr="0036031F" w:rsidRDefault="001C4211" w:rsidP="00CF1D78">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2013</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1C4211" w:rsidRPr="0036031F" w:rsidRDefault="001C4211" w:rsidP="00CF1D78">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2011-2013</w:t>
            </w:r>
          </w:p>
        </w:tc>
      </w:tr>
      <w:tr w:rsidR="001C4211" w:rsidRPr="0036031F" w:rsidTr="0036031F">
        <w:trPr>
          <w:trHeight w:val="432"/>
          <w:jc w:val="center"/>
        </w:trPr>
        <w:tc>
          <w:tcPr>
            <w:tcW w:w="3740" w:type="dxa"/>
            <w:tcBorders>
              <w:top w:val="nil"/>
              <w:left w:val="single" w:sz="4" w:space="0" w:color="auto"/>
              <w:bottom w:val="single" w:sz="4" w:space="0" w:color="auto"/>
              <w:right w:val="single" w:sz="4" w:space="0" w:color="auto"/>
            </w:tcBorders>
            <w:shd w:val="clear" w:color="auto" w:fill="auto"/>
            <w:vAlign w:val="center"/>
            <w:hideMark/>
          </w:tcPr>
          <w:p w:rsidR="001C4211" w:rsidRPr="0036031F" w:rsidRDefault="001C4211" w:rsidP="00CF1D78">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1. Resultado Disminución Inventarios de Procesos Judiciales</w:t>
            </w:r>
          </w:p>
        </w:tc>
        <w:tc>
          <w:tcPr>
            <w:tcW w:w="1260" w:type="dxa"/>
            <w:tcBorders>
              <w:top w:val="nil"/>
              <w:left w:val="nil"/>
              <w:bottom w:val="single" w:sz="4" w:space="0" w:color="auto"/>
              <w:right w:val="single" w:sz="4" w:space="0" w:color="auto"/>
            </w:tcBorders>
            <w:shd w:val="clear" w:color="auto" w:fill="auto"/>
            <w:noWrap/>
            <w:vAlign w:val="center"/>
            <w:hideMark/>
          </w:tcPr>
          <w:p w:rsidR="001C4211" w:rsidRPr="0036031F" w:rsidRDefault="001C4211" w:rsidP="00CF1D78">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164.178</w:t>
            </w:r>
          </w:p>
        </w:tc>
        <w:tc>
          <w:tcPr>
            <w:tcW w:w="1200" w:type="dxa"/>
            <w:tcBorders>
              <w:top w:val="nil"/>
              <w:left w:val="nil"/>
              <w:bottom w:val="single" w:sz="4" w:space="0" w:color="auto"/>
              <w:right w:val="single" w:sz="4" w:space="0" w:color="auto"/>
            </w:tcBorders>
            <w:shd w:val="clear" w:color="auto" w:fill="auto"/>
            <w:noWrap/>
            <w:vAlign w:val="center"/>
            <w:hideMark/>
          </w:tcPr>
          <w:p w:rsidR="001C4211" w:rsidRPr="0036031F" w:rsidRDefault="001C4211" w:rsidP="00CF1D78">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182.342</w:t>
            </w:r>
          </w:p>
        </w:tc>
        <w:tc>
          <w:tcPr>
            <w:tcW w:w="1200" w:type="dxa"/>
            <w:tcBorders>
              <w:top w:val="nil"/>
              <w:left w:val="nil"/>
              <w:bottom w:val="single" w:sz="4" w:space="0" w:color="auto"/>
              <w:right w:val="single" w:sz="4" w:space="0" w:color="auto"/>
            </w:tcBorders>
            <w:shd w:val="clear" w:color="auto" w:fill="auto"/>
            <w:noWrap/>
            <w:vAlign w:val="center"/>
            <w:hideMark/>
          </w:tcPr>
          <w:p w:rsidR="001C4211" w:rsidRPr="0036031F" w:rsidRDefault="001C4211" w:rsidP="00CF1D78">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377.414</w:t>
            </w:r>
          </w:p>
        </w:tc>
        <w:tc>
          <w:tcPr>
            <w:tcW w:w="1200" w:type="dxa"/>
            <w:tcBorders>
              <w:top w:val="nil"/>
              <w:left w:val="nil"/>
              <w:bottom w:val="single" w:sz="4" w:space="0" w:color="auto"/>
              <w:right w:val="single" w:sz="4" w:space="0" w:color="auto"/>
            </w:tcBorders>
            <w:shd w:val="clear" w:color="auto" w:fill="auto"/>
            <w:noWrap/>
            <w:vAlign w:val="center"/>
            <w:hideMark/>
          </w:tcPr>
          <w:p w:rsidR="001C4211" w:rsidRPr="0036031F" w:rsidRDefault="001C4211" w:rsidP="00CF1D78">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723.934</w:t>
            </w:r>
          </w:p>
        </w:tc>
      </w:tr>
      <w:tr w:rsidR="001C4211" w:rsidRPr="0036031F" w:rsidTr="0036031F">
        <w:trPr>
          <w:trHeight w:val="424"/>
          <w:jc w:val="center"/>
        </w:trPr>
        <w:tc>
          <w:tcPr>
            <w:tcW w:w="3740" w:type="dxa"/>
            <w:tcBorders>
              <w:top w:val="nil"/>
              <w:left w:val="single" w:sz="4" w:space="0" w:color="auto"/>
              <w:bottom w:val="single" w:sz="4" w:space="0" w:color="auto"/>
              <w:right w:val="single" w:sz="4" w:space="0" w:color="auto"/>
            </w:tcBorders>
            <w:shd w:val="clear" w:color="auto" w:fill="auto"/>
            <w:vAlign w:val="center"/>
            <w:hideMark/>
          </w:tcPr>
          <w:p w:rsidR="001C4211" w:rsidRPr="0036031F" w:rsidRDefault="001C4211" w:rsidP="00CF1D78">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2. Meta Disminución Inventarios de Procesos Judiciales</w:t>
            </w:r>
          </w:p>
        </w:tc>
        <w:tc>
          <w:tcPr>
            <w:tcW w:w="1260" w:type="dxa"/>
            <w:tcBorders>
              <w:top w:val="nil"/>
              <w:left w:val="nil"/>
              <w:bottom w:val="single" w:sz="4" w:space="0" w:color="auto"/>
              <w:right w:val="single" w:sz="4" w:space="0" w:color="auto"/>
            </w:tcBorders>
            <w:shd w:val="clear" w:color="auto" w:fill="auto"/>
            <w:noWrap/>
            <w:vAlign w:val="center"/>
            <w:hideMark/>
          </w:tcPr>
          <w:p w:rsidR="001C4211" w:rsidRPr="0036031F" w:rsidRDefault="001C4211" w:rsidP="00CF1D78">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275.000</w:t>
            </w:r>
          </w:p>
        </w:tc>
        <w:tc>
          <w:tcPr>
            <w:tcW w:w="1200" w:type="dxa"/>
            <w:tcBorders>
              <w:top w:val="nil"/>
              <w:left w:val="nil"/>
              <w:bottom w:val="single" w:sz="4" w:space="0" w:color="auto"/>
              <w:right w:val="single" w:sz="4" w:space="0" w:color="auto"/>
            </w:tcBorders>
            <w:shd w:val="clear" w:color="auto" w:fill="auto"/>
            <w:noWrap/>
            <w:vAlign w:val="center"/>
            <w:hideMark/>
          </w:tcPr>
          <w:p w:rsidR="001C4211" w:rsidRPr="0036031F" w:rsidRDefault="001C4211" w:rsidP="00CF1D78">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275.000</w:t>
            </w:r>
          </w:p>
        </w:tc>
        <w:tc>
          <w:tcPr>
            <w:tcW w:w="1200" w:type="dxa"/>
            <w:tcBorders>
              <w:top w:val="nil"/>
              <w:left w:val="nil"/>
              <w:bottom w:val="single" w:sz="4" w:space="0" w:color="auto"/>
              <w:right w:val="single" w:sz="4" w:space="0" w:color="auto"/>
            </w:tcBorders>
            <w:shd w:val="clear" w:color="auto" w:fill="auto"/>
            <w:noWrap/>
            <w:vAlign w:val="center"/>
            <w:hideMark/>
          </w:tcPr>
          <w:p w:rsidR="001C4211" w:rsidRPr="0036031F" w:rsidRDefault="001C4211" w:rsidP="00CF1D78">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275.000</w:t>
            </w:r>
          </w:p>
        </w:tc>
        <w:tc>
          <w:tcPr>
            <w:tcW w:w="1200" w:type="dxa"/>
            <w:tcBorders>
              <w:top w:val="nil"/>
              <w:left w:val="nil"/>
              <w:bottom w:val="single" w:sz="4" w:space="0" w:color="auto"/>
              <w:right w:val="single" w:sz="4" w:space="0" w:color="auto"/>
            </w:tcBorders>
            <w:shd w:val="clear" w:color="auto" w:fill="auto"/>
            <w:noWrap/>
            <w:vAlign w:val="center"/>
            <w:hideMark/>
          </w:tcPr>
          <w:p w:rsidR="001C4211" w:rsidRPr="0036031F" w:rsidRDefault="001C4211" w:rsidP="00CF1D78">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825.000</w:t>
            </w:r>
          </w:p>
        </w:tc>
      </w:tr>
      <w:tr w:rsidR="001C4211" w:rsidRPr="0036031F" w:rsidTr="0036031F">
        <w:trPr>
          <w:trHeight w:val="259"/>
          <w:jc w:val="center"/>
        </w:trPr>
        <w:tc>
          <w:tcPr>
            <w:tcW w:w="3740" w:type="dxa"/>
            <w:tcBorders>
              <w:top w:val="nil"/>
              <w:left w:val="single" w:sz="4" w:space="0" w:color="auto"/>
              <w:bottom w:val="single" w:sz="4" w:space="0" w:color="auto"/>
              <w:right w:val="single" w:sz="4" w:space="0" w:color="auto"/>
            </w:tcBorders>
            <w:shd w:val="clear" w:color="auto" w:fill="auto"/>
            <w:vAlign w:val="center"/>
            <w:hideMark/>
          </w:tcPr>
          <w:p w:rsidR="001C4211" w:rsidRPr="0036031F" w:rsidRDefault="001C4211" w:rsidP="00CF1D78">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A = 1 / 2</w:t>
            </w:r>
          </w:p>
        </w:tc>
        <w:tc>
          <w:tcPr>
            <w:tcW w:w="1260" w:type="dxa"/>
            <w:tcBorders>
              <w:top w:val="nil"/>
              <w:left w:val="nil"/>
              <w:bottom w:val="single" w:sz="4" w:space="0" w:color="auto"/>
              <w:right w:val="single" w:sz="4" w:space="0" w:color="auto"/>
            </w:tcBorders>
            <w:shd w:val="clear" w:color="auto" w:fill="auto"/>
            <w:noWrap/>
            <w:vAlign w:val="center"/>
            <w:hideMark/>
          </w:tcPr>
          <w:p w:rsidR="001C4211" w:rsidRPr="0036031F" w:rsidRDefault="001C4211" w:rsidP="00CF1D78">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0,60</w:t>
            </w:r>
          </w:p>
        </w:tc>
        <w:tc>
          <w:tcPr>
            <w:tcW w:w="1200" w:type="dxa"/>
            <w:tcBorders>
              <w:top w:val="nil"/>
              <w:left w:val="nil"/>
              <w:bottom w:val="single" w:sz="4" w:space="0" w:color="auto"/>
              <w:right w:val="single" w:sz="4" w:space="0" w:color="auto"/>
            </w:tcBorders>
            <w:shd w:val="clear" w:color="auto" w:fill="auto"/>
            <w:noWrap/>
            <w:vAlign w:val="center"/>
            <w:hideMark/>
          </w:tcPr>
          <w:p w:rsidR="001C4211" w:rsidRPr="0036031F" w:rsidRDefault="001C4211" w:rsidP="00CF1D78">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0,66</w:t>
            </w:r>
          </w:p>
        </w:tc>
        <w:tc>
          <w:tcPr>
            <w:tcW w:w="1200" w:type="dxa"/>
            <w:tcBorders>
              <w:top w:val="nil"/>
              <w:left w:val="nil"/>
              <w:bottom w:val="single" w:sz="4" w:space="0" w:color="auto"/>
              <w:right w:val="single" w:sz="4" w:space="0" w:color="auto"/>
            </w:tcBorders>
            <w:shd w:val="clear" w:color="auto" w:fill="auto"/>
            <w:noWrap/>
            <w:vAlign w:val="center"/>
            <w:hideMark/>
          </w:tcPr>
          <w:p w:rsidR="001C4211" w:rsidRPr="0036031F" w:rsidRDefault="001C4211" w:rsidP="00CF1D78">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1,37</w:t>
            </w:r>
          </w:p>
        </w:tc>
        <w:tc>
          <w:tcPr>
            <w:tcW w:w="1200" w:type="dxa"/>
            <w:tcBorders>
              <w:top w:val="nil"/>
              <w:left w:val="nil"/>
              <w:bottom w:val="single" w:sz="4" w:space="0" w:color="auto"/>
              <w:right w:val="single" w:sz="4" w:space="0" w:color="auto"/>
            </w:tcBorders>
            <w:shd w:val="clear" w:color="auto" w:fill="auto"/>
            <w:noWrap/>
            <w:vAlign w:val="center"/>
            <w:hideMark/>
          </w:tcPr>
          <w:p w:rsidR="001C4211" w:rsidRPr="0036031F" w:rsidRDefault="001C4211" w:rsidP="00CF1D78">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0,88</w:t>
            </w:r>
          </w:p>
        </w:tc>
      </w:tr>
      <w:tr w:rsidR="001C4211" w:rsidRPr="0036031F" w:rsidTr="0036031F">
        <w:trPr>
          <w:trHeight w:val="574"/>
          <w:jc w:val="center"/>
        </w:trPr>
        <w:tc>
          <w:tcPr>
            <w:tcW w:w="3740" w:type="dxa"/>
            <w:tcBorders>
              <w:top w:val="nil"/>
              <w:left w:val="single" w:sz="4" w:space="0" w:color="auto"/>
              <w:bottom w:val="single" w:sz="4" w:space="0" w:color="auto"/>
              <w:right w:val="single" w:sz="4" w:space="0" w:color="auto"/>
            </w:tcBorders>
            <w:shd w:val="clear" w:color="auto" w:fill="auto"/>
            <w:vAlign w:val="center"/>
            <w:hideMark/>
          </w:tcPr>
          <w:p w:rsidR="001C4211" w:rsidRPr="0036031F" w:rsidRDefault="001C4211" w:rsidP="00CF1D78">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3. Presupuesto Ejecutado Rama Judicial (Millones de $ 2013)</w:t>
            </w:r>
          </w:p>
        </w:tc>
        <w:tc>
          <w:tcPr>
            <w:tcW w:w="1260" w:type="dxa"/>
            <w:tcBorders>
              <w:top w:val="nil"/>
              <w:left w:val="nil"/>
              <w:bottom w:val="single" w:sz="4" w:space="0" w:color="auto"/>
              <w:right w:val="single" w:sz="4" w:space="0" w:color="auto"/>
            </w:tcBorders>
            <w:shd w:val="clear" w:color="auto" w:fill="auto"/>
            <w:noWrap/>
            <w:vAlign w:val="center"/>
            <w:hideMark/>
          </w:tcPr>
          <w:p w:rsidR="001C4211" w:rsidRPr="0036031F" w:rsidRDefault="001C4211" w:rsidP="00CF1D78">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2.130.424</w:t>
            </w:r>
          </w:p>
        </w:tc>
        <w:tc>
          <w:tcPr>
            <w:tcW w:w="1200" w:type="dxa"/>
            <w:tcBorders>
              <w:top w:val="nil"/>
              <w:left w:val="nil"/>
              <w:bottom w:val="single" w:sz="4" w:space="0" w:color="auto"/>
              <w:right w:val="single" w:sz="4" w:space="0" w:color="auto"/>
            </w:tcBorders>
            <w:shd w:val="clear" w:color="auto" w:fill="auto"/>
            <w:noWrap/>
            <w:vAlign w:val="center"/>
            <w:hideMark/>
          </w:tcPr>
          <w:p w:rsidR="001C4211" w:rsidRPr="0036031F" w:rsidRDefault="001C4211" w:rsidP="00CF1D78">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2.373.285</w:t>
            </w:r>
          </w:p>
        </w:tc>
        <w:tc>
          <w:tcPr>
            <w:tcW w:w="1200" w:type="dxa"/>
            <w:tcBorders>
              <w:top w:val="nil"/>
              <w:left w:val="nil"/>
              <w:bottom w:val="single" w:sz="4" w:space="0" w:color="auto"/>
              <w:right w:val="single" w:sz="4" w:space="0" w:color="auto"/>
            </w:tcBorders>
            <w:shd w:val="clear" w:color="auto" w:fill="auto"/>
            <w:noWrap/>
            <w:vAlign w:val="center"/>
            <w:hideMark/>
          </w:tcPr>
          <w:p w:rsidR="001C4211" w:rsidRPr="0036031F" w:rsidRDefault="001C4211" w:rsidP="00CF1D78">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2.773.108</w:t>
            </w:r>
          </w:p>
        </w:tc>
        <w:tc>
          <w:tcPr>
            <w:tcW w:w="1200" w:type="dxa"/>
            <w:tcBorders>
              <w:top w:val="nil"/>
              <w:left w:val="nil"/>
              <w:bottom w:val="single" w:sz="4" w:space="0" w:color="auto"/>
              <w:right w:val="single" w:sz="4" w:space="0" w:color="auto"/>
            </w:tcBorders>
            <w:shd w:val="clear" w:color="auto" w:fill="auto"/>
            <w:noWrap/>
            <w:vAlign w:val="center"/>
            <w:hideMark/>
          </w:tcPr>
          <w:p w:rsidR="001C4211" w:rsidRPr="0036031F" w:rsidRDefault="001C4211" w:rsidP="00CF1D78">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7.276.817</w:t>
            </w:r>
          </w:p>
        </w:tc>
      </w:tr>
      <w:tr w:rsidR="001C4211" w:rsidRPr="0036031F" w:rsidTr="004C6A58">
        <w:trPr>
          <w:trHeight w:val="600"/>
          <w:jc w:val="center"/>
        </w:trPr>
        <w:tc>
          <w:tcPr>
            <w:tcW w:w="3740" w:type="dxa"/>
            <w:tcBorders>
              <w:top w:val="nil"/>
              <w:left w:val="single" w:sz="4" w:space="0" w:color="auto"/>
              <w:bottom w:val="single" w:sz="4" w:space="0" w:color="auto"/>
              <w:right w:val="single" w:sz="4" w:space="0" w:color="auto"/>
            </w:tcBorders>
            <w:shd w:val="clear" w:color="auto" w:fill="auto"/>
            <w:vAlign w:val="center"/>
            <w:hideMark/>
          </w:tcPr>
          <w:p w:rsidR="001C4211" w:rsidRPr="0036031F" w:rsidRDefault="001C4211" w:rsidP="00CF1D78">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4. Presupuesto Apropiado Rama Judicial (Millones de $ 2013)</w:t>
            </w:r>
          </w:p>
        </w:tc>
        <w:tc>
          <w:tcPr>
            <w:tcW w:w="1260" w:type="dxa"/>
            <w:tcBorders>
              <w:top w:val="nil"/>
              <w:left w:val="nil"/>
              <w:bottom w:val="single" w:sz="4" w:space="0" w:color="auto"/>
              <w:right w:val="single" w:sz="4" w:space="0" w:color="auto"/>
            </w:tcBorders>
            <w:shd w:val="clear" w:color="auto" w:fill="auto"/>
            <w:noWrap/>
            <w:vAlign w:val="center"/>
            <w:hideMark/>
          </w:tcPr>
          <w:p w:rsidR="001C4211" w:rsidRPr="0036031F" w:rsidRDefault="001C4211" w:rsidP="00CF1D78">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2.195.753</w:t>
            </w:r>
          </w:p>
        </w:tc>
        <w:tc>
          <w:tcPr>
            <w:tcW w:w="1200" w:type="dxa"/>
            <w:tcBorders>
              <w:top w:val="nil"/>
              <w:left w:val="nil"/>
              <w:bottom w:val="single" w:sz="4" w:space="0" w:color="auto"/>
              <w:right w:val="single" w:sz="4" w:space="0" w:color="auto"/>
            </w:tcBorders>
            <w:shd w:val="clear" w:color="auto" w:fill="auto"/>
            <w:noWrap/>
            <w:vAlign w:val="center"/>
            <w:hideMark/>
          </w:tcPr>
          <w:p w:rsidR="001C4211" w:rsidRPr="0036031F" w:rsidRDefault="001C4211" w:rsidP="00CF1D78">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2.491.972</w:t>
            </w:r>
          </w:p>
        </w:tc>
        <w:tc>
          <w:tcPr>
            <w:tcW w:w="1200" w:type="dxa"/>
            <w:tcBorders>
              <w:top w:val="nil"/>
              <w:left w:val="nil"/>
              <w:bottom w:val="single" w:sz="4" w:space="0" w:color="auto"/>
              <w:right w:val="single" w:sz="4" w:space="0" w:color="auto"/>
            </w:tcBorders>
            <w:shd w:val="clear" w:color="auto" w:fill="auto"/>
            <w:noWrap/>
            <w:vAlign w:val="center"/>
            <w:hideMark/>
          </w:tcPr>
          <w:p w:rsidR="001C4211" w:rsidRPr="0036031F" w:rsidRDefault="001C4211" w:rsidP="00CF1D78">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2.831.761</w:t>
            </w:r>
          </w:p>
        </w:tc>
        <w:tc>
          <w:tcPr>
            <w:tcW w:w="1200" w:type="dxa"/>
            <w:tcBorders>
              <w:top w:val="nil"/>
              <w:left w:val="nil"/>
              <w:bottom w:val="single" w:sz="4" w:space="0" w:color="auto"/>
              <w:right w:val="single" w:sz="4" w:space="0" w:color="auto"/>
            </w:tcBorders>
            <w:shd w:val="clear" w:color="auto" w:fill="auto"/>
            <w:noWrap/>
            <w:vAlign w:val="center"/>
            <w:hideMark/>
          </w:tcPr>
          <w:p w:rsidR="001C4211" w:rsidRPr="0036031F" w:rsidRDefault="001C4211" w:rsidP="00CF1D78">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7.519.486</w:t>
            </w:r>
          </w:p>
        </w:tc>
      </w:tr>
      <w:tr w:rsidR="001C4211" w:rsidRPr="0036031F" w:rsidTr="004C6A58">
        <w:trPr>
          <w:trHeight w:val="378"/>
          <w:jc w:val="center"/>
        </w:trPr>
        <w:tc>
          <w:tcPr>
            <w:tcW w:w="3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4211" w:rsidRPr="0036031F" w:rsidRDefault="001C4211" w:rsidP="00CF1D78">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B = 3 / 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211" w:rsidRPr="0036031F" w:rsidRDefault="001C4211" w:rsidP="00CF1D78">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0,97</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211" w:rsidRPr="0036031F" w:rsidRDefault="001C4211" w:rsidP="00CF1D78">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0,95</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211" w:rsidRPr="0036031F" w:rsidRDefault="001C4211" w:rsidP="00CF1D78">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0,98</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211" w:rsidRPr="0036031F" w:rsidRDefault="001C4211" w:rsidP="00CF1D78">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0,97</w:t>
            </w:r>
          </w:p>
        </w:tc>
      </w:tr>
      <w:tr w:rsidR="001C4211" w:rsidRPr="0036031F" w:rsidTr="004C6A58">
        <w:trPr>
          <w:trHeight w:val="600"/>
          <w:jc w:val="center"/>
        </w:trPr>
        <w:tc>
          <w:tcPr>
            <w:tcW w:w="3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4211" w:rsidRPr="0036031F" w:rsidRDefault="001C4211" w:rsidP="00CF1D78">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Indicador RDJC = A / B</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211" w:rsidRPr="0036031F" w:rsidRDefault="001C4211" w:rsidP="00CF1D78">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0,62</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211" w:rsidRPr="0036031F" w:rsidRDefault="001C4211" w:rsidP="00CF1D78">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0,70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211" w:rsidRPr="0036031F" w:rsidRDefault="001C4211" w:rsidP="00CF1D78">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1,40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211" w:rsidRPr="0036031F" w:rsidRDefault="001C4211" w:rsidP="00CF1D78">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0,91</w:t>
            </w:r>
          </w:p>
        </w:tc>
      </w:tr>
    </w:tbl>
    <w:p w:rsidR="001C4211" w:rsidRPr="0036031F" w:rsidRDefault="001C4211" w:rsidP="001C4211">
      <w:pPr>
        <w:spacing w:line="240" w:lineRule="auto"/>
        <w:jc w:val="center"/>
        <w:rPr>
          <w:rFonts w:ascii="Arial" w:hAnsi="Arial" w:cs="Arial"/>
          <w:b/>
          <w:sz w:val="16"/>
          <w:szCs w:val="16"/>
        </w:rPr>
      </w:pPr>
      <w:r w:rsidRPr="0036031F">
        <w:rPr>
          <w:rFonts w:ascii="Arial" w:hAnsi="Arial" w:cs="Arial"/>
          <w:b/>
          <w:sz w:val="16"/>
          <w:szCs w:val="16"/>
        </w:rPr>
        <w:t>Fuente: Cálculos CGR DES-DJS con base a información del Consejo Superior de la Judicatura y Departamento Nacional de Planeación. Fecha de Corte: Abril de 2014</w:t>
      </w:r>
    </w:p>
    <w:p w:rsidR="001C4211" w:rsidRPr="009427D5" w:rsidRDefault="001C4211" w:rsidP="001C4211">
      <w:pPr>
        <w:spacing w:line="240" w:lineRule="auto"/>
        <w:jc w:val="both"/>
        <w:rPr>
          <w:rFonts w:ascii="Arial" w:hAnsi="Arial" w:cs="Arial"/>
          <w:sz w:val="24"/>
          <w:szCs w:val="24"/>
        </w:rPr>
      </w:pPr>
      <w:r w:rsidRPr="009427D5">
        <w:rPr>
          <w:rFonts w:ascii="Arial" w:hAnsi="Arial" w:cs="Arial"/>
          <w:sz w:val="24"/>
          <w:szCs w:val="24"/>
        </w:rPr>
        <w:t>Se observa que el indicador alcanzó un valor de 0,91 en el periodo 2011-2013, lo cual señala un resultado levemente inferior al esperado</w:t>
      </w:r>
      <w:r w:rsidR="00A64563" w:rsidRPr="009427D5">
        <w:rPr>
          <w:rFonts w:ascii="Arial" w:hAnsi="Arial" w:cs="Arial"/>
          <w:sz w:val="24"/>
          <w:szCs w:val="24"/>
        </w:rPr>
        <w:t xml:space="preserve"> (mayor o igual a 1)</w:t>
      </w:r>
      <w:r w:rsidRPr="009427D5">
        <w:rPr>
          <w:rFonts w:ascii="Arial" w:hAnsi="Arial" w:cs="Arial"/>
          <w:sz w:val="24"/>
          <w:szCs w:val="24"/>
        </w:rPr>
        <w:t xml:space="preserve">, en términos de eficacia y eficiencia de la política pública. Lo anterior obedece a que la disminución en los inventarios finales de procesos judiciales registrada a Diciembre de 2013 fue de 723.934 procesos, es decir, </w:t>
      </w:r>
      <w:r w:rsidR="008C3BB9">
        <w:rPr>
          <w:rFonts w:ascii="Arial" w:hAnsi="Arial" w:cs="Arial"/>
          <w:sz w:val="24"/>
          <w:szCs w:val="24"/>
        </w:rPr>
        <w:t>88</w:t>
      </w:r>
      <w:r w:rsidRPr="009427D5">
        <w:rPr>
          <w:rFonts w:ascii="Arial" w:hAnsi="Arial" w:cs="Arial"/>
          <w:sz w:val="24"/>
          <w:szCs w:val="24"/>
        </w:rPr>
        <w:t>% de la meta establecida en las Bases del Plan Nacional de Desarrollo</w:t>
      </w:r>
      <w:r w:rsidR="005836F2" w:rsidRPr="009427D5">
        <w:rPr>
          <w:rFonts w:ascii="Arial" w:hAnsi="Arial" w:cs="Arial"/>
          <w:sz w:val="24"/>
          <w:szCs w:val="24"/>
        </w:rPr>
        <w:t xml:space="preserve"> para el mismo período</w:t>
      </w:r>
      <w:r w:rsidR="00D4484C" w:rsidRPr="009427D5">
        <w:rPr>
          <w:rFonts w:ascii="Arial" w:hAnsi="Arial" w:cs="Arial"/>
          <w:sz w:val="24"/>
          <w:szCs w:val="24"/>
        </w:rPr>
        <w:t xml:space="preserve"> (825.000 procesos)</w:t>
      </w:r>
      <w:r w:rsidRPr="009427D5">
        <w:rPr>
          <w:rFonts w:ascii="Arial" w:hAnsi="Arial" w:cs="Arial"/>
          <w:sz w:val="24"/>
          <w:szCs w:val="24"/>
        </w:rPr>
        <w:t>, mientras que se ejecutaron recursos presupuestales por valor de $7,27 billones (a precios de 2013), los cuales representan 97% de la apropiación final de la Rama Judicial.</w:t>
      </w:r>
    </w:p>
    <w:p w:rsidR="004514B6" w:rsidRPr="009427D5" w:rsidRDefault="001C4211" w:rsidP="004514B6">
      <w:pPr>
        <w:pStyle w:val="Textonotapie"/>
        <w:ind w:left="0" w:firstLine="0"/>
        <w:rPr>
          <w:sz w:val="24"/>
          <w:szCs w:val="24"/>
        </w:rPr>
      </w:pPr>
      <w:r w:rsidRPr="009427D5">
        <w:rPr>
          <w:sz w:val="24"/>
          <w:szCs w:val="24"/>
        </w:rPr>
        <w:t>No obstante, debe anotarse una evolución favorable en el comportamiento del indicador a lo largo de este periodo, pues pasó de 0,62 en 2010, a 0,7 en 2011 y finalmente, a 1,4 en 2013, hecho que responde al incremento significativo en el porcentaje de cumplimiento de la meta de disminución de inventarios</w:t>
      </w:r>
      <w:r w:rsidR="004514B6" w:rsidRPr="009427D5">
        <w:rPr>
          <w:sz w:val="24"/>
          <w:szCs w:val="24"/>
        </w:rPr>
        <w:t xml:space="preserve"> para este </w:t>
      </w:r>
      <w:r w:rsidR="004514B6" w:rsidRPr="009427D5">
        <w:rPr>
          <w:sz w:val="24"/>
          <w:szCs w:val="24"/>
        </w:rPr>
        <w:lastRenderedPageBreak/>
        <w:t>año</w:t>
      </w:r>
      <w:r w:rsidRPr="009427D5">
        <w:rPr>
          <w:sz w:val="24"/>
          <w:szCs w:val="24"/>
        </w:rPr>
        <w:t>, que llegó a 137%; así mismo, el porcentaje de ejecución presupuestal, mostró una cierta mejoría llegando a 98% en 2013.</w:t>
      </w:r>
      <w:r w:rsidR="004514B6" w:rsidRPr="009427D5">
        <w:rPr>
          <w:sz w:val="24"/>
          <w:szCs w:val="24"/>
        </w:rPr>
        <w:t xml:space="preserve"> </w:t>
      </w:r>
    </w:p>
    <w:p w:rsidR="00264235" w:rsidRDefault="00264235" w:rsidP="00E14006">
      <w:pPr>
        <w:pStyle w:val="Textonotapie"/>
        <w:ind w:left="0" w:firstLine="0"/>
        <w:rPr>
          <w:sz w:val="24"/>
          <w:szCs w:val="24"/>
        </w:rPr>
      </w:pPr>
    </w:p>
    <w:p w:rsidR="004514B6" w:rsidRPr="009427D5" w:rsidRDefault="004514B6" w:rsidP="00E14006">
      <w:pPr>
        <w:pStyle w:val="Textonotapie"/>
        <w:ind w:left="0" w:firstLine="0"/>
        <w:rPr>
          <w:sz w:val="24"/>
          <w:szCs w:val="24"/>
        </w:rPr>
      </w:pPr>
      <w:r w:rsidRPr="009427D5">
        <w:rPr>
          <w:sz w:val="24"/>
          <w:szCs w:val="24"/>
        </w:rPr>
        <w:t xml:space="preserve">Sin embargo, hay que señalar que dicha disminución en el inventario final de procesos judiciales, se da principalmente en los procesos sin trámite, es decir </w:t>
      </w:r>
      <w:r w:rsidR="00125140" w:rsidRPr="009427D5">
        <w:rPr>
          <w:sz w:val="24"/>
          <w:szCs w:val="24"/>
        </w:rPr>
        <w:t>aquellos que no habían sido objeto de actuaciones por parte de los jueces y magistrados (tanto en la vigencia actual como en  las anteriores)</w:t>
      </w:r>
      <w:r w:rsidRPr="009427D5">
        <w:rPr>
          <w:sz w:val="24"/>
          <w:szCs w:val="24"/>
        </w:rPr>
        <w:t xml:space="preserve">, </w:t>
      </w:r>
      <w:r w:rsidR="00125140" w:rsidRPr="009427D5">
        <w:rPr>
          <w:sz w:val="24"/>
          <w:szCs w:val="24"/>
        </w:rPr>
        <w:t>este inventario se r</w:t>
      </w:r>
      <w:r w:rsidRPr="009427D5">
        <w:rPr>
          <w:sz w:val="24"/>
          <w:szCs w:val="24"/>
        </w:rPr>
        <w:t>edujo en 769.867 procesos (-74%), entre 2011 y 2013</w:t>
      </w:r>
      <w:r w:rsidR="008902B7" w:rsidRPr="009427D5">
        <w:rPr>
          <w:sz w:val="24"/>
          <w:szCs w:val="24"/>
        </w:rPr>
        <w:t>. M</w:t>
      </w:r>
      <w:r w:rsidRPr="009427D5">
        <w:rPr>
          <w:sz w:val="24"/>
          <w:szCs w:val="24"/>
        </w:rPr>
        <w:t xml:space="preserve">ientras que </w:t>
      </w:r>
      <w:r w:rsidR="008902B7" w:rsidRPr="009427D5">
        <w:rPr>
          <w:sz w:val="24"/>
          <w:szCs w:val="24"/>
        </w:rPr>
        <w:t>el  inventario de l</w:t>
      </w:r>
      <w:r w:rsidRPr="009427D5">
        <w:rPr>
          <w:sz w:val="24"/>
          <w:szCs w:val="24"/>
        </w:rPr>
        <w:t>os procesos con</w:t>
      </w:r>
      <w:r w:rsidR="008902B7" w:rsidRPr="009427D5">
        <w:rPr>
          <w:sz w:val="24"/>
          <w:szCs w:val="24"/>
        </w:rPr>
        <w:t xml:space="preserve"> trámite se incrementó </w:t>
      </w:r>
      <w:r w:rsidRPr="009427D5">
        <w:rPr>
          <w:sz w:val="24"/>
          <w:szCs w:val="24"/>
        </w:rPr>
        <w:t>en 45.933 procesos (2,8%)</w:t>
      </w:r>
      <w:r w:rsidR="00125140" w:rsidRPr="009427D5">
        <w:rPr>
          <w:sz w:val="24"/>
          <w:szCs w:val="24"/>
        </w:rPr>
        <w:t xml:space="preserve">, </w:t>
      </w:r>
      <w:r w:rsidR="008902B7" w:rsidRPr="009427D5">
        <w:rPr>
          <w:sz w:val="24"/>
          <w:szCs w:val="24"/>
        </w:rPr>
        <w:t>durante este mismo período, esto último debido al menor crecimiento en los egresos efectivos en comparación con los ingresos.</w:t>
      </w:r>
      <w:r w:rsidR="00125140" w:rsidRPr="009427D5">
        <w:rPr>
          <w:sz w:val="24"/>
          <w:szCs w:val="24"/>
        </w:rPr>
        <w:t xml:space="preserve"> </w:t>
      </w:r>
    </w:p>
    <w:p w:rsidR="001C4211" w:rsidRPr="009427D5" w:rsidRDefault="008902B7" w:rsidP="00E14006">
      <w:pPr>
        <w:spacing w:after="0" w:line="240" w:lineRule="auto"/>
        <w:jc w:val="both"/>
        <w:rPr>
          <w:rFonts w:ascii="Arial" w:hAnsi="Arial" w:cs="Arial"/>
          <w:sz w:val="24"/>
          <w:szCs w:val="24"/>
        </w:rPr>
      </w:pPr>
      <w:r w:rsidRPr="009427D5">
        <w:rPr>
          <w:rFonts w:ascii="Arial" w:hAnsi="Arial" w:cs="Arial"/>
          <w:sz w:val="24"/>
          <w:szCs w:val="24"/>
        </w:rPr>
        <w:t>En el caso de los procesos sin trámite, la reducción en su inventario corresponde a la depuración de estos procesos, realizada al interior de los Despachos Judiciales. Esta medida resulta importante. Sin embargo, debe complementarse con un incremento en los egresos efectivos, que permita disminuir también el inventario de los procesos con trámite.</w:t>
      </w:r>
    </w:p>
    <w:p w:rsidR="00C339D5" w:rsidRPr="009427D5" w:rsidRDefault="00C339D5" w:rsidP="00056E9B">
      <w:pPr>
        <w:spacing w:after="0" w:line="240" w:lineRule="auto"/>
        <w:jc w:val="both"/>
        <w:rPr>
          <w:rFonts w:ascii="Arial" w:hAnsi="Arial" w:cs="Arial"/>
          <w:i/>
          <w:color w:val="FF0000"/>
          <w:sz w:val="24"/>
          <w:szCs w:val="24"/>
        </w:rPr>
      </w:pPr>
    </w:p>
    <w:p w:rsidR="0074228B" w:rsidRPr="009427D5" w:rsidRDefault="00483051" w:rsidP="00056E9B">
      <w:pPr>
        <w:autoSpaceDE w:val="0"/>
        <w:autoSpaceDN w:val="0"/>
        <w:adjustRightInd w:val="0"/>
        <w:spacing w:after="0" w:line="240" w:lineRule="auto"/>
        <w:jc w:val="both"/>
        <w:rPr>
          <w:rFonts w:ascii="Arial" w:hAnsi="Arial" w:cs="Arial"/>
          <w:i/>
          <w:color w:val="000000" w:themeColor="text1"/>
          <w:sz w:val="24"/>
          <w:szCs w:val="24"/>
        </w:rPr>
      </w:pPr>
      <w:r w:rsidRPr="009427D5">
        <w:rPr>
          <w:rFonts w:ascii="Arial" w:hAnsi="Arial" w:cs="Arial"/>
          <w:i/>
          <w:color w:val="000000" w:themeColor="text1"/>
          <w:sz w:val="24"/>
          <w:szCs w:val="24"/>
        </w:rPr>
        <w:t xml:space="preserve">2.2.1.3  </w:t>
      </w:r>
      <w:r w:rsidR="0074228B" w:rsidRPr="009427D5">
        <w:rPr>
          <w:rFonts w:ascii="Arial" w:hAnsi="Arial" w:cs="Arial"/>
          <w:i/>
          <w:color w:val="000000" w:themeColor="text1"/>
          <w:sz w:val="24"/>
          <w:szCs w:val="24"/>
        </w:rPr>
        <w:t xml:space="preserve"> </w:t>
      </w:r>
      <w:r w:rsidR="009F7955" w:rsidRPr="009427D5">
        <w:rPr>
          <w:rFonts w:ascii="Arial" w:hAnsi="Arial" w:cs="Arial"/>
          <w:i/>
          <w:color w:val="000000" w:themeColor="text1"/>
          <w:sz w:val="24"/>
          <w:szCs w:val="24"/>
        </w:rPr>
        <w:t>Análisis Indicadores</w:t>
      </w:r>
      <w:r w:rsidR="00056E9B" w:rsidRPr="009427D5">
        <w:rPr>
          <w:rFonts w:ascii="Arial" w:hAnsi="Arial" w:cs="Arial"/>
          <w:i/>
          <w:color w:val="000000" w:themeColor="text1"/>
          <w:sz w:val="24"/>
          <w:szCs w:val="24"/>
        </w:rPr>
        <w:t xml:space="preserve"> de</w:t>
      </w:r>
      <w:r w:rsidR="009F7955" w:rsidRPr="009427D5">
        <w:rPr>
          <w:rFonts w:ascii="Arial" w:hAnsi="Arial" w:cs="Arial"/>
          <w:i/>
          <w:color w:val="000000" w:themeColor="text1"/>
          <w:sz w:val="24"/>
          <w:szCs w:val="24"/>
        </w:rPr>
        <w:t xml:space="preserve"> Gestión Procesos Judiciales Rama </w:t>
      </w:r>
      <w:r w:rsidR="004B1BC6" w:rsidRPr="009427D5">
        <w:rPr>
          <w:rFonts w:ascii="Arial" w:hAnsi="Arial" w:cs="Arial"/>
          <w:i/>
          <w:color w:val="000000" w:themeColor="text1"/>
          <w:sz w:val="24"/>
          <w:szCs w:val="24"/>
        </w:rPr>
        <w:t>J</w:t>
      </w:r>
      <w:r w:rsidR="009F7955" w:rsidRPr="009427D5">
        <w:rPr>
          <w:rFonts w:ascii="Arial" w:hAnsi="Arial" w:cs="Arial"/>
          <w:i/>
          <w:color w:val="000000" w:themeColor="text1"/>
          <w:sz w:val="24"/>
          <w:szCs w:val="24"/>
        </w:rPr>
        <w:t>udicial 2010 -2013</w:t>
      </w:r>
    </w:p>
    <w:p w:rsidR="0074228B" w:rsidRPr="009427D5" w:rsidRDefault="0074228B" w:rsidP="0074228B">
      <w:pPr>
        <w:autoSpaceDE w:val="0"/>
        <w:autoSpaceDN w:val="0"/>
        <w:adjustRightInd w:val="0"/>
        <w:spacing w:after="0" w:line="240" w:lineRule="auto"/>
        <w:rPr>
          <w:rFonts w:ascii="Arial" w:hAnsi="Arial" w:cs="Arial"/>
          <w:i/>
          <w:color w:val="000000" w:themeColor="text1"/>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De acuerdo con el análisis de indicadores de la Rama Judicial, efectuado por el equipo auditor de la CGR, en el marco de la actuación especial a la política pública de justicia formal, descongestión y oralidad 2010-2013, permite observar avances importantes en el propósito de lograr un mayor acceso a la justicia para los ciudadanos. En primer lugar, se observa que a la fecha 1.103 municipios del país cuentan con jueces y despachos judiciales en operación</w:t>
      </w:r>
      <w:r w:rsidRPr="009427D5">
        <w:rPr>
          <w:rStyle w:val="Refdenotaalpie"/>
          <w:rFonts w:ascii="Arial" w:hAnsi="Arial" w:cs="Arial"/>
        </w:rPr>
        <w:footnoteReference w:id="10"/>
      </w:r>
      <w:r w:rsidRPr="009427D5">
        <w:rPr>
          <w:rFonts w:ascii="Arial" w:hAnsi="Arial" w:cs="Arial"/>
          <w:sz w:val="24"/>
          <w:szCs w:val="24"/>
        </w:rPr>
        <w:t xml:space="preserve"> (98,3% del total). Igualmente, existen 4.878 despachos permanentes y 1.151 de descongestión distribuidos en los 33 distritos judiciales, así como, la implementación gradual de  la oralidad en casi la totalidad de las especialidades.</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En relación con los recursos dirigidos a la Rama Judicial incrementaron en comparación al tamaño de la economía y del presupuesto nacional (apropiación final), pues de 0,34% del PIB y 1,7% del PGN</w:t>
      </w:r>
      <w:r w:rsidRPr="009427D5">
        <w:rPr>
          <w:rStyle w:val="Refdenotaalpie"/>
          <w:rFonts w:ascii="Arial" w:hAnsi="Arial" w:cs="Arial"/>
        </w:rPr>
        <w:footnoteReference w:id="11"/>
      </w:r>
      <w:r w:rsidRPr="009427D5">
        <w:rPr>
          <w:rFonts w:ascii="Arial" w:hAnsi="Arial" w:cs="Arial"/>
          <w:sz w:val="24"/>
          <w:szCs w:val="24"/>
        </w:rPr>
        <w:t xml:space="preserve"> en 2010, pasaron a 0,39% y 2% respectivamente en 2013.</w:t>
      </w:r>
      <w:r w:rsidRPr="009427D5">
        <w:rPr>
          <w:rStyle w:val="Refdenotaalpie"/>
          <w:rFonts w:ascii="Arial" w:hAnsi="Arial" w:cs="Arial"/>
        </w:rPr>
        <w:footnoteReference w:id="12"/>
      </w:r>
      <w:r w:rsidRPr="009427D5">
        <w:rPr>
          <w:rFonts w:ascii="Arial" w:hAnsi="Arial" w:cs="Arial"/>
          <w:sz w:val="24"/>
          <w:szCs w:val="24"/>
        </w:rPr>
        <w:t xml:space="preserve"> Este tamaño del gasto permite ubicar a Colombia en un nivel medio bajo en comparación con otros países de América Latina, cuyos porcentajes más altos correspondieron a Brasil y Costa Rica (alrededor de 1% del </w:t>
      </w:r>
      <w:r w:rsidRPr="009427D5">
        <w:rPr>
          <w:rFonts w:ascii="Arial" w:hAnsi="Arial" w:cs="Arial"/>
          <w:sz w:val="24"/>
          <w:szCs w:val="24"/>
        </w:rPr>
        <w:lastRenderedPageBreak/>
        <w:t>PIB entre 2008 y 2010), mientras que los más bajos fueron para México, Chile y Perú (entre 0,28% y 0,3% del PIB durante este periodo)</w:t>
      </w:r>
      <w:r w:rsidRPr="009427D5">
        <w:rPr>
          <w:rStyle w:val="Refdenotaalpie"/>
          <w:rFonts w:ascii="Arial" w:hAnsi="Arial" w:cs="Arial"/>
        </w:rPr>
        <w:footnoteReference w:id="13"/>
      </w:r>
      <w:r w:rsidRPr="009427D5">
        <w:rPr>
          <w:rFonts w:ascii="Arial" w:hAnsi="Arial" w:cs="Arial"/>
          <w:sz w:val="24"/>
          <w:szCs w:val="24"/>
        </w:rPr>
        <w:t>.</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Este avance también se aprecia en el indicador de número de jueces por cada cien mil habitantes, el cual mostró un crecimiento de 15%, al pasar de 11,1 en 2010 a 12,7 en 2013</w:t>
      </w:r>
      <w:r w:rsidR="00BC1D1F">
        <w:rPr>
          <w:rStyle w:val="Refdenotaalpie"/>
          <w:rFonts w:ascii="Arial" w:hAnsi="Arial" w:cs="Arial"/>
          <w:sz w:val="24"/>
          <w:szCs w:val="24"/>
        </w:rPr>
        <w:footnoteReference w:id="14"/>
      </w:r>
      <w:r w:rsidRPr="009427D5">
        <w:rPr>
          <w:rFonts w:ascii="Arial" w:hAnsi="Arial" w:cs="Arial"/>
          <w:sz w:val="24"/>
          <w:szCs w:val="24"/>
        </w:rPr>
        <w:t>. Dicho indicador sitúa al país en un nivel medio al interior del continente, en relación con la cobertura de la Rama Judicial, donde los índices más altos se encuentran en Costa Rica, Paraguay y Uruguay (con 21,9, 15 y 14,2 jueces por cada cien mil habitantes, entre los años 2008 y 2010). En cambio, los valores más bajos se registraron en Argentina, México y Chile (con 2,4, 3,4 y 6,5 jueces por cada cien mil habitantes respectivamente)</w:t>
      </w:r>
      <w:r w:rsidRPr="009427D5">
        <w:rPr>
          <w:rStyle w:val="Refdenotaalpie"/>
          <w:rFonts w:ascii="Arial" w:hAnsi="Arial" w:cs="Arial"/>
        </w:rPr>
        <w:footnoteReference w:id="15"/>
      </w:r>
      <w:r w:rsidRPr="009427D5">
        <w:rPr>
          <w:rFonts w:ascii="Arial" w:hAnsi="Arial" w:cs="Arial"/>
          <w:sz w:val="24"/>
          <w:szCs w:val="24"/>
        </w:rPr>
        <w:t>.</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Por otro lado, se observan ciertas diferencias con relación a este indicador, entre los departamentos que poseen mayor población. En 2013, los que tienen valores más altos son: Boyacá y Santander con 24,1 y 17,3 jueces por cada cien mil habitantes, seguidos por Antioquia (11,4), Valle del Cauca (11,3) y Bolívar (11), mientras que los valores más bajos se encuentran en Bogotá-Cundinamarca (10,8) y Atlántico (9,6). Respecto al crecimiento del indicador durante el periodo 2010-2013, los mayores incrementos se dieron en Bolívar (32,6%), Santander (18,3%) y Boyacá (18%), mientras los que mostraron menores aumentos fueron Atlántico (8%), Antioquia (11,2%) y Valle del Cauca (12,1%).</w:t>
      </w:r>
    </w:p>
    <w:p w:rsidR="009F0040" w:rsidRPr="009427D5" w:rsidRDefault="009F0040"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Con relación a la eficiencia en la gestión de la Rama Judicial, el indicador de procesos acumulados (inventarios finales) por cada cien mil habitantes, ha evidenciado un comportamiento favorable, pues disminuyó 27,3% en los últimos años, al pasar de 5.836 procesos acumulados por cada cien mil habitantes en 2010 a 4.100 en 2013. De acuerdo con esto, Colombia se halla en un nivel medio en materia de eficiencia y congestión de procesos judiciales en comparación con otros países de la Región; donde los índices que reflejaron mejor desempeño, entre los años 2008 y 2010, correspondieron a México y Paraguay (con 127 y 1.121 procesos acumulados por cada cien mil habitantes), mientras que los de peor desempeño fueron para Brasil (30.616) y Perú (5.865)</w:t>
      </w:r>
      <w:r w:rsidRPr="009427D5">
        <w:rPr>
          <w:rStyle w:val="Refdenotaalpie"/>
          <w:rFonts w:ascii="Arial" w:hAnsi="Arial" w:cs="Arial"/>
        </w:rPr>
        <w:footnoteReference w:id="16"/>
      </w:r>
      <w:r w:rsidRPr="009427D5">
        <w:rPr>
          <w:rFonts w:ascii="Arial" w:hAnsi="Arial" w:cs="Arial"/>
          <w:sz w:val="24"/>
          <w:szCs w:val="24"/>
        </w:rPr>
        <w:t>.</w:t>
      </w:r>
    </w:p>
    <w:p w:rsidR="0074228B" w:rsidRPr="009427D5" w:rsidRDefault="0074228B" w:rsidP="0074228B">
      <w:pPr>
        <w:spacing w:after="0" w:line="240" w:lineRule="auto"/>
        <w:jc w:val="both"/>
        <w:rPr>
          <w:rFonts w:ascii="Arial" w:hAnsi="Arial" w:cs="Arial"/>
          <w:sz w:val="24"/>
          <w:szCs w:val="24"/>
        </w:rPr>
      </w:pPr>
    </w:p>
    <w:p w:rsidR="0074228B" w:rsidRDefault="0074228B" w:rsidP="0074228B">
      <w:pPr>
        <w:spacing w:after="0" w:line="240" w:lineRule="auto"/>
        <w:jc w:val="both"/>
        <w:rPr>
          <w:rFonts w:ascii="Arial" w:hAnsi="Arial" w:cs="Arial"/>
          <w:sz w:val="24"/>
          <w:szCs w:val="24"/>
        </w:rPr>
      </w:pPr>
      <w:r w:rsidRPr="009427D5">
        <w:rPr>
          <w:rFonts w:ascii="Arial" w:hAnsi="Arial" w:cs="Arial"/>
          <w:sz w:val="24"/>
          <w:szCs w:val="24"/>
        </w:rPr>
        <w:t xml:space="preserve">El presente documento tiene como propósito, analizar el comportamiento de los principales indicadores relacionados con la gestión de procesos judiciales en la Rama Judicial, durante el periodo 2010-2014. Entre ellos se encuentran: ingresos </w:t>
      </w:r>
      <w:r w:rsidRPr="009427D5">
        <w:rPr>
          <w:rFonts w:ascii="Arial" w:hAnsi="Arial" w:cs="Arial"/>
          <w:sz w:val="24"/>
          <w:szCs w:val="24"/>
        </w:rPr>
        <w:lastRenderedPageBreak/>
        <w:t>efectivos, egresos efectivos, inventarios finales de procesos, personal juzgador, carga laboral por Juez, productividad efectiva por Juez, así como, los índices de evacuación parcial efectiva e índice de congestión efectivo, los cuales permiten evaluar los aspectos de eficacia y eficiencia del sistema judicial, junto al grado de avance respecto a la meta de descongestión de procesos contemplada en el Plan Nacional de Desarrollo (PND) 2010-2014.</w:t>
      </w:r>
    </w:p>
    <w:p w:rsidR="004C6A58" w:rsidRPr="009427D5" w:rsidRDefault="004C6A58"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En primer lugar, se revisa el desempeño de dichos indicadores, para la Rama Judicial en su conjunto, luego se efectúa un análisis por Especialidades (penal, civil, administrativo, laboral, familia, disciplinario y promiscuo). Posteriormente, se realiza esta misma evaluación para los principales Consejos Seccionales del país, como: Bogotá-Cundinamarca, Antioquia, Valle del Cauca, Atlántico y Santander. La segunda sección, tiene que ver con el comportamiento de los índices de procesos en los despachos de descongestión. En la tercera, se lleva a cabo este análisis para la sección de oralidad. Y por último, se presentan algunas conclusiones sobre los resultados obtenidos en la ejecución de la política pública.</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i/>
          <w:sz w:val="24"/>
          <w:szCs w:val="24"/>
        </w:rPr>
      </w:pPr>
      <w:r w:rsidRPr="009427D5">
        <w:rPr>
          <w:rFonts w:ascii="Arial" w:hAnsi="Arial" w:cs="Arial"/>
          <w:i/>
          <w:color w:val="000000" w:themeColor="text1"/>
          <w:sz w:val="24"/>
          <w:szCs w:val="24"/>
        </w:rPr>
        <w:t>2.2.</w:t>
      </w:r>
      <w:r w:rsidR="00483051" w:rsidRPr="009427D5">
        <w:rPr>
          <w:rFonts w:ascii="Arial" w:hAnsi="Arial" w:cs="Arial"/>
          <w:i/>
          <w:color w:val="000000" w:themeColor="text1"/>
          <w:sz w:val="24"/>
          <w:szCs w:val="24"/>
        </w:rPr>
        <w:t>1.3.1</w:t>
      </w:r>
      <w:r w:rsidRPr="009427D5">
        <w:rPr>
          <w:rFonts w:ascii="Arial" w:hAnsi="Arial" w:cs="Arial"/>
          <w:i/>
          <w:color w:val="000000" w:themeColor="text1"/>
          <w:sz w:val="24"/>
          <w:szCs w:val="24"/>
        </w:rPr>
        <w:t xml:space="preserve"> </w:t>
      </w:r>
      <w:r w:rsidRPr="009427D5">
        <w:rPr>
          <w:rFonts w:ascii="Arial" w:hAnsi="Arial" w:cs="Arial"/>
          <w:i/>
          <w:sz w:val="24"/>
          <w:szCs w:val="24"/>
        </w:rPr>
        <w:t>Indicadores Rama Judicial</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De acuerdo con la información suministrada por la Sala Administrativa del Consejo Superior de la Judicatura (CSJ), durante las vigencias 2010-2013, se reportó un total de 11.161.364 procesos que ingresaron a la Rama Judicial, de estos 9.729.337 (87,2%) correspondieron a ingresos efectivos, es decir nuevos procesos que entraron al sistema judicial del país</w:t>
      </w:r>
      <w:r w:rsidRPr="009427D5">
        <w:rPr>
          <w:rStyle w:val="Refdenotaalpie"/>
          <w:rFonts w:ascii="Arial" w:hAnsi="Arial" w:cs="Arial"/>
        </w:rPr>
        <w:footnoteReference w:id="17"/>
      </w:r>
      <w:r w:rsidRPr="009427D5">
        <w:rPr>
          <w:rFonts w:ascii="Arial" w:hAnsi="Arial" w:cs="Arial"/>
          <w:sz w:val="24"/>
          <w:szCs w:val="24"/>
        </w:rPr>
        <w:t xml:space="preserve">. Su crecimiento ha sido de 14,9%, al pasar de 2.338.948 ingresos efectivos en 2010 a 2.688.293 en 2013 (Tabla </w:t>
      </w:r>
      <w:r w:rsidR="00DF770C" w:rsidRPr="009427D5">
        <w:rPr>
          <w:rFonts w:ascii="Arial" w:hAnsi="Arial" w:cs="Arial"/>
          <w:sz w:val="24"/>
          <w:szCs w:val="24"/>
        </w:rPr>
        <w:t>8</w:t>
      </w:r>
      <w:r w:rsidRPr="009427D5">
        <w:rPr>
          <w:rFonts w:ascii="Arial" w:hAnsi="Arial" w:cs="Arial"/>
          <w:sz w:val="24"/>
          <w:szCs w:val="24"/>
        </w:rPr>
        <w:t>.), cifra que es muy significativa y muestra una demanda de justicia cada vez mayor por parte de los ciudadanos.</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Por otra parte, se presentó un total de 12.153.119 egresos de procesos, de los cuales 9.556.327 (78,6%) fueron egresos efectivos del sistema judicial, es decir, aquellos que tuvieron una salida de fondo</w:t>
      </w:r>
      <w:r w:rsidRPr="009427D5">
        <w:rPr>
          <w:rStyle w:val="Refdenotaalpie"/>
          <w:rFonts w:ascii="Arial" w:hAnsi="Arial" w:cs="Arial"/>
        </w:rPr>
        <w:footnoteReference w:id="18"/>
      </w:r>
      <w:r w:rsidRPr="009427D5">
        <w:rPr>
          <w:rFonts w:ascii="Arial" w:hAnsi="Arial" w:cs="Arial"/>
          <w:sz w:val="24"/>
          <w:szCs w:val="24"/>
        </w:rPr>
        <w:t>. En cuanto a su crecimiento fue de 16,2% al pasar de 2.264.467 en 2010 a 2.632.378 en 2013, los cuales aunque resultan inferiores a los ingresos efectivos, poseen una dinámica importante que evidencia la capacidad de respuesta de los despachos judiciales.</w:t>
      </w: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lastRenderedPageBreak/>
        <w:t>En relación con el índice de evacuación parcial efectivo</w:t>
      </w:r>
      <w:r w:rsidRPr="009427D5">
        <w:rPr>
          <w:rStyle w:val="Refdenotaalpie"/>
          <w:rFonts w:ascii="Arial" w:hAnsi="Arial" w:cs="Arial"/>
        </w:rPr>
        <w:footnoteReference w:id="19"/>
      </w:r>
      <w:r w:rsidRPr="009427D5">
        <w:rPr>
          <w:rFonts w:ascii="Arial" w:hAnsi="Arial" w:cs="Arial"/>
          <w:sz w:val="24"/>
          <w:szCs w:val="24"/>
        </w:rPr>
        <w:t xml:space="preserve"> alcanzó un 98% en la vigencia 2013, lo cual señala que de 100 procesos que ingresaron durante este año, salieron 98. Sin embargo, el índice de evacuación total efectivo</w:t>
      </w:r>
      <w:r w:rsidRPr="009427D5">
        <w:rPr>
          <w:rStyle w:val="Refdenotaalpie"/>
          <w:rFonts w:ascii="Arial" w:hAnsi="Arial" w:cs="Arial"/>
        </w:rPr>
        <w:footnoteReference w:id="20"/>
      </w:r>
      <w:r w:rsidRPr="009427D5">
        <w:rPr>
          <w:rFonts w:ascii="Arial" w:hAnsi="Arial" w:cs="Arial"/>
          <w:sz w:val="24"/>
          <w:szCs w:val="24"/>
        </w:rPr>
        <w:t xml:space="preserve"> (que tiene en cuenta el inventario inicial de procesos), llegó a 53%, por ende, de 100 procesos que se encuentran en el sistema judicial, 53 lograron una salida de fondo durante ese año. Ello conduce a un índice de congestión efectivo</w:t>
      </w:r>
      <w:r w:rsidRPr="009427D5">
        <w:rPr>
          <w:rStyle w:val="Refdenotaalpie"/>
          <w:rFonts w:ascii="Arial" w:hAnsi="Arial" w:cs="Arial"/>
        </w:rPr>
        <w:footnoteReference w:id="21"/>
      </w:r>
      <w:r w:rsidRPr="009427D5">
        <w:rPr>
          <w:rFonts w:ascii="Arial" w:hAnsi="Arial" w:cs="Arial"/>
          <w:sz w:val="24"/>
          <w:szCs w:val="24"/>
        </w:rPr>
        <w:t xml:space="preserve"> de 47%, por lo cual, de 100 procesos, 47 quedaron acumulados para el siguiente año.</w:t>
      </w:r>
    </w:p>
    <w:p w:rsidR="0074228B" w:rsidRPr="009427D5" w:rsidRDefault="0074228B" w:rsidP="0074228B">
      <w:pPr>
        <w:spacing w:after="0" w:line="240" w:lineRule="auto"/>
        <w:jc w:val="both"/>
        <w:rPr>
          <w:rFonts w:ascii="Arial" w:hAnsi="Arial" w:cs="Arial"/>
          <w:b/>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Vale resaltar que este último indicador ha disminuido durante el período analizado, al pasar de 56,7% en 2010 a 47,2% en 2013, registrando una reducción de 10 puntos porcentuales en los últimos cuatro años. No obstante, el valor de este indicador continúa siendo alto, razón por la cual, los inventarios iniciales de procesos en los despachos judiciales tienen un volumen considerable y requieren de tiempo y acciones más efectivas para descongestionarlos.</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Respecto al comportamiento de los inventarios finales, se redujeron en 723.934 procesos (-27,3%) a lo largo de estas vigencias, al pasar de 2.655.892  en 2010 a 1.931.958 en 2013</w:t>
      </w:r>
      <w:r w:rsidRPr="009427D5">
        <w:rPr>
          <w:rStyle w:val="Refdenotaalpie"/>
          <w:rFonts w:ascii="Arial" w:hAnsi="Arial" w:cs="Arial"/>
        </w:rPr>
        <w:footnoteReference w:id="22"/>
      </w:r>
      <w:r w:rsidRPr="009427D5">
        <w:rPr>
          <w:rFonts w:ascii="Arial" w:hAnsi="Arial" w:cs="Arial"/>
          <w:sz w:val="24"/>
          <w:szCs w:val="24"/>
        </w:rPr>
        <w:t>. Sin embargo, es importante mencionar que esta reducción se ha presentado principalmente en los procesos sin trámite</w:t>
      </w:r>
      <w:r w:rsidR="00A902B7">
        <w:rPr>
          <w:rStyle w:val="Refdenotaalpie"/>
          <w:rFonts w:ascii="Arial" w:hAnsi="Arial" w:cs="Arial"/>
          <w:sz w:val="24"/>
          <w:szCs w:val="24"/>
        </w:rPr>
        <w:footnoteReference w:id="23"/>
      </w:r>
      <w:r w:rsidRPr="009427D5">
        <w:rPr>
          <w:rFonts w:ascii="Arial" w:hAnsi="Arial" w:cs="Arial"/>
          <w:sz w:val="24"/>
          <w:szCs w:val="24"/>
        </w:rPr>
        <w:t>, es decir aquellos que no habían sido objeto de actuaciones (tanto en la vigencia actual como en las anteriores) por parte de jueces y magistrados. Este tipo de inventario</w:t>
      </w:r>
      <w:r w:rsidRPr="009427D5">
        <w:rPr>
          <w:rStyle w:val="Refdenotaalpie"/>
          <w:rFonts w:ascii="Arial" w:hAnsi="Arial" w:cs="Arial"/>
        </w:rPr>
        <w:footnoteReference w:id="24"/>
      </w:r>
      <w:r w:rsidRPr="009427D5">
        <w:rPr>
          <w:rFonts w:ascii="Arial" w:hAnsi="Arial" w:cs="Arial"/>
          <w:sz w:val="24"/>
          <w:szCs w:val="24"/>
        </w:rPr>
        <w:t xml:space="preserve"> pasó de 1.040.992 procesos en 2010 a 271.125 en 2013 (-74%).</w:t>
      </w:r>
    </w:p>
    <w:p w:rsidR="0074228B" w:rsidRPr="009427D5" w:rsidRDefault="0074228B" w:rsidP="0074228B">
      <w:pPr>
        <w:spacing w:after="0" w:line="240" w:lineRule="auto"/>
        <w:jc w:val="both"/>
        <w:rPr>
          <w:rFonts w:ascii="Arial" w:hAnsi="Arial" w:cs="Arial"/>
          <w:sz w:val="24"/>
          <w:szCs w:val="24"/>
        </w:rPr>
      </w:pPr>
    </w:p>
    <w:p w:rsidR="0074228B" w:rsidRDefault="0074228B" w:rsidP="0074228B">
      <w:pPr>
        <w:spacing w:after="0" w:line="240" w:lineRule="auto"/>
        <w:jc w:val="both"/>
        <w:rPr>
          <w:rFonts w:ascii="Arial" w:hAnsi="Arial" w:cs="Arial"/>
          <w:sz w:val="24"/>
          <w:szCs w:val="24"/>
        </w:rPr>
      </w:pPr>
      <w:r w:rsidRPr="009427D5">
        <w:rPr>
          <w:rFonts w:ascii="Arial" w:hAnsi="Arial" w:cs="Arial"/>
          <w:sz w:val="24"/>
          <w:szCs w:val="24"/>
        </w:rPr>
        <w:t>Por el contrario, los inventarios de procesos con trámite</w:t>
      </w:r>
      <w:r w:rsidRPr="009427D5">
        <w:rPr>
          <w:rStyle w:val="Refdenotaalpie"/>
          <w:rFonts w:ascii="Arial" w:hAnsi="Arial" w:cs="Arial"/>
        </w:rPr>
        <w:footnoteReference w:id="25"/>
      </w:r>
      <w:r w:rsidRPr="009427D5">
        <w:rPr>
          <w:rFonts w:ascii="Arial" w:hAnsi="Arial" w:cs="Arial"/>
          <w:sz w:val="24"/>
          <w:szCs w:val="24"/>
        </w:rPr>
        <w:t xml:space="preserve"> no han logrado reducirse durante las cuatro vigencias revisadas, sino que incrementaron 2,8%, pues pasaron de 1.614.900 procesos en 2010 a 1.660.833 en 2013. De esta manera, la disminución en los inventarios finales de la Rama Judicial se ha obtenido principalmente por la depuración de procesos sin trámite, realizada en  los </w:t>
      </w:r>
      <w:r w:rsidRPr="009427D5">
        <w:rPr>
          <w:rFonts w:ascii="Arial" w:hAnsi="Arial" w:cs="Arial"/>
          <w:sz w:val="24"/>
          <w:szCs w:val="24"/>
        </w:rPr>
        <w:lastRenderedPageBreak/>
        <w:t>diferentes despachos judiciales del país, más no como consecuencia del crecimiento en los egresos efectivos y el nivel de productividad.</w:t>
      </w:r>
    </w:p>
    <w:p w:rsidR="003A0D80" w:rsidRPr="009427D5" w:rsidRDefault="003A0D80" w:rsidP="0074228B">
      <w:pPr>
        <w:spacing w:after="0" w:line="240" w:lineRule="auto"/>
        <w:jc w:val="both"/>
        <w:rPr>
          <w:rFonts w:ascii="Arial" w:hAnsi="Arial" w:cs="Arial"/>
          <w:sz w:val="24"/>
          <w:szCs w:val="24"/>
        </w:rPr>
      </w:pPr>
    </w:p>
    <w:p w:rsidR="0074228B" w:rsidRPr="0036031F" w:rsidRDefault="0074228B" w:rsidP="0074228B">
      <w:pPr>
        <w:spacing w:after="0" w:line="240" w:lineRule="auto"/>
        <w:jc w:val="center"/>
        <w:rPr>
          <w:rFonts w:ascii="Arial" w:hAnsi="Arial" w:cs="Arial"/>
          <w:b/>
          <w:sz w:val="16"/>
          <w:szCs w:val="16"/>
        </w:rPr>
      </w:pPr>
      <w:r w:rsidRPr="0036031F">
        <w:rPr>
          <w:rFonts w:ascii="Arial" w:hAnsi="Arial" w:cs="Arial"/>
          <w:b/>
          <w:sz w:val="16"/>
          <w:szCs w:val="16"/>
        </w:rPr>
        <w:t xml:space="preserve">Tabla </w:t>
      </w:r>
      <w:r w:rsidR="00B36FC8" w:rsidRPr="0036031F">
        <w:rPr>
          <w:rFonts w:ascii="Arial" w:hAnsi="Arial" w:cs="Arial"/>
          <w:b/>
          <w:sz w:val="16"/>
          <w:szCs w:val="16"/>
        </w:rPr>
        <w:t>No. 8</w:t>
      </w:r>
      <w:r w:rsidRPr="0036031F">
        <w:rPr>
          <w:rFonts w:ascii="Arial" w:hAnsi="Arial" w:cs="Arial"/>
          <w:b/>
          <w:sz w:val="16"/>
          <w:szCs w:val="16"/>
        </w:rPr>
        <w:t xml:space="preserve"> Indicadores Procesos Judiciales. Rama Judicial 2010-2013</w:t>
      </w:r>
    </w:p>
    <w:tbl>
      <w:tblPr>
        <w:tblW w:w="8014" w:type="dxa"/>
        <w:jc w:val="center"/>
        <w:tblCellMar>
          <w:left w:w="70" w:type="dxa"/>
          <w:right w:w="70" w:type="dxa"/>
        </w:tblCellMar>
        <w:tblLook w:val="04A0" w:firstRow="1" w:lastRow="0" w:firstColumn="1" w:lastColumn="0" w:noHBand="0" w:noVBand="1"/>
      </w:tblPr>
      <w:tblGrid>
        <w:gridCol w:w="3214"/>
        <w:gridCol w:w="1200"/>
        <w:gridCol w:w="1200"/>
        <w:gridCol w:w="1200"/>
        <w:gridCol w:w="1200"/>
      </w:tblGrid>
      <w:tr w:rsidR="0074228B" w:rsidRPr="0036031F" w:rsidTr="00B13E1E">
        <w:trPr>
          <w:trHeight w:val="315"/>
          <w:jc w:val="center"/>
        </w:trPr>
        <w:tc>
          <w:tcPr>
            <w:tcW w:w="32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4228B" w:rsidRPr="0036031F" w:rsidRDefault="0074228B" w:rsidP="00B13E1E">
            <w:pPr>
              <w:spacing w:after="0" w:line="240" w:lineRule="auto"/>
              <w:rPr>
                <w:rFonts w:ascii="Arial" w:hAnsi="Arial" w:cs="Arial"/>
                <w:b/>
                <w:bCs/>
                <w:color w:val="000000"/>
                <w:sz w:val="16"/>
                <w:szCs w:val="16"/>
                <w:lang w:eastAsia="es-CO"/>
              </w:rPr>
            </w:pPr>
            <w:r w:rsidRPr="0036031F">
              <w:rPr>
                <w:rFonts w:ascii="Arial" w:hAnsi="Arial" w:cs="Arial"/>
                <w:b/>
                <w:bCs/>
                <w:color w:val="000000"/>
                <w:sz w:val="16"/>
                <w:szCs w:val="16"/>
                <w:lang w:eastAsia="es-CO"/>
              </w:rPr>
              <w:t> </w:t>
            </w:r>
          </w:p>
        </w:tc>
        <w:tc>
          <w:tcPr>
            <w:tcW w:w="1200" w:type="dxa"/>
            <w:tcBorders>
              <w:top w:val="single" w:sz="8" w:space="0" w:color="auto"/>
              <w:left w:val="nil"/>
              <w:bottom w:val="single" w:sz="8"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2010</w:t>
            </w:r>
          </w:p>
        </w:tc>
        <w:tc>
          <w:tcPr>
            <w:tcW w:w="1200" w:type="dxa"/>
            <w:tcBorders>
              <w:top w:val="single" w:sz="8" w:space="0" w:color="auto"/>
              <w:left w:val="nil"/>
              <w:bottom w:val="single" w:sz="8"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2011</w:t>
            </w:r>
          </w:p>
        </w:tc>
        <w:tc>
          <w:tcPr>
            <w:tcW w:w="1200" w:type="dxa"/>
            <w:tcBorders>
              <w:top w:val="single" w:sz="8" w:space="0" w:color="auto"/>
              <w:left w:val="nil"/>
              <w:bottom w:val="single" w:sz="8"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2012</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2013</w:t>
            </w:r>
          </w:p>
        </w:tc>
      </w:tr>
      <w:tr w:rsidR="0074228B" w:rsidRPr="0036031F" w:rsidTr="00B13E1E">
        <w:trPr>
          <w:trHeight w:val="300"/>
          <w:jc w:val="center"/>
        </w:trPr>
        <w:tc>
          <w:tcPr>
            <w:tcW w:w="3214" w:type="dxa"/>
            <w:tcBorders>
              <w:top w:val="nil"/>
              <w:left w:val="single" w:sz="8" w:space="0" w:color="auto"/>
              <w:bottom w:val="single" w:sz="4" w:space="0" w:color="auto"/>
              <w:right w:val="single" w:sz="8" w:space="0" w:color="auto"/>
            </w:tcBorders>
            <w:shd w:val="clear" w:color="auto" w:fill="auto"/>
            <w:noWrap/>
            <w:vAlign w:val="center"/>
            <w:hideMark/>
          </w:tcPr>
          <w:p w:rsidR="0074228B" w:rsidRPr="0036031F" w:rsidRDefault="0074228B" w:rsidP="00B13E1E">
            <w:pPr>
              <w:spacing w:after="0" w:line="240" w:lineRule="auto"/>
              <w:rPr>
                <w:rFonts w:ascii="Arial" w:hAnsi="Arial" w:cs="Arial"/>
                <w:b/>
                <w:bCs/>
                <w:color w:val="000000"/>
                <w:sz w:val="16"/>
                <w:szCs w:val="16"/>
                <w:lang w:eastAsia="es-CO"/>
              </w:rPr>
            </w:pPr>
            <w:r w:rsidRPr="0036031F">
              <w:rPr>
                <w:rFonts w:ascii="Arial" w:hAnsi="Arial" w:cs="Arial"/>
                <w:b/>
                <w:bCs/>
                <w:color w:val="000000"/>
                <w:sz w:val="16"/>
                <w:szCs w:val="16"/>
                <w:lang w:eastAsia="es-CO"/>
              </w:rPr>
              <w:t>Inventario Inicial</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2.892.292</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2.691.008</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2.532.609</w:t>
            </w:r>
          </w:p>
        </w:tc>
        <w:tc>
          <w:tcPr>
            <w:tcW w:w="1200" w:type="dxa"/>
            <w:tcBorders>
              <w:top w:val="nil"/>
              <w:left w:val="nil"/>
              <w:bottom w:val="single" w:sz="4" w:space="0" w:color="auto"/>
              <w:right w:val="single" w:sz="8"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2.295.873</w:t>
            </w:r>
          </w:p>
        </w:tc>
      </w:tr>
      <w:tr w:rsidR="0074228B" w:rsidRPr="0036031F" w:rsidTr="00B13E1E">
        <w:trPr>
          <w:trHeight w:val="300"/>
          <w:jc w:val="center"/>
        </w:trPr>
        <w:tc>
          <w:tcPr>
            <w:tcW w:w="3214" w:type="dxa"/>
            <w:tcBorders>
              <w:top w:val="nil"/>
              <w:left w:val="single" w:sz="8" w:space="0" w:color="auto"/>
              <w:bottom w:val="single" w:sz="4" w:space="0" w:color="auto"/>
              <w:right w:val="single" w:sz="8" w:space="0" w:color="auto"/>
            </w:tcBorders>
            <w:shd w:val="clear" w:color="auto" w:fill="auto"/>
            <w:noWrap/>
            <w:vAlign w:val="center"/>
            <w:hideMark/>
          </w:tcPr>
          <w:p w:rsidR="0074228B" w:rsidRPr="0036031F" w:rsidRDefault="0074228B" w:rsidP="00B13E1E">
            <w:pPr>
              <w:spacing w:after="0" w:line="240" w:lineRule="auto"/>
              <w:rPr>
                <w:rFonts w:ascii="Arial" w:hAnsi="Arial" w:cs="Arial"/>
                <w:color w:val="000000"/>
                <w:sz w:val="16"/>
                <w:szCs w:val="16"/>
                <w:lang w:eastAsia="es-CO"/>
              </w:rPr>
            </w:pPr>
            <w:r w:rsidRPr="0036031F">
              <w:rPr>
                <w:rFonts w:ascii="Arial" w:hAnsi="Arial" w:cs="Arial"/>
                <w:color w:val="000000"/>
                <w:sz w:val="16"/>
                <w:szCs w:val="16"/>
                <w:lang w:eastAsia="es-CO"/>
              </w:rPr>
              <w:t xml:space="preserve">  Con Trámite</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color w:val="000000"/>
                <w:sz w:val="16"/>
                <w:szCs w:val="16"/>
                <w:lang w:eastAsia="es-CO"/>
              </w:rPr>
            </w:pPr>
            <w:r w:rsidRPr="0036031F">
              <w:rPr>
                <w:rFonts w:ascii="Arial" w:hAnsi="Arial" w:cs="Arial"/>
                <w:color w:val="000000"/>
                <w:sz w:val="16"/>
                <w:szCs w:val="16"/>
                <w:lang w:eastAsia="es-CO"/>
              </w:rPr>
              <w:t>1.591.882</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color w:val="000000"/>
                <w:sz w:val="16"/>
                <w:szCs w:val="16"/>
                <w:lang w:eastAsia="es-CO"/>
              </w:rPr>
            </w:pPr>
            <w:r w:rsidRPr="0036031F">
              <w:rPr>
                <w:rFonts w:ascii="Arial" w:hAnsi="Arial" w:cs="Arial"/>
                <w:color w:val="000000"/>
                <w:sz w:val="16"/>
                <w:szCs w:val="16"/>
                <w:lang w:eastAsia="es-CO"/>
              </w:rPr>
              <w:t>1.654.020</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color w:val="000000"/>
                <w:sz w:val="16"/>
                <w:szCs w:val="16"/>
                <w:lang w:eastAsia="es-CO"/>
              </w:rPr>
            </w:pPr>
            <w:r w:rsidRPr="0036031F">
              <w:rPr>
                <w:rFonts w:ascii="Arial" w:hAnsi="Arial" w:cs="Arial"/>
                <w:color w:val="000000"/>
                <w:sz w:val="16"/>
                <w:szCs w:val="16"/>
                <w:lang w:eastAsia="es-CO"/>
              </w:rPr>
              <w:t>1.738.300</w:t>
            </w:r>
          </w:p>
        </w:tc>
        <w:tc>
          <w:tcPr>
            <w:tcW w:w="1200" w:type="dxa"/>
            <w:tcBorders>
              <w:top w:val="nil"/>
              <w:left w:val="nil"/>
              <w:bottom w:val="single" w:sz="4" w:space="0" w:color="auto"/>
              <w:right w:val="single" w:sz="8"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color w:val="000000"/>
                <w:sz w:val="16"/>
                <w:szCs w:val="16"/>
                <w:lang w:eastAsia="es-CO"/>
              </w:rPr>
            </w:pPr>
            <w:r w:rsidRPr="0036031F">
              <w:rPr>
                <w:rFonts w:ascii="Arial" w:hAnsi="Arial" w:cs="Arial"/>
                <w:color w:val="000000"/>
                <w:sz w:val="16"/>
                <w:szCs w:val="16"/>
                <w:lang w:eastAsia="es-CO"/>
              </w:rPr>
              <w:t>1.708.035</w:t>
            </w:r>
          </w:p>
        </w:tc>
      </w:tr>
      <w:tr w:rsidR="0074228B" w:rsidRPr="0036031F" w:rsidTr="00B13E1E">
        <w:trPr>
          <w:trHeight w:val="300"/>
          <w:jc w:val="center"/>
        </w:trPr>
        <w:tc>
          <w:tcPr>
            <w:tcW w:w="3214" w:type="dxa"/>
            <w:tcBorders>
              <w:top w:val="nil"/>
              <w:left w:val="single" w:sz="8" w:space="0" w:color="auto"/>
              <w:bottom w:val="single" w:sz="4" w:space="0" w:color="auto"/>
              <w:right w:val="single" w:sz="8" w:space="0" w:color="auto"/>
            </w:tcBorders>
            <w:shd w:val="clear" w:color="auto" w:fill="auto"/>
            <w:noWrap/>
            <w:vAlign w:val="center"/>
            <w:hideMark/>
          </w:tcPr>
          <w:p w:rsidR="0074228B" w:rsidRPr="0036031F" w:rsidRDefault="0074228B" w:rsidP="00B13E1E">
            <w:pPr>
              <w:spacing w:after="0" w:line="240" w:lineRule="auto"/>
              <w:rPr>
                <w:rFonts w:ascii="Arial" w:hAnsi="Arial" w:cs="Arial"/>
                <w:color w:val="000000"/>
                <w:sz w:val="16"/>
                <w:szCs w:val="16"/>
                <w:lang w:eastAsia="es-CO"/>
              </w:rPr>
            </w:pPr>
            <w:r w:rsidRPr="0036031F">
              <w:rPr>
                <w:rFonts w:ascii="Arial" w:hAnsi="Arial" w:cs="Arial"/>
                <w:color w:val="000000"/>
                <w:sz w:val="16"/>
                <w:szCs w:val="16"/>
                <w:lang w:eastAsia="es-CO"/>
              </w:rPr>
              <w:t xml:space="preserve">  Sin Trámite</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color w:val="000000"/>
                <w:sz w:val="16"/>
                <w:szCs w:val="16"/>
                <w:lang w:eastAsia="es-CO"/>
              </w:rPr>
            </w:pPr>
            <w:r w:rsidRPr="0036031F">
              <w:rPr>
                <w:rFonts w:ascii="Arial" w:hAnsi="Arial" w:cs="Arial"/>
                <w:color w:val="000000"/>
                <w:sz w:val="16"/>
                <w:szCs w:val="16"/>
                <w:lang w:eastAsia="es-CO"/>
              </w:rPr>
              <w:t>1.300.410</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color w:val="000000"/>
                <w:sz w:val="16"/>
                <w:szCs w:val="16"/>
                <w:lang w:eastAsia="es-CO"/>
              </w:rPr>
            </w:pPr>
            <w:r w:rsidRPr="0036031F">
              <w:rPr>
                <w:rFonts w:ascii="Arial" w:hAnsi="Arial" w:cs="Arial"/>
                <w:color w:val="000000"/>
                <w:sz w:val="16"/>
                <w:szCs w:val="16"/>
                <w:lang w:eastAsia="es-CO"/>
              </w:rPr>
              <w:t>1.036.988</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color w:val="000000"/>
                <w:sz w:val="16"/>
                <w:szCs w:val="16"/>
                <w:lang w:eastAsia="es-CO"/>
              </w:rPr>
            </w:pPr>
            <w:r w:rsidRPr="0036031F">
              <w:rPr>
                <w:rFonts w:ascii="Arial" w:hAnsi="Arial" w:cs="Arial"/>
                <w:color w:val="000000"/>
                <w:sz w:val="16"/>
                <w:szCs w:val="16"/>
                <w:lang w:eastAsia="es-CO"/>
              </w:rPr>
              <w:t>794.309</w:t>
            </w:r>
          </w:p>
        </w:tc>
        <w:tc>
          <w:tcPr>
            <w:tcW w:w="1200" w:type="dxa"/>
            <w:tcBorders>
              <w:top w:val="nil"/>
              <w:left w:val="nil"/>
              <w:bottom w:val="single" w:sz="4" w:space="0" w:color="auto"/>
              <w:right w:val="single" w:sz="8"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color w:val="000000"/>
                <w:sz w:val="16"/>
                <w:szCs w:val="16"/>
                <w:lang w:eastAsia="es-CO"/>
              </w:rPr>
            </w:pPr>
            <w:r w:rsidRPr="0036031F">
              <w:rPr>
                <w:rFonts w:ascii="Arial" w:hAnsi="Arial" w:cs="Arial"/>
                <w:color w:val="000000"/>
                <w:sz w:val="16"/>
                <w:szCs w:val="16"/>
                <w:lang w:eastAsia="es-CO"/>
              </w:rPr>
              <w:t>587.838</w:t>
            </w:r>
          </w:p>
        </w:tc>
      </w:tr>
      <w:tr w:rsidR="0074228B" w:rsidRPr="0036031F" w:rsidTr="00B13E1E">
        <w:trPr>
          <w:trHeight w:val="300"/>
          <w:jc w:val="center"/>
        </w:trPr>
        <w:tc>
          <w:tcPr>
            <w:tcW w:w="3214" w:type="dxa"/>
            <w:tcBorders>
              <w:top w:val="nil"/>
              <w:left w:val="single" w:sz="8" w:space="0" w:color="auto"/>
              <w:bottom w:val="single" w:sz="4" w:space="0" w:color="auto"/>
              <w:right w:val="single" w:sz="8" w:space="0" w:color="auto"/>
            </w:tcBorders>
            <w:shd w:val="clear" w:color="auto" w:fill="auto"/>
            <w:noWrap/>
            <w:vAlign w:val="center"/>
            <w:hideMark/>
          </w:tcPr>
          <w:p w:rsidR="0074228B" w:rsidRPr="0036031F" w:rsidRDefault="0074228B" w:rsidP="00B13E1E">
            <w:pPr>
              <w:spacing w:after="0" w:line="240" w:lineRule="auto"/>
              <w:rPr>
                <w:rFonts w:ascii="Arial" w:hAnsi="Arial" w:cs="Arial"/>
                <w:b/>
                <w:bCs/>
                <w:color w:val="000000"/>
                <w:sz w:val="16"/>
                <w:szCs w:val="16"/>
                <w:lang w:eastAsia="es-CO"/>
              </w:rPr>
            </w:pPr>
            <w:r w:rsidRPr="0036031F">
              <w:rPr>
                <w:rFonts w:ascii="Arial" w:hAnsi="Arial" w:cs="Arial"/>
                <w:b/>
                <w:bCs/>
                <w:color w:val="000000"/>
                <w:sz w:val="16"/>
                <w:szCs w:val="16"/>
                <w:lang w:eastAsia="es-CO"/>
              </w:rPr>
              <w:t>Ingresos</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2.474.151</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2.755.474</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2.919.693</w:t>
            </w:r>
          </w:p>
        </w:tc>
        <w:tc>
          <w:tcPr>
            <w:tcW w:w="1200" w:type="dxa"/>
            <w:tcBorders>
              <w:top w:val="nil"/>
              <w:left w:val="nil"/>
              <w:bottom w:val="single" w:sz="4" w:space="0" w:color="auto"/>
              <w:right w:val="single" w:sz="8"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3.012.046</w:t>
            </w:r>
          </w:p>
        </w:tc>
      </w:tr>
      <w:tr w:rsidR="0074228B" w:rsidRPr="0036031F" w:rsidTr="00B13E1E">
        <w:trPr>
          <w:trHeight w:val="300"/>
          <w:jc w:val="center"/>
        </w:trPr>
        <w:tc>
          <w:tcPr>
            <w:tcW w:w="3214" w:type="dxa"/>
            <w:tcBorders>
              <w:top w:val="nil"/>
              <w:left w:val="single" w:sz="8" w:space="0" w:color="auto"/>
              <w:bottom w:val="single" w:sz="4" w:space="0" w:color="auto"/>
              <w:right w:val="single" w:sz="8" w:space="0" w:color="auto"/>
            </w:tcBorders>
            <w:shd w:val="clear" w:color="auto" w:fill="auto"/>
            <w:noWrap/>
            <w:vAlign w:val="center"/>
            <w:hideMark/>
          </w:tcPr>
          <w:p w:rsidR="0074228B" w:rsidRPr="0036031F" w:rsidRDefault="0074228B" w:rsidP="00B13E1E">
            <w:pPr>
              <w:spacing w:after="0" w:line="240" w:lineRule="auto"/>
              <w:rPr>
                <w:rFonts w:ascii="Arial" w:hAnsi="Arial" w:cs="Arial"/>
                <w:b/>
                <w:bCs/>
                <w:color w:val="000000"/>
                <w:sz w:val="16"/>
                <w:szCs w:val="16"/>
                <w:lang w:eastAsia="es-CO"/>
              </w:rPr>
            </w:pPr>
            <w:r w:rsidRPr="0036031F">
              <w:rPr>
                <w:rFonts w:ascii="Arial" w:hAnsi="Arial" w:cs="Arial"/>
                <w:b/>
                <w:bCs/>
                <w:color w:val="000000"/>
                <w:sz w:val="16"/>
                <w:szCs w:val="16"/>
                <w:lang w:eastAsia="es-CO"/>
              </w:rPr>
              <w:t>Ingresos Efectivos</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2.338.948</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2.337.582</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2.364.524</w:t>
            </w:r>
          </w:p>
        </w:tc>
        <w:tc>
          <w:tcPr>
            <w:tcW w:w="1200" w:type="dxa"/>
            <w:tcBorders>
              <w:top w:val="nil"/>
              <w:left w:val="nil"/>
              <w:bottom w:val="single" w:sz="4" w:space="0" w:color="auto"/>
              <w:right w:val="single" w:sz="8"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2.688.283</w:t>
            </w:r>
          </w:p>
        </w:tc>
      </w:tr>
      <w:tr w:rsidR="0074228B" w:rsidRPr="0036031F" w:rsidTr="00B13E1E">
        <w:trPr>
          <w:trHeight w:val="300"/>
          <w:jc w:val="center"/>
        </w:trPr>
        <w:tc>
          <w:tcPr>
            <w:tcW w:w="3214" w:type="dxa"/>
            <w:tcBorders>
              <w:top w:val="nil"/>
              <w:left w:val="single" w:sz="8" w:space="0" w:color="auto"/>
              <w:bottom w:val="single" w:sz="4" w:space="0" w:color="auto"/>
              <w:right w:val="single" w:sz="8" w:space="0" w:color="auto"/>
            </w:tcBorders>
            <w:shd w:val="clear" w:color="auto" w:fill="auto"/>
            <w:noWrap/>
            <w:vAlign w:val="center"/>
            <w:hideMark/>
          </w:tcPr>
          <w:p w:rsidR="0074228B" w:rsidRPr="0036031F" w:rsidRDefault="0074228B" w:rsidP="00B13E1E">
            <w:pPr>
              <w:spacing w:after="0" w:line="240" w:lineRule="auto"/>
              <w:rPr>
                <w:rFonts w:ascii="Arial" w:hAnsi="Arial" w:cs="Arial"/>
                <w:b/>
                <w:bCs/>
                <w:color w:val="000000"/>
                <w:sz w:val="16"/>
                <w:szCs w:val="16"/>
                <w:lang w:eastAsia="es-CO"/>
              </w:rPr>
            </w:pPr>
            <w:r w:rsidRPr="0036031F">
              <w:rPr>
                <w:rFonts w:ascii="Arial" w:hAnsi="Arial" w:cs="Arial"/>
                <w:b/>
                <w:bCs/>
                <w:color w:val="000000"/>
                <w:sz w:val="16"/>
                <w:szCs w:val="16"/>
                <w:lang w:eastAsia="es-CO"/>
              </w:rPr>
              <w:t>Egresos</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2.706.872</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3.025.161</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3.148.478</w:t>
            </w:r>
          </w:p>
        </w:tc>
        <w:tc>
          <w:tcPr>
            <w:tcW w:w="1200" w:type="dxa"/>
            <w:tcBorders>
              <w:top w:val="nil"/>
              <w:left w:val="nil"/>
              <w:bottom w:val="single" w:sz="4" w:space="0" w:color="auto"/>
              <w:right w:val="single" w:sz="8"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3.272.608</w:t>
            </w:r>
          </w:p>
        </w:tc>
      </w:tr>
      <w:tr w:rsidR="0074228B" w:rsidRPr="0036031F" w:rsidTr="00B13E1E">
        <w:trPr>
          <w:trHeight w:val="300"/>
          <w:jc w:val="center"/>
        </w:trPr>
        <w:tc>
          <w:tcPr>
            <w:tcW w:w="3214" w:type="dxa"/>
            <w:tcBorders>
              <w:top w:val="nil"/>
              <w:left w:val="single" w:sz="8" w:space="0" w:color="auto"/>
              <w:bottom w:val="single" w:sz="4" w:space="0" w:color="auto"/>
              <w:right w:val="single" w:sz="8" w:space="0" w:color="auto"/>
            </w:tcBorders>
            <w:shd w:val="clear" w:color="auto" w:fill="auto"/>
            <w:noWrap/>
            <w:vAlign w:val="center"/>
            <w:hideMark/>
          </w:tcPr>
          <w:p w:rsidR="0074228B" w:rsidRPr="0036031F" w:rsidRDefault="0074228B" w:rsidP="00B13E1E">
            <w:pPr>
              <w:spacing w:after="0" w:line="240" w:lineRule="auto"/>
              <w:rPr>
                <w:rFonts w:ascii="Arial" w:hAnsi="Arial" w:cs="Arial"/>
                <w:b/>
                <w:bCs/>
                <w:color w:val="000000"/>
                <w:sz w:val="16"/>
                <w:szCs w:val="16"/>
                <w:lang w:eastAsia="es-CO"/>
              </w:rPr>
            </w:pPr>
            <w:r w:rsidRPr="0036031F">
              <w:rPr>
                <w:rFonts w:ascii="Arial" w:hAnsi="Arial" w:cs="Arial"/>
                <w:b/>
                <w:bCs/>
                <w:color w:val="000000"/>
                <w:sz w:val="16"/>
                <w:szCs w:val="16"/>
                <w:lang w:eastAsia="es-CO"/>
              </w:rPr>
              <w:t>Egresos Efectivos</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2.264.467</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2.288.196</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2.371.286</w:t>
            </w:r>
          </w:p>
        </w:tc>
        <w:tc>
          <w:tcPr>
            <w:tcW w:w="1200" w:type="dxa"/>
            <w:tcBorders>
              <w:top w:val="nil"/>
              <w:left w:val="nil"/>
              <w:bottom w:val="single" w:sz="4" w:space="0" w:color="auto"/>
              <w:right w:val="single" w:sz="8"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2.632.378</w:t>
            </w:r>
          </w:p>
        </w:tc>
      </w:tr>
      <w:tr w:rsidR="0074228B" w:rsidRPr="0036031F" w:rsidTr="00B13E1E">
        <w:trPr>
          <w:trHeight w:val="300"/>
          <w:jc w:val="center"/>
        </w:trPr>
        <w:tc>
          <w:tcPr>
            <w:tcW w:w="3214" w:type="dxa"/>
            <w:tcBorders>
              <w:top w:val="nil"/>
              <w:left w:val="single" w:sz="8" w:space="0" w:color="auto"/>
              <w:bottom w:val="single" w:sz="4" w:space="0" w:color="auto"/>
              <w:right w:val="single" w:sz="8" w:space="0" w:color="auto"/>
            </w:tcBorders>
            <w:shd w:val="clear" w:color="auto" w:fill="auto"/>
            <w:noWrap/>
            <w:vAlign w:val="center"/>
            <w:hideMark/>
          </w:tcPr>
          <w:p w:rsidR="0074228B" w:rsidRPr="0036031F" w:rsidRDefault="0074228B" w:rsidP="00B13E1E">
            <w:pPr>
              <w:spacing w:after="0" w:line="240" w:lineRule="auto"/>
              <w:rPr>
                <w:rFonts w:ascii="Arial" w:hAnsi="Arial" w:cs="Arial"/>
                <w:b/>
                <w:bCs/>
                <w:color w:val="000000"/>
                <w:sz w:val="16"/>
                <w:szCs w:val="16"/>
                <w:lang w:eastAsia="es-CO"/>
              </w:rPr>
            </w:pPr>
            <w:r w:rsidRPr="0036031F">
              <w:rPr>
                <w:rFonts w:ascii="Arial" w:hAnsi="Arial" w:cs="Arial"/>
                <w:b/>
                <w:bCs/>
                <w:color w:val="000000"/>
                <w:sz w:val="16"/>
                <w:szCs w:val="16"/>
                <w:lang w:eastAsia="es-CO"/>
              </w:rPr>
              <w:t>Inventario Final</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2.655.892</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2.491.714</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2.309.372</w:t>
            </w:r>
          </w:p>
        </w:tc>
        <w:tc>
          <w:tcPr>
            <w:tcW w:w="1200" w:type="dxa"/>
            <w:tcBorders>
              <w:top w:val="nil"/>
              <w:left w:val="nil"/>
              <w:bottom w:val="single" w:sz="4" w:space="0" w:color="auto"/>
              <w:right w:val="single" w:sz="8"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1.931.958</w:t>
            </w:r>
          </w:p>
        </w:tc>
      </w:tr>
      <w:tr w:rsidR="0074228B" w:rsidRPr="0036031F" w:rsidTr="00B13E1E">
        <w:trPr>
          <w:trHeight w:val="300"/>
          <w:jc w:val="center"/>
        </w:trPr>
        <w:tc>
          <w:tcPr>
            <w:tcW w:w="3214" w:type="dxa"/>
            <w:tcBorders>
              <w:top w:val="nil"/>
              <w:left w:val="single" w:sz="8" w:space="0" w:color="auto"/>
              <w:bottom w:val="single" w:sz="4" w:space="0" w:color="auto"/>
              <w:right w:val="single" w:sz="8" w:space="0" w:color="auto"/>
            </w:tcBorders>
            <w:shd w:val="clear" w:color="auto" w:fill="auto"/>
            <w:noWrap/>
            <w:vAlign w:val="center"/>
            <w:hideMark/>
          </w:tcPr>
          <w:p w:rsidR="0074228B" w:rsidRPr="0036031F" w:rsidRDefault="0074228B" w:rsidP="00B13E1E">
            <w:pPr>
              <w:spacing w:after="0" w:line="240" w:lineRule="auto"/>
              <w:rPr>
                <w:rFonts w:ascii="Arial" w:hAnsi="Arial" w:cs="Arial"/>
                <w:color w:val="000000"/>
                <w:sz w:val="16"/>
                <w:szCs w:val="16"/>
                <w:lang w:eastAsia="es-CO"/>
              </w:rPr>
            </w:pPr>
            <w:r w:rsidRPr="0036031F">
              <w:rPr>
                <w:rFonts w:ascii="Arial" w:hAnsi="Arial" w:cs="Arial"/>
                <w:color w:val="000000"/>
                <w:sz w:val="16"/>
                <w:szCs w:val="16"/>
                <w:lang w:eastAsia="es-CO"/>
              </w:rPr>
              <w:t xml:space="preserve">  Con Trámite</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color w:val="000000"/>
                <w:sz w:val="16"/>
                <w:szCs w:val="16"/>
                <w:lang w:eastAsia="es-CO"/>
              </w:rPr>
            </w:pPr>
            <w:r w:rsidRPr="0036031F">
              <w:rPr>
                <w:rFonts w:ascii="Arial" w:hAnsi="Arial" w:cs="Arial"/>
                <w:color w:val="000000"/>
                <w:sz w:val="16"/>
                <w:szCs w:val="16"/>
                <w:lang w:eastAsia="es-CO"/>
              </w:rPr>
              <w:t>1.614.900</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color w:val="000000"/>
                <w:sz w:val="16"/>
                <w:szCs w:val="16"/>
                <w:lang w:eastAsia="es-CO"/>
              </w:rPr>
            </w:pPr>
            <w:r w:rsidRPr="0036031F">
              <w:rPr>
                <w:rFonts w:ascii="Arial" w:hAnsi="Arial" w:cs="Arial"/>
                <w:color w:val="000000"/>
                <w:sz w:val="16"/>
                <w:szCs w:val="16"/>
                <w:lang w:eastAsia="es-CO"/>
              </w:rPr>
              <w:t>1.686.881</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color w:val="000000"/>
                <w:sz w:val="16"/>
                <w:szCs w:val="16"/>
                <w:lang w:eastAsia="es-CO"/>
              </w:rPr>
            </w:pPr>
            <w:r w:rsidRPr="0036031F">
              <w:rPr>
                <w:rFonts w:ascii="Arial" w:hAnsi="Arial" w:cs="Arial"/>
                <w:color w:val="000000"/>
                <w:sz w:val="16"/>
                <w:szCs w:val="16"/>
                <w:lang w:eastAsia="es-CO"/>
              </w:rPr>
              <w:t>1.699.983</w:t>
            </w:r>
          </w:p>
        </w:tc>
        <w:tc>
          <w:tcPr>
            <w:tcW w:w="1200" w:type="dxa"/>
            <w:tcBorders>
              <w:top w:val="nil"/>
              <w:left w:val="nil"/>
              <w:bottom w:val="single" w:sz="4" w:space="0" w:color="auto"/>
              <w:right w:val="single" w:sz="8"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color w:val="000000"/>
                <w:sz w:val="16"/>
                <w:szCs w:val="16"/>
                <w:lang w:eastAsia="es-CO"/>
              </w:rPr>
            </w:pPr>
            <w:r w:rsidRPr="0036031F">
              <w:rPr>
                <w:rFonts w:ascii="Arial" w:hAnsi="Arial" w:cs="Arial"/>
                <w:color w:val="000000"/>
                <w:sz w:val="16"/>
                <w:szCs w:val="16"/>
                <w:lang w:eastAsia="es-CO"/>
              </w:rPr>
              <w:t>1.660.833</w:t>
            </w:r>
          </w:p>
        </w:tc>
      </w:tr>
      <w:tr w:rsidR="0074228B" w:rsidRPr="0036031F" w:rsidTr="004C6A58">
        <w:trPr>
          <w:trHeight w:val="300"/>
          <w:jc w:val="center"/>
        </w:trPr>
        <w:tc>
          <w:tcPr>
            <w:tcW w:w="3214" w:type="dxa"/>
            <w:tcBorders>
              <w:top w:val="nil"/>
              <w:left w:val="single" w:sz="8" w:space="0" w:color="auto"/>
              <w:bottom w:val="single" w:sz="4" w:space="0" w:color="auto"/>
              <w:right w:val="single" w:sz="8" w:space="0" w:color="auto"/>
            </w:tcBorders>
            <w:shd w:val="clear" w:color="auto" w:fill="auto"/>
            <w:noWrap/>
            <w:vAlign w:val="center"/>
            <w:hideMark/>
          </w:tcPr>
          <w:p w:rsidR="0074228B" w:rsidRPr="0036031F" w:rsidRDefault="0074228B" w:rsidP="00B13E1E">
            <w:pPr>
              <w:spacing w:after="0" w:line="240" w:lineRule="auto"/>
              <w:rPr>
                <w:rFonts w:ascii="Arial" w:hAnsi="Arial" w:cs="Arial"/>
                <w:color w:val="000000"/>
                <w:sz w:val="16"/>
                <w:szCs w:val="16"/>
                <w:lang w:eastAsia="es-CO"/>
              </w:rPr>
            </w:pPr>
            <w:r w:rsidRPr="0036031F">
              <w:rPr>
                <w:rFonts w:ascii="Arial" w:hAnsi="Arial" w:cs="Arial"/>
                <w:color w:val="000000"/>
                <w:sz w:val="16"/>
                <w:szCs w:val="16"/>
                <w:lang w:eastAsia="es-CO"/>
              </w:rPr>
              <w:t xml:space="preserve">  Sin Trámite</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color w:val="000000"/>
                <w:sz w:val="16"/>
                <w:szCs w:val="16"/>
                <w:lang w:eastAsia="es-CO"/>
              </w:rPr>
            </w:pPr>
            <w:r w:rsidRPr="0036031F">
              <w:rPr>
                <w:rFonts w:ascii="Arial" w:hAnsi="Arial" w:cs="Arial"/>
                <w:color w:val="000000"/>
                <w:sz w:val="16"/>
                <w:szCs w:val="16"/>
                <w:lang w:eastAsia="es-CO"/>
              </w:rPr>
              <w:t>1.040.992</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color w:val="000000"/>
                <w:sz w:val="16"/>
                <w:szCs w:val="16"/>
                <w:lang w:eastAsia="es-CO"/>
              </w:rPr>
            </w:pPr>
            <w:r w:rsidRPr="0036031F">
              <w:rPr>
                <w:rFonts w:ascii="Arial" w:hAnsi="Arial" w:cs="Arial"/>
                <w:color w:val="000000"/>
                <w:sz w:val="16"/>
                <w:szCs w:val="16"/>
                <w:lang w:eastAsia="es-CO"/>
              </w:rPr>
              <w:t>804.833</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color w:val="000000"/>
                <w:sz w:val="16"/>
                <w:szCs w:val="16"/>
                <w:lang w:eastAsia="es-CO"/>
              </w:rPr>
            </w:pPr>
            <w:r w:rsidRPr="0036031F">
              <w:rPr>
                <w:rFonts w:ascii="Arial" w:hAnsi="Arial" w:cs="Arial"/>
                <w:color w:val="000000"/>
                <w:sz w:val="16"/>
                <w:szCs w:val="16"/>
                <w:lang w:eastAsia="es-CO"/>
              </w:rPr>
              <w:t>609.389</w:t>
            </w:r>
          </w:p>
        </w:tc>
        <w:tc>
          <w:tcPr>
            <w:tcW w:w="1200" w:type="dxa"/>
            <w:tcBorders>
              <w:top w:val="nil"/>
              <w:left w:val="nil"/>
              <w:bottom w:val="single" w:sz="4" w:space="0" w:color="auto"/>
              <w:right w:val="single" w:sz="8"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color w:val="000000"/>
                <w:sz w:val="16"/>
                <w:szCs w:val="16"/>
                <w:lang w:eastAsia="es-CO"/>
              </w:rPr>
            </w:pPr>
            <w:r w:rsidRPr="0036031F">
              <w:rPr>
                <w:rFonts w:ascii="Arial" w:hAnsi="Arial" w:cs="Arial"/>
                <w:color w:val="000000"/>
                <w:sz w:val="16"/>
                <w:szCs w:val="16"/>
                <w:lang w:eastAsia="es-CO"/>
              </w:rPr>
              <w:t>271.125</w:t>
            </w:r>
          </w:p>
        </w:tc>
      </w:tr>
      <w:tr w:rsidR="0074228B" w:rsidRPr="0036031F" w:rsidTr="004C6A58">
        <w:trPr>
          <w:trHeight w:val="315"/>
          <w:jc w:val="center"/>
        </w:trPr>
        <w:tc>
          <w:tcPr>
            <w:tcW w:w="32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228B" w:rsidRPr="0036031F" w:rsidRDefault="0074228B" w:rsidP="00B13E1E">
            <w:pPr>
              <w:spacing w:after="0" w:line="240" w:lineRule="auto"/>
              <w:rPr>
                <w:rFonts w:ascii="Arial" w:hAnsi="Arial" w:cs="Arial"/>
                <w:b/>
                <w:bCs/>
                <w:color w:val="000000"/>
                <w:sz w:val="16"/>
                <w:szCs w:val="16"/>
                <w:lang w:eastAsia="es-CO"/>
              </w:rPr>
            </w:pPr>
            <w:r w:rsidRPr="0036031F">
              <w:rPr>
                <w:rFonts w:ascii="Arial" w:hAnsi="Arial" w:cs="Arial"/>
                <w:b/>
                <w:bCs/>
                <w:color w:val="000000"/>
                <w:sz w:val="16"/>
                <w:szCs w:val="16"/>
                <w:lang w:eastAsia="es-CO"/>
              </w:rPr>
              <w:t>Carga Laboral Total</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5.366.443</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5.446.482</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5.452.302</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5.307.919</w:t>
            </w:r>
          </w:p>
        </w:tc>
      </w:tr>
      <w:tr w:rsidR="0074228B" w:rsidRPr="0036031F" w:rsidTr="004C6A58">
        <w:trPr>
          <w:trHeight w:val="300"/>
          <w:jc w:val="center"/>
        </w:trPr>
        <w:tc>
          <w:tcPr>
            <w:tcW w:w="321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74228B" w:rsidRPr="0036031F" w:rsidRDefault="0074228B" w:rsidP="00B13E1E">
            <w:pPr>
              <w:spacing w:after="0" w:line="240" w:lineRule="auto"/>
              <w:rPr>
                <w:rFonts w:ascii="Arial" w:hAnsi="Arial" w:cs="Arial"/>
                <w:b/>
                <w:bCs/>
                <w:color w:val="000000"/>
                <w:sz w:val="16"/>
                <w:szCs w:val="16"/>
                <w:lang w:eastAsia="es-CO"/>
              </w:rPr>
            </w:pPr>
            <w:r w:rsidRPr="0036031F">
              <w:rPr>
                <w:rFonts w:ascii="Arial" w:hAnsi="Arial" w:cs="Arial"/>
                <w:b/>
                <w:bCs/>
                <w:color w:val="000000"/>
                <w:sz w:val="16"/>
                <w:szCs w:val="16"/>
                <w:lang w:eastAsia="es-CO"/>
              </w:rPr>
              <w:t xml:space="preserve">Índice de </w:t>
            </w:r>
            <w:proofErr w:type="spellStart"/>
            <w:r w:rsidRPr="0036031F">
              <w:rPr>
                <w:rFonts w:ascii="Arial" w:hAnsi="Arial" w:cs="Arial"/>
                <w:b/>
                <w:bCs/>
                <w:color w:val="000000"/>
                <w:sz w:val="16"/>
                <w:szCs w:val="16"/>
                <w:lang w:eastAsia="es-CO"/>
              </w:rPr>
              <w:t>Evac</w:t>
            </w:r>
            <w:proofErr w:type="spellEnd"/>
            <w:r w:rsidRPr="0036031F">
              <w:rPr>
                <w:rFonts w:ascii="Arial" w:hAnsi="Arial" w:cs="Arial"/>
                <w:b/>
                <w:bCs/>
                <w:color w:val="000000"/>
                <w:sz w:val="16"/>
                <w:szCs w:val="16"/>
                <w:lang w:eastAsia="es-CO"/>
              </w:rPr>
              <w:t>. Parcial Efectivo</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96,8%</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97,9%</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100,3%</w:t>
            </w:r>
          </w:p>
        </w:tc>
        <w:tc>
          <w:tcPr>
            <w:tcW w:w="1200" w:type="dxa"/>
            <w:tcBorders>
              <w:top w:val="single" w:sz="4" w:space="0" w:color="auto"/>
              <w:left w:val="nil"/>
              <w:bottom w:val="single" w:sz="4" w:space="0" w:color="auto"/>
              <w:right w:val="single" w:sz="8"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97,9%</w:t>
            </w:r>
          </w:p>
        </w:tc>
      </w:tr>
      <w:tr w:rsidR="0074228B" w:rsidRPr="0036031F" w:rsidTr="00B13E1E">
        <w:trPr>
          <w:trHeight w:val="300"/>
          <w:jc w:val="center"/>
        </w:trPr>
        <w:tc>
          <w:tcPr>
            <w:tcW w:w="3214" w:type="dxa"/>
            <w:tcBorders>
              <w:top w:val="nil"/>
              <w:left w:val="single" w:sz="8" w:space="0" w:color="auto"/>
              <w:bottom w:val="single" w:sz="4" w:space="0" w:color="auto"/>
              <w:right w:val="single" w:sz="8" w:space="0" w:color="auto"/>
            </w:tcBorders>
            <w:shd w:val="clear" w:color="auto" w:fill="auto"/>
            <w:noWrap/>
            <w:vAlign w:val="center"/>
            <w:hideMark/>
          </w:tcPr>
          <w:p w:rsidR="0074228B" w:rsidRPr="0036031F" w:rsidRDefault="0074228B" w:rsidP="00B13E1E">
            <w:pPr>
              <w:spacing w:after="0" w:line="240" w:lineRule="auto"/>
              <w:rPr>
                <w:rFonts w:ascii="Arial" w:hAnsi="Arial" w:cs="Arial"/>
                <w:b/>
                <w:bCs/>
                <w:color w:val="000000"/>
                <w:sz w:val="16"/>
                <w:szCs w:val="16"/>
                <w:lang w:eastAsia="es-CO"/>
              </w:rPr>
            </w:pPr>
            <w:r w:rsidRPr="0036031F">
              <w:rPr>
                <w:rFonts w:ascii="Arial" w:hAnsi="Arial" w:cs="Arial"/>
                <w:b/>
                <w:bCs/>
                <w:color w:val="000000"/>
                <w:sz w:val="16"/>
                <w:szCs w:val="16"/>
                <w:lang w:eastAsia="es-CO"/>
              </w:rPr>
              <w:t xml:space="preserve">Índice de </w:t>
            </w:r>
            <w:proofErr w:type="spellStart"/>
            <w:r w:rsidRPr="0036031F">
              <w:rPr>
                <w:rFonts w:ascii="Arial" w:hAnsi="Arial" w:cs="Arial"/>
                <w:b/>
                <w:bCs/>
                <w:color w:val="000000"/>
                <w:sz w:val="16"/>
                <w:szCs w:val="16"/>
                <w:lang w:eastAsia="es-CO"/>
              </w:rPr>
              <w:t>Evac</w:t>
            </w:r>
            <w:proofErr w:type="spellEnd"/>
            <w:r w:rsidRPr="0036031F">
              <w:rPr>
                <w:rFonts w:ascii="Arial" w:hAnsi="Arial" w:cs="Arial"/>
                <w:b/>
                <w:bCs/>
                <w:color w:val="000000"/>
                <w:sz w:val="16"/>
                <w:szCs w:val="16"/>
                <w:lang w:eastAsia="es-CO"/>
              </w:rPr>
              <w:t>. Total Efectivo</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43,3%</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45,5%</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48,4%</w:t>
            </w:r>
          </w:p>
        </w:tc>
        <w:tc>
          <w:tcPr>
            <w:tcW w:w="1200" w:type="dxa"/>
            <w:tcBorders>
              <w:top w:val="nil"/>
              <w:left w:val="nil"/>
              <w:bottom w:val="single" w:sz="4" w:space="0" w:color="auto"/>
              <w:right w:val="single" w:sz="8"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52,8%</w:t>
            </w:r>
          </w:p>
        </w:tc>
      </w:tr>
      <w:tr w:rsidR="0074228B" w:rsidRPr="0036031F" w:rsidTr="00B13E1E">
        <w:trPr>
          <w:trHeight w:val="315"/>
          <w:jc w:val="center"/>
        </w:trPr>
        <w:tc>
          <w:tcPr>
            <w:tcW w:w="3214" w:type="dxa"/>
            <w:tcBorders>
              <w:top w:val="nil"/>
              <w:left w:val="single" w:sz="8" w:space="0" w:color="auto"/>
              <w:bottom w:val="single" w:sz="8" w:space="0" w:color="auto"/>
              <w:right w:val="single" w:sz="8" w:space="0" w:color="auto"/>
            </w:tcBorders>
            <w:shd w:val="clear" w:color="auto" w:fill="auto"/>
            <w:noWrap/>
            <w:vAlign w:val="center"/>
            <w:hideMark/>
          </w:tcPr>
          <w:p w:rsidR="0074228B" w:rsidRPr="0036031F" w:rsidRDefault="0074228B" w:rsidP="00B13E1E">
            <w:pPr>
              <w:spacing w:after="0" w:line="240" w:lineRule="auto"/>
              <w:rPr>
                <w:rFonts w:ascii="Arial" w:hAnsi="Arial" w:cs="Arial"/>
                <w:b/>
                <w:bCs/>
                <w:color w:val="000000"/>
                <w:sz w:val="16"/>
                <w:szCs w:val="16"/>
                <w:lang w:eastAsia="es-CO"/>
              </w:rPr>
            </w:pPr>
            <w:r w:rsidRPr="0036031F">
              <w:rPr>
                <w:rFonts w:ascii="Arial" w:hAnsi="Arial" w:cs="Arial"/>
                <w:b/>
                <w:bCs/>
                <w:color w:val="000000"/>
                <w:sz w:val="16"/>
                <w:szCs w:val="16"/>
                <w:lang w:eastAsia="es-CO"/>
              </w:rPr>
              <w:t>Índice de Congestión Efectivo</w:t>
            </w:r>
          </w:p>
        </w:tc>
        <w:tc>
          <w:tcPr>
            <w:tcW w:w="1200" w:type="dxa"/>
            <w:tcBorders>
              <w:top w:val="nil"/>
              <w:left w:val="nil"/>
              <w:bottom w:val="single" w:sz="8"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56,7%</w:t>
            </w:r>
          </w:p>
        </w:tc>
        <w:tc>
          <w:tcPr>
            <w:tcW w:w="1200" w:type="dxa"/>
            <w:tcBorders>
              <w:top w:val="nil"/>
              <w:left w:val="nil"/>
              <w:bottom w:val="single" w:sz="8"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54,5%</w:t>
            </w:r>
          </w:p>
        </w:tc>
        <w:tc>
          <w:tcPr>
            <w:tcW w:w="1200" w:type="dxa"/>
            <w:tcBorders>
              <w:top w:val="nil"/>
              <w:left w:val="nil"/>
              <w:bottom w:val="single" w:sz="8" w:space="0" w:color="auto"/>
              <w:right w:val="single" w:sz="4"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51,6%</w:t>
            </w:r>
          </w:p>
        </w:tc>
        <w:tc>
          <w:tcPr>
            <w:tcW w:w="1200" w:type="dxa"/>
            <w:tcBorders>
              <w:top w:val="nil"/>
              <w:left w:val="nil"/>
              <w:bottom w:val="single" w:sz="8" w:space="0" w:color="auto"/>
              <w:right w:val="single" w:sz="8" w:space="0" w:color="auto"/>
            </w:tcBorders>
            <w:shd w:val="clear" w:color="auto" w:fill="auto"/>
            <w:noWrap/>
            <w:vAlign w:val="center"/>
            <w:hideMark/>
          </w:tcPr>
          <w:p w:rsidR="0074228B" w:rsidRPr="0036031F" w:rsidRDefault="0074228B" w:rsidP="00B13E1E">
            <w:pPr>
              <w:spacing w:after="0" w:line="240" w:lineRule="auto"/>
              <w:jc w:val="center"/>
              <w:rPr>
                <w:rFonts w:ascii="Arial" w:hAnsi="Arial" w:cs="Arial"/>
                <w:b/>
                <w:bCs/>
                <w:color w:val="000000"/>
                <w:sz w:val="16"/>
                <w:szCs w:val="16"/>
                <w:lang w:eastAsia="es-CO"/>
              </w:rPr>
            </w:pPr>
            <w:r w:rsidRPr="0036031F">
              <w:rPr>
                <w:rFonts w:ascii="Arial" w:hAnsi="Arial" w:cs="Arial"/>
                <w:b/>
                <w:bCs/>
                <w:color w:val="000000"/>
                <w:sz w:val="16"/>
                <w:szCs w:val="16"/>
                <w:lang w:eastAsia="es-CO"/>
              </w:rPr>
              <w:t>47,2%</w:t>
            </w:r>
          </w:p>
        </w:tc>
      </w:tr>
    </w:tbl>
    <w:p w:rsidR="0074228B" w:rsidRPr="009427D5" w:rsidRDefault="0074228B" w:rsidP="0074228B">
      <w:pPr>
        <w:spacing w:after="0" w:line="240" w:lineRule="auto"/>
        <w:jc w:val="center"/>
        <w:rPr>
          <w:rFonts w:ascii="Arial" w:hAnsi="Arial" w:cs="Arial"/>
          <w:b/>
          <w:sz w:val="18"/>
          <w:szCs w:val="18"/>
        </w:rPr>
      </w:pPr>
      <w:r w:rsidRPr="0036031F">
        <w:rPr>
          <w:rFonts w:ascii="Arial" w:hAnsi="Arial" w:cs="Arial"/>
          <w:b/>
          <w:sz w:val="16"/>
          <w:szCs w:val="16"/>
        </w:rPr>
        <w:t>Fuente: Consejo Superior de la Judicatura. Cálculos CGR DES-DJS. Fecha de Corte: Abril de</w:t>
      </w:r>
      <w:r w:rsidRPr="009427D5">
        <w:rPr>
          <w:rFonts w:ascii="Arial" w:hAnsi="Arial" w:cs="Arial"/>
          <w:b/>
          <w:sz w:val="18"/>
          <w:szCs w:val="18"/>
        </w:rPr>
        <w:t xml:space="preserve"> 2014</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 xml:space="preserve">En relación con el personal juzgador, se encontró que durante el período analizado creció 19%, al pasar de 5.030 jueces y magistrados en 2010 a 5.987 en 2013, logrando su mayor número en 2012 con 6.034 (Ver Gráfica 1). Este crecimiento resulta bastante significativo y obedece principalmente a la creación de despachos de descongestión, a la ampliación del modelo oral a más distritos judiciales y al fortalecimiento de la planta en </w:t>
      </w:r>
      <w:r w:rsidR="00226203" w:rsidRPr="009427D5">
        <w:rPr>
          <w:rFonts w:ascii="Arial" w:hAnsi="Arial" w:cs="Arial"/>
          <w:sz w:val="24"/>
          <w:szCs w:val="24"/>
        </w:rPr>
        <w:t>la especialidad civil, administrativa promiscua y laboral; medida</w:t>
      </w:r>
      <w:r w:rsidR="00226203">
        <w:rPr>
          <w:rFonts w:ascii="Arial" w:hAnsi="Arial" w:cs="Arial"/>
          <w:sz w:val="24"/>
          <w:szCs w:val="24"/>
        </w:rPr>
        <w:t xml:space="preserve"> que ha </w:t>
      </w:r>
      <w:r w:rsidRPr="009427D5">
        <w:rPr>
          <w:rFonts w:ascii="Arial" w:hAnsi="Arial" w:cs="Arial"/>
          <w:sz w:val="24"/>
          <w:szCs w:val="24"/>
        </w:rPr>
        <w:t>requerido un importante incremento en los recursos dirigidos al gasto de personal de la Rama Judicial</w:t>
      </w:r>
      <w:r w:rsidRPr="009427D5">
        <w:rPr>
          <w:rStyle w:val="Refdenotaalpie"/>
          <w:rFonts w:ascii="Arial" w:hAnsi="Arial" w:cs="Arial"/>
        </w:rPr>
        <w:footnoteReference w:id="26"/>
      </w:r>
      <w:r w:rsidRPr="009427D5">
        <w:rPr>
          <w:rFonts w:ascii="Arial" w:hAnsi="Arial" w:cs="Arial"/>
          <w:sz w:val="24"/>
          <w:szCs w:val="24"/>
        </w:rPr>
        <w:t>.</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Debido a ello, la carga laboral por Juez</w:t>
      </w:r>
      <w:r w:rsidRPr="009427D5">
        <w:rPr>
          <w:rStyle w:val="Refdenotaalpie"/>
          <w:rFonts w:ascii="Arial" w:hAnsi="Arial" w:cs="Arial"/>
        </w:rPr>
        <w:footnoteReference w:id="27"/>
      </w:r>
      <w:r w:rsidRPr="009427D5">
        <w:rPr>
          <w:rFonts w:ascii="Arial" w:hAnsi="Arial" w:cs="Arial"/>
          <w:sz w:val="24"/>
          <w:szCs w:val="24"/>
        </w:rPr>
        <w:t xml:space="preserve"> decreció 17%, pues pasó de 1.067 procesos por Juez en el 2010 a 887 en 2013, por ende, se ha presentado una mejora relativa en las condiciones de trabajo para el personal juzgador y que podría favorecer una disminución en los niveles de congestión, sin embargo, debido al fuerte crecimiento en los ingresos de procesos a los despachos judiciales (tanto totales como efectivos) ocurrido durante los últimos cuatro años, </w:t>
      </w:r>
      <w:r w:rsidRPr="009427D5">
        <w:rPr>
          <w:rFonts w:ascii="Arial" w:hAnsi="Arial" w:cs="Arial"/>
          <w:sz w:val="24"/>
          <w:szCs w:val="24"/>
        </w:rPr>
        <w:lastRenderedPageBreak/>
        <w:t>conlleva a que este indicador continúe siendo muy alto, afectando la prestación oportuna y eficaz de los servicios de justicia.</w:t>
      </w:r>
    </w:p>
    <w:p w:rsidR="0074228B" w:rsidRPr="009427D5" w:rsidRDefault="0074228B" w:rsidP="0074228B">
      <w:pPr>
        <w:spacing w:after="0" w:line="240" w:lineRule="auto"/>
        <w:rPr>
          <w:rFonts w:ascii="Arial" w:hAnsi="Arial" w:cs="Arial"/>
          <w:b/>
          <w:sz w:val="24"/>
          <w:szCs w:val="24"/>
        </w:rPr>
      </w:pPr>
    </w:p>
    <w:p w:rsidR="0074228B" w:rsidRPr="009427D5" w:rsidRDefault="0074228B" w:rsidP="004C6A58">
      <w:pPr>
        <w:spacing w:after="0" w:line="240" w:lineRule="auto"/>
        <w:jc w:val="center"/>
        <w:rPr>
          <w:rFonts w:ascii="Arial" w:hAnsi="Arial" w:cs="Arial"/>
          <w:b/>
          <w:sz w:val="20"/>
          <w:szCs w:val="20"/>
        </w:rPr>
      </w:pPr>
      <w:r w:rsidRPr="009427D5">
        <w:rPr>
          <w:rFonts w:ascii="Arial" w:hAnsi="Arial" w:cs="Arial"/>
          <w:b/>
          <w:sz w:val="20"/>
          <w:szCs w:val="20"/>
        </w:rPr>
        <w:t>Gráfica 1. Personal Juzgador, Carga Laboral por Juez y Productividad por Juez. Rama Judicial 2010-2013</w:t>
      </w:r>
    </w:p>
    <w:p w:rsidR="0074228B" w:rsidRPr="009427D5" w:rsidRDefault="004C6A58" w:rsidP="0074228B">
      <w:pPr>
        <w:spacing w:after="0" w:line="240" w:lineRule="auto"/>
        <w:jc w:val="center"/>
        <w:rPr>
          <w:rFonts w:ascii="Arial" w:hAnsi="Arial" w:cs="Arial"/>
          <w:sz w:val="24"/>
          <w:szCs w:val="24"/>
        </w:rPr>
      </w:pPr>
      <w:r w:rsidRPr="009427D5">
        <w:rPr>
          <w:rFonts w:ascii="Arial" w:hAnsi="Arial" w:cs="Arial"/>
          <w:noProof/>
          <w:sz w:val="24"/>
          <w:szCs w:val="24"/>
          <w:lang w:eastAsia="es-CO"/>
        </w:rPr>
        <w:drawing>
          <wp:anchor distT="0" distB="0" distL="114300" distR="114300" simplePos="0" relativeHeight="251658240" behindDoc="0" locked="0" layoutInCell="1" allowOverlap="1" wp14:anchorId="65FD4865" wp14:editId="40CF3564">
            <wp:simplePos x="0" y="0"/>
            <wp:positionH relativeFrom="column">
              <wp:posOffset>1562100</wp:posOffset>
            </wp:positionH>
            <wp:positionV relativeFrom="paragraph">
              <wp:posOffset>-635</wp:posOffset>
            </wp:positionV>
            <wp:extent cx="3017520" cy="1894205"/>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7520" cy="1894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6A58" w:rsidRDefault="004C6A58" w:rsidP="0074228B">
      <w:pPr>
        <w:spacing w:after="0" w:line="240" w:lineRule="auto"/>
        <w:jc w:val="center"/>
        <w:rPr>
          <w:rFonts w:ascii="Arial" w:hAnsi="Arial" w:cs="Arial"/>
          <w:b/>
          <w:sz w:val="18"/>
          <w:szCs w:val="18"/>
        </w:rPr>
      </w:pPr>
    </w:p>
    <w:p w:rsidR="004C6A58" w:rsidRDefault="004C6A58" w:rsidP="0074228B">
      <w:pPr>
        <w:spacing w:after="0" w:line="240" w:lineRule="auto"/>
        <w:jc w:val="center"/>
        <w:rPr>
          <w:rFonts w:ascii="Arial" w:hAnsi="Arial" w:cs="Arial"/>
          <w:b/>
          <w:sz w:val="18"/>
          <w:szCs w:val="18"/>
        </w:rPr>
      </w:pPr>
    </w:p>
    <w:p w:rsidR="004C6A58" w:rsidRDefault="004C6A58" w:rsidP="0074228B">
      <w:pPr>
        <w:spacing w:after="0" w:line="240" w:lineRule="auto"/>
        <w:jc w:val="center"/>
        <w:rPr>
          <w:rFonts w:ascii="Arial" w:hAnsi="Arial" w:cs="Arial"/>
          <w:b/>
          <w:sz w:val="18"/>
          <w:szCs w:val="18"/>
        </w:rPr>
      </w:pPr>
    </w:p>
    <w:p w:rsidR="004C6A58" w:rsidRDefault="004C6A58" w:rsidP="0074228B">
      <w:pPr>
        <w:spacing w:after="0" w:line="240" w:lineRule="auto"/>
        <w:jc w:val="center"/>
        <w:rPr>
          <w:rFonts w:ascii="Arial" w:hAnsi="Arial" w:cs="Arial"/>
          <w:b/>
          <w:sz w:val="18"/>
          <w:szCs w:val="18"/>
        </w:rPr>
      </w:pPr>
    </w:p>
    <w:p w:rsidR="004C6A58" w:rsidRDefault="004C6A58" w:rsidP="0074228B">
      <w:pPr>
        <w:spacing w:after="0" w:line="240" w:lineRule="auto"/>
        <w:jc w:val="center"/>
        <w:rPr>
          <w:rFonts w:ascii="Arial" w:hAnsi="Arial" w:cs="Arial"/>
          <w:b/>
          <w:sz w:val="18"/>
          <w:szCs w:val="18"/>
        </w:rPr>
      </w:pPr>
    </w:p>
    <w:p w:rsidR="004C6A58" w:rsidRDefault="004C6A58" w:rsidP="0074228B">
      <w:pPr>
        <w:spacing w:after="0" w:line="240" w:lineRule="auto"/>
        <w:jc w:val="center"/>
        <w:rPr>
          <w:rFonts w:ascii="Arial" w:hAnsi="Arial" w:cs="Arial"/>
          <w:b/>
          <w:sz w:val="18"/>
          <w:szCs w:val="18"/>
        </w:rPr>
      </w:pPr>
    </w:p>
    <w:p w:rsidR="004C6A58" w:rsidRDefault="004C6A58" w:rsidP="0074228B">
      <w:pPr>
        <w:spacing w:after="0" w:line="240" w:lineRule="auto"/>
        <w:jc w:val="center"/>
        <w:rPr>
          <w:rFonts w:ascii="Arial" w:hAnsi="Arial" w:cs="Arial"/>
          <w:b/>
          <w:sz w:val="18"/>
          <w:szCs w:val="18"/>
        </w:rPr>
      </w:pPr>
    </w:p>
    <w:p w:rsidR="004C6A58" w:rsidRDefault="004C6A58" w:rsidP="0074228B">
      <w:pPr>
        <w:spacing w:after="0" w:line="240" w:lineRule="auto"/>
        <w:jc w:val="center"/>
        <w:rPr>
          <w:rFonts w:ascii="Arial" w:hAnsi="Arial" w:cs="Arial"/>
          <w:b/>
          <w:sz w:val="18"/>
          <w:szCs w:val="18"/>
        </w:rPr>
      </w:pPr>
    </w:p>
    <w:p w:rsidR="004C6A58" w:rsidRDefault="004C6A58" w:rsidP="0074228B">
      <w:pPr>
        <w:spacing w:after="0" w:line="240" w:lineRule="auto"/>
        <w:jc w:val="center"/>
        <w:rPr>
          <w:rFonts w:ascii="Arial" w:hAnsi="Arial" w:cs="Arial"/>
          <w:b/>
          <w:sz w:val="18"/>
          <w:szCs w:val="18"/>
        </w:rPr>
      </w:pPr>
    </w:p>
    <w:p w:rsidR="004C6A58" w:rsidRDefault="004C6A58" w:rsidP="0074228B">
      <w:pPr>
        <w:spacing w:after="0" w:line="240" w:lineRule="auto"/>
        <w:jc w:val="center"/>
        <w:rPr>
          <w:rFonts w:ascii="Arial" w:hAnsi="Arial" w:cs="Arial"/>
          <w:b/>
          <w:sz w:val="18"/>
          <w:szCs w:val="18"/>
        </w:rPr>
      </w:pPr>
    </w:p>
    <w:p w:rsidR="004C6A58" w:rsidRDefault="004C6A58" w:rsidP="0074228B">
      <w:pPr>
        <w:spacing w:after="0" w:line="240" w:lineRule="auto"/>
        <w:jc w:val="center"/>
        <w:rPr>
          <w:rFonts w:ascii="Arial" w:hAnsi="Arial" w:cs="Arial"/>
          <w:b/>
          <w:sz w:val="18"/>
          <w:szCs w:val="18"/>
        </w:rPr>
      </w:pPr>
    </w:p>
    <w:p w:rsidR="004C6A58" w:rsidRDefault="004C6A58" w:rsidP="0074228B">
      <w:pPr>
        <w:spacing w:after="0" w:line="240" w:lineRule="auto"/>
        <w:jc w:val="center"/>
        <w:rPr>
          <w:rFonts w:ascii="Arial" w:hAnsi="Arial" w:cs="Arial"/>
          <w:b/>
          <w:sz w:val="18"/>
          <w:szCs w:val="18"/>
        </w:rPr>
      </w:pPr>
    </w:p>
    <w:p w:rsidR="004C6A58" w:rsidRDefault="004C6A58" w:rsidP="0074228B">
      <w:pPr>
        <w:spacing w:after="0" w:line="240" w:lineRule="auto"/>
        <w:jc w:val="center"/>
        <w:rPr>
          <w:rFonts w:ascii="Arial" w:hAnsi="Arial" w:cs="Arial"/>
          <w:b/>
          <w:sz w:val="18"/>
          <w:szCs w:val="18"/>
        </w:rPr>
      </w:pPr>
    </w:p>
    <w:p w:rsidR="004C6A58" w:rsidRDefault="004C6A58" w:rsidP="0074228B">
      <w:pPr>
        <w:spacing w:after="0" w:line="240" w:lineRule="auto"/>
        <w:jc w:val="center"/>
        <w:rPr>
          <w:rFonts w:ascii="Arial" w:hAnsi="Arial" w:cs="Arial"/>
          <w:b/>
          <w:sz w:val="18"/>
          <w:szCs w:val="18"/>
        </w:rPr>
      </w:pPr>
    </w:p>
    <w:p w:rsidR="0074228B" w:rsidRDefault="0074228B" w:rsidP="0074228B">
      <w:pPr>
        <w:spacing w:after="0" w:line="240" w:lineRule="auto"/>
        <w:jc w:val="center"/>
        <w:rPr>
          <w:rFonts w:ascii="Arial" w:hAnsi="Arial" w:cs="Arial"/>
          <w:b/>
          <w:sz w:val="16"/>
          <w:szCs w:val="16"/>
        </w:rPr>
      </w:pPr>
      <w:r w:rsidRPr="004C6A58">
        <w:rPr>
          <w:rFonts w:ascii="Arial" w:hAnsi="Arial" w:cs="Arial"/>
          <w:b/>
          <w:sz w:val="16"/>
          <w:szCs w:val="16"/>
        </w:rPr>
        <w:t>Fuente: Consejo Superior de la Judicatura. Cálculos CGR DES-DJS. Fecha de Corte: Abril de 2014</w:t>
      </w:r>
    </w:p>
    <w:p w:rsidR="00170E87" w:rsidRPr="004C6A58" w:rsidRDefault="00170E87" w:rsidP="0074228B">
      <w:pPr>
        <w:spacing w:after="0" w:line="240" w:lineRule="auto"/>
        <w:jc w:val="center"/>
        <w:rPr>
          <w:rFonts w:ascii="Arial" w:hAnsi="Arial" w:cs="Arial"/>
          <w:b/>
          <w:sz w:val="16"/>
          <w:szCs w:val="16"/>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En el caso de la productividad por Juez</w:t>
      </w:r>
      <w:r w:rsidRPr="009427D5">
        <w:rPr>
          <w:rStyle w:val="Refdenotaalpie"/>
          <w:rFonts w:ascii="Arial" w:hAnsi="Arial" w:cs="Arial"/>
        </w:rPr>
        <w:footnoteReference w:id="28"/>
      </w:r>
      <w:r w:rsidRPr="009427D5">
        <w:rPr>
          <w:rFonts w:ascii="Arial" w:hAnsi="Arial" w:cs="Arial"/>
          <w:sz w:val="24"/>
          <w:szCs w:val="24"/>
        </w:rPr>
        <w:t xml:space="preserve"> aumentó 1,6%, al pasar de 538 egresos totales por Juez en 2010 a 547 en 2013. Mientras que la productividad efectiva por Juez</w:t>
      </w:r>
      <w:r w:rsidRPr="009427D5">
        <w:rPr>
          <w:rStyle w:val="Refdenotaalpie"/>
          <w:rFonts w:ascii="Arial" w:hAnsi="Arial" w:cs="Arial"/>
        </w:rPr>
        <w:footnoteReference w:id="29"/>
      </w:r>
      <w:r w:rsidRPr="009427D5">
        <w:rPr>
          <w:rFonts w:ascii="Arial" w:hAnsi="Arial" w:cs="Arial"/>
          <w:sz w:val="24"/>
          <w:szCs w:val="24"/>
        </w:rPr>
        <w:t xml:space="preserve"> disminuyó 2,3%, pues pasó de 450 egresos efectivos por Juez en 2010 a 440 en 2013. Ello demuestra que el nivel de productividad del sistema judicial, se ha mantenido casi igual durante los últimos cuatro años, siendo además muy inferior en comparación con la carga de trabajo, lo cual conlleva a que persista una alta acumulación de procesos a cargo de cada Juez, hecho que puede ocasionar efectos negativos sobre los tiempos y costos procesales.</w:t>
      </w:r>
    </w:p>
    <w:p w:rsidR="0074228B" w:rsidRPr="009427D5" w:rsidRDefault="0074228B" w:rsidP="0074228B">
      <w:pPr>
        <w:spacing w:after="0" w:line="240" w:lineRule="auto"/>
        <w:jc w:val="both"/>
        <w:rPr>
          <w:rFonts w:ascii="Arial" w:hAnsi="Arial" w:cs="Arial"/>
          <w:sz w:val="24"/>
          <w:szCs w:val="24"/>
        </w:rPr>
      </w:pPr>
    </w:p>
    <w:p w:rsidR="004C5432" w:rsidRPr="009427D5" w:rsidRDefault="0074228B" w:rsidP="004C5432">
      <w:pPr>
        <w:spacing w:after="0" w:line="240" w:lineRule="auto"/>
        <w:jc w:val="both"/>
        <w:rPr>
          <w:rFonts w:ascii="Arial" w:hAnsi="Arial" w:cs="Arial"/>
          <w:sz w:val="24"/>
          <w:szCs w:val="24"/>
        </w:rPr>
      </w:pPr>
      <w:r w:rsidRPr="009427D5">
        <w:rPr>
          <w:rFonts w:ascii="Arial" w:hAnsi="Arial" w:cs="Arial"/>
          <w:sz w:val="24"/>
          <w:szCs w:val="24"/>
        </w:rPr>
        <w:t>De acuerdo con lo anterior, se puede deducir que la mayor vinculación de personal juzgador no ha logrado mejorar la productividad del sistema judicial, mostrando la necesidad de continuar fortaleciendo las medidas implementadas en materia de infraestructura física y tecnológica en los despachos judiciales, simplificación de procedimientos, así como, el mejoramiento de los programas de formación y actualización del personal juzgador y de apoyo; ello con el propósito de reducir la brecha existente entre los niveles de</w:t>
      </w:r>
      <w:r w:rsidR="004C5432" w:rsidRPr="009427D5">
        <w:rPr>
          <w:rFonts w:ascii="Arial" w:hAnsi="Arial" w:cs="Arial"/>
          <w:sz w:val="24"/>
          <w:szCs w:val="24"/>
        </w:rPr>
        <w:t xml:space="preserve"> carga laboral y productividad.</w:t>
      </w:r>
    </w:p>
    <w:p w:rsidR="004C5432" w:rsidRPr="009427D5" w:rsidRDefault="004C5432" w:rsidP="004C5432">
      <w:pPr>
        <w:spacing w:after="0" w:line="240" w:lineRule="auto"/>
        <w:jc w:val="both"/>
        <w:rPr>
          <w:rFonts w:ascii="Arial" w:hAnsi="Arial" w:cs="Arial"/>
          <w:sz w:val="24"/>
          <w:szCs w:val="24"/>
        </w:rPr>
      </w:pPr>
    </w:p>
    <w:p w:rsidR="0074228B" w:rsidRPr="009427D5" w:rsidRDefault="00542DC0" w:rsidP="004C5432">
      <w:pPr>
        <w:spacing w:after="0" w:line="240" w:lineRule="auto"/>
        <w:jc w:val="both"/>
        <w:rPr>
          <w:rFonts w:ascii="Arial" w:hAnsi="Arial" w:cs="Arial"/>
          <w:i/>
          <w:sz w:val="24"/>
          <w:szCs w:val="24"/>
        </w:rPr>
      </w:pPr>
      <w:r w:rsidRPr="009427D5">
        <w:rPr>
          <w:rFonts w:ascii="Arial" w:hAnsi="Arial" w:cs="Arial"/>
          <w:i/>
          <w:sz w:val="24"/>
          <w:szCs w:val="24"/>
        </w:rPr>
        <w:t xml:space="preserve">2.2.1.3.1.1  </w:t>
      </w:r>
      <w:r w:rsidR="004C5432" w:rsidRPr="009427D5">
        <w:rPr>
          <w:rFonts w:ascii="Arial" w:hAnsi="Arial" w:cs="Arial"/>
          <w:i/>
          <w:sz w:val="24"/>
          <w:szCs w:val="24"/>
        </w:rPr>
        <w:t xml:space="preserve"> </w:t>
      </w:r>
      <w:r w:rsidR="0074228B" w:rsidRPr="009427D5">
        <w:rPr>
          <w:rFonts w:ascii="Arial" w:hAnsi="Arial" w:cs="Arial"/>
          <w:i/>
          <w:sz w:val="24"/>
          <w:szCs w:val="24"/>
        </w:rPr>
        <w:t>Indicadores por Especialidades</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 xml:space="preserve">Respecto al análisis por especialidades, se observa que en promedio 32,5% de los ingresos efectivos al sistema judicial colombiano, entre los años 2010 y 2013, correspondieron a procesos en materia penal, 26% en civil, 12% en promiscuo, </w:t>
      </w:r>
      <w:r w:rsidRPr="009427D5">
        <w:rPr>
          <w:rFonts w:ascii="Arial" w:hAnsi="Arial" w:cs="Arial"/>
          <w:sz w:val="24"/>
          <w:szCs w:val="24"/>
        </w:rPr>
        <w:lastRenderedPageBreak/>
        <w:t>10,2% en laboral, 9,6% en administrativo, 8% en familia y 1,6% en disciplinario. A continuación, se describe el comportamiento de los principales indicadores de gestión, entre ellos: ingresos efectivos, egresos efectivos, personal juzgador, carga laboral por Juez, productividad por Juez, índice de evacuación parcial efectivo e índice de congestión efectivo, para cada una de estas.</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En la especialidad penal, los ingresos efectivos aumentaron 15% al pasar de 753.684 procesos judiciales en 2010 a 868.192 en 2013, los egresos efectivos crecieron casi en la misma proporción (16%), al pasar de 691.532 a 801.265 procesos en el mismo período. Y en el área civil, los ingresos efectivos pasaron de 628.133 a 723.294 procesos, registrando un incremento de 15%, mientras las salidas efectivas crecieron 19% al pasar de 724.473 a 864.812.</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En los despachos promiscuos, el crecimiento de los ingresos efectivos fue de 12% al pasar de 288.976 procesos en 2010 a 324.645 en 2013. Por su parte, los egresos efectivos tuvieron un mayor crecimiento al alcanzar 15% (de 270.276 a 309.390). En el área administrativa, los ingresos efectivos pasaron de 214.677 en 2010 a 253.341 en 2013, mostrando un crecimiento de 18%, en cambio los egresos aumentaron en mayor medida (23%) al pasar de 174.608 a 214.175.</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En el área laboral, los ingresos efectivos pasaron de 222.788 procesos judiciales en el año 2010 a 270.752 en 2013 con un crecimiento de 23% y los egresos efectivos lo hicieron en una menor proporción (13%) al pasar de 204.543 a 230.267 procesos, lo cual incide negativamente sobre el nivel de congestión de esta especialidad. Por último, en el área de familia el aumento de los ingresos efectivos fue de 6%, mientras que el de los egresos efectivos fue 3%. Los primeros pasaron de 191.644 procesos en 2010 a 203.277 en 2013 y los segundos lo hicieron de 166.486 a 170.831 procesos respectivamente.</w:t>
      </w:r>
    </w:p>
    <w:p w:rsidR="0074228B" w:rsidRPr="009427D5" w:rsidRDefault="0074228B" w:rsidP="0074228B">
      <w:pPr>
        <w:spacing w:after="0" w:line="240" w:lineRule="auto"/>
        <w:jc w:val="both"/>
        <w:rPr>
          <w:rFonts w:ascii="Arial" w:hAnsi="Arial" w:cs="Arial"/>
          <w:sz w:val="24"/>
          <w:szCs w:val="24"/>
        </w:rPr>
      </w:pPr>
    </w:p>
    <w:p w:rsidR="0074228B" w:rsidRDefault="0074228B" w:rsidP="0074228B">
      <w:pPr>
        <w:spacing w:after="0" w:line="240" w:lineRule="auto"/>
        <w:jc w:val="both"/>
        <w:rPr>
          <w:rFonts w:ascii="Arial" w:hAnsi="Arial" w:cs="Arial"/>
          <w:sz w:val="24"/>
          <w:szCs w:val="24"/>
        </w:rPr>
      </w:pPr>
      <w:r w:rsidRPr="009427D5">
        <w:rPr>
          <w:rFonts w:ascii="Arial" w:hAnsi="Arial" w:cs="Arial"/>
          <w:sz w:val="24"/>
          <w:szCs w:val="24"/>
        </w:rPr>
        <w:t>Con relación al personal juzgador que se desempeña en cada una de las especialidades (Ver Gráfica 2), se encontró que en promedio anual, el mayor número estuvo dirigido al área penal (1.578 jueces y magistrados), seguido de promiscuo (1.344), civil (1.133), administrativo (593), laboral (561), familia (428) y disciplinario (74). Los mayores crecimientos en este aspecto, los tuvieron administrativo (45,2%) al pasar de 454 en 2010 a 659 en 2013 y civil que creció 44,8% al pasar de 864 a 1.252, ello como resultado de las medidas encaminadas a disminuir los altos niveles de inventarios en estas especialidades (como la creación de despachos de descongestión). Por el contrario, los menores crecimientos en personal juzgador, los registraron penal con 1,7% y familia con 8,5%.</w:t>
      </w:r>
    </w:p>
    <w:p w:rsidR="00170E87" w:rsidRDefault="00170E87" w:rsidP="0074228B">
      <w:pPr>
        <w:spacing w:after="0" w:line="240" w:lineRule="auto"/>
        <w:jc w:val="both"/>
        <w:rPr>
          <w:rFonts w:ascii="Arial" w:hAnsi="Arial" w:cs="Arial"/>
          <w:sz w:val="24"/>
          <w:szCs w:val="24"/>
        </w:rPr>
      </w:pPr>
    </w:p>
    <w:p w:rsidR="00170E87" w:rsidRDefault="00170E87"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center"/>
        <w:rPr>
          <w:rFonts w:ascii="Arial" w:hAnsi="Arial" w:cs="Arial"/>
          <w:b/>
          <w:sz w:val="20"/>
          <w:szCs w:val="20"/>
        </w:rPr>
      </w:pPr>
      <w:r w:rsidRPr="009427D5">
        <w:rPr>
          <w:rFonts w:ascii="Arial" w:hAnsi="Arial" w:cs="Arial"/>
          <w:b/>
          <w:sz w:val="20"/>
          <w:szCs w:val="20"/>
        </w:rPr>
        <w:lastRenderedPageBreak/>
        <w:t xml:space="preserve">Gráfica 2. Personal Juzgador. Rama Judicial 2010-2013 </w:t>
      </w:r>
    </w:p>
    <w:p w:rsidR="0074228B" w:rsidRPr="009427D5" w:rsidRDefault="0074228B" w:rsidP="0074228B">
      <w:pPr>
        <w:spacing w:after="0" w:line="240" w:lineRule="auto"/>
        <w:jc w:val="center"/>
        <w:rPr>
          <w:rFonts w:ascii="Arial" w:hAnsi="Arial" w:cs="Arial"/>
          <w:b/>
          <w:sz w:val="20"/>
          <w:szCs w:val="20"/>
        </w:rPr>
      </w:pPr>
      <w:r w:rsidRPr="009427D5">
        <w:rPr>
          <w:rFonts w:ascii="Arial" w:hAnsi="Arial" w:cs="Arial"/>
          <w:b/>
          <w:sz w:val="20"/>
          <w:szCs w:val="20"/>
        </w:rPr>
        <w:t>(Por Especialidades)</w:t>
      </w:r>
    </w:p>
    <w:p w:rsidR="0074228B" w:rsidRPr="009427D5" w:rsidRDefault="0074228B" w:rsidP="0074228B">
      <w:pPr>
        <w:spacing w:after="0" w:line="240" w:lineRule="auto"/>
        <w:jc w:val="center"/>
        <w:rPr>
          <w:rFonts w:ascii="Arial" w:hAnsi="Arial" w:cs="Arial"/>
          <w:sz w:val="24"/>
          <w:szCs w:val="24"/>
        </w:rPr>
      </w:pPr>
      <w:r w:rsidRPr="009427D5">
        <w:rPr>
          <w:rFonts w:ascii="Arial" w:hAnsi="Arial" w:cs="Arial"/>
          <w:noProof/>
          <w:sz w:val="24"/>
          <w:szCs w:val="24"/>
          <w:highlight w:val="black"/>
          <w:lang w:eastAsia="es-CO"/>
        </w:rPr>
        <w:drawing>
          <wp:inline distT="0" distB="0" distL="0" distR="0" wp14:anchorId="684009FA" wp14:editId="7BCBB50D">
            <wp:extent cx="2865120" cy="1996440"/>
            <wp:effectExtent l="0" t="0" r="0" b="3810"/>
            <wp:docPr id="13" name="Imagen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
                    <pic:cNvPicPr>
                      <a:picLocks noChangeArrowheads="1"/>
                    </pic:cNvPicPr>
                  </pic:nvPicPr>
                  <pic:blipFill>
                    <a:blip r:embed="rId11">
                      <a:extLst>
                        <a:ext uri="{28A0092B-C50C-407E-A947-70E740481C1C}">
                          <a14:useLocalDpi xmlns:a14="http://schemas.microsoft.com/office/drawing/2010/main" val="0"/>
                        </a:ext>
                      </a:extLst>
                    </a:blip>
                    <a:srcRect b="-99"/>
                    <a:stretch>
                      <a:fillRect/>
                    </a:stretch>
                  </pic:blipFill>
                  <pic:spPr bwMode="auto">
                    <a:xfrm>
                      <a:off x="0" y="0"/>
                      <a:ext cx="2863152" cy="1995069"/>
                    </a:xfrm>
                    <a:prstGeom prst="rect">
                      <a:avLst/>
                    </a:prstGeom>
                    <a:noFill/>
                    <a:ln>
                      <a:noFill/>
                    </a:ln>
                  </pic:spPr>
                </pic:pic>
              </a:graphicData>
            </a:graphic>
          </wp:inline>
        </w:drawing>
      </w:r>
    </w:p>
    <w:p w:rsidR="0074228B" w:rsidRPr="004C6A58" w:rsidRDefault="0074228B" w:rsidP="0074228B">
      <w:pPr>
        <w:spacing w:after="0" w:line="240" w:lineRule="auto"/>
        <w:jc w:val="center"/>
        <w:rPr>
          <w:rFonts w:ascii="Arial" w:hAnsi="Arial" w:cs="Arial"/>
          <w:b/>
          <w:sz w:val="16"/>
          <w:szCs w:val="16"/>
        </w:rPr>
      </w:pPr>
      <w:r w:rsidRPr="004C6A58">
        <w:rPr>
          <w:rFonts w:ascii="Arial" w:hAnsi="Arial" w:cs="Arial"/>
          <w:b/>
          <w:sz w:val="16"/>
          <w:szCs w:val="16"/>
        </w:rPr>
        <w:t>Fuente: Consejo Superior de la Judicatura. Cálculos CGR DES-DJS. Fecha de Corte: Abril de 2014</w:t>
      </w:r>
    </w:p>
    <w:p w:rsidR="0074228B" w:rsidRPr="004C6A58" w:rsidRDefault="0074228B" w:rsidP="0074228B">
      <w:pPr>
        <w:spacing w:after="0" w:line="240" w:lineRule="auto"/>
        <w:jc w:val="both"/>
        <w:rPr>
          <w:rFonts w:ascii="Arial" w:hAnsi="Arial" w:cs="Arial"/>
          <w:sz w:val="16"/>
          <w:szCs w:val="16"/>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De otro lado, respecto a la carga laboral por Juez (Ver Gráfica 3.), el área civil  mostró un promedio anual de 1.978 procesos, seguido de disciplinario (1.056), administrativo (874), laboral (870), familia (821), penal (780) y promiscuo (416), siendo niveles de trabajo bastante altos para el personal juzgador y que pueden incidir negativamente en la obtención de tiempos procesales razonables. En cuanto a sus diferencias obedecen a los niveles de inventarios iniciales y al ritmo de ingresos registrado antes del 2010, así como, a la complejidad de los procesos y dinámicas de trabajo propias de cada una de las especialidades.</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Debe mencionarse que con excepción de disciplinaria y penal, la mayoría de especialidades tuvieron una disminución considerable de la carga laboral por Juez. En penal creció 11% al pasar de 761 procesos por Juez en 2010 a 847 en 2013 y en disciplinaria aumentó 6% al pasar de 1.028 procesos por Juez a 1.084, en ambos casos como resultado de un mayor ritmo de ingresos (efectivos y no efectivos).</w:t>
      </w:r>
    </w:p>
    <w:p w:rsidR="0074228B" w:rsidRPr="009427D5" w:rsidRDefault="0074228B" w:rsidP="0074228B">
      <w:pPr>
        <w:spacing w:after="0" w:line="240" w:lineRule="auto"/>
        <w:jc w:val="both"/>
        <w:rPr>
          <w:rFonts w:ascii="Arial" w:hAnsi="Arial" w:cs="Arial"/>
          <w:sz w:val="24"/>
          <w:szCs w:val="24"/>
        </w:rPr>
      </w:pPr>
    </w:p>
    <w:p w:rsidR="0074228B" w:rsidRDefault="0074228B" w:rsidP="0074228B">
      <w:pPr>
        <w:spacing w:after="0" w:line="240" w:lineRule="auto"/>
        <w:jc w:val="both"/>
        <w:rPr>
          <w:rFonts w:ascii="Arial" w:hAnsi="Arial" w:cs="Arial"/>
          <w:sz w:val="24"/>
          <w:szCs w:val="24"/>
        </w:rPr>
      </w:pPr>
      <w:r w:rsidRPr="009427D5">
        <w:rPr>
          <w:rFonts w:ascii="Arial" w:hAnsi="Arial" w:cs="Arial"/>
          <w:sz w:val="24"/>
          <w:szCs w:val="24"/>
        </w:rPr>
        <w:t>En contraste, en la especialidad civil disminuyó 39% al pasar de 2.623 procesos por Juez a 1.598, en administrativa 27% al pasar de 1.010 a 742 y en laboral 16% al pasar de 972 a 817, lo anterior refleja un mayor aumento en el personal juzgador en comparación con la variación en los inventarios iniciales e ingresos de procesos judiciales, hecho que mejora sus condiciones de trabajo y posiblemente favorecería una disminución en los tiempos procesales.</w:t>
      </w:r>
    </w:p>
    <w:p w:rsidR="00170E87" w:rsidRDefault="00170E87" w:rsidP="0074228B">
      <w:pPr>
        <w:spacing w:after="0" w:line="240" w:lineRule="auto"/>
        <w:jc w:val="both"/>
        <w:rPr>
          <w:rFonts w:ascii="Arial" w:hAnsi="Arial" w:cs="Arial"/>
          <w:sz w:val="24"/>
          <w:szCs w:val="24"/>
        </w:rPr>
      </w:pPr>
    </w:p>
    <w:p w:rsidR="00170E87" w:rsidRDefault="00170E87" w:rsidP="0074228B">
      <w:pPr>
        <w:spacing w:after="0" w:line="240" w:lineRule="auto"/>
        <w:jc w:val="both"/>
        <w:rPr>
          <w:rFonts w:ascii="Arial" w:hAnsi="Arial" w:cs="Arial"/>
          <w:sz w:val="24"/>
          <w:szCs w:val="24"/>
        </w:rPr>
      </w:pPr>
    </w:p>
    <w:p w:rsidR="00170E87" w:rsidRDefault="00170E87" w:rsidP="0074228B">
      <w:pPr>
        <w:spacing w:after="0" w:line="240" w:lineRule="auto"/>
        <w:jc w:val="both"/>
        <w:rPr>
          <w:rFonts w:ascii="Arial" w:hAnsi="Arial" w:cs="Arial"/>
          <w:sz w:val="24"/>
          <w:szCs w:val="24"/>
        </w:rPr>
      </w:pPr>
    </w:p>
    <w:p w:rsidR="00170E87" w:rsidRDefault="00170E87" w:rsidP="0074228B">
      <w:pPr>
        <w:spacing w:after="0" w:line="240" w:lineRule="auto"/>
        <w:jc w:val="both"/>
        <w:rPr>
          <w:rFonts w:ascii="Arial" w:hAnsi="Arial" w:cs="Arial"/>
          <w:sz w:val="24"/>
          <w:szCs w:val="24"/>
        </w:rPr>
      </w:pPr>
    </w:p>
    <w:p w:rsidR="00170E87" w:rsidRDefault="00170E87" w:rsidP="0074228B">
      <w:pPr>
        <w:spacing w:after="0" w:line="240" w:lineRule="auto"/>
        <w:jc w:val="both"/>
        <w:rPr>
          <w:rFonts w:ascii="Arial" w:hAnsi="Arial" w:cs="Arial"/>
          <w:sz w:val="24"/>
          <w:szCs w:val="24"/>
        </w:rPr>
      </w:pPr>
    </w:p>
    <w:p w:rsidR="00170E87" w:rsidRPr="009427D5" w:rsidRDefault="00170E87"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center"/>
        <w:rPr>
          <w:rFonts w:ascii="Arial" w:hAnsi="Arial" w:cs="Arial"/>
          <w:b/>
          <w:sz w:val="20"/>
          <w:szCs w:val="20"/>
        </w:rPr>
      </w:pPr>
      <w:r w:rsidRPr="009427D5">
        <w:rPr>
          <w:rFonts w:ascii="Arial" w:hAnsi="Arial" w:cs="Arial"/>
          <w:b/>
          <w:sz w:val="20"/>
          <w:szCs w:val="20"/>
        </w:rPr>
        <w:lastRenderedPageBreak/>
        <w:t xml:space="preserve">Gráfica 3. Carga Laboral por Juez. Rama Judicial 2010-2013 </w:t>
      </w:r>
    </w:p>
    <w:p w:rsidR="0074228B" w:rsidRPr="009427D5" w:rsidRDefault="0074228B" w:rsidP="0074228B">
      <w:pPr>
        <w:spacing w:after="0" w:line="240" w:lineRule="auto"/>
        <w:jc w:val="center"/>
        <w:rPr>
          <w:rFonts w:ascii="Arial" w:hAnsi="Arial" w:cs="Arial"/>
          <w:b/>
          <w:sz w:val="20"/>
          <w:szCs w:val="20"/>
        </w:rPr>
      </w:pPr>
      <w:r w:rsidRPr="009427D5">
        <w:rPr>
          <w:rFonts w:ascii="Arial" w:hAnsi="Arial" w:cs="Arial"/>
          <w:b/>
          <w:sz w:val="20"/>
          <w:szCs w:val="20"/>
        </w:rPr>
        <w:t>(Por Especialidades)</w:t>
      </w:r>
    </w:p>
    <w:p w:rsidR="0074228B" w:rsidRPr="009427D5" w:rsidRDefault="0074228B" w:rsidP="0074228B">
      <w:pPr>
        <w:spacing w:after="0" w:line="240" w:lineRule="auto"/>
        <w:jc w:val="center"/>
        <w:rPr>
          <w:rFonts w:ascii="Arial" w:hAnsi="Arial" w:cs="Arial"/>
          <w:sz w:val="24"/>
          <w:szCs w:val="24"/>
        </w:rPr>
      </w:pPr>
      <w:r w:rsidRPr="009427D5">
        <w:rPr>
          <w:rFonts w:ascii="Arial" w:hAnsi="Arial" w:cs="Arial"/>
          <w:noProof/>
          <w:sz w:val="24"/>
          <w:szCs w:val="24"/>
          <w:lang w:eastAsia="es-CO"/>
        </w:rPr>
        <w:drawing>
          <wp:inline distT="0" distB="0" distL="0" distR="0" wp14:anchorId="50EDAFE1" wp14:editId="498123D4">
            <wp:extent cx="2556164" cy="2105891"/>
            <wp:effectExtent l="0" t="0" r="15875" b="27940"/>
            <wp:docPr id="12" name="Gráfico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4228B" w:rsidRPr="00E814EB" w:rsidRDefault="0074228B" w:rsidP="0074228B">
      <w:pPr>
        <w:spacing w:after="0" w:line="240" w:lineRule="auto"/>
        <w:jc w:val="center"/>
        <w:rPr>
          <w:rFonts w:ascii="Arial" w:hAnsi="Arial" w:cs="Arial"/>
          <w:b/>
          <w:sz w:val="16"/>
          <w:szCs w:val="16"/>
        </w:rPr>
      </w:pPr>
      <w:r w:rsidRPr="00E814EB">
        <w:rPr>
          <w:rFonts w:ascii="Arial" w:hAnsi="Arial" w:cs="Arial"/>
          <w:b/>
          <w:sz w:val="16"/>
          <w:szCs w:val="16"/>
        </w:rPr>
        <w:t>Fuente: Consejo Superior de la Judicatura. Cálculos CGR DES-DJS. Fecha de Corte: Abril de 2014</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Con respecto a la productividad efectiva por Juez, el mayor promedio anual durante el periodo revisado fue para la especialidad civil con 592 procesos por Juez, seguida por disciplinaria (487), penal (458), laboral (399), familia (379), administrativa (345) y promiscuo (202), niveles que si bien son importantes resultan muy inferiores en comparación a las cargas laborales por Juez, por lo cual, existe el riesgo de una mayor acumulación de procesos en los despachos. En relación con sus diferencias son explicadas por el crecimiento de los egresos y la complejidad y tiempos procesales propios de cada especialidad.</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Vale resaltar que la especialidad con mayor crecimiento en su productividad efectiva fue penal con 14%, pues pasó de 449 procesos por Juez en 2010 a 512 en 2013, seguido de disciplinario con 9% al pasar de 463 a 506 y promiscuo con 1% al hacerlo de 219 a 221 (Ver Gráfica 4.), en el caso de penal constituye un incremento significativo y que refleja las medidas adoptadas por la Rama Judicial (despachos de descongestión, oralidad y modelos de gestión).</w:t>
      </w:r>
    </w:p>
    <w:p w:rsidR="0074228B" w:rsidRPr="009427D5" w:rsidRDefault="0074228B" w:rsidP="0074228B">
      <w:pPr>
        <w:spacing w:after="0" w:line="240" w:lineRule="auto"/>
        <w:jc w:val="both"/>
        <w:rPr>
          <w:rFonts w:ascii="Arial" w:hAnsi="Arial" w:cs="Arial"/>
          <w:sz w:val="24"/>
          <w:szCs w:val="24"/>
        </w:rPr>
      </w:pPr>
    </w:p>
    <w:p w:rsidR="0074228B" w:rsidRDefault="0074228B" w:rsidP="0074228B">
      <w:pPr>
        <w:spacing w:after="0" w:line="240" w:lineRule="auto"/>
        <w:jc w:val="both"/>
        <w:rPr>
          <w:rFonts w:ascii="Arial" w:hAnsi="Arial" w:cs="Arial"/>
          <w:sz w:val="24"/>
          <w:szCs w:val="24"/>
        </w:rPr>
      </w:pPr>
      <w:r w:rsidRPr="009427D5">
        <w:rPr>
          <w:rFonts w:ascii="Arial" w:hAnsi="Arial" w:cs="Arial"/>
          <w:sz w:val="24"/>
          <w:szCs w:val="24"/>
        </w:rPr>
        <w:t>Por otro lado, este indicador disminuyó en la especialidad civil 18% pues pasó de 839 procesos por Juez en 2010 a 691 en 2013, en administrativa 16% al hacerlo de 385 a 325, en laboral 12% al pasar de 448 a 393 y en familia 5% al disminuir de 414 a 392. En dichas especialidades, el crecimiento del personal juzgador fue mayor al de los egresos efectivos, mostrando que no ha sido una medida suficiente para mejorar este indicador.</w:t>
      </w:r>
    </w:p>
    <w:p w:rsidR="00170E87" w:rsidRDefault="00170E87" w:rsidP="0074228B">
      <w:pPr>
        <w:spacing w:after="0" w:line="240" w:lineRule="auto"/>
        <w:jc w:val="both"/>
        <w:rPr>
          <w:rFonts w:ascii="Arial" w:hAnsi="Arial" w:cs="Arial"/>
          <w:sz w:val="24"/>
          <w:szCs w:val="24"/>
        </w:rPr>
      </w:pPr>
    </w:p>
    <w:p w:rsidR="00170E87" w:rsidRDefault="00170E87" w:rsidP="0074228B">
      <w:pPr>
        <w:spacing w:after="0" w:line="240" w:lineRule="auto"/>
        <w:jc w:val="both"/>
        <w:rPr>
          <w:rFonts w:ascii="Arial" w:hAnsi="Arial" w:cs="Arial"/>
          <w:sz w:val="24"/>
          <w:szCs w:val="24"/>
        </w:rPr>
      </w:pPr>
    </w:p>
    <w:p w:rsidR="00170E87" w:rsidRDefault="00170E87" w:rsidP="0074228B">
      <w:pPr>
        <w:spacing w:after="0" w:line="240" w:lineRule="auto"/>
        <w:jc w:val="both"/>
        <w:rPr>
          <w:rFonts w:ascii="Arial" w:hAnsi="Arial" w:cs="Arial"/>
          <w:sz w:val="24"/>
          <w:szCs w:val="24"/>
        </w:rPr>
      </w:pPr>
    </w:p>
    <w:p w:rsidR="00170E87" w:rsidRDefault="00170E87" w:rsidP="0074228B">
      <w:pPr>
        <w:spacing w:after="0" w:line="240" w:lineRule="auto"/>
        <w:jc w:val="both"/>
        <w:rPr>
          <w:rFonts w:ascii="Arial" w:hAnsi="Arial" w:cs="Arial"/>
          <w:sz w:val="24"/>
          <w:szCs w:val="24"/>
        </w:rPr>
      </w:pPr>
    </w:p>
    <w:p w:rsidR="00170E87" w:rsidRPr="009427D5" w:rsidRDefault="00170E87"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center"/>
        <w:rPr>
          <w:rFonts w:ascii="Arial" w:hAnsi="Arial" w:cs="Arial"/>
          <w:b/>
          <w:sz w:val="20"/>
          <w:szCs w:val="20"/>
        </w:rPr>
      </w:pPr>
      <w:r w:rsidRPr="009427D5">
        <w:rPr>
          <w:rFonts w:ascii="Arial" w:hAnsi="Arial" w:cs="Arial"/>
          <w:b/>
          <w:sz w:val="20"/>
          <w:szCs w:val="20"/>
        </w:rPr>
        <w:lastRenderedPageBreak/>
        <w:t xml:space="preserve">Gráfica 4. Productividad Efectiva por Juez. Rama Judicial 2010-2013 </w:t>
      </w:r>
    </w:p>
    <w:p w:rsidR="0074228B" w:rsidRPr="009427D5" w:rsidRDefault="0074228B" w:rsidP="0074228B">
      <w:pPr>
        <w:spacing w:after="0" w:line="240" w:lineRule="auto"/>
        <w:jc w:val="center"/>
        <w:rPr>
          <w:rFonts w:ascii="Arial" w:hAnsi="Arial" w:cs="Arial"/>
          <w:sz w:val="20"/>
          <w:szCs w:val="20"/>
        </w:rPr>
      </w:pPr>
      <w:r w:rsidRPr="009427D5">
        <w:rPr>
          <w:rFonts w:ascii="Arial" w:hAnsi="Arial" w:cs="Arial"/>
          <w:b/>
          <w:sz w:val="20"/>
          <w:szCs w:val="20"/>
        </w:rPr>
        <w:t>(Por Especialidades)</w:t>
      </w:r>
    </w:p>
    <w:p w:rsidR="00E814EB" w:rsidRDefault="00E814EB" w:rsidP="0074228B">
      <w:pPr>
        <w:spacing w:after="0" w:line="240" w:lineRule="auto"/>
        <w:jc w:val="center"/>
        <w:rPr>
          <w:rFonts w:ascii="Arial" w:hAnsi="Arial" w:cs="Arial"/>
          <w:b/>
          <w:sz w:val="18"/>
          <w:szCs w:val="18"/>
        </w:rPr>
      </w:pPr>
      <w:r w:rsidRPr="009427D5">
        <w:rPr>
          <w:rFonts w:ascii="Arial" w:hAnsi="Arial" w:cs="Arial"/>
          <w:noProof/>
          <w:sz w:val="24"/>
          <w:szCs w:val="24"/>
          <w:lang w:eastAsia="es-CO"/>
        </w:rPr>
        <w:drawing>
          <wp:anchor distT="0" distB="0" distL="114300" distR="114300" simplePos="0" relativeHeight="251659264" behindDoc="0" locked="0" layoutInCell="1" allowOverlap="1" wp14:anchorId="7A4854BA" wp14:editId="43E7662C">
            <wp:simplePos x="0" y="0"/>
            <wp:positionH relativeFrom="column">
              <wp:posOffset>1828165</wp:posOffset>
            </wp:positionH>
            <wp:positionV relativeFrom="paragraph">
              <wp:posOffset>128270</wp:posOffset>
            </wp:positionV>
            <wp:extent cx="2327275" cy="2091690"/>
            <wp:effectExtent l="0" t="0" r="15875" b="22860"/>
            <wp:wrapSquare wrapText="bothSides"/>
            <wp:docPr id="11" name="Gráfico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E814EB" w:rsidRDefault="00E814EB" w:rsidP="0074228B">
      <w:pPr>
        <w:spacing w:after="0" w:line="240" w:lineRule="auto"/>
        <w:jc w:val="center"/>
        <w:rPr>
          <w:rFonts w:ascii="Arial" w:hAnsi="Arial" w:cs="Arial"/>
          <w:b/>
          <w:sz w:val="18"/>
          <w:szCs w:val="18"/>
        </w:rPr>
      </w:pPr>
    </w:p>
    <w:p w:rsidR="00E814EB" w:rsidRDefault="00E814EB" w:rsidP="0074228B">
      <w:pPr>
        <w:spacing w:after="0" w:line="240" w:lineRule="auto"/>
        <w:jc w:val="center"/>
        <w:rPr>
          <w:rFonts w:ascii="Arial" w:hAnsi="Arial" w:cs="Arial"/>
          <w:b/>
          <w:sz w:val="18"/>
          <w:szCs w:val="18"/>
        </w:rPr>
      </w:pPr>
    </w:p>
    <w:p w:rsidR="00E814EB" w:rsidRDefault="00E814EB" w:rsidP="0074228B">
      <w:pPr>
        <w:spacing w:after="0" w:line="240" w:lineRule="auto"/>
        <w:jc w:val="center"/>
        <w:rPr>
          <w:rFonts w:ascii="Arial" w:hAnsi="Arial" w:cs="Arial"/>
          <w:b/>
          <w:sz w:val="18"/>
          <w:szCs w:val="18"/>
        </w:rPr>
      </w:pPr>
    </w:p>
    <w:p w:rsidR="00E814EB" w:rsidRDefault="00E814EB" w:rsidP="0074228B">
      <w:pPr>
        <w:spacing w:after="0" w:line="240" w:lineRule="auto"/>
        <w:jc w:val="center"/>
        <w:rPr>
          <w:rFonts w:ascii="Arial" w:hAnsi="Arial" w:cs="Arial"/>
          <w:b/>
          <w:sz w:val="18"/>
          <w:szCs w:val="18"/>
        </w:rPr>
      </w:pPr>
    </w:p>
    <w:p w:rsidR="00E814EB" w:rsidRDefault="00E814EB" w:rsidP="0074228B">
      <w:pPr>
        <w:spacing w:after="0" w:line="240" w:lineRule="auto"/>
        <w:jc w:val="center"/>
        <w:rPr>
          <w:rFonts w:ascii="Arial" w:hAnsi="Arial" w:cs="Arial"/>
          <w:b/>
          <w:sz w:val="18"/>
          <w:szCs w:val="18"/>
        </w:rPr>
      </w:pPr>
    </w:p>
    <w:p w:rsidR="00E814EB" w:rsidRDefault="00E814EB" w:rsidP="0074228B">
      <w:pPr>
        <w:spacing w:after="0" w:line="240" w:lineRule="auto"/>
        <w:jc w:val="center"/>
        <w:rPr>
          <w:rFonts w:ascii="Arial" w:hAnsi="Arial" w:cs="Arial"/>
          <w:b/>
          <w:sz w:val="18"/>
          <w:szCs w:val="18"/>
        </w:rPr>
      </w:pPr>
    </w:p>
    <w:p w:rsidR="00E814EB" w:rsidRDefault="00E814EB" w:rsidP="0074228B">
      <w:pPr>
        <w:spacing w:after="0" w:line="240" w:lineRule="auto"/>
        <w:jc w:val="center"/>
        <w:rPr>
          <w:rFonts w:ascii="Arial" w:hAnsi="Arial" w:cs="Arial"/>
          <w:b/>
          <w:sz w:val="18"/>
          <w:szCs w:val="18"/>
        </w:rPr>
      </w:pPr>
    </w:p>
    <w:p w:rsidR="00E814EB" w:rsidRDefault="00E814EB" w:rsidP="0074228B">
      <w:pPr>
        <w:spacing w:after="0" w:line="240" w:lineRule="auto"/>
        <w:jc w:val="center"/>
        <w:rPr>
          <w:rFonts w:ascii="Arial" w:hAnsi="Arial" w:cs="Arial"/>
          <w:b/>
          <w:sz w:val="18"/>
          <w:szCs w:val="18"/>
        </w:rPr>
      </w:pPr>
    </w:p>
    <w:p w:rsidR="00E814EB" w:rsidRDefault="00E814EB" w:rsidP="0074228B">
      <w:pPr>
        <w:spacing w:after="0" w:line="240" w:lineRule="auto"/>
        <w:jc w:val="center"/>
        <w:rPr>
          <w:rFonts w:ascii="Arial" w:hAnsi="Arial" w:cs="Arial"/>
          <w:b/>
          <w:sz w:val="18"/>
          <w:szCs w:val="18"/>
        </w:rPr>
      </w:pPr>
    </w:p>
    <w:p w:rsidR="00E814EB" w:rsidRDefault="00E814EB" w:rsidP="0074228B">
      <w:pPr>
        <w:spacing w:after="0" w:line="240" w:lineRule="auto"/>
        <w:jc w:val="center"/>
        <w:rPr>
          <w:rFonts w:ascii="Arial" w:hAnsi="Arial" w:cs="Arial"/>
          <w:b/>
          <w:sz w:val="18"/>
          <w:szCs w:val="18"/>
        </w:rPr>
      </w:pPr>
    </w:p>
    <w:p w:rsidR="00E814EB" w:rsidRDefault="00E814EB" w:rsidP="0074228B">
      <w:pPr>
        <w:spacing w:after="0" w:line="240" w:lineRule="auto"/>
        <w:jc w:val="center"/>
        <w:rPr>
          <w:rFonts w:ascii="Arial" w:hAnsi="Arial" w:cs="Arial"/>
          <w:b/>
          <w:sz w:val="18"/>
          <w:szCs w:val="18"/>
        </w:rPr>
      </w:pPr>
    </w:p>
    <w:p w:rsidR="00E814EB" w:rsidRDefault="00E814EB" w:rsidP="0074228B">
      <w:pPr>
        <w:spacing w:after="0" w:line="240" w:lineRule="auto"/>
        <w:jc w:val="center"/>
        <w:rPr>
          <w:rFonts w:ascii="Arial" w:hAnsi="Arial" w:cs="Arial"/>
          <w:b/>
          <w:sz w:val="18"/>
          <w:szCs w:val="18"/>
        </w:rPr>
      </w:pPr>
    </w:p>
    <w:p w:rsidR="00E814EB" w:rsidRDefault="00E814EB" w:rsidP="0074228B">
      <w:pPr>
        <w:spacing w:after="0" w:line="240" w:lineRule="auto"/>
        <w:jc w:val="center"/>
        <w:rPr>
          <w:rFonts w:ascii="Arial" w:hAnsi="Arial" w:cs="Arial"/>
          <w:b/>
          <w:sz w:val="18"/>
          <w:szCs w:val="18"/>
        </w:rPr>
      </w:pPr>
    </w:p>
    <w:p w:rsidR="00E814EB" w:rsidRDefault="00E814EB" w:rsidP="0074228B">
      <w:pPr>
        <w:spacing w:after="0" w:line="240" w:lineRule="auto"/>
        <w:jc w:val="center"/>
        <w:rPr>
          <w:rFonts w:ascii="Arial" w:hAnsi="Arial" w:cs="Arial"/>
          <w:b/>
          <w:sz w:val="18"/>
          <w:szCs w:val="18"/>
        </w:rPr>
      </w:pPr>
    </w:p>
    <w:p w:rsidR="00E814EB" w:rsidRDefault="00E814EB" w:rsidP="0074228B">
      <w:pPr>
        <w:spacing w:after="0" w:line="240" w:lineRule="auto"/>
        <w:jc w:val="center"/>
        <w:rPr>
          <w:rFonts w:ascii="Arial" w:hAnsi="Arial" w:cs="Arial"/>
          <w:b/>
          <w:sz w:val="18"/>
          <w:szCs w:val="18"/>
        </w:rPr>
      </w:pPr>
    </w:p>
    <w:p w:rsidR="00E814EB" w:rsidRDefault="00E814EB" w:rsidP="0074228B">
      <w:pPr>
        <w:spacing w:after="0" w:line="240" w:lineRule="auto"/>
        <w:jc w:val="center"/>
        <w:rPr>
          <w:rFonts w:ascii="Arial" w:hAnsi="Arial" w:cs="Arial"/>
          <w:b/>
          <w:sz w:val="18"/>
          <w:szCs w:val="18"/>
        </w:rPr>
      </w:pPr>
    </w:p>
    <w:p w:rsidR="00E814EB" w:rsidRDefault="00E814EB" w:rsidP="0074228B">
      <w:pPr>
        <w:spacing w:after="0" w:line="240" w:lineRule="auto"/>
        <w:jc w:val="center"/>
        <w:rPr>
          <w:rFonts w:ascii="Arial" w:hAnsi="Arial" w:cs="Arial"/>
          <w:b/>
          <w:sz w:val="18"/>
          <w:szCs w:val="18"/>
        </w:rPr>
      </w:pPr>
    </w:p>
    <w:p w:rsidR="0074228B" w:rsidRPr="009427D5" w:rsidRDefault="0074228B" w:rsidP="0074228B">
      <w:pPr>
        <w:spacing w:after="0" w:line="240" w:lineRule="auto"/>
        <w:jc w:val="center"/>
        <w:rPr>
          <w:rFonts w:ascii="Arial" w:hAnsi="Arial" w:cs="Arial"/>
          <w:b/>
          <w:sz w:val="18"/>
          <w:szCs w:val="18"/>
        </w:rPr>
      </w:pPr>
      <w:r w:rsidRPr="009427D5">
        <w:rPr>
          <w:rFonts w:ascii="Arial" w:hAnsi="Arial" w:cs="Arial"/>
          <w:b/>
          <w:sz w:val="18"/>
          <w:szCs w:val="18"/>
        </w:rPr>
        <w:t>Fuente: Consejo Superior de la Judicatura. Cálculos CGR DES-DJS. Fecha de Corte: Abril de 2014</w:t>
      </w:r>
    </w:p>
    <w:p w:rsidR="0074228B" w:rsidRPr="009427D5" w:rsidRDefault="0074228B" w:rsidP="0074228B">
      <w:pPr>
        <w:spacing w:after="0" w:line="240" w:lineRule="auto"/>
        <w:ind w:left="708" w:hanging="708"/>
        <w:rPr>
          <w:rFonts w:ascii="Arial" w:hAnsi="Arial" w:cs="Arial"/>
          <w:sz w:val="24"/>
          <w:szCs w:val="24"/>
        </w:rPr>
      </w:pPr>
    </w:p>
    <w:p w:rsidR="0074228B" w:rsidRDefault="0074228B" w:rsidP="0074228B">
      <w:pPr>
        <w:spacing w:after="0" w:line="240" w:lineRule="auto"/>
        <w:jc w:val="both"/>
        <w:rPr>
          <w:rFonts w:ascii="Arial" w:hAnsi="Arial" w:cs="Arial"/>
          <w:sz w:val="24"/>
          <w:szCs w:val="24"/>
        </w:rPr>
      </w:pPr>
      <w:r w:rsidRPr="009427D5">
        <w:rPr>
          <w:rFonts w:ascii="Arial" w:hAnsi="Arial" w:cs="Arial"/>
          <w:sz w:val="24"/>
          <w:szCs w:val="24"/>
        </w:rPr>
        <w:t>De otra parte, el mayor índice de evacuación parcial efectivo durante el período analizado, fue para la especialidad civil con un promedio anual de 122%, seguida de promiscuo (93%), penal (91%), disciplinario (89,7%), laboral (89,4%), administrativo (87%) y familia (83%), ello evidencia que en la mayoría de las especialidades, los egresos efectivos han sido inferiores a los ingresos efectivos, generando la posibilidad de acumulación de procesos.</w:t>
      </w:r>
    </w:p>
    <w:p w:rsidR="00170E87" w:rsidRPr="009427D5" w:rsidRDefault="00170E87"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 xml:space="preserve">En cuanto a las variaciones del índice, el mayor crecimiento fue para la especialidad disciplinaria que registró un aumento de 10 puntos porcentuales (p.p.) al pasar de 83% en el año 2010 a 93% en 2013, le siguen civil con 4 p.p., administrativo con 3 p.p., promiscuo con 2% y penal con 0,5 p.p., mostrando un mayor crecimiento de sus egresos efectivos y por ende, una cierta mejora en su desempeño. </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Por el contrario, las especialidades en donde el indicador disminuyó fueron laboral con 7 p.p., al pasar de 92% en 2010 a 85% en 2013 y familia con 3 p.p., de 87% a 84%, en ambos casos como resultado de un crecimiento superior en los ingresos efectivos, que a su vez refleja una mayor demanda de servicios de justicia por parte de los ciudadanos (</w:t>
      </w:r>
      <w:r w:rsidR="008A059D" w:rsidRPr="009427D5">
        <w:rPr>
          <w:rFonts w:ascii="Arial" w:hAnsi="Arial" w:cs="Arial"/>
          <w:sz w:val="24"/>
          <w:szCs w:val="24"/>
        </w:rPr>
        <w:t xml:space="preserve">Ver </w:t>
      </w:r>
      <w:r w:rsidRPr="009427D5">
        <w:rPr>
          <w:rFonts w:ascii="Arial" w:hAnsi="Arial" w:cs="Arial"/>
          <w:sz w:val="24"/>
          <w:szCs w:val="24"/>
        </w:rPr>
        <w:t>Gráfica 5.).</w:t>
      </w:r>
    </w:p>
    <w:p w:rsidR="0074228B" w:rsidRPr="009427D5" w:rsidRDefault="0074228B" w:rsidP="0074228B">
      <w:pPr>
        <w:spacing w:after="0" w:line="240" w:lineRule="auto"/>
        <w:jc w:val="both"/>
        <w:rPr>
          <w:rFonts w:ascii="Arial" w:hAnsi="Arial" w:cs="Arial"/>
          <w:sz w:val="24"/>
          <w:szCs w:val="24"/>
        </w:rPr>
      </w:pPr>
    </w:p>
    <w:p w:rsidR="00170E87" w:rsidRDefault="00170E87" w:rsidP="0074228B">
      <w:pPr>
        <w:spacing w:after="0" w:line="240" w:lineRule="auto"/>
        <w:jc w:val="center"/>
        <w:rPr>
          <w:rFonts w:ascii="Arial" w:hAnsi="Arial" w:cs="Arial"/>
          <w:b/>
          <w:sz w:val="16"/>
          <w:szCs w:val="16"/>
        </w:rPr>
      </w:pPr>
    </w:p>
    <w:p w:rsidR="00170E87" w:rsidRDefault="00170E87" w:rsidP="0074228B">
      <w:pPr>
        <w:spacing w:after="0" w:line="240" w:lineRule="auto"/>
        <w:jc w:val="center"/>
        <w:rPr>
          <w:rFonts w:ascii="Arial" w:hAnsi="Arial" w:cs="Arial"/>
          <w:b/>
          <w:sz w:val="16"/>
          <w:szCs w:val="16"/>
        </w:rPr>
      </w:pPr>
    </w:p>
    <w:p w:rsidR="00170E87" w:rsidRDefault="00170E87" w:rsidP="0074228B">
      <w:pPr>
        <w:spacing w:after="0" w:line="240" w:lineRule="auto"/>
        <w:jc w:val="center"/>
        <w:rPr>
          <w:rFonts w:ascii="Arial" w:hAnsi="Arial" w:cs="Arial"/>
          <w:b/>
          <w:sz w:val="16"/>
          <w:szCs w:val="16"/>
        </w:rPr>
      </w:pPr>
    </w:p>
    <w:p w:rsidR="00170E87" w:rsidRDefault="00170E87" w:rsidP="0074228B">
      <w:pPr>
        <w:spacing w:after="0" w:line="240" w:lineRule="auto"/>
        <w:jc w:val="center"/>
        <w:rPr>
          <w:rFonts w:ascii="Arial" w:hAnsi="Arial" w:cs="Arial"/>
          <w:b/>
          <w:sz w:val="16"/>
          <w:szCs w:val="16"/>
        </w:rPr>
      </w:pPr>
    </w:p>
    <w:p w:rsidR="00170E87" w:rsidRDefault="00170E87" w:rsidP="0074228B">
      <w:pPr>
        <w:spacing w:after="0" w:line="240" w:lineRule="auto"/>
        <w:jc w:val="center"/>
        <w:rPr>
          <w:rFonts w:ascii="Arial" w:hAnsi="Arial" w:cs="Arial"/>
          <w:b/>
          <w:sz w:val="16"/>
          <w:szCs w:val="16"/>
        </w:rPr>
      </w:pPr>
    </w:p>
    <w:p w:rsidR="00170E87" w:rsidRDefault="00170E87" w:rsidP="0074228B">
      <w:pPr>
        <w:spacing w:after="0" w:line="240" w:lineRule="auto"/>
        <w:jc w:val="center"/>
        <w:rPr>
          <w:rFonts w:ascii="Arial" w:hAnsi="Arial" w:cs="Arial"/>
          <w:b/>
          <w:sz w:val="16"/>
          <w:szCs w:val="16"/>
        </w:rPr>
      </w:pPr>
    </w:p>
    <w:p w:rsidR="00170E87" w:rsidRDefault="00170E87" w:rsidP="0074228B">
      <w:pPr>
        <w:spacing w:after="0" w:line="240" w:lineRule="auto"/>
        <w:jc w:val="center"/>
        <w:rPr>
          <w:rFonts w:ascii="Arial" w:hAnsi="Arial" w:cs="Arial"/>
          <w:b/>
          <w:sz w:val="16"/>
          <w:szCs w:val="16"/>
        </w:rPr>
      </w:pPr>
    </w:p>
    <w:p w:rsidR="00170E87" w:rsidRDefault="00170E87" w:rsidP="0074228B">
      <w:pPr>
        <w:spacing w:after="0" w:line="240" w:lineRule="auto"/>
        <w:jc w:val="center"/>
        <w:rPr>
          <w:rFonts w:ascii="Arial" w:hAnsi="Arial" w:cs="Arial"/>
          <w:b/>
          <w:sz w:val="16"/>
          <w:szCs w:val="16"/>
        </w:rPr>
      </w:pPr>
    </w:p>
    <w:p w:rsidR="0074228B" w:rsidRPr="00E814EB" w:rsidRDefault="003A0D80" w:rsidP="0074228B">
      <w:pPr>
        <w:spacing w:after="0" w:line="240" w:lineRule="auto"/>
        <w:jc w:val="center"/>
        <w:rPr>
          <w:rFonts w:ascii="Arial" w:hAnsi="Arial" w:cs="Arial"/>
          <w:sz w:val="16"/>
          <w:szCs w:val="16"/>
        </w:rPr>
      </w:pPr>
      <w:r w:rsidRPr="00E814EB">
        <w:rPr>
          <w:rFonts w:ascii="Arial" w:hAnsi="Arial" w:cs="Arial"/>
          <w:b/>
          <w:sz w:val="16"/>
          <w:szCs w:val="16"/>
        </w:rPr>
        <w:lastRenderedPageBreak/>
        <w:t>G</w:t>
      </w:r>
      <w:r w:rsidR="0074228B" w:rsidRPr="00E814EB">
        <w:rPr>
          <w:rFonts w:ascii="Arial" w:hAnsi="Arial" w:cs="Arial"/>
          <w:b/>
          <w:sz w:val="16"/>
          <w:szCs w:val="16"/>
        </w:rPr>
        <w:t>ráfica 5. Índice de Evacuación Parcial Efectivo. Rama Judicial 2010-2013 (Por Especialidades)</w:t>
      </w:r>
    </w:p>
    <w:p w:rsidR="00E814EB" w:rsidRDefault="00E814EB" w:rsidP="0074228B">
      <w:pPr>
        <w:spacing w:after="0" w:line="240" w:lineRule="auto"/>
        <w:jc w:val="center"/>
        <w:rPr>
          <w:rFonts w:ascii="Arial" w:hAnsi="Arial" w:cs="Arial"/>
          <w:b/>
          <w:sz w:val="18"/>
          <w:szCs w:val="18"/>
        </w:rPr>
      </w:pPr>
    </w:p>
    <w:p w:rsidR="00E814EB" w:rsidRDefault="00E814EB" w:rsidP="0074228B">
      <w:pPr>
        <w:spacing w:after="0" w:line="240" w:lineRule="auto"/>
        <w:jc w:val="center"/>
        <w:rPr>
          <w:rFonts w:ascii="Arial" w:hAnsi="Arial" w:cs="Arial"/>
          <w:b/>
          <w:sz w:val="18"/>
          <w:szCs w:val="18"/>
        </w:rPr>
      </w:pPr>
      <w:r w:rsidRPr="009427D5">
        <w:rPr>
          <w:rFonts w:ascii="Arial" w:hAnsi="Arial" w:cs="Arial"/>
          <w:noProof/>
          <w:sz w:val="24"/>
          <w:szCs w:val="24"/>
          <w:lang w:eastAsia="es-CO"/>
        </w:rPr>
        <w:drawing>
          <wp:anchor distT="0" distB="0" distL="114300" distR="114300" simplePos="0" relativeHeight="251660288" behindDoc="0" locked="0" layoutInCell="1" allowOverlap="1" wp14:anchorId="1F47708A" wp14:editId="12B52DB6">
            <wp:simplePos x="0" y="0"/>
            <wp:positionH relativeFrom="column">
              <wp:posOffset>1260475</wp:posOffset>
            </wp:positionH>
            <wp:positionV relativeFrom="paragraph">
              <wp:posOffset>109855</wp:posOffset>
            </wp:positionV>
            <wp:extent cx="2708275" cy="2431415"/>
            <wp:effectExtent l="0" t="0" r="15875" b="26035"/>
            <wp:wrapSquare wrapText="bothSides"/>
            <wp:docPr id="10" name="Gráfico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E814EB" w:rsidRDefault="00E814EB" w:rsidP="0074228B">
      <w:pPr>
        <w:spacing w:after="0" w:line="240" w:lineRule="auto"/>
        <w:jc w:val="center"/>
        <w:rPr>
          <w:rFonts w:ascii="Arial" w:hAnsi="Arial" w:cs="Arial"/>
          <w:b/>
          <w:sz w:val="18"/>
          <w:szCs w:val="18"/>
        </w:rPr>
      </w:pPr>
    </w:p>
    <w:p w:rsidR="00E814EB" w:rsidRDefault="00E814EB" w:rsidP="0074228B">
      <w:pPr>
        <w:spacing w:after="0" w:line="240" w:lineRule="auto"/>
        <w:jc w:val="center"/>
        <w:rPr>
          <w:rFonts w:ascii="Arial" w:hAnsi="Arial" w:cs="Arial"/>
          <w:b/>
          <w:sz w:val="18"/>
          <w:szCs w:val="18"/>
        </w:rPr>
      </w:pPr>
    </w:p>
    <w:p w:rsidR="00E814EB" w:rsidRDefault="00E814EB" w:rsidP="0074228B">
      <w:pPr>
        <w:spacing w:after="0" w:line="240" w:lineRule="auto"/>
        <w:jc w:val="center"/>
        <w:rPr>
          <w:rFonts w:ascii="Arial" w:hAnsi="Arial" w:cs="Arial"/>
          <w:b/>
          <w:sz w:val="18"/>
          <w:szCs w:val="18"/>
        </w:rPr>
      </w:pPr>
    </w:p>
    <w:p w:rsidR="00E814EB" w:rsidRDefault="00E814EB" w:rsidP="0074228B">
      <w:pPr>
        <w:spacing w:after="0" w:line="240" w:lineRule="auto"/>
        <w:jc w:val="center"/>
        <w:rPr>
          <w:rFonts w:ascii="Arial" w:hAnsi="Arial" w:cs="Arial"/>
          <w:b/>
          <w:sz w:val="18"/>
          <w:szCs w:val="18"/>
        </w:rPr>
      </w:pPr>
    </w:p>
    <w:p w:rsidR="00E814EB" w:rsidRDefault="00E814EB" w:rsidP="0074228B">
      <w:pPr>
        <w:spacing w:after="0" w:line="240" w:lineRule="auto"/>
        <w:jc w:val="center"/>
        <w:rPr>
          <w:rFonts w:ascii="Arial" w:hAnsi="Arial" w:cs="Arial"/>
          <w:b/>
          <w:sz w:val="18"/>
          <w:szCs w:val="18"/>
        </w:rPr>
      </w:pPr>
    </w:p>
    <w:p w:rsidR="00E814EB" w:rsidRDefault="00E814EB" w:rsidP="0074228B">
      <w:pPr>
        <w:spacing w:after="0" w:line="240" w:lineRule="auto"/>
        <w:jc w:val="center"/>
        <w:rPr>
          <w:rFonts w:ascii="Arial" w:hAnsi="Arial" w:cs="Arial"/>
          <w:b/>
          <w:sz w:val="18"/>
          <w:szCs w:val="18"/>
        </w:rPr>
      </w:pPr>
    </w:p>
    <w:p w:rsidR="00E814EB" w:rsidRDefault="00E814EB" w:rsidP="0074228B">
      <w:pPr>
        <w:spacing w:after="0" w:line="240" w:lineRule="auto"/>
        <w:jc w:val="center"/>
        <w:rPr>
          <w:rFonts w:ascii="Arial" w:hAnsi="Arial" w:cs="Arial"/>
          <w:b/>
          <w:sz w:val="18"/>
          <w:szCs w:val="18"/>
        </w:rPr>
      </w:pPr>
    </w:p>
    <w:p w:rsidR="00E814EB" w:rsidRDefault="00E814EB" w:rsidP="0074228B">
      <w:pPr>
        <w:spacing w:after="0" w:line="240" w:lineRule="auto"/>
        <w:jc w:val="center"/>
        <w:rPr>
          <w:rFonts w:ascii="Arial" w:hAnsi="Arial" w:cs="Arial"/>
          <w:b/>
          <w:sz w:val="18"/>
          <w:szCs w:val="18"/>
        </w:rPr>
      </w:pPr>
    </w:p>
    <w:p w:rsidR="00E814EB" w:rsidRDefault="00E814EB" w:rsidP="0074228B">
      <w:pPr>
        <w:spacing w:after="0" w:line="240" w:lineRule="auto"/>
        <w:jc w:val="center"/>
        <w:rPr>
          <w:rFonts w:ascii="Arial" w:hAnsi="Arial" w:cs="Arial"/>
          <w:b/>
          <w:sz w:val="18"/>
          <w:szCs w:val="18"/>
        </w:rPr>
      </w:pPr>
    </w:p>
    <w:p w:rsidR="00E814EB" w:rsidRDefault="00E814EB" w:rsidP="0074228B">
      <w:pPr>
        <w:spacing w:after="0" w:line="240" w:lineRule="auto"/>
        <w:jc w:val="center"/>
        <w:rPr>
          <w:rFonts w:ascii="Arial" w:hAnsi="Arial" w:cs="Arial"/>
          <w:b/>
          <w:sz w:val="18"/>
          <w:szCs w:val="18"/>
        </w:rPr>
      </w:pPr>
    </w:p>
    <w:p w:rsidR="00E814EB" w:rsidRDefault="00E814EB" w:rsidP="0074228B">
      <w:pPr>
        <w:spacing w:after="0" w:line="240" w:lineRule="auto"/>
        <w:jc w:val="center"/>
        <w:rPr>
          <w:rFonts w:ascii="Arial" w:hAnsi="Arial" w:cs="Arial"/>
          <w:b/>
          <w:sz w:val="18"/>
          <w:szCs w:val="18"/>
        </w:rPr>
      </w:pPr>
    </w:p>
    <w:p w:rsidR="00E814EB" w:rsidRDefault="00E814EB" w:rsidP="0074228B">
      <w:pPr>
        <w:spacing w:after="0" w:line="240" w:lineRule="auto"/>
        <w:jc w:val="center"/>
        <w:rPr>
          <w:rFonts w:ascii="Arial" w:hAnsi="Arial" w:cs="Arial"/>
          <w:b/>
          <w:sz w:val="18"/>
          <w:szCs w:val="18"/>
        </w:rPr>
      </w:pPr>
    </w:p>
    <w:p w:rsidR="00E814EB" w:rsidRDefault="00E814EB" w:rsidP="0074228B">
      <w:pPr>
        <w:spacing w:after="0" w:line="240" w:lineRule="auto"/>
        <w:jc w:val="center"/>
        <w:rPr>
          <w:rFonts w:ascii="Arial" w:hAnsi="Arial" w:cs="Arial"/>
          <w:b/>
          <w:sz w:val="18"/>
          <w:szCs w:val="18"/>
        </w:rPr>
      </w:pPr>
    </w:p>
    <w:p w:rsidR="00E814EB" w:rsidRDefault="00E814EB" w:rsidP="0074228B">
      <w:pPr>
        <w:spacing w:after="0" w:line="240" w:lineRule="auto"/>
        <w:jc w:val="center"/>
        <w:rPr>
          <w:rFonts w:ascii="Arial" w:hAnsi="Arial" w:cs="Arial"/>
          <w:b/>
          <w:sz w:val="18"/>
          <w:szCs w:val="18"/>
        </w:rPr>
      </w:pPr>
    </w:p>
    <w:p w:rsidR="00E814EB" w:rsidRDefault="00E814EB" w:rsidP="0074228B">
      <w:pPr>
        <w:spacing w:after="0" w:line="240" w:lineRule="auto"/>
        <w:jc w:val="center"/>
        <w:rPr>
          <w:rFonts w:ascii="Arial" w:hAnsi="Arial" w:cs="Arial"/>
          <w:b/>
          <w:sz w:val="18"/>
          <w:szCs w:val="18"/>
        </w:rPr>
      </w:pPr>
    </w:p>
    <w:p w:rsidR="00E814EB" w:rsidRDefault="00E814EB" w:rsidP="0074228B">
      <w:pPr>
        <w:spacing w:after="0" w:line="240" w:lineRule="auto"/>
        <w:jc w:val="center"/>
        <w:rPr>
          <w:rFonts w:ascii="Arial" w:hAnsi="Arial" w:cs="Arial"/>
          <w:b/>
          <w:sz w:val="18"/>
          <w:szCs w:val="18"/>
        </w:rPr>
      </w:pPr>
    </w:p>
    <w:p w:rsidR="00E814EB" w:rsidRDefault="00E814EB" w:rsidP="0074228B">
      <w:pPr>
        <w:spacing w:after="0" w:line="240" w:lineRule="auto"/>
        <w:jc w:val="center"/>
        <w:rPr>
          <w:rFonts w:ascii="Arial" w:hAnsi="Arial" w:cs="Arial"/>
          <w:b/>
          <w:sz w:val="18"/>
          <w:szCs w:val="18"/>
        </w:rPr>
      </w:pPr>
    </w:p>
    <w:p w:rsidR="00E814EB" w:rsidRDefault="00E814EB" w:rsidP="0074228B">
      <w:pPr>
        <w:spacing w:after="0" w:line="240" w:lineRule="auto"/>
        <w:jc w:val="center"/>
        <w:rPr>
          <w:rFonts w:ascii="Arial" w:hAnsi="Arial" w:cs="Arial"/>
          <w:b/>
          <w:sz w:val="18"/>
          <w:szCs w:val="18"/>
        </w:rPr>
      </w:pPr>
    </w:p>
    <w:p w:rsidR="00E814EB" w:rsidRDefault="00E814EB" w:rsidP="0074228B">
      <w:pPr>
        <w:spacing w:after="0" w:line="240" w:lineRule="auto"/>
        <w:jc w:val="center"/>
        <w:rPr>
          <w:rFonts w:ascii="Arial" w:hAnsi="Arial" w:cs="Arial"/>
          <w:b/>
          <w:sz w:val="18"/>
          <w:szCs w:val="18"/>
        </w:rPr>
      </w:pPr>
    </w:p>
    <w:p w:rsidR="0074228B" w:rsidRPr="009427D5" w:rsidRDefault="0074228B" w:rsidP="0074228B">
      <w:pPr>
        <w:spacing w:after="0" w:line="240" w:lineRule="auto"/>
        <w:jc w:val="center"/>
        <w:rPr>
          <w:rFonts w:ascii="Arial" w:hAnsi="Arial" w:cs="Arial"/>
          <w:b/>
          <w:sz w:val="18"/>
          <w:szCs w:val="18"/>
        </w:rPr>
      </w:pPr>
      <w:r w:rsidRPr="00E814EB">
        <w:rPr>
          <w:rFonts w:ascii="Arial" w:hAnsi="Arial" w:cs="Arial"/>
          <w:b/>
          <w:sz w:val="16"/>
          <w:szCs w:val="16"/>
        </w:rPr>
        <w:t>Fuente: Consejo Superior de la Judicatura. Cálculos CGR DES-DJS. Fecha de Corte: Abril de</w:t>
      </w:r>
      <w:r w:rsidRPr="009427D5">
        <w:rPr>
          <w:rFonts w:ascii="Arial" w:hAnsi="Arial" w:cs="Arial"/>
          <w:b/>
          <w:sz w:val="18"/>
          <w:szCs w:val="18"/>
        </w:rPr>
        <w:t xml:space="preserve"> 2014</w:t>
      </w:r>
    </w:p>
    <w:p w:rsidR="0074228B" w:rsidRPr="009427D5" w:rsidRDefault="0074228B" w:rsidP="0074228B">
      <w:pPr>
        <w:spacing w:after="0" w:line="240" w:lineRule="auto"/>
        <w:jc w:val="center"/>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En relación con el índice de congestión efectivo, se encontró que en promedio anual, la mayor cifra la alcanzó la especialidad civil con 60%, le siguen en orden administrativa (56,7%), disciplinaria y familia (53% cada una), promiscuo (50%), laboral (48,2%) y penal (40,6%) (Ver Gráfica 6.). Dichos indicadores resultan bastante altos para el sistema judicial del país, lo cual es consecuencia de las considerables cargas de trabajo de los despachos (inventarios iniciales más ingresos efectivos) en comparación con sus egresos efectivos y que pueden reflejarse en altos tiempos procesales.</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No obstante, debe señalarse que este indicador ha disminuido en todas las especialidades durante el periodo revisado; la mayor reducción se presentó en la especialidad civil con 15 p.p., pues pasó de 67,2% a 51,7%, luego aparecen promiscuo con 8 p.p., administrativa con 7 p.p., familia con 5 p.p., disciplinaria con 4 p.p., laboral con 2 p.p. y penal con 1 p.p. En el caso de civil y administrativa coinciden con la vinculación de personal juzgador, adopción inicial de la oralidad en los procesos y el mayor crecimiento en los egresos efectivos. Por tal razón, se señala la necesidad de continuar y fortalecer las medidas dirigidas a reducir este indicador en las demás especialidades, sobre todo en laboral y penal.</w:t>
      </w:r>
    </w:p>
    <w:p w:rsidR="0074228B" w:rsidRPr="009427D5" w:rsidRDefault="0074228B" w:rsidP="0074228B">
      <w:pPr>
        <w:spacing w:after="0" w:line="240" w:lineRule="auto"/>
        <w:jc w:val="both"/>
        <w:rPr>
          <w:rFonts w:ascii="Arial" w:hAnsi="Arial" w:cs="Arial"/>
          <w:sz w:val="24"/>
          <w:szCs w:val="24"/>
        </w:rPr>
      </w:pPr>
    </w:p>
    <w:p w:rsidR="00170E87" w:rsidRDefault="00170E87" w:rsidP="0074228B">
      <w:pPr>
        <w:spacing w:after="0" w:line="240" w:lineRule="auto"/>
        <w:jc w:val="center"/>
        <w:rPr>
          <w:rFonts w:ascii="Arial" w:hAnsi="Arial" w:cs="Arial"/>
          <w:b/>
          <w:sz w:val="20"/>
          <w:szCs w:val="20"/>
        </w:rPr>
      </w:pPr>
    </w:p>
    <w:p w:rsidR="00170E87" w:rsidRDefault="00170E87" w:rsidP="0074228B">
      <w:pPr>
        <w:spacing w:after="0" w:line="240" w:lineRule="auto"/>
        <w:jc w:val="center"/>
        <w:rPr>
          <w:rFonts w:ascii="Arial" w:hAnsi="Arial" w:cs="Arial"/>
          <w:b/>
          <w:sz w:val="20"/>
          <w:szCs w:val="20"/>
        </w:rPr>
      </w:pPr>
    </w:p>
    <w:p w:rsidR="00170E87" w:rsidRDefault="00170E87" w:rsidP="0074228B">
      <w:pPr>
        <w:spacing w:after="0" w:line="240" w:lineRule="auto"/>
        <w:jc w:val="center"/>
        <w:rPr>
          <w:rFonts w:ascii="Arial" w:hAnsi="Arial" w:cs="Arial"/>
          <w:b/>
          <w:sz w:val="20"/>
          <w:szCs w:val="20"/>
        </w:rPr>
      </w:pPr>
    </w:p>
    <w:p w:rsidR="00170E87" w:rsidRDefault="00170E87" w:rsidP="0074228B">
      <w:pPr>
        <w:spacing w:after="0" w:line="240" w:lineRule="auto"/>
        <w:jc w:val="center"/>
        <w:rPr>
          <w:rFonts w:ascii="Arial" w:hAnsi="Arial" w:cs="Arial"/>
          <w:b/>
          <w:sz w:val="20"/>
          <w:szCs w:val="20"/>
        </w:rPr>
      </w:pPr>
    </w:p>
    <w:p w:rsidR="00170E87" w:rsidRDefault="00170E87" w:rsidP="0074228B">
      <w:pPr>
        <w:spacing w:after="0" w:line="240" w:lineRule="auto"/>
        <w:jc w:val="center"/>
        <w:rPr>
          <w:rFonts w:ascii="Arial" w:hAnsi="Arial" w:cs="Arial"/>
          <w:b/>
          <w:sz w:val="20"/>
          <w:szCs w:val="20"/>
        </w:rPr>
      </w:pPr>
    </w:p>
    <w:p w:rsidR="00170E87" w:rsidRDefault="00170E87" w:rsidP="0074228B">
      <w:pPr>
        <w:spacing w:after="0" w:line="240" w:lineRule="auto"/>
        <w:jc w:val="center"/>
        <w:rPr>
          <w:rFonts w:ascii="Arial" w:hAnsi="Arial" w:cs="Arial"/>
          <w:b/>
          <w:sz w:val="20"/>
          <w:szCs w:val="20"/>
        </w:rPr>
      </w:pPr>
    </w:p>
    <w:p w:rsidR="00170E87" w:rsidRDefault="00170E87" w:rsidP="0074228B">
      <w:pPr>
        <w:spacing w:after="0" w:line="240" w:lineRule="auto"/>
        <w:jc w:val="center"/>
        <w:rPr>
          <w:rFonts w:ascii="Arial" w:hAnsi="Arial" w:cs="Arial"/>
          <w:b/>
          <w:sz w:val="20"/>
          <w:szCs w:val="20"/>
        </w:rPr>
      </w:pPr>
    </w:p>
    <w:p w:rsidR="0074228B" w:rsidRPr="009427D5" w:rsidRDefault="0074228B" w:rsidP="0074228B">
      <w:pPr>
        <w:spacing w:after="0" w:line="240" w:lineRule="auto"/>
        <w:jc w:val="center"/>
        <w:rPr>
          <w:rFonts w:ascii="Arial" w:hAnsi="Arial" w:cs="Arial"/>
          <w:b/>
          <w:sz w:val="20"/>
          <w:szCs w:val="20"/>
        </w:rPr>
      </w:pPr>
      <w:r w:rsidRPr="009427D5">
        <w:rPr>
          <w:rFonts w:ascii="Arial" w:hAnsi="Arial" w:cs="Arial"/>
          <w:b/>
          <w:sz w:val="20"/>
          <w:szCs w:val="20"/>
        </w:rPr>
        <w:t xml:space="preserve">Gráfica 6. Índice de Congestión Efectivo. Rama Judicial 2010-2013 </w:t>
      </w:r>
    </w:p>
    <w:p w:rsidR="0074228B" w:rsidRPr="009427D5" w:rsidRDefault="0074228B" w:rsidP="0074228B">
      <w:pPr>
        <w:spacing w:after="0" w:line="240" w:lineRule="auto"/>
        <w:jc w:val="center"/>
        <w:rPr>
          <w:rFonts w:ascii="Arial" w:hAnsi="Arial" w:cs="Arial"/>
          <w:sz w:val="20"/>
          <w:szCs w:val="20"/>
        </w:rPr>
      </w:pPr>
      <w:r w:rsidRPr="009427D5">
        <w:rPr>
          <w:rFonts w:ascii="Arial" w:hAnsi="Arial" w:cs="Arial"/>
          <w:b/>
          <w:sz w:val="20"/>
          <w:szCs w:val="20"/>
        </w:rPr>
        <w:t>(Por Especialidades)</w:t>
      </w:r>
    </w:p>
    <w:p w:rsidR="0074228B" w:rsidRPr="009427D5" w:rsidRDefault="0074228B" w:rsidP="0074228B">
      <w:pPr>
        <w:spacing w:after="0" w:line="240" w:lineRule="auto"/>
        <w:jc w:val="center"/>
        <w:rPr>
          <w:rFonts w:ascii="Arial" w:hAnsi="Arial" w:cs="Arial"/>
          <w:sz w:val="24"/>
          <w:szCs w:val="24"/>
        </w:rPr>
      </w:pPr>
      <w:r w:rsidRPr="009427D5">
        <w:rPr>
          <w:rFonts w:ascii="Arial" w:hAnsi="Arial" w:cs="Arial"/>
          <w:noProof/>
          <w:sz w:val="24"/>
          <w:szCs w:val="24"/>
          <w:lang w:eastAsia="es-CO"/>
        </w:rPr>
        <w:drawing>
          <wp:inline distT="0" distB="0" distL="0" distR="0" wp14:anchorId="4BA74ED9" wp14:editId="6C88A95B">
            <wp:extent cx="2767965" cy="2883535"/>
            <wp:effectExtent l="0" t="0" r="13335" b="12065"/>
            <wp:docPr id="9" name="Gráfico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4228B" w:rsidRPr="00E814EB" w:rsidRDefault="0074228B" w:rsidP="0074228B">
      <w:pPr>
        <w:spacing w:after="0" w:line="240" w:lineRule="auto"/>
        <w:jc w:val="center"/>
        <w:rPr>
          <w:rFonts w:ascii="Arial" w:hAnsi="Arial" w:cs="Arial"/>
          <w:b/>
          <w:sz w:val="16"/>
          <w:szCs w:val="16"/>
        </w:rPr>
      </w:pPr>
      <w:r w:rsidRPr="00E814EB">
        <w:rPr>
          <w:rFonts w:ascii="Arial" w:hAnsi="Arial" w:cs="Arial"/>
          <w:b/>
          <w:sz w:val="16"/>
          <w:szCs w:val="16"/>
        </w:rPr>
        <w:t>Fuente: Consejo Superior de la Judicatura. Cálculos CGR DES-DJS. Fecha de Corte: Abril de 2014</w:t>
      </w:r>
    </w:p>
    <w:p w:rsidR="0074228B" w:rsidRDefault="0074228B" w:rsidP="0074228B">
      <w:pPr>
        <w:spacing w:after="0" w:line="240" w:lineRule="auto"/>
        <w:jc w:val="center"/>
        <w:rPr>
          <w:rFonts w:ascii="Arial" w:hAnsi="Arial" w:cs="Arial"/>
          <w:sz w:val="24"/>
          <w:szCs w:val="24"/>
        </w:rPr>
      </w:pPr>
    </w:p>
    <w:p w:rsidR="0074228B" w:rsidRPr="009427D5" w:rsidRDefault="0074228B" w:rsidP="00542DC0">
      <w:pPr>
        <w:pStyle w:val="Prrafodelista"/>
        <w:numPr>
          <w:ilvl w:val="5"/>
          <w:numId w:val="33"/>
        </w:numPr>
        <w:spacing w:after="0" w:line="240" w:lineRule="auto"/>
        <w:jc w:val="both"/>
        <w:rPr>
          <w:rFonts w:ascii="Arial" w:hAnsi="Arial" w:cs="Arial"/>
          <w:b/>
          <w:i/>
          <w:sz w:val="24"/>
          <w:szCs w:val="24"/>
        </w:rPr>
      </w:pPr>
      <w:r w:rsidRPr="009427D5">
        <w:rPr>
          <w:rFonts w:ascii="Arial" w:hAnsi="Arial" w:cs="Arial"/>
          <w:i/>
          <w:sz w:val="24"/>
          <w:szCs w:val="24"/>
        </w:rPr>
        <w:t>Indicadores por Consejos Seccionales</w:t>
      </w:r>
      <w:r w:rsidR="000A1814">
        <w:rPr>
          <w:rStyle w:val="Refdenotaalpie"/>
          <w:rFonts w:ascii="Arial" w:hAnsi="Arial" w:cs="Arial"/>
          <w:i/>
          <w:sz w:val="24"/>
          <w:szCs w:val="24"/>
        </w:rPr>
        <w:footnoteReference w:id="30"/>
      </w:r>
    </w:p>
    <w:p w:rsidR="0074228B" w:rsidRPr="009427D5" w:rsidRDefault="0074228B" w:rsidP="0074228B">
      <w:pPr>
        <w:spacing w:after="0" w:line="240" w:lineRule="auto"/>
        <w:jc w:val="both"/>
        <w:rPr>
          <w:rFonts w:ascii="Arial" w:hAnsi="Arial" w:cs="Arial"/>
          <w:i/>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De los ingresos efectivos al sistema judicial, entre los años 2010 y 2013, 23,4% correspondieron a los consejos seccionales de Bogotá y Cundinamarca</w:t>
      </w:r>
      <w:r w:rsidRPr="009427D5">
        <w:rPr>
          <w:rStyle w:val="Refdenotaalpie"/>
          <w:rFonts w:ascii="Arial" w:hAnsi="Arial" w:cs="Arial"/>
        </w:rPr>
        <w:footnoteReference w:id="31"/>
      </w:r>
      <w:r w:rsidRPr="009427D5">
        <w:rPr>
          <w:rFonts w:ascii="Arial" w:hAnsi="Arial" w:cs="Arial"/>
          <w:sz w:val="24"/>
          <w:szCs w:val="24"/>
        </w:rPr>
        <w:t>, 17% al de Antioquia, 9% a Valle del Cauca, 5% a Santander, 4% a Atlántico y 41,3% al resto de consejos seccionales del país; este hecho muestra claramente una concentración de la demanda de justicia formal en las regiones con mayor densidad de población. A continuación, se describe el comportamiento de los indicadores de gestión (ingresos efectivos, egresos efectivos, personal juzgador, carga laboral por Juez, productividad por Juez, índice de evacuación parcial efectivo e índice de congestión efectivo) para las principales seccionales.</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 xml:space="preserve">En las seccionales de Bogotá y Cundinamarca, los ingresos efectivos de procesos judiciales crecieron 21,2% al pasar de 532.307 nuevos procesos en  2010 a 645.004 en 2013, mientras que los egresos efectivos aumentaron casi en la misma </w:t>
      </w:r>
      <w:r w:rsidRPr="009427D5">
        <w:rPr>
          <w:rFonts w:ascii="Arial" w:hAnsi="Arial" w:cs="Arial"/>
          <w:sz w:val="24"/>
          <w:szCs w:val="24"/>
        </w:rPr>
        <w:lastRenderedPageBreak/>
        <w:t>proporción (22,3%) pasando de 491.651 a 601.209 salidas durante el mismo periodo. Estas cifras resultan significativas y reflejan la gran expansión de la demanda de servicios de justicia en la capital del país. La segunda seccional con mayor dinámica fue Santander cuyos ingresos efectivos crecieron 25,4%, al pasar de 117.047 nuevos procesos en 2010 a 146.818 en 2013. Así mismo, sus egresos efectivos aumentaron considerablemente (26%), pasando de 116.356 a 146.634 salidas durante este periodo.</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Por su parte, las seccionales de Antioquia, Valle del Cauca y Atlántico presentaron menores crecimientos en sus ingresos y egresos efectivos durante estas vigencias. En el caso de Antioquia, los primeros incrementaron 15,2% (de 396.016 a 456.312 nuevos procesos), mientras los segundos lo hicieron 9,5% (de 368.959 a 404.061 salidas). En Valle del Cauca, los ingresos efectivos mostraron una leve variación (0,7%) (</w:t>
      </w:r>
      <w:proofErr w:type="gramStart"/>
      <w:r w:rsidRPr="009427D5">
        <w:rPr>
          <w:rFonts w:ascii="Arial" w:hAnsi="Arial" w:cs="Arial"/>
          <w:sz w:val="24"/>
          <w:szCs w:val="24"/>
        </w:rPr>
        <w:t>de</w:t>
      </w:r>
      <w:proofErr w:type="gramEnd"/>
      <w:r w:rsidRPr="009427D5">
        <w:rPr>
          <w:rFonts w:ascii="Arial" w:hAnsi="Arial" w:cs="Arial"/>
          <w:sz w:val="24"/>
          <w:szCs w:val="24"/>
        </w:rPr>
        <w:t xml:space="preserve"> 230.843 a 232.540 nuevos procesos) y los egresos efectivos aumentaron 5,4% (de 241.794 a 254.874 salidas). Y en Atlántico se presentó la situación contraria, pues mientras sus ingresos efectivos crecieron 10,9% (pasando de 101.265 a 112.268 nuevos procesos), los egresos efectivos disminuyeron 6,2% (de 127.236 a 119.304 salidas).</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Respecto a los demás consejos seccionales, los que registraron mayor aumento en los ingresos efectivos fueron Meta (41%), Bolívar (34%), Córdoba (33%) y Caquetá (26%) siendo incrementos bastante altos en un periodo tan breve, lo cual muestra una fuerte demanda de justicia por parte de los ciudadanos en estas regiones. En contraste, algunas seccionales tuvieron una reducción en sus ingresos efectivos como Sucre (-28%) y Magdalena (-4,6%) y otras mostraron incrementos mínimos como Cauca (1,4%) y Caldas (2,1%).</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En relación con los egresos efectivos, las seccionales que presentaron mayores crecimientos fueron Meta (81%), Bolívar (69%), Caquetá (58%) y Chocó (48%), mostrando un buen desempeño en comparación con los ingresos efectivos. Por el contrario, ciertas seccionales mostraron una disminución en sus egresos efectivos, entre ellas; Magdalena (-19%), Sucre (-14%), Caldas (-11%) y Boyacá (-5%), siendo un comportamiento similar al de sus ingresos efectivos, pero que contrasta con el incremento en su personal juzgador durante este mismo periodo (23%, 22,6%, 16,6% y 19,4% respectivamente).</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 xml:space="preserve">En el tema de personal juzgador, las seccionales que contaron con un mayor número de jueces y magistrados, entre 2010 y 2013 (Ver Gráfica 7.), fueron Bogotá-Cundinamarca con un promedio anual de 1.029 (18%), seguido por Antioquia con 694 (12%), Valle del Cauca con 491 (8,6%), Santander con 337 (6%) y Atlántico con 221 (4%). Por su parte, el resto de seccionales tuvieron un promedio de 2.948 jueces y magistrados por año (51,6%). Aquí se observa una </w:t>
      </w:r>
      <w:r w:rsidRPr="009427D5">
        <w:rPr>
          <w:rFonts w:ascii="Arial" w:hAnsi="Arial" w:cs="Arial"/>
          <w:sz w:val="24"/>
          <w:szCs w:val="24"/>
        </w:rPr>
        <w:lastRenderedPageBreak/>
        <w:t>leve diferencia entre el porcentaje de personal juzgador y el porcentaje de ingresos efectivos en las seccionales de Bogotá-Cundinamarca (18% y 23,4%) y Antioquia (12% y 17%) resultando mayores los segundos, lo cual muestra una cierta concentración de la carga de trabajo en estas regiones.</w:t>
      </w:r>
    </w:p>
    <w:p w:rsidR="003A0D80" w:rsidRDefault="003A0D80" w:rsidP="0074228B">
      <w:pPr>
        <w:spacing w:after="0" w:line="240" w:lineRule="auto"/>
        <w:jc w:val="both"/>
        <w:rPr>
          <w:rFonts w:ascii="Arial" w:hAnsi="Arial" w:cs="Arial"/>
          <w:sz w:val="24"/>
          <w:szCs w:val="24"/>
        </w:rPr>
      </w:pPr>
    </w:p>
    <w:p w:rsidR="0074228B" w:rsidRDefault="0074228B" w:rsidP="0074228B">
      <w:pPr>
        <w:spacing w:after="0" w:line="240" w:lineRule="auto"/>
        <w:jc w:val="both"/>
        <w:rPr>
          <w:rFonts w:ascii="Arial" w:hAnsi="Arial" w:cs="Arial"/>
          <w:sz w:val="24"/>
          <w:szCs w:val="24"/>
        </w:rPr>
      </w:pPr>
      <w:r w:rsidRPr="009427D5">
        <w:rPr>
          <w:rFonts w:ascii="Arial" w:hAnsi="Arial" w:cs="Arial"/>
          <w:sz w:val="24"/>
          <w:szCs w:val="24"/>
        </w:rPr>
        <w:t>Respecto al crecimiento del personal juzgador en las principales seccionales del país, las mayores tasas se dieron en Bogotá-Cundinamarca y Santander (20% en cada una), pues el primero pasó de contar con 924 jueces y magistrados en 2010 a 1.108 en 2013 y el segundo de 294 a 353. En Valle del Cauca dicho incremento fue 16% (pasó de 443 a 512), en Antioquia (15%) al pasar de 620 a 716 y en Atlántico (12%) al pasar de 206 a 231. Los incrementos de estas tres seccionales resultaron menores al total nacional (19%).</w:t>
      </w:r>
    </w:p>
    <w:p w:rsidR="00170E87" w:rsidRPr="009427D5" w:rsidRDefault="00170E87"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center"/>
        <w:rPr>
          <w:rFonts w:ascii="Arial" w:hAnsi="Arial" w:cs="Arial"/>
          <w:b/>
          <w:sz w:val="20"/>
          <w:szCs w:val="20"/>
        </w:rPr>
      </w:pPr>
      <w:r w:rsidRPr="009427D5">
        <w:rPr>
          <w:rFonts w:ascii="Arial" w:hAnsi="Arial" w:cs="Arial"/>
          <w:b/>
          <w:sz w:val="20"/>
          <w:szCs w:val="20"/>
        </w:rPr>
        <w:t>Gráfica 7. Personal Juzgador. Rama Judicial 2010-2013</w:t>
      </w:r>
    </w:p>
    <w:p w:rsidR="0074228B" w:rsidRDefault="0074228B" w:rsidP="0074228B">
      <w:pPr>
        <w:spacing w:after="0" w:line="240" w:lineRule="auto"/>
        <w:jc w:val="center"/>
        <w:rPr>
          <w:rFonts w:ascii="Arial" w:hAnsi="Arial" w:cs="Arial"/>
          <w:b/>
          <w:sz w:val="20"/>
          <w:szCs w:val="20"/>
        </w:rPr>
      </w:pPr>
      <w:r w:rsidRPr="009427D5">
        <w:rPr>
          <w:rFonts w:ascii="Arial" w:hAnsi="Arial" w:cs="Arial"/>
          <w:b/>
          <w:sz w:val="20"/>
          <w:szCs w:val="20"/>
        </w:rPr>
        <w:t>(Por Consejos Seccionales)</w:t>
      </w:r>
    </w:p>
    <w:p w:rsidR="00170E87" w:rsidRPr="009427D5" w:rsidRDefault="00170E87" w:rsidP="0074228B">
      <w:pPr>
        <w:spacing w:after="0" w:line="240" w:lineRule="auto"/>
        <w:jc w:val="center"/>
        <w:rPr>
          <w:rFonts w:ascii="Arial" w:hAnsi="Arial" w:cs="Arial"/>
          <w:b/>
          <w:sz w:val="20"/>
          <w:szCs w:val="20"/>
        </w:rPr>
      </w:pPr>
    </w:p>
    <w:p w:rsidR="0074228B" w:rsidRPr="009427D5" w:rsidRDefault="0074228B" w:rsidP="0074228B">
      <w:pPr>
        <w:spacing w:after="0" w:line="240" w:lineRule="auto"/>
        <w:jc w:val="center"/>
        <w:rPr>
          <w:rFonts w:ascii="Arial" w:hAnsi="Arial" w:cs="Arial"/>
          <w:sz w:val="24"/>
          <w:szCs w:val="24"/>
        </w:rPr>
      </w:pPr>
      <w:r w:rsidRPr="009427D5">
        <w:rPr>
          <w:rFonts w:ascii="Arial" w:hAnsi="Arial" w:cs="Arial"/>
          <w:noProof/>
          <w:sz w:val="24"/>
          <w:szCs w:val="24"/>
          <w:lang w:eastAsia="es-CO"/>
        </w:rPr>
        <w:drawing>
          <wp:inline distT="0" distB="0" distL="0" distR="0" wp14:anchorId="51D5EFAF" wp14:editId="1758EE82">
            <wp:extent cx="2762250" cy="2905125"/>
            <wp:effectExtent l="0" t="0" r="0" b="9525"/>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0" cy="2905125"/>
                    </a:xfrm>
                    <a:prstGeom prst="rect">
                      <a:avLst/>
                    </a:prstGeom>
                    <a:noFill/>
                    <a:ln>
                      <a:noFill/>
                    </a:ln>
                  </pic:spPr>
                </pic:pic>
              </a:graphicData>
            </a:graphic>
          </wp:inline>
        </w:drawing>
      </w:r>
    </w:p>
    <w:p w:rsidR="0074228B" w:rsidRPr="00E814EB" w:rsidRDefault="0074228B" w:rsidP="0074228B">
      <w:pPr>
        <w:spacing w:after="0" w:line="240" w:lineRule="auto"/>
        <w:jc w:val="center"/>
        <w:rPr>
          <w:rFonts w:ascii="Arial" w:hAnsi="Arial" w:cs="Arial"/>
          <w:b/>
          <w:sz w:val="16"/>
          <w:szCs w:val="16"/>
        </w:rPr>
      </w:pPr>
      <w:r w:rsidRPr="00E814EB">
        <w:rPr>
          <w:rFonts w:ascii="Arial" w:hAnsi="Arial" w:cs="Arial"/>
          <w:b/>
          <w:sz w:val="16"/>
          <w:szCs w:val="16"/>
        </w:rPr>
        <w:t>Fuente: Consejo Superior de la Judicatura. Cálculos CGR DES-DJS. Fecha de Corte: Abril de 2014</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En las demás seccionales, las que mostraron mayor crecimiento en su personal juzgador fueron Córdoba (43%), Bolívar (34%), Cesar (33%) y Caquetá (30%), lo cual coincide con el alto incremento en sus ingresos efectivos y por ende, con la necesidad de fortalecer sus plantas de personal. En cambio, las que tuvieron menores aumentos correspondieron a Huila (8,3%), Cauca (9,7%) y La Guajira (10,3%), en donde el crecimiento de sus ingresos efectivos fue más bajo.</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lastRenderedPageBreak/>
        <w:t>Al observar la carga de trabajo por Juez en las principales seccionales (</w:t>
      </w:r>
      <w:r w:rsidR="008A059D" w:rsidRPr="009427D5">
        <w:rPr>
          <w:rFonts w:ascii="Arial" w:hAnsi="Arial" w:cs="Arial"/>
          <w:sz w:val="24"/>
          <w:szCs w:val="24"/>
        </w:rPr>
        <w:t xml:space="preserve">Ver </w:t>
      </w:r>
      <w:r w:rsidRPr="009427D5">
        <w:rPr>
          <w:rFonts w:ascii="Arial" w:hAnsi="Arial" w:cs="Arial"/>
          <w:sz w:val="24"/>
          <w:szCs w:val="24"/>
        </w:rPr>
        <w:t>Gráfica 8.), el promedio anual más alto se presentó en Atlántico con 1.399 procesos por Juez, luego aparecen Bogotá-Cundinamarca (1.269), Valle del Cauca (1.136), Antioquia (969) y Santander (857). De esta forma, las primeras seccionales muestran una carga de procesos considerablemente mayor al total nacional (948) y al resto de las seccionales (775), Por otro lado, las seccionales que registraron menor carga laboral por Juez fueron Chocó (401), La Guajira (499), Boyacá (578) y Magdalena (648). Lo anterior refleja la existencia de grandes diferencias a nivel regional en las capacidades de los despachos judiciales para atender la demanda de servicios.</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No obstante, debe resaltarse que las cargas de trabajo por Juez se redujeron en las principales seccionales, la mayor disminución se presentó en Valle del Cauca (-29%) al pasar de 1.355 procesos por Juez en 2010 a 965 en 2013, seguida por Atlántico (-25%) de 1.645 a 1.227, Santander (-15%) de 989 a 842, Bogotá-Cundinamarca (-14%) de 1.395 a 1.199 y en menor proporción Antioquia (-7%) que pasó de 1.051 a 970 procesos por Juez durante el periodo analizado, lo cual obedece al mayor crecimiento en el personal juzgador en comparación con los inventarios iniciales e ingresos totales.</w:t>
      </w:r>
    </w:p>
    <w:p w:rsidR="0074228B" w:rsidRPr="009427D5" w:rsidRDefault="0074228B" w:rsidP="0074228B">
      <w:pPr>
        <w:spacing w:after="0" w:line="240" w:lineRule="auto"/>
        <w:jc w:val="both"/>
        <w:rPr>
          <w:rFonts w:ascii="Arial" w:hAnsi="Arial" w:cs="Arial"/>
          <w:sz w:val="24"/>
          <w:szCs w:val="24"/>
        </w:rPr>
      </w:pPr>
    </w:p>
    <w:p w:rsidR="0074228B" w:rsidRPr="00E814EB" w:rsidRDefault="0074228B" w:rsidP="0074228B">
      <w:pPr>
        <w:spacing w:after="0" w:line="240" w:lineRule="auto"/>
        <w:jc w:val="center"/>
        <w:rPr>
          <w:rFonts w:ascii="Arial" w:hAnsi="Arial" w:cs="Arial"/>
          <w:b/>
          <w:sz w:val="16"/>
          <w:szCs w:val="16"/>
        </w:rPr>
      </w:pPr>
      <w:r w:rsidRPr="00E814EB">
        <w:rPr>
          <w:rFonts w:ascii="Arial" w:hAnsi="Arial" w:cs="Arial"/>
          <w:b/>
          <w:sz w:val="16"/>
          <w:szCs w:val="16"/>
        </w:rPr>
        <w:t>Gráfica 8. Carga Laboral por Juez. Rama Judicial 2010-2013</w:t>
      </w:r>
    </w:p>
    <w:p w:rsidR="0074228B" w:rsidRDefault="0074228B" w:rsidP="00E814EB">
      <w:pPr>
        <w:spacing w:after="0" w:line="240" w:lineRule="auto"/>
        <w:jc w:val="center"/>
        <w:rPr>
          <w:rFonts w:ascii="Arial" w:hAnsi="Arial" w:cs="Arial"/>
          <w:b/>
          <w:sz w:val="16"/>
          <w:szCs w:val="16"/>
        </w:rPr>
      </w:pPr>
      <w:r w:rsidRPr="00E814EB">
        <w:rPr>
          <w:rFonts w:ascii="Arial" w:hAnsi="Arial" w:cs="Arial"/>
          <w:b/>
          <w:sz w:val="16"/>
          <w:szCs w:val="16"/>
        </w:rPr>
        <w:t>(Por Consejos Seccionales)</w:t>
      </w:r>
    </w:p>
    <w:p w:rsidR="00170E87" w:rsidRPr="00E814EB" w:rsidRDefault="00170E87" w:rsidP="00E814EB">
      <w:pPr>
        <w:spacing w:after="0" w:line="240" w:lineRule="auto"/>
        <w:jc w:val="center"/>
        <w:rPr>
          <w:rFonts w:ascii="Arial" w:hAnsi="Arial" w:cs="Arial"/>
          <w:b/>
          <w:sz w:val="16"/>
          <w:szCs w:val="16"/>
        </w:rPr>
      </w:pPr>
    </w:p>
    <w:p w:rsidR="0074228B" w:rsidRPr="009427D5" w:rsidRDefault="0074228B" w:rsidP="0074228B">
      <w:pPr>
        <w:spacing w:after="0" w:line="240" w:lineRule="auto"/>
        <w:jc w:val="center"/>
        <w:rPr>
          <w:rFonts w:ascii="Arial" w:hAnsi="Arial" w:cs="Arial"/>
          <w:sz w:val="24"/>
          <w:szCs w:val="24"/>
        </w:rPr>
      </w:pPr>
      <w:r w:rsidRPr="009427D5">
        <w:rPr>
          <w:rFonts w:ascii="Arial" w:hAnsi="Arial" w:cs="Arial"/>
          <w:noProof/>
          <w:sz w:val="24"/>
          <w:szCs w:val="24"/>
          <w:lang w:eastAsia="es-CO"/>
        </w:rPr>
        <w:drawing>
          <wp:inline distT="0" distB="0" distL="0" distR="0" wp14:anchorId="49C2B436" wp14:editId="4D88644B">
            <wp:extent cx="2519597" cy="2043545"/>
            <wp:effectExtent l="0" t="0" r="0" b="0"/>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19596" cy="2043544"/>
                    </a:xfrm>
                    <a:prstGeom prst="rect">
                      <a:avLst/>
                    </a:prstGeom>
                    <a:noFill/>
                    <a:ln>
                      <a:noFill/>
                    </a:ln>
                  </pic:spPr>
                </pic:pic>
              </a:graphicData>
            </a:graphic>
          </wp:inline>
        </w:drawing>
      </w:r>
    </w:p>
    <w:p w:rsidR="0074228B" w:rsidRPr="00E814EB" w:rsidRDefault="0074228B" w:rsidP="0074228B">
      <w:pPr>
        <w:spacing w:after="0" w:line="240" w:lineRule="auto"/>
        <w:jc w:val="center"/>
        <w:rPr>
          <w:rFonts w:ascii="Arial" w:hAnsi="Arial" w:cs="Arial"/>
          <w:b/>
          <w:sz w:val="16"/>
          <w:szCs w:val="16"/>
        </w:rPr>
      </w:pPr>
      <w:r w:rsidRPr="00E814EB">
        <w:rPr>
          <w:rFonts w:ascii="Arial" w:hAnsi="Arial" w:cs="Arial"/>
          <w:b/>
          <w:sz w:val="16"/>
          <w:szCs w:val="16"/>
        </w:rPr>
        <w:t>Fuente: Consejo Superior de la Judicatura. Cálculos CGR DES-DJS. Fecha de Corte: Abril de 2014</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 xml:space="preserve">La única seccional del país que presentó un incremento en la carga de trabajo por Juez fue Meta (3,4%) al pasar de 904 procesos en 2010 a 935 en 2013, ello debido al alto crecimiento en los ingresos de procesos (efectivos y no efectivos). Por otro lado, las seccionales que tuvieron menores reducciones en este indicador correspondieron a Caquetá (-1,2%), Risaralda (-4%) y Cesar (-5%), mientras las que registraron las disminuciones más significativas fueron Boyacá  (-41%) y Caldas (-34%) mostrando una mejora relativa en las condiciones para el personal </w:t>
      </w:r>
      <w:r w:rsidRPr="009427D5">
        <w:rPr>
          <w:rFonts w:ascii="Arial" w:hAnsi="Arial" w:cs="Arial"/>
          <w:sz w:val="24"/>
          <w:szCs w:val="24"/>
        </w:rPr>
        <w:lastRenderedPageBreak/>
        <w:t>juzgador en estas seccionales y que eventualmente puede favorecer la disminución en sus tiempos procesales.</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En relación con el desempeño de la productividad efectiva por Juez en las principales seccionales (Ver Gráfica 9), las que mostraron promedios anuales más altos, entre 2010 y 2013, fueron Antioquia con 543 egresos efectivos por Juez, seguido por Atlántico (536), Bogotá-Cundinamarca (508), Valle del Cauca (490), mientras que Santander registró 354 y el resto de las seccionales 345. Otras seccionales con una alta productividad por Juez son Risaralda (539) y Quindío (521), mientras las que evidencian los niveles más bajos de productividad son Chocó (151), La Guajira (218), Boyacá (238) y Cauca (272).</w:t>
      </w:r>
    </w:p>
    <w:p w:rsidR="003A0D80" w:rsidRDefault="003A0D80"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Estas diferencias se deben sobre todo a la mayor proporción de despachos especializados (civiles, penales, de familia, laborales y administrativos) que existe en las principales seccionales, los cuales poseen mayores niveles de productividad por Juez, mientras que en las demás seccionales hay una mayor proporción de despachos promiscuos (es decir, no especializados) que como se vio anteriormente, poseen una productividad efectiva más baja.</w:t>
      </w:r>
    </w:p>
    <w:p w:rsidR="0074228B" w:rsidRPr="009427D5" w:rsidRDefault="0074228B" w:rsidP="0074228B">
      <w:pPr>
        <w:spacing w:after="0" w:line="240" w:lineRule="auto"/>
        <w:jc w:val="both"/>
        <w:rPr>
          <w:rFonts w:ascii="Arial" w:hAnsi="Arial" w:cs="Arial"/>
          <w:sz w:val="24"/>
          <w:szCs w:val="24"/>
        </w:rPr>
      </w:pPr>
    </w:p>
    <w:p w:rsidR="0074228B" w:rsidRPr="00E814EB" w:rsidRDefault="0074228B" w:rsidP="0074228B">
      <w:pPr>
        <w:spacing w:after="0" w:line="240" w:lineRule="auto"/>
        <w:jc w:val="center"/>
        <w:rPr>
          <w:rFonts w:ascii="Arial" w:hAnsi="Arial" w:cs="Arial"/>
          <w:b/>
          <w:sz w:val="16"/>
          <w:szCs w:val="16"/>
        </w:rPr>
      </w:pPr>
      <w:r w:rsidRPr="00E814EB">
        <w:rPr>
          <w:rFonts w:ascii="Arial" w:hAnsi="Arial" w:cs="Arial"/>
          <w:b/>
          <w:sz w:val="16"/>
          <w:szCs w:val="16"/>
        </w:rPr>
        <w:t>Gráfica 9. Productividad Efectiva por Juez. Rama Judicial 2010-2013</w:t>
      </w:r>
    </w:p>
    <w:p w:rsidR="0074228B" w:rsidRPr="00E814EB" w:rsidRDefault="0074228B" w:rsidP="0074228B">
      <w:pPr>
        <w:spacing w:after="0" w:line="240" w:lineRule="auto"/>
        <w:jc w:val="center"/>
        <w:rPr>
          <w:rFonts w:ascii="Arial" w:hAnsi="Arial" w:cs="Arial"/>
          <w:b/>
          <w:sz w:val="16"/>
          <w:szCs w:val="16"/>
        </w:rPr>
      </w:pPr>
      <w:r w:rsidRPr="00E814EB">
        <w:rPr>
          <w:rFonts w:ascii="Arial" w:hAnsi="Arial" w:cs="Arial"/>
          <w:b/>
          <w:sz w:val="16"/>
          <w:szCs w:val="16"/>
        </w:rPr>
        <w:t>(Por Consejos Seccionales)</w:t>
      </w:r>
    </w:p>
    <w:p w:rsidR="0074228B" w:rsidRPr="009427D5" w:rsidRDefault="0074228B" w:rsidP="0074228B">
      <w:pPr>
        <w:spacing w:after="0" w:line="240" w:lineRule="auto"/>
        <w:jc w:val="center"/>
        <w:rPr>
          <w:rFonts w:ascii="Arial" w:hAnsi="Arial" w:cs="Arial"/>
          <w:sz w:val="24"/>
          <w:szCs w:val="24"/>
        </w:rPr>
      </w:pPr>
      <w:r w:rsidRPr="009427D5">
        <w:rPr>
          <w:rFonts w:ascii="Arial" w:hAnsi="Arial" w:cs="Arial"/>
          <w:noProof/>
          <w:sz w:val="24"/>
          <w:szCs w:val="24"/>
          <w:lang w:eastAsia="es-CO"/>
        </w:rPr>
        <w:drawing>
          <wp:inline distT="0" distB="0" distL="0" distR="0" wp14:anchorId="047C6193" wp14:editId="32B7ED17">
            <wp:extent cx="2478032" cy="2008909"/>
            <wp:effectExtent l="0" t="0" r="0" b="0"/>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4345" cy="2005920"/>
                    </a:xfrm>
                    <a:prstGeom prst="rect">
                      <a:avLst/>
                    </a:prstGeom>
                    <a:noFill/>
                    <a:ln>
                      <a:noFill/>
                    </a:ln>
                  </pic:spPr>
                </pic:pic>
              </a:graphicData>
            </a:graphic>
          </wp:inline>
        </w:drawing>
      </w:r>
    </w:p>
    <w:p w:rsidR="0074228B" w:rsidRPr="00E814EB" w:rsidRDefault="0074228B" w:rsidP="0074228B">
      <w:pPr>
        <w:spacing w:after="0" w:line="240" w:lineRule="auto"/>
        <w:jc w:val="center"/>
        <w:rPr>
          <w:rFonts w:ascii="Arial" w:hAnsi="Arial" w:cs="Arial"/>
          <w:b/>
          <w:sz w:val="16"/>
          <w:szCs w:val="16"/>
        </w:rPr>
      </w:pPr>
      <w:r w:rsidRPr="00E814EB">
        <w:rPr>
          <w:rFonts w:ascii="Arial" w:hAnsi="Arial" w:cs="Arial"/>
          <w:b/>
          <w:sz w:val="16"/>
          <w:szCs w:val="16"/>
        </w:rPr>
        <w:t>Fuente: Consejo Superior de la Judicatura. Cálculos CGR DES-DJS. Fecha de Corte: Abril de 2014</w:t>
      </w:r>
    </w:p>
    <w:p w:rsidR="0074228B" w:rsidRPr="00E814EB" w:rsidRDefault="0074228B" w:rsidP="0074228B">
      <w:pPr>
        <w:spacing w:after="0" w:line="240" w:lineRule="auto"/>
        <w:jc w:val="both"/>
        <w:rPr>
          <w:rFonts w:ascii="Arial" w:hAnsi="Arial" w:cs="Arial"/>
          <w:sz w:val="16"/>
          <w:szCs w:val="16"/>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 xml:space="preserve">Se observa que el crecimiento de este indicador ha sido muy bajo en la mayoría de seccionales e incluso en varias ha decrecido, por ende, los niveles de productividad efectiva continúan siendo inferiores a las cargas de trabajo por Juez. En el caso de las principales seccionales, Atlántico registró (-16%) al pasar de 618 egresos efectivos por Juez en 2010 a 516 en 2013, Valle del Cauca (-9%) de 546 a 498 y Antioquia (-5%) de 595 a 594; esto refleja el mayor crecimiento del personal juzgador en comparación con los egresos efectivos. En contraste, las seccionales de Santander y Bogotá-Cundinamarca tuvieron leves incrementos en </w:t>
      </w:r>
      <w:r w:rsidRPr="009427D5">
        <w:rPr>
          <w:rFonts w:ascii="Arial" w:hAnsi="Arial" w:cs="Arial"/>
          <w:sz w:val="24"/>
          <w:szCs w:val="24"/>
        </w:rPr>
        <w:lastRenderedPageBreak/>
        <w:t>su productividad (5% y 2%), pues el primero pasó de 396 a 415 egresos efectivos por Juez y el segundo de 532 a 543.</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No obstante, se presentaron algunas seccionales en donde la productividad efectiva por Juez creció significativamente como Meta (40%), Bolívar (25,5%) y Caquetá (21%), mostrando así una mejora importante en el desempeño de sus despachos judiciales. Por el contrario, las seccionales que evidenciaron fuertes reducciones en su productividad efectiva fueron Magdalena (-34%), Sucre (-30%), Caldas (-26%) y Boyacá (-20%), en las cuales los egresos efectivos crecieron a unas menores tasas en comparación con el personal juzgador, hecho que eventualmente puede ocasionar incrementos en sus niveles de congestión de procesos.</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Respecto al comportamiento del índice de evacuación parcial efectivo en las principales seccionales (Ver Gráfica 10.). Los promedios anuales más altos se registraron en Atlántico (118%) y Valle del Cauca (108%), lo cual significa que sus egresos efectivos fueron mayores a sus ingresos efectivos durante el periodo revisado. Lo contrario ocurrió en las seccionales de Antioquia (91%), Bogotá-Cundinamarca (92%) y Santander (96%), por ende, podría generarse una mayor congestión de este tipo de procesos al interior de sus despachos. Por su parte, en el resto de seccionales el índice tuvo un promedio anual de 101%, el cual es levemente mayor al del total nacional (98%).</w:t>
      </w:r>
    </w:p>
    <w:p w:rsidR="0074228B" w:rsidRPr="009427D5" w:rsidRDefault="0074228B" w:rsidP="0074228B">
      <w:pPr>
        <w:spacing w:after="0" w:line="240" w:lineRule="auto"/>
        <w:jc w:val="both"/>
        <w:rPr>
          <w:rFonts w:ascii="Arial" w:hAnsi="Arial" w:cs="Arial"/>
          <w:sz w:val="24"/>
          <w:szCs w:val="24"/>
        </w:rPr>
      </w:pPr>
    </w:p>
    <w:p w:rsidR="0074228B" w:rsidRPr="00E814EB" w:rsidRDefault="0074228B" w:rsidP="0074228B">
      <w:pPr>
        <w:spacing w:after="0" w:line="240" w:lineRule="auto"/>
        <w:jc w:val="center"/>
        <w:rPr>
          <w:rFonts w:ascii="Arial" w:hAnsi="Arial" w:cs="Arial"/>
          <w:b/>
          <w:sz w:val="16"/>
          <w:szCs w:val="16"/>
        </w:rPr>
      </w:pPr>
      <w:r w:rsidRPr="00E814EB">
        <w:rPr>
          <w:rFonts w:ascii="Arial" w:hAnsi="Arial" w:cs="Arial"/>
          <w:b/>
          <w:sz w:val="16"/>
          <w:szCs w:val="16"/>
        </w:rPr>
        <w:t>Gráfica 10. Índice de Evacuación Parcial Efectivo. Rama Judicial 2010-2013</w:t>
      </w:r>
    </w:p>
    <w:p w:rsidR="0074228B" w:rsidRPr="00E814EB" w:rsidRDefault="0074228B" w:rsidP="0074228B">
      <w:pPr>
        <w:spacing w:after="0" w:line="240" w:lineRule="auto"/>
        <w:jc w:val="center"/>
        <w:rPr>
          <w:rFonts w:ascii="Arial" w:hAnsi="Arial" w:cs="Arial"/>
          <w:b/>
          <w:sz w:val="16"/>
          <w:szCs w:val="16"/>
        </w:rPr>
      </w:pPr>
      <w:r w:rsidRPr="00E814EB">
        <w:rPr>
          <w:rFonts w:ascii="Arial" w:hAnsi="Arial" w:cs="Arial"/>
          <w:b/>
          <w:sz w:val="16"/>
          <w:szCs w:val="16"/>
        </w:rPr>
        <w:t>(Por Consejos Seccionales)</w:t>
      </w:r>
    </w:p>
    <w:p w:rsidR="0074228B" w:rsidRPr="009427D5" w:rsidRDefault="0074228B" w:rsidP="0074228B">
      <w:pPr>
        <w:spacing w:after="0" w:line="240" w:lineRule="auto"/>
        <w:jc w:val="center"/>
        <w:rPr>
          <w:rFonts w:ascii="Arial" w:hAnsi="Arial" w:cs="Arial"/>
          <w:sz w:val="24"/>
          <w:szCs w:val="24"/>
        </w:rPr>
      </w:pPr>
      <w:r w:rsidRPr="009427D5">
        <w:rPr>
          <w:rFonts w:ascii="Arial" w:hAnsi="Arial" w:cs="Arial"/>
          <w:noProof/>
          <w:sz w:val="24"/>
          <w:szCs w:val="24"/>
          <w:lang w:eastAsia="es-CO"/>
        </w:rPr>
        <w:drawing>
          <wp:inline distT="0" distB="0" distL="0" distR="0" wp14:anchorId="550F5708" wp14:editId="488AB947">
            <wp:extent cx="2784764" cy="1752600"/>
            <wp:effectExtent l="0" t="0" r="0" b="0"/>
            <wp:docPr id="5"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80620" cy="1749992"/>
                    </a:xfrm>
                    <a:prstGeom prst="rect">
                      <a:avLst/>
                    </a:prstGeom>
                    <a:noFill/>
                    <a:ln>
                      <a:noFill/>
                    </a:ln>
                  </pic:spPr>
                </pic:pic>
              </a:graphicData>
            </a:graphic>
          </wp:inline>
        </w:drawing>
      </w:r>
    </w:p>
    <w:p w:rsidR="0074228B" w:rsidRDefault="0074228B" w:rsidP="0074228B">
      <w:pPr>
        <w:spacing w:after="0" w:line="240" w:lineRule="auto"/>
        <w:jc w:val="center"/>
        <w:rPr>
          <w:rFonts w:ascii="Arial" w:hAnsi="Arial" w:cs="Arial"/>
          <w:b/>
          <w:sz w:val="16"/>
          <w:szCs w:val="16"/>
        </w:rPr>
      </w:pPr>
      <w:r w:rsidRPr="0036031F">
        <w:rPr>
          <w:rFonts w:ascii="Arial" w:hAnsi="Arial" w:cs="Arial"/>
          <w:b/>
          <w:sz w:val="16"/>
          <w:szCs w:val="16"/>
        </w:rPr>
        <w:t>Fuente: Consejo Superior de la Judicatura. Cálculos CGR DES-DJS. Fecha de Corte: Abril de 2014</w:t>
      </w:r>
    </w:p>
    <w:p w:rsidR="000940E2" w:rsidRPr="0036031F" w:rsidRDefault="000940E2" w:rsidP="0074228B">
      <w:pPr>
        <w:spacing w:after="0" w:line="240" w:lineRule="auto"/>
        <w:jc w:val="center"/>
        <w:rPr>
          <w:rFonts w:ascii="Arial" w:hAnsi="Arial" w:cs="Arial"/>
          <w:b/>
          <w:sz w:val="16"/>
          <w:szCs w:val="16"/>
        </w:rPr>
      </w:pPr>
    </w:p>
    <w:p w:rsidR="0074228B" w:rsidRDefault="0074228B" w:rsidP="0074228B">
      <w:pPr>
        <w:spacing w:after="0" w:line="240" w:lineRule="auto"/>
        <w:jc w:val="both"/>
        <w:rPr>
          <w:rFonts w:ascii="Arial" w:hAnsi="Arial" w:cs="Arial"/>
          <w:sz w:val="24"/>
          <w:szCs w:val="24"/>
        </w:rPr>
      </w:pPr>
      <w:r w:rsidRPr="009427D5">
        <w:rPr>
          <w:rFonts w:ascii="Arial" w:hAnsi="Arial" w:cs="Arial"/>
          <w:sz w:val="24"/>
          <w:szCs w:val="24"/>
        </w:rPr>
        <w:t xml:space="preserve">Otras seccionales que mostraron índices de evacuación parcial efectivo superiores a 100% correspondieron a Boyacá (115,5%), Nariño (109%), Risaralda (108%) y Bolívar (107%), por lo cual, sus niveles de congestión de procesos no han incrementado. En cambio, las seccionales que presentaron los índices más bajos fueron Chocó (83%), Caquetá (90%) y Cauca (92%), en donde pese a que sus </w:t>
      </w:r>
      <w:r w:rsidRPr="009427D5">
        <w:rPr>
          <w:rFonts w:ascii="Arial" w:hAnsi="Arial" w:cs="Arial"/>
          <w:sz w:val="24"/>
          <w:szCs w:val="24"/>
        </w:rPr>
        <w:lastRenderedPageBreak/>
        <w:t>egresos efectivos aumentaron considerablemente en los últimos cuatro años, continúan siendo inferiores a sus ingresos efectivos.</w:t>
      </w:r>
    </w:p>
    <w:p w:rsidR="000209DD" w:rsidRPr="009427D5" w:rsidRDefault="000209DD" w:rsidP="0074228B">
      <w:pPr>
        <w:spacing w:after="0" w:line="240" w:lineRule="auto"/>
        <w:jc w:val="both"/>
        <w:rPr>
          <w:rFonts w:ascii="Arial" w:hAnsi="Arial" w:cs="Arial"/>
          <w:sz w:val="24"/>
          <w:szCs w:val="24"/>
        </w:rPr>
      </w:pPr>
    </w:p>
    <w:p w:rsidR="0074228B" w:rsidRDefault="0074228B" w:rsidP="0074228B">
      <w:pPr>
        <w:spacing w:after="0" w:line="240" w:lineRule="auto"/>
        <w:jc w:val="both"/>
        <w:rPr>
          <w:rFonts w:ascii="Arial" w:hAnsi="Arial" w:cs="Arial"/>
          <w:sz w:val="24"/>
          <w:szCs w:val="24"/>
        </w:rPr>
      </w:pPr>
      <w:r w:rsidRPr="009427D5">
        <w:rPr>
          <w:rFonts w:ascii="Arial" w:hAnsi="Arial" w:cs="Arial"/>
          <w:sz w:val="24"/>
          <w:szCs w:val="24"/>
        </w:rPr>
        <w:t xml:space="preserve">Este índice no presentó variaciones sustanciales en las principales seccionales, a excepción de Atlántico donde disminuyó 20 p.p., pues pasó de 126% en 2010 a 106% en 2013, en Valle del Cauca aumentó 5 p.p. (de 105% a 110%), en Bogotá-Cundinamarca aumentó solo 1 </w:t>
      </w:r>
      <w:proofErr w:type="spellStart"/>
      <w:r w:rsidRPr="009427D5">
        <w:rPr>
          <w:rFonts w:ascii="Arial" w:hAnsi="Arial" w:cs="Arial"/>
          <w:sz w:val="24"/>
          <w:szCs w:val="24"/>
        </w:rPr>
        <w:t>p.p</w:t>
      </w:r>
      <w:proofErr w:type="spellEnd"/>
      <w:r w:rsidRPr="009427D5">
        <w:rPr>
          <w:rFonts w:ascii="Arial" w:hAnsi="Arial" w:cs="Arial"/>
          <w:sz w:val="24"/>
          <w:szCs w:val="24"/>
        </w:rPr>
        <w:t xml:space="preserve"> (de 92% a 93%), mientras que en Santander se mantuvo constante alrededor de 99% y en Antioquia se dio una disminución de 5 p.p. (de 93% a 88%). Lo anterior muestra que los ingresos y egresos efectivos crecieron a tasas</w:t>
      </w:r>
      <w:r w:rsidR="006E5E2B">
        <w:rPr>
          <w:rFonts w:ascii="Arial" w:hAnsi="Arial" w:cs="Arial"/>
          <w:sz w:val="24"/>
          <w:szCs w:val="24"/>
        </w:rPr>
        <w:t xml:space="preserve"> similares en estas seccionales (Ver Mapa 1).</w:t>
      </w:r>
    </w:p>
    <w:p w:rsidR="00070E9C" w:rsidRDefault="00070E9C" w:rsidP="0074228B">
      <w:pPr>
        <w:spacing w:after="0" w:line="240" w:lineRule="auto"/>
        <w:jc w:val="both"/>
        <w:rPr>
          <w:rFonts w:ascii="Arial" w:hAnsi="Arial" w:cs="Arial"/>
          <w:sz w:val="24"/>
          <w:szCs w:val="24"/>
        </w:rPr>
      </w:pPr>
      <w:r>
        <w:rPr>
          <w:rFonts w:ascii="Arial" w:hAnsi="Arial" w:cs="Arial"/>
          <w:sz w:val="24"/>
          <w:szCs w:val="24"/>
        </w:rPr>
        <w:t>Para el resto de seccionales, en la mayoría se presentó una mejora en este indicador, a excepción de Magdalena (-16 p.p.), Caldas (-13 p.p.), Boyacá (-11 p.p.), La Guajira (-9 p.p.) y Córdoba (-7 p.p.).</w:t>
      </w:r>
    </w:p>
    <w:p w:rsidR="00070E9C" w:rsidRDefault="00070E9C"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En relación con el índice de congestión efectivo en las principales seccionales (Ver Gráfica 11.), la que evidenció el menor promedio anual durante el periodo revisado fue Antioquia (40,6%), el cual resulta inferior al promedio nacional (58,2%) y puede favorecer menores tiempos procesales. Por su parte, las seccionales de Santander, Atlántico y Bogotá-Cundinamarca mostraron promedios cercanos al nacional (entre 57% y 58%) que reflejan alto crecimiento en la demanda de servicios de justicia en estos territorios. En Valle del Cauca y el resto de las seccionales, los índices fueron levemente menores (53,5% y 51%).</w:t>
      </w:r>
    </w:p>
    <w:p w:rsidR="0036031F" w:rsidRDefault="0036031F" w:rsidP="0074228B">
      <w:pPr>
        <w:spacing w:after="0" w:line="240" w:lineRule="auto"/>
        <w:jc w:val="center"/>
        <w:rPr>
          <w:rFonts w:ascii="Arial" w:hAnsi="Arial" w:cs="Arial"/>
          <w:b/>
          <w:sz w:val="20"/>
          <w:szCs w:val="20"/>
        </w:rPr>
      </w:pPr>
    </w:p>
    <w:p w:rsidR="0074228B" w:rsidRPr="00E814EB" w:rsidRDefault="0074228B" w:rsidP="0074228B">
      <w:pPr>
        <w:spacing w:after="0" w:line="240" w:lineRule="auto"/>
        <w:jc w:val="center"/>
        <w:rPr>
          <w:rFonts w:ascii="Arial" w:hAnsi="Arial" w:cs="Arial"/>
          <w:b/>
          <w:sz w:val="16"/>
          <w:szCs w:val="16"/>
        </w:rPr>
      </w:pPr>
      <w:r w:rsidRPr="00E814EB">
        <w:rPr>
          <w:rFonts w:ascii="Arial" w:hAnsi="Arial" w:cs="Arial"/>
          <w:b/>
          <w:sz w:val="16"/>
          <w:szCs w:val="16"/>
        </w:rPr>
        <w:t>Gráfica 11. Índice de Congestión Efectivo. Rama Judicial 2010-2013</w:t>
      </w:r>
    </w:p>
    <w:p w:rsidR="0074228B" w:rsidRPr="00E814EB" w:rsidRDefault="0074228B" w:rsidP="0074228B">
      <w:pPr>
        <w:spacing w:after="0" w:line="240" w:lineRule="auto"/>
        <w:jc w:val="center"/>
        <w:rPr>
          <w:rFonts w:ascii="Arial" w:hAnsi="Arial" w:cs="Arial"/>
          <w:sz w:val="16"/>
          <w:szCs w:val="16"/>
        </w:rPr>
      </w:pPr>
      <w:r w:rsidRPr="00E814EB">
        <w:rPr>
          <w:rFonts w:ascii="Arial" w:hAnsi="Arial" w:cs="Arial"/>
          <w:b/>
          <w:sz w:val="16"/>
          <w:szCs w:val="16"/>
        </w:rPr>
        <w:t>(Por Consejos Seccionales)</w:t>
      </w:r>
    </w:p>
    <w:p w:rsidR="0074228B" w:rsidRPr="009427D5" w:rsidRDefault="0074228B" w:rsidP="0074228B">
      <w:pPr>
        <w:spacing w:after="0" w:line="240" w:lineRule="auto"/>
        <w:jc w:val="center"/>
        <w:rPr>
          <w:rFonts w:ascii="Arial" w:hAnsi="Arial" w:cs="Arial"/>
          <w:sz w:val="24"/>
          <w:szCs w:val="24"/>
        </w:rPr>
      </w:pPr>
      <w:r w:rsidRPr="009427D5">
        <w:rPr>
          <w:rFonts w:ascii="Arial" w:hAnsi="Arial" w:cs="Arial"/>
          <w:noProof/>
          <w:sz w:val="24"/>
          <w:szCs w:val="24"/>
          <w:lang w:eastAsia="es-CO"/>
        </w:rPr>
        <w:drawing>
          <wp:inline distT="0" distB="0" distL="0" distR="0" wp14:anchorId="0CF2BDCD" wp14:editId="57680F41">
            <wp:extent cx="2332559" cy="1877290"/>
            <wp:effectExtent l="0" t="0" r="0" b="8890"/>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32559" cy="1877290"/>
                    </a:xfrm>
                    <a:prstGeom prst="rect">
                      <a:avLst/>
                    </a:prstGeom>
                    <a:noFill/>
                    <a:ln>
                      <a:noFill/>
                    </a:ln>
                  </pic:spPr>
                </pic:pic>
              </a:graphicData>
            </a:graphic>
          </wp:inline>
        </w:drawing>
      </w:r>
    </w:p>
    <w:p w:rsidR="0074228B" w:rsidRPr="00E814EB" w:rsidRDefault="0074228B" w:rsidP="0074228B">
      <w:pPr>
        <w:spacing w:after="0" w:line="240" w:lineRule="auto"/>
        <w:jc w:val="center"/>
        <w:rPr>
          <w:rFonts w:ascii="Arial" w:hAnsi="Arial" w:cs="Arial"/>
          <w:b/>
          <w:sz w:val="16"/>
          <w:szCs w:val="16"/>
        </w:rPr>
      </w:pPr>
      <w:r w:rsidRPr="00E814EB">
        <w:rPr>
          <w:rFonts w:ascii="Arial" w:hAnsi="Arial" w:cs="Arial"/>
          <w:b/>
          <w:sz w:val="16"/>
          <w:szCs w:val="16"/>
        </w:rPr>
        <w:t>Fuente: Consejo Superior de la Judicatura. Cálculos CGR DES-DJS. Fecha de Corte: Abril de 2014</w:t>
      </w:r>
    </w:p>
    <w:p w:rsidR="00D10B6B" w:rsidRDefault="00D10B6B" w:rsidP="0074228B">
      <w:pPr>
        <w:spacing w:after="0" w:line="240" w:lineRule="auto"/>
        <w:jc w:val="both"/>
        <w:rPr>
          <w:rFonts w:ascii="Arial" w:hAnsi="Arial" w:cs="Arial"/>
          <w:sz w:val="24"/>
          <w:szCs w:val="24"/>
        </w:rPr>
      </w:pPr>
    </w:p>
    <w:p w:rsidR="00170E87" w:rsidRDefault="00170E87" w:rsidP="0074228B">
      <w:pPr>
        <w:spacing w:after="0" w:line="240" w:lineRule="auto"/>
        <w:jc w:val="both"/>
        <w:rPr>
          <w:rFonts w:ascii="Arial" w:hAnsi="Arial" w:cs="Arial"/>
          <w:sz w:val="24"/>
          <w:szCs w:val="24"/>
        </w:rPr>
      </w:pPr>
    </w:p>
    <w:p w:rsidR="00170E87" w:rsidRDefault="00170E87" w:rsidP="0074228B">
      <w:pPr>
        <w:spacing w:after="0" w:line="240" w:lineRule="auto"/>
        <w:jc w:val="both"/>
        <w:rPr>
          <w:rFonts w:ascii="Arial" w:hAnsi="Arial" w:cs="Arial"/>
          <w:sz w:val="24"/>
          <w:szCs w:val="24"/>
        </w:rPr>
      </w:pPr>
    </w:p>
    <w:p w:rsidR="00170E87" w:rsidRDefault="00170E87" w:rsidP="0074228B">
      <w:pPr>
        <w:spacing w:after="0" w:line="240" w:lineRule="auto"/>
        <w:jc w:val="both"/>
        <w:rPr>
          <w:rFonts w:ascii="Arial" w:hAnsi="Arial" w:cs="Arial"/>
          <w:sz w:val="24"/>
          <w:szCs w:val="24"/>
        </w:rPr>
      </w:pPr>
    </w:p>
    <w:p w:rsidR="00170E87" w:rsidRDefault="00170E87" w:rsidP="0074228B">
      <w:pPr>
        <w:spacing w:after="0" w:line="240" w:lineRule="auto"/>
        <w:jc w:val="both"/>
        <w:rPr>
          <w:rFonts w:ascii="Arial" w:hAnsi="Arial" w:cs="Arial"/>
          <w:sz w:val="24"/>
          <w:szCs w:val="24"/>
        </w:rPr>
      </w:pPr>
    </w:p>
    <w:p w:rsidR="00170E87" w:rsidRDefault="00170E87" w:rsidP="0074228B">
      <w:pPr>
        <w:spacing w:after="0" w:line="240" w:lineRule="auto"/>
        <w:jc w:val="both"/>
        <w:rPr>
          <w:rFonts w:ascii="Arial" w:hAnsi="Arial" w:cs="Arial"/>
          <w:sz w:val="24"/>
          <w:szCs w:val="24"/>
        </w:rPr>
      </w:pPr>
    </w:p>
    <w:p w:rsidR="00170E87" w:rsidRDefault="00170E87" w:rsidP="0074228B">
      <w:pPr>
        <w:spacing w:after="0" w:line="240" w:lineRule="auto"/>
        <w:jc w:val="both"/>
        <w:rPr>
          <w:rFonts w:ascii="Arial" w:hAnsi="Arial" w:cs="Arial"/>
          <w:sz w:val="24"/>
          <w:szCs w:val="24"/>
        </w:rPr>
      </w:pPr>
    </w:p>
    <w:p w:rsidR="006E5E2B" w:rsidRPr="006E5E2B" w:rsidRDefault="006E5E2B" w:rsidP="006E5E2B">
      <w:pPr>
        <w:spacing w:after="0" w:line="240" w:lineRule="auto"/>
        <w:jc w:val="center"/>
        <w:rPr>
          <w:rFonts w:ascii="Arial" w:hAnsi="Arial" w:cs="Arial"/>
          <w:b/>
          <w:sz w:val="20"/>
          <w:szCs w:val="20"/>
        </w:rPr>
      </w:pPr>
      <w:r>
        <w:rPr>
          <w:rFonts w:ascii="Arial" w:hAnsi="Arial" w:cs="Arial"/>
          <w:b/>
          <w:sz w:val="20"/>
          <w:szCs w:val="20"/>
        </w:rPr>
        <w:lastRenderedPageBreak/>
        <w:t>Mapa 1.</w:t>
      </w:r>
      <w:r w:rsidRPr="006E5E2B">
        <w:rPr>
          <w:rFonts w:ascii="Arial" w:hAnsi="Arial" w:cs="Arial"/>
          <w:b/>
          <w:sz w:val="20"/>
          <w:szCs w:val="20"/>
        </w:rPr>
        <w:t xml:space="preserve"> Índice de </w:t>
      </w:r>
      <w:r>
        <w:rPr>
          <w:rFonts w:ascii="Arial" w:hAnsi="Arial" w:cs="Arial"/>
          <w:b/>
          <w:sz w:val="20"/>
          <w:szCs w:val="20"/>
        </w:rPr>
        <w:t>Evacuación Parcial Efectivo.</w:t>
      </w:r>
      <w:r w:rsidRPr="006E5E2B">
        <w:rPr>
          <w:rFonts w:ascii="Arial" w:hAnsi="Arial" w:cs="Arial"/>
          <w:b/>
          <w:sz w:val="20"/>
          <w:szCs w:val="20"/>
        </w:rPr>
        <w:t xml:space="preserve"> Rama Judicial 2010</w:t>
      </w:r>
      <w:r>
        <w:rPr>
          <w:rFonts w:ascii="Arial" w:hAnsi="Arial" w:cs="Arial"/>
          <w:b/>
          <w:sz w:val="20"/>
          <w:szCs w:val="20"/>
        </w:rPr>
        <w:t>-</w:t>
      </w:r>
      <w:r w:rsidRPr="006E5E2B">
        <w:rPr>
          <w:rFonts w:ascii="Arial" w:hAnsi="Arial" w:cs="Arial"/>
          <w:b/>
          <w:sz w:val="20"/>
          <w:szCs w:val="20"/>
        </w:rPr>
        <w:t>2013</w:t>
      </w:r>
    </w:p>
    <w:p w:rsidR="006E5E2B" w:rsidRDefault="00170E87" w:rsidP="006564A4">
      <w:pPr>
        <w:spacing w:after="0" w:line="240" w:lineRule="auto"/>
        <w:jc w:val="center"/>
        <w:rPr>
          <w:rFonts w:ascii="Arial" w:hAnsi="Arial" w:cs="Arial"/>
          <w:noProof/>
          <w:sz w:val="24"/>
          <w:szCs w:val="24"/>
          <w:lang w:eastAsia="es-CO"/>
        </w:rPr>
      </w:pPr>
      <w:r>
        <w:rPr>
          <w:rFonts w:ascii="Arial" w:hAnsi="Arial" w:cs="Arial"/>
          <w:b/>
          <w:noProof/>
          <w:sz w:val="20"/>
          <w:szCs w:val="20"/>
          <w:lang w:eastAsia="es-CO"/>
        </w:rPr>
        <w:drawing>
          <wp:anchor distT="0" distB="0" distL="114300" distR="114300" simplePos="0" relativeHeight="251661312" behindDoc="0" locked="0" layoutInCell="1" allowOverlap="1" wp14:anchorId="25E8C3CB" wp14:editId="6DAC0C79">
            <wp:simplePos x="0" y="0"/>
            <wp:positionH relativeFrom="column">
              <wp:posOffset>-749935</wp:posOffset>
            </wp:positionH>
            <wp:positionV relativeFrom="paragraph">
              <wp:posOffset>149225</wp:posOffset>
            </wp:positionV>
            <wp:extent cx="7000875" cy="5019675"/>
            <wp:effectExtent l="0" t="0" r="9525" b="9525"/>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VACUACIÓN 10 - 13.png"/>
                    <pic:cNvPicPr/>
                  </pic:nvPicPr>
                  <pic:blipFill>
                    <a:blip r:embed="rId21">
                      <a:extLst>
                        <a:ext uri="{28A0092B-C50C-407E-A947-70E740481C1C}">
                          <a14:useLocalDpi xmlns:a14="http://schemas.microsoft.com/office/drawing/2010/main" val="0"/>
                        </a:ext>
                      </a:extLst>
                    </a:blip>
                    <a:stretch>
                      <a:fillRect/>
                    </a:stretch>
                  </pic:blipFill>
                  <pic:spPr>
                    <a:xfrm>
                      <a:off x="0" y="0"/>
                      <a:ext cx="7000875" cy="5019675"/>
                    </a:xfrm>
                    <a:prstGeom prst="rect">
                      <a:avLst/>
                    </a:prstGeom>
                  </pic:spPr>
                </pic:pic>
              </a:graphicData>
            </a:graphic>
            <wp14:sizeRelH relativeFrom="page">
              <wp14:pctWidth>0</wp14:pctWidth>
            </wp14:sizeRelH>
            <wp14:sizeRelV relativeFrom="page">
              <wp14:pctHeight>0</wp14:pctHeight>
            </wp14:sizeRelV>
          </wp:anchor>
        </w:drawing>
      </w:r>
      <w:r w:rsidR="006E5E2B" w:rsidRPr="006E5E2B">
        <w:rPr>
          <w:rFonts w:ascii="Arial" w:hAnsi="Arial" w:cs="Arial"/>
          <w:b/>
          <w:sz w:val="20"/>
          <w:szCs w:val="20"/>
        </w:rPr>
        <w:t>(Por Consejos Seccionales)</w:t>
      </w:r>
    </w:p>
    <w:p w:rsidR="00DF54C4" w:rsidRPr="00DF54C4" w:rsidRDefault="00B458D7" w:rsidP="00E9090F">
      <w:pPr>
        <w:spacing w:after="0" w:line="240" w:lineRule="auto"/>
        <w:jc w:val="center"/>
        <w:rPr>
          <w:rFonts w:ascii="Arial" w:hAnsi="Arial" w:cs="Arial"/>
          <w:b/>
          <w:sz w:val="18"/>
          <w:szCs w:val="18"/>
        </w:rPr>
      </w:pPr>
      <w:r w:rsidRPr="009427D5">
        <w:rPr>
          <w:rFonts w:ascii="Arial" w:hAnsi="Arial" w:cs="Arial"/>
          <w:b/>
          <w:sz w:val="18"/>
          <w:szCs w:val="18"/>
        </w:rPr>
        <w:t>Fuente: Consejo Superior de la Judicatura. Cálculos CGR DES-DJS. Fecha de Corte: Abril de 2014</w:t>
      </w:r>
    </w:p>
    <w:p w:rsidR="005B7F39" w:rsidRDefault="005B7F39" w:rsidP="0074228B">
      <w:pPr>
        <w:spacing w:after="0" w:line="240" w:lineRule="auto"/>
        <w:jc w:val="both"/>
        <w:rPr>
          <w:rFonts w:ascii="Arial" w:hAnsi="Arial" w:cs="Arial"/>
          <w:sz w:val="24"/>
          <w:szCs w:val="24"/>
        </w:rPr>
        <w:sectPr w:rsidR="005B7F39" w:rsidSect="004654FF">
          <w:headerReference w:type="default" r:id="rId22"/>
          <w:footerReference w:type="default" r:id="rId23"/>
          <w:pgSz w:w="12240" w:h="15840" w:code="1"/>
          <w:pgMar w:top="2372" w:right="1701" w:bottom="1701" w:left="1701" w:header="709" w:footer="709" w:gutter="0"/>
          <w:cols w:space="708"/>
          <w:docGrid w:linePitch="360"/>
        </w:sect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lastRenderedPageBreak/>
        <w:t>Las seccionales que presentan los menores índices de congestión efectivo son las localizadas en la región del eje cafetero, como Caldas (37%), Risaralda (39%) y Quindío (40%), hecho que obedece a sus menores niveles de inventarios de procesos judiciales en comparación con sus egresos efectivos. En contraste, aparecen seccionales con índices altos (alrededor del 60%), como Bolívar (63%), Córdoba (62%), Chocó (59%) y Magdalena (56%), en donde los egresos efectivos si bien han incrementado durante el periodo analizado, aún resultan bastante inferiores a los inventarios iniciales de procesos.</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Entre las principales seccionales, la que presentó una mayor reducción en el índice de congestión efectivo fue Valle del Cauca (-13 p.p.) al pasar de 59% en 2010 a 46% en 2013, seguida por Santander (-10 p.p.) pues pasó de 59% a 49%, Atlántico (-9 p.p.) de 62% a 53%, Bogotá-Cundinamarca (-7 p.p.) de 60% a 53% y Antioquia (-3%) de 42% a 39%. En las primeras seccionales, aunque estos índices todavía resultan altos para el sistema judicial (superiores al 50%) evidencian un progreso significativo alcan</w:t>
      </w:r>
      <w:r w:rsidR="006E5E2B">
        <w:rPr>
          <w:rFonts w:ascii="Arial" w:hAnsi="Arial" w:cs="Arial"/>
          <w:sz w:val="24"/>
          <w:szCs w:val="24"/>
        </w:rPr>
        <w:t>zado en los últimos cuatro años (Ver Mapa 2).</w:t>
      </w:r>
    </w:p>
    <w:p w:rsidR="0074228B" w:rsidRPr="009427D5" w:rsidRDefault="0074228B" w:rsidP="0074228B">
      <w:pPr>
        <w:spacing w:after="0" w:line="240" w:lineRule="auto"/>
        <w:jc w:val="both"/>
        <w:rPr>
          <w:rFonts w:ascii="Arial" w:hAnsi="Arial" w:cs="Arial"/>
          <w:sz w:val="24"/>
          <w:szCs w:val="24"/>
        </w:rPr>
      </w:pPr>
    </w:p>
    <w:p w:rsidR="0074228B" w:rsidRDefault="0074228B" w:rsidP="0074228B">
      <w:pPr>
        <w:spacing w:after="0" w:line="240" w:lineRule="auto"/>
        <w:jc w:val="both"/>
        <w:rPr>
          <w:rFonts w:ascii="Arial" w:hAnsi="Arial" w:cs="Arial"/>
          <w:sz w:val="24"/>
          <w:szCs w:val="24"/>
        </w:rPr>
      </w:pPr>
      <w:r w:rsidRPr="009427D5">
        <w:rPr>
          <w:rFonts w:ascii="Arial" w:hAnsi="Arial" w:cs="Arial"/>
          <w:sz w:val="24"/>
          <w:szCs w:val="24"/>
        </w:rPr>
        <w:t>En el caso de las seccionales que mostraron mayores disminuciones en sus índices de congestión, se encuentran Nariño (-22 p.p.), Meta (-21 p.p.), Tolima (-18 p.p.) y Caquetá (-17 p.p.), señalando un buen desempeño que obedece al mayor crecimiento en sus egresos efectivos en comparación con los inventarios iniciales de procesos e ingresos efectivos. Y por otro lado, las seccionales cuyos niveles de congestión efectivos se mantuvieron casi iguales durante el periodo revisado, fueron Sucre (-0,4 p.p.), Magdalena (-1 p.p.) y La Guajira (-4,7 p.p.).</w:t>
      </w:r>
    </w:p>
    <w:p w:rsidR="00E20DD3" w:rsidRDefault="00E20DD3" w:rsidP="0074228B">
      <w:pPr>
        <w:spacing w:after="0" w:line="240" w:lineRule="auto"/>
        <w:jc w:val="both"/>
        <w:rPr>
          <w:rFonts w:ascii="Arial" w:hAnsi="Arial" w:cs="Arial"/>
          <w:sz w:val="24"/>
          <w:szCs w:val="24"/>
        </w:rPr>
      </w:pPr>
    </w:p>
    <w:p w:rsidR="00E20DD3" w:rsidRDefault="00E20DD3" w:rsidP="0074228B">
      <w:pPr>
        <w:spacing w:after="0" w:line="240" w:lineRule="auto"/>
        <w:jc w:val="both"/>
        <w:rPr>
          <w:rFonts w:ascii="Arial" w:hAnsi="Arial" w:cs="Arial"/>
          <w:sz w:val="24"/>
          <w:szCs w:val="24"/>
        </w:rPr>
      </w:pPr>
    </w:p>
    <w:p w:rsidR="00E20DD3" w:rsidRDefault="00E20DD3" w:rsidP="0074228B">
      <w:pPr>
        <w:spacing w:after="0" w:line="240" w:lineRule="auto"/>
        <w:jc w:val="both"/>
        <w:rPr>
          <w:rFonts w:ascii="Arial" w:hAnsi="Arial" w:cs="Arial"/>
          <w:sz w:val="24"/>
          <w:szCs w:val="24"/>
        </w:rPr>
      </w:pPr>
    </w:p>
    <w:p w:rsidR="00E20DD3" w:rsidRDefault="00E20DD3" w:rsidP="0074228B">
      <w:pPr>
        <w:spacing w:after="0" w:line="240" w:lineRule="auto"/>
        <w:jc w:val="both"/>
        <w:rPr>
          <w:rFonts w:ascii="Arial" w:hAnsi="Arial" w:cs="Arial"/>
          <w:sz w:val="24"/>
          <w:szCs w:val="24"/>
        </w:rPr>
      </w:pPr>
    </w:p>
    <w:p w:rsidR="00E20DD3" w:rsidRDefault="00E20DD3" w:rsidP="0074228B">
      <w:pPr>
        <w:spacing w:after="0" w:line="240" w:lineRule="auto"/>
        <w:jc w:val="both"/>
        <w:rPr>
          <w:rFonts w:ascii="Arial" w:hAnsi="Arial" w:cs="Arial"/>
          <w:sz w:val="24"/>
          <w:szCs w:val="24"/>
        </w:rPr>
      </w:pPr>
    </w:p>
    <w:p w:rsidR="00E20DD3" w:rsidRDefault="00E20DD3" w:rsidP="0074228B">
      <w:pPr>
        <w:spacing w:after="0" w:line="240" w:lineRule="auto"/>
        <w:jc w:val="both"/>
        <w:rPr>
          <w:rFonts w:ascii="Arial" w:hAnsi="Arial" w:cs="Arial"/>
          <w:sz w:val="24"/>
          <w:szCs w:val="24"/>
        </w:rPr>
      </w:pPr>
    </w:p>
    <w:p w:rsidR="00E20DD3" w:rsidRDefault="00E20DD3" w:rsidP="0074228B">
      <w:pPr>
        <w:spacing w:after="0" w:line="240" w:lineRule="auto"/>
        <w:jc w:val="both"/>
        <w:rPr>
          <w:rFonts w:ascii="Arial" w:hAnsi="Arial" w:cs="Arial"/>
          <w:sz w:val="24"/>
          <w:szCs w:val="24"/>
        </w:rPr>
      </w:pPr>
    </w:p>
    <w:p w:rsidR="00E20DD3" w:rsidRDefault="00E20DD3" w:rsidP="0074228B">
      <w:pPr>
        <w:spacing w:after="0" w:line="240" w:lineRule="auto"/>
        <w:jc w:val="both"/>
        <w:rPr>
          <w:rFonts w:ascii="Arial" w:hAnsi="Arial" w:cs="Arial"/>
          <w:sz w:val="24"/>
          <w:szCs w:val="24"/>
        </w:rPr>
      </w:pPr>
    </w:p>
    <w:p w:rsidR="00E20DD3" w:rsidRDefault="00E20DD3" w:rsidP="0074228B">
      <w:pPr>
        <w:spacing w:after="0" w:line="240" w:lineRule="auto"/>
        <w:jc w:val="both"/>
        <w:rPr>
          <w:rFonts w:ascii="Arial" w:hAnsi="Arial" w:cs="Arial"/>
          <w:sz w:val="24"/>
          <w:szCs w:val="24"/>
        </w:rPr>
      </w:pPr>
    </w:p>
    <w:p w:rsidR="00E20DD3" w:rsidRDefault="00E20DD3" w:rsidP="0074228B">
      <w:pPr>
        <w:spacing w:after="0" w:line="240" w:lineRule="auto"/>
        <w:jc w:val="both"/>
        <w:rPr>
          <w:rFonts w:ascii="Arial" w:hAnsi="Arial" w:cs="Arial"/>
          <w:sz w:val="24"/>
          <w:szCs w:val="24"/>
        </w:rPr>
      </w:pPr>
    </w:p>
    <w:p w:rsidR="00E20DD3" w:rsidRDefault="00E20DD3" w:rsidP="0074228B">
      <w:pPr>
        <w:spacing w:after="0" w:line="240" w:lineRule="auto"/>
        <w:jc w:val="both"/>
        <w:rPr>
          <w:rFonts w:ascii="Arial" w:hAnsi="Arial" w:cs="Arial"/>
          <w:sz w:val="24"/>
          <w:szCs w:val="24"/>
        </w:rPr>
      </w:pPr>
    </w:p>
    <w:p w:rsidR="00E20DD3" w:rsidRDefault="00E20DD3" w:rsidP="0074228B">
      <w:pPr>
        <w:spacing w:after="0" w:line="240" w:lineRule="auto"/>
        <w:jc w:val="both"/>
        <w:rPr>
          <w:rFonts w:ascii="Arial" w:hAnsi="Arial" w:cs="Arial"/>
          <w:sz w:val="24"/>
          <w:szCs w:val="24"/>
        </w:rPr>
      </w:pPr>
    </w:p>
    <w:p w:rsidR="00E20DD3" w:rsidRDefault="00E20DD3" w:rsidP="0074228B">
      <w:pPr>
        <w:spacing w:after="0" w:line="240" w:lineRule="auto"/>
        <w:jc w:val="both"/>
        <w:rPr>
          <w:rFonts w:ascii="Arial" w:hAnsi="Arial" w:cs="Arial"/>
          <w:sz w:val="24"/>
          <w:szCs w:val="24"/>
        </w:rPr>
      </w:pPr>
    </w:p>
    <w:p w:rsidR="00E20DD3" w:rsidRDefault="00E20DD3" w:rsidP="0074228B">
      <w:pPr>
        <w:spacing w:after="0" w:line="240" w:lineRule="auto"/>
        <w:jc w:val="both"/>
        <w:rPr>
          <w:rFonts w:ascii="Arial" w:hAnsi="Arial" w:cs="Arial"/>
          <w:sz w:val="24"/>
          <w:szCs w:val="24"/>
        </w:rPr>
      </w:pPr>
    </w:p>
    <w:p w:rsidR="00E20DD3" w:rsidRDefault="00E20DD3" w:rsidP="0074228B">
      <w:pPr>
        <w:spacing w:after="0" w:line="240" w:lineRule="auto"/>
        <w:jc w:val="both"/>
        <w:rPr>
          <w:rFonts w:ascii="Arial" w:hAnsi="Arial" w:cs="Arial"/>
          <w:sz w:val="24"/>
          <w:szCs w:val="24"/>
        </w:rPr>
      </w:pPr>
    </w:p>
    <w:p w:rsidR="00E20DD3" w:rsidRDefault="00E20DD3" w:rsidP="0074228B">
      <w:pPr>
        <w:spacing w:after="0" w:line="240" w:lineRule="auto"/>
        <w:jc w:val="both"/>
        <w:rPr>
          <w:rFonts w:ascii="Arial" w:hAnsi="Arial" w:cs="Arial"/>
          <w:sz w:val="24"/>
          <w:szCs w:val="24"/>
        </w:rPr>
      </w:pPr>
    </w:p>
    <w:p w:rsidR="00170E87" w:rsidRDefault="00170E87" w:rsidP="0074228B">
      <w:pPr>
        <w:spacing w:after="0" w:line="240" w:lineRule="auto"/>
        <w:jc w:val="both"/>
        <w:rPr>
          <w:rFonts w:ascii="Arial" w:hAnsi="Arial" w:cs="Arial"/>
          <w:sz w:val="24"/>
          <w:szCs w:val="24"/>
        </w:rPr>
      </w:pPr>
    </w:p>
    <w:p w:rsidR="00170E87" w:rsidRDefault="00170E87" w:rsidP="0074228B">
      <w:pPr>
        <w:spacing w:after="0" w:line="240" w:lineRule="auto"/>
        <w:jc w:val="both"/>
        <w:rPr>
          <w:rFonts w:ascii="Arial" w:hAnsi="Arial" w:cs="Arial"/>
          <w:sz w:val="24"/>
          <w:szCs w:val="24"/>
        </w:rPr>
      </w:pPr>
    </w:p>
    <w:p w:rsidR="00E20DD3" w:rsidRDefault="00E20DD3" w:rsidP="0074228B">
      <w:pPr>
        <w:spacing w:after="0" w:line="240" w:lineRule="auto"/>
        <w:jc w:val="both"/>
        <w:rPr>
          <w:rFonts w:ascii="Arial" w:hAnsi="Arial" w:cs="Arial"/>
          <w:sz w:val="24"/>
          <w:szCs w:val="24"/>
        </w:rPr>
      </w:pPr>
    </w:p>
    <w:p w:rsidR="00E20DD3" w:rsidRDefault="00E20DD3" w:rsidP="0074228B">
      <w:pPr>
        <w:spacing w:after="0" w:line="240" w:lineRule="auto"/>
        <w:jc w:val="both"/>
        <w:rPr>
          <w:rFonts w:ascii="Arial" w:hAnsi="Arial" w:cs="Arial"/>
          <w:sz w:val="24"/>
          <w:szCs w:val="24"/>
        </w:rPr>
      </w:pPr>
    </w:p>
    <w:p w:rsidR="00E20DD3" w:rsidRPr="006E5E2B" w:rsidRDefault="00170E87" w:rsidP="00E20DD3">
      <w:pPr>
        <w:spacing w:after="0" w:line="240" w:lineRule="auto"/>
        <w:jc w:val="center"/>
        <w:rPr>
          <w:rFonts w:ascii="Arial" w:hAnsi="Arial" w:cs="Arial"/>
          <w:b/>
          <w:sz w:val="20"/>
          <w:szCs w:val="20"/>
        </w:rPr>
      </w:pPr>
      <w:r>
        <w:rPr>
          <w:rFonts w:ascii="Arial" w:hAnsi="Arial" w:cs="Arial"/>
          <w:noProof/>
          <w:sz w:val="24"/>
          <w:szCs w:val="24"/>
          <w:lang w:eastAsia="es-CO"/>
        </w:rPr>
        <w:drawing>
          <wp:anchor distT="0" distB="0" distL="114300" distR="114300" simplePos="0" relativeHeight="251662336" behindDoc="0" locked="0" layoutInCell="1" allowOverlap="1" wp14:anchorId="1A1313CF" wp14:editId="68EBA2D2">
            <wp:simplePos x="0" y="0"/>
            <wp:positionH relativeFrom="column">
              <wp:posOffset>-794385</wp:posOffset>
            </wp:positionH>
            <wp:positionV relativeFrom="paragraph">
              <wp:posOffset>356870</wp:posOffset>
            </wp:positionV>
            <wp:extent cx="7012305" cy="5029200"/>
            <wp:effectExtent l="0" t="0" r="0" b="0"/>
            <wp:wrapSquare wrapText="bothSides"/>
            <wp:docPr id="17" name="Imagen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CONGESTIÓN 10 - 13.png"/>
                    <pic:cNvPicPr/>
                  </pic:nvPicPr>
                  <pic:blipFill>
                    <a:blip r:embed="rId24">
                      <a:extLst>
                        <a:ext uri="{28A0092B-C50C-407E-A947-70E740481C1C}">
                          <a14:useLocalDpi xmlns:a14="http://schemas.microsoft.com/office/drawing/2010/main" val="0"/>
                        </a:ext>
                      </a:extLst>
                    </a:blip>
                    <a:stretch>
                      <a:fillRect/>
                    </a:stretch>
                  </pic:blipFill>
                  <pic:spPr>
                    <a:xfrm>
                      <a:off x="0" y="0"/>
                      <a:ext cx="7012305" cy="5029200"/>
                    </a:xfrm>
                    <a:prstGeom prst="rect">
                      <a:avLst/>
                    </a:prstGeom>
                  </pic:spPr>
                </pic:pic>
              </a:graphicData>
            </a:graphic>
            <wp14:sizeRelH relativeFrom="page">
              <wp14:pctWidth>0</wp14:pctWidth>
            </wp14:sizeRelH>
            <wp14:sizeRelV relativeFrom="page">
              <wp14:pctHeight>0</wp14:pctHeight>
            </wp14:sizeRelV>
          </wp:anchor>
        </w:drawing>
      </w:r>
      <w:r w:rsidR="00E20DD3">
        <w:rPr>
          <w:rFonts w:ascii="Arial" w:hAnsi="Arial" w:cs="Arial"/>
          <w:b/>
          <w:sz w:val="20"/>
          <w:szCs w:val="20"/>
        </w:rPr>
        <w:t>Mapa 2.</w:t>
      </w:r>
      <w:r w:rsidR="00E20DD3" w:rsidRPr="006E5E2B">
        <w:rPr>
          <w:rFonts w:ascii="Arial" w:hAnsi="Arial" w:cs="Arial"/>
          <w:b/>
          <w:sz w:val="20"/>
          <w:szCs w:val="20"/>
        </w:rPr>
        <w:t xml:space="preserve"> Índice de </w:t>
      </w:r>
      <w:r w:rsidR="00E20DD3">
        <w:rPr>
          <w:rFonts w:ascii="Arial" w:hAnsi="Arial" w:cs="Arial"/>
          <w:b/>
          <w:sz w:val="20"/>
          <w:szCs w:val="20"/>
        </w:rPr>
        <w:t>Congestión Efectivo.</w:t>
      </w:r>
      <w:r w:rsidR="00E20DD3" w:rsidRPr="006E5E2B">
        <w:rPr>
          <w:rFonts w:ascii="Arial" w:hAnsi="Arial" w:cs="Arial"/>
          <w:b/>
          <w:sz w:val="20"/>
          <w:szCs w:val="20"/>
        </w:rPr>
        <w:t xml:space="preserve"> Rama Judicial 2010</w:t>
      </w:r>
      <w:r w:rsidR="00E20DD3">
        <w:rPr>
          <w:rFonts w:ascii="Arial" w:hAnsi="Arial" w:cs="Arial"/>
          <w:b/>
          <w:sz w:val="20"/>
          <w:szCs w:val="20"/>
        </w:rPr>
        <w:t>-</w:t>
      </w:r>
      <w:r w:rsidR="00E20DD3" w:rsidRPr="006E5E2B">
        <w:rPr>
          <w:rFonts w:ascii="Arial" w:hAnsi="Arial" w:cs="Arial"/>
          <w:b/>
          <w:sz w:val="20"/>
          <w:szCs w:val="20"/>
        </w:rPr>
        <w:t>2013</w:t>
      </w:r>
    </w:p>
    <w:p w:rsidR="00EA1EB0" w:rsidRDefault="00E20DD3" w:rsidP="00A87319">
      <w:pPr>
        <w:spacing w:after="0" w:line="240" w:lineRule="auto"/>
        <w:jc w:val="center"/>
        <w:rPr>
          <w:rFonts w:ascii="Arial" w:hAnsi="Arial" w:cs="Arial"/>
          <w:b/>
          <w:sz w:val="20"/>
          <w:szCs w:val="20"/>
        </w:rPr>
      </w:pPr>
      <w:r w:rsidRPr="006E5E2B">
        <w:rPr>
          <w:rFonts w:ascii="Arial" w:hAnsi="Arial" w:cs="Arial"/>
          <w:b/>
          <w:sz w:val="20"/>
          <w:szCs w:val="20"/>
        </w:rPr>
        <w:t>(Por Consejos Seccionales)</w:t>
      </w:r>
    </w:p>
    <w:p w:rsidR="00590E99" w:rsidRDefault="00590E99" w:rsidP="00EA1EB0">
      <w:pPr>
        <w:spacing w:after="0" w:line="240" w:lineRule="auto"/>
        <w:jc w:val="center"/>
        <w:rPr>
          <w:rFonts w:ascii="Arial" w:hAnsi="Arial" w:cs="Arial"/>
          <w:b/>
          <w:sz w:val="20"/>
          <w:szCs w:val="20"/>
        </w:rPr>
      </w:pPr>
      <w:r w:rsidRPr="009427D5">
        <w:rPr>
          <w:rFonts w:ascii="Arial" w:hAnsi="Arial" w:cs="Arial"/>
          <w:b/>
          <w:sz w:val="18"/>
          <w:szCs w:val="18"/>
        </w:rPr>
        <w:t>Fuente: Consejo Superior de la Judicatura. Cálculos CGR DES-DJS. Fecha de Corte: Abril de 2014</w:t>
      </w:r>
    </w:p>
    <w:p w:rsidR="00590E99" w:rsidRDefault="00590E99" w:rsidP="00B458D7">
      <w:pPr>
        <w:spacing w:after="0" w:line="240" w:lineRule="auto"/>
        <w:jc w:val="center"/>
        <w:rPr>
          <w:rFonts w:ascii="Arial" w:hAnsi="Arial" w:cs="Arial"/>
          <w:b/>
          <w:sz w:val="18"/>
          <w:szCs w:val="18"/>
        </w:rPr>
        <w:sectPr w:rsidR="00590E99" w:rsidSect="00170E87">
          <w:pgSz w:w="12240" w:h="15840" w:code="1"/>
          <w:pgMar w:top="2268" w:right="1701" w:bottom="1701" w:left="1701" w:header="709" w:footer="709" w:gutter="0"/>
          <w:cols w:space="708"/>
          <w:docGrid w:linePitch="360"/>
        </w:sectPr>
      </w:pPr>
    </w:p>
    <w:p w:rsidR="0074228B" w:rsidRPr="009427D5" w:rsidRDefault="0074228B" w:rsidP="004C2FBE">
      <w:pPr>
        <w:pStyle w:val="Prrafodelista"/>
        <w:numPr>
          <w:ilvl w:val="4"/>
          <w:numId w:val="33"/>
        </w:numPr>
        <w:spacing w:after="0" w:line="240" w:lineRule="auto"/>
        <w:jc w:val="both"/>
        <w:rPr>
          <w:rFonts w:ascii="Arial" w:hAnsi="Arial" w:cs="Arial"/>
          <w:i/>
          <w:sz w:val="24"/>
          <w:szCs w:val="24"/>
        </w:rPr>
      </w:pPr>
      <w:r w:rsidRPr="009427D5">
        <w:rPr>
          <w:rFonts w:ascii="Arial" w:hAnsi="Arial" w:cs="Arial"/>
          <w:i/>
          <w:sz w:val="24"/>
          <w:szCs w:val="24"/>
        </w:rPr>
        <w:lastRenderedPageBreak/>
        <w:t>Indicadores Despachos de Descongestión</w:t>
      </w:r>
    </w:p>
    <w:p w:rsidR="0074228B" w:rsidRPr="009427D5" w:rsidRDefault="0074228B" w:rsidP="0074228B">
      <w:pPr>
        <w:spacing w:after="0" w:line="240" w:lineRule="auto"/>
        <w:jc w:val="both"/>
        <w:rPr>
          <w:rFonts w:ascii="Arial" w:hAnsi="Arial" w:cs="Arial"/>
          <w:i/>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 xml:space="preserve">En relación con los Despachos de Descongestión, se evidenció que sus ingresos efectivos llegaron a 1.792.636 procesos durante el período 2010-2013, (Tabla </w:t>
      </w:r>
      <w:r w:rsidR="00BC4785" w:rsidRPr="009427D5">
        <w:rPr>
          <w:rFonts w:ascii="Arial" w:hAnsi="Arial" w:cs="Arial"/>
          <w:sz w:val="24"/>
          <w:szCs w:val="24"/>
        </w:rPr>
        <w:t>9</w:t>
      </w:r>
      <w:r w:rsidRPr="009427D5">
        <w:rPr>
          <w:rFonts w:ascii="Arial" w:hAnsi="Arial" w:cs="Arial"/>
          <w:sz w:val="24"/>
          <w:szCs w:val="24"/>
        </w:rPr>
        <w:t>) representando un 18,4% de los ingresos efectivos de toda la Rama Judicial. Vale resaltar que en el año 2012 se presentó la mayor cantidad de ingresos efectivos a este tipo de despachos, alcanzando 669.940 procesos (28% del total nacional en ese año). Por su parte, los egresos efectivos sumaron 1.337.816, equivalentes a  13,8% de los egresos efectivos de la Rama Judicial.</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En la vigencia 2013, se obtuvo un índice de evacuación parcial efectivo de 85% y un índice de congestión efectivo de 50%, esto último indica que de cada 100 procesos que se encuentran en estos despachos, 50 quedan represados para el siguiente año, es decir, no son evacuados del sistema judicial. Igualmente, se encontró que el índice de evacuación parcial efectivo de estos despachos es menor al de la Rama Judicial en el último año (98%), mientras que el índice de congestión efectivo fue levemente superior al de la Rama (47%)</w:t>
      </w:r>
      <w:r w:rsidR="00407373">
        <w:rPr>
          <w:rFonts w:ascii="Arial" w:hAnsi="Arial" w:cs="Arial"/>
          <w:sz w:val="24"/>
          <w:szCs w:val="24"/>
        </w:rPr>
        <w:t>.</w:t>
      </w:r>
    </w:p>
    <w:p w:rsidR="0074228B" w:rsidRPr="009427D5" w:rsidRDefault="0074228B" w:rsidP="0074228B">
      <w:pPr>
        <w:spacing w:after="0" w:line="240" w:lineRule="auto"/>
        <w:jc w:val="both"/>
        <w:rPr>
          <w:rFonts w:ascii="Arial" w:hAnsi="Arial" w:cs="Arial"/>
          <w:sz w:val="24"/>
          <w:szCs w:val="24"/>
        </w:rPr>
      </w:pPr>
    </w:p>
    <w:p w:rsidR="0074228B" w:rsidRDefault="0074228B" w:rsidP="0074228B">
      <w:pPr>
        <w:spacing w:after="0" w:line="240" w:lineRule="auto"/>
        <w:jc w:val="both"/>
        <w:rPr>
          <w:rFonts w:ascii="Arial" w:hAnsi="Arial" w:cs="Arial"/>
          <w:sz w:val="24"/>
          <w:szCs w:val="24"/>
        </w:rPr>
      </w:pPr>
      <w:r w:rsidRPr="009427D5">
        <w:rPr>
          <w:rFonts w:ascii="Arial" w:hAnsi="Arial" w:cs="Arial"/>
          <w:sz w:val="24"/>
          <w:szCs w:val="24"/>
        </w:rPr>
        <w:t>Los inventarios finales presentaron una situación contraria a la descrita por la Rama Judicial en su conjunto, pues aumentaron considerablemente, al pasar de 36.206 procesos en 2010 a 324.581 en 2013 (crecieron 796%), los cuales están representados en su gran mayoría por procesos con trámite (99%).</w:t>
      </w:r>
    </w:p>
    <w:p w:rsidR="00B458D7" w:rsidRPr="009427D5" w:rsidRDefault="00B458D7" w:rsidP="0074228B">
      <w:pPr>
        <w:spacing w:after="0" w:line="240" w:lineRule="auto"/>
        <w:jc w:val="both"/>
        <w:rPr>
          <w:rFonts w:ascii="Arial" w:hAnsi="Arial" w:cs="Arial"/>
          <w:sz w:val="24"/>
          <w:szCs w:val="24"/>
        </w:rPr>
      </w:pPr>
    </w:p>
    <w:p w:rsidR="0074228B" w:rsidRPr="00E814EB" w:rsidRDefault="0074228B" w:rsidP="0074228B">
      <w:pPr>
        <w:spacing w:after="0" w:line="240" w:lineRule="auto"/>
        <w:jc w:val="center"/>
        <w:rPr>
          <w:rFonts w:ascii="Arial" w:hAnsi="Arial" w:cs="Arial"/>
          <w:b/>
          <w:sz w:val="16"/>
          <w:szCs w:val="16"/>
        </w:rPr>
      </w:pPr>
      <w:r w:rsidRPr="00E814EB">
        <w:rPr>
          <w:rFonts w:ascii="Arial" w:hAnsi="Arial" w:cs="Arial"/>
          <w:b/>
          <w:sz w:val="16"/>
          <w:szCs w:val="16"/>
        </w:rPr>
        <w:t>Tabla</w:t>
      </w:r>
      <w:r w:rsidR="001B04D2" w:rsidRPr="00E814EB">
        <w:rPr>
          <w:rFonts w:ascii="Arial" w:hAnsi="Arial" w:cs="Arial"/>
          <w:b/>
          <w:sz w:val="16"/>
          <w:szCs w:val="16"/>
        </w:rPr>
        <w:t xml:space="preserve"> No. 9.</w:t>
      </w:r>
      <w:r w:rsidRPr="00E814EB">
        <w:rPr>
          <w:rFonts w:ascii="Arial" w:hAnsi="Arial" w:cs="Arial"/>
          <w:b/>
          <w:sz w:val="16"/>
          <w:szCs w:val="16"/>
        </w:rPr>
        <w:t xml:space="preserve"> Indicadores Procesos Judiciales. Despachos de Descongestión 2010-2013</w:t>
      </w:r>
    </w:p>
    <w:tbl>
      <w:tblPr>
        <w:tblW w:w="7853" w:type="dxa"/>
        <w:jc w:val="center"/>
        <w:tblCellMar>
          <w:left w:w="70" w:type="dxa"/>
          <w:right w:w="70" w:type="dxa"/>
        </w:tblCellMar>
        <w:tblLook w:val="04A0" w:firstRow="1" w:lastRow="0" w:firstColumn="1" w:lastColumn="0" w:noHBand="0" w:noVBand="1"/>
      </w:tblPr>
      <w:tblGrid>
        <w:gridCol w:w="3053"/>
        <w:gridCol w:w="1200"/>
        <w:gridCol w:w="1200"/>
        <w:gridCol w:w="1200"/>
        <w:gridCol w:w="1200"/>
      </w:tblGrid>
      <w:tr w:rsidR="0074228B" w:rsidRPr="00E814EB" w:rsidTr="00B13E1E">
        <w:trPr>
          <w:trHeight w:val="315"/>
          <w:jc w:val="center"/>
        </w:trPr>
        <w:tc>
          <w:tcPr>
            <w:tcW w:w="3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p>
        </w:tc>
        <w:tc>
          <w:tcPr>
            <w:tcW w:w="1200" w:type="dxa"/>
            <w:tcBorders>
              <w:top w:val="single" w:sz="8" w:space="0" w:color="auto"/>
              <w:left w:val="nil"/>
              <w:bottom w:val="nil"/>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2010</w:t>
            </w:r>
          </w:p>
        </w:tc>
        <w:tc>
          <w:tcPr>
            <w:tcW w:w="1200" w:type="dxa"/>
            <w:tcBorders>
              <w:top w:val="single" w:sz="8" w:space="0" w:color="auto"/>
              <w:left w:val="nil"/>
              <w:bottom w:val="nil"/>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2011</w:t>
            </w:r>
          </w:p>
        </w:tc>
        <w:tc>
          <w:tcPr>
            <w:tcW w:w="1200" w:type="dxa"/>
            <w:tcBorders>
              <w:top w:val="single" w:sz="8" w:space="0" w:color="auto"/>
              <w:left w:val="nil"/>
              <w:bottom w:val="nil"/>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2012</w:t>
            </w:r>
          </w:p>
        </w:tc>
        <w:tc>
          <w:tcPr>
            <w:tcW w:w="1200" w:type="dxa"/>
            <w:tcBorders>
              <w:top w:val="single" w:sz="8" w:space="0" w:color="auto"/>
              <w:left w:val="nil"/>
              <w:bottom w:val="nil"/>
              <w:right w:val="single" w:sz="8"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2013</w:t>
            </w:r>
          </w:p>
        </w:tc>
      </w:tr>
      <w:tr w:rsidR="0074228B" w:rsidRPr="00E814EB" w:rsidTr="00B13E1E">
        <w:trPr>
          <w:trHeight w:val="300"/>
          <w:jc w:val="center"/>
        </w:trPr>
        <w:tc>
          <w:tcPr>
            <w:tcW w:w="3053" w:type="dxa"/>
            <w:tcBorders>
              <w:top w:val="nil"/>
              <w:left w:val="single" w:sz="8" w:space="0" w:color="auto"/>
              <w:bottom w:val="single" w:sz="4" w:space="0" w:color="auto"/>
              <w:right w:val="nil"/>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Inventario Inicial</w:t>
            </w:r>
          </w:p>
        </w:tc>
        <w:tc>
          <w:tcPr>
            <w:tcW w:w="120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10.335</w:t>
            </w:r>
          </w:p>
        </w:tc>
        <w:tc>
          <w:tcPr>
            <w:tcW w:w="1200" w:type="dxa"/>
            <w:tcBorders>
              <w:top w:val="single" w:sz="8" w:space="0" w:color="auto"/>
              <w:left w:val="nil"/>
              <w:bottom w:val="single" w:sz="4"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53.460</w:t>
            </w:r>
          </w:p>
        </w:tc>
        <w:tc>
          <w:tcPr>
            <w:tcW w:w="1200" w:type="dxa"/>
            <w:tcBorders>
              <w:top w:val="single" w:sz="8" w:space="0" w:color="auto"/>
              <w:left w:val="nil"/>
              <w:bottom w:val="single" w:sz="4"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239.151</w:t>
            </w:r>
          </w:p>
        </w:tc>
        <w:tc>
          <w:tcPr>
            <w:tcW w:w="1200" w:type="dxa"/>
            <w:tcBorders>
              <w:top w:val="single" w:sz="8" w:space="0" w:color="auto"/>
              <w:left w:val="nil"/>
              <w:bottom w:val="single" w:sz="4" w:space="0" w:color="auto"/>
              <w:right w:val="single" w:sz="8"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337.674</w:t>
            </w:r>
          </w:p>
        </w:tc>
      </w:tr>
      <w:tr w:rsidR="0074228B" w:rsidRPr="00E814EB" w:rsidTr="00B13E1E">
        <w:trPr>
          <w:trHeight w:val="300"/>
          <w:jc w:val="center"/>
        </w:trPr>
        <w:tc>
          <w:tcPr>
            <w:tcW w:w="3053" w:type="dxa"/>
            <w:tcBorders>
              <w:top w:val="nil"/>
              <w:left w:val="single" w:sz="8" w:space="0" w:color="auto"/>
              <w:bottom w:val="single" w:sz="4" w:space="0" w:color="auto"/>
              <w:right w:val="nil"/>
            </w:tcBorders>
            <w:shd w:val="clear" w:color="auto" w:fill="auto"/>
            <w:noWrap/>
            <w:vAlign w:val="center"/>
            <w:hideMark/>
          </w:tcPr>
          <w:p w:rsidR="0074228B" w:rsidRPr="00E814EB" w:rsidRDefault="0074228B" w:rsidP="00B13E1E">
            <w:pPr>
              <w:spacing w:after="0" w:line="240" w:lineRule="auto"/>
              <w:jc w:val="center"/>
              <w:rPr>
                <w:rFonts w:ascii="Arial" w:hAnsi="Arial" w:cs="Arial"/>
                <w:color w:val="000000"/>
                <w:sz w:val="16"/>
                <w:szCs w:val="16"/>
                <w:lang w:eastAsia="es-CO"/>
              </w:rPr>
            </w:pPr>
            <w:r w:rsidRPr="00E814EB">
              <w:rPr>
                <w:rFonts w:ascii="Arial" w:hAnsi="Arial" w:cs="Arial"/>
                <w:color w:val="000000"/>
                <w:sz w:val="16"/>
                <w:szCs w:val="16"/>
                <w:lang w:eastAsia="es-CO"/>
              </w:rPr>
              <w:t>Con Trámite</w:t>
            </w:r>
          </w:p>
        </w:tc>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color w:val="000000"/>
                <w:sz w:val="16"/>
                <w:szCs w:val="16"/>
                <w:lang w:eastAsia="es-CO"/>
              </w:rPr>
            </w:pPr>
            <w:r w:rsidRPr="00E814EB">
              <w:rPr>
                <w:rFonts w:ascii="Arial" w:hAnsi="Arial" w:cs="Arial"/>
                <w:color w:val="000000"/>
                <w:sz w:val="16"/>
                <w:szCs w:val="16"/>
                <w:lang w:eastAsia="es-CO"/>
              </w:rPr>
              <w:t>10.207</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color w:val="000000"/>
                <w:sz w:val="16"/>
                <w:szCs w:val="16"/>
                <w:lang w:eastAsia="es-CO"/>
              </w:rPr>
            </w:pPr>
            <w:r w:rsidRPr="00E814EB">
              <w:rPr>
                <w:rFonts w:ascii="Arial" w:hAnsi="Arial" w:cs="Arial"/>
                <w:color w:val="000000"/>
                <w:sz w:val="16"/>
                <w:szCs w:val="16"/>
                <w:lang w:eastAsia="es-CO"/>
              </w:rPr>
              <w:t>47.971</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color w:val="000000"/>
                <w:sz w:val="16"/>
                <w:szCs w:val="16"/>
                <w:lang w:eastAsia="es-CO"/>
              </w:rPr>
            </w:pPr>
            <w:r w:rsidRPr="00E814EB">
              <w:rPr>
                <w:rFonts w:ascii="Arial" w:hAnsi="Arial" w:cs="Arial"/>
                <w:color w:val="000000"/>
                <w:sz w:val="16"/>
                <w:szCs w:val="16"/>
                <w:lang w:eastAsia="es-CO"/>
              </w:rPr>
              <w:t>236.745</w:t>
            </w:r>
          </w:p>
        </w:tc>
        <w:tc>
          <w:tcPr>
            <w:tcW w:w="1200" w:type="dxa"/>
            <w:tcBorders>
              <w:top w:val="nil"/>
              <w:left w:val="nil"/>
              <w:bottom w:val="single" w:sz="4" w:space="0" w:color="auto"/>
              <w:right w:val="single" w:sz="8"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color w:val="000000"/>
                <w:sz w:val="16"/>
                <w:szCs w:val="16"/>
                <w:lang w:eastAsia="es-CO"/>
              </w:rPr>
            </w:pPr>
            <w:r w:rsidRPr="00E814EB">
              <w:rPr>
                <w:rFonts w:ascii="Arial" w:hAnsi="Arial" w:cs="Arial"/>
                <w:color w:val="000000"/>
                <w:sz w:val="16"/>
                <w:szCs w:val="16"/>
                <w:lang w:eastAsia="es-CO"/>
              </w:rPr>
              <w:t>320.322</w:t>
            </w:r>
          </w:p>
        </w:tc>
      </w:tr>
      <w:tr w:rsidR="0074228B" w:rsidRPr="00E814EB" w:rsidTr="00B13E1E">
        <w:trPr>
          <w:trHeight w:val="300"/>
          <w:jc w:val="center"/>
        </w:trPr>
        <w:tc>
          <w:tcPr>
            <w:tcW w:w="3053" w:type="dxa"/>
            <w:tcBorders>
              <w:top w:val="nil"/>
              <w:left w:val="single" w:sz="8" w:space="0" w:color="auto"/>
              <w:bottom w:val="single" w:sz="4" w:space="0" w:color="auto"/>
              <w:right w:val="nil"/>
            </w:tcBorders>
            <w:shd w:val="clear" w:color="auto" w:fill="auto"/>
            <w:noWrap/>
            <w:vAlign w:val="center"/>
            <w:hideMark/>
          </w:tcPr>
          <w:p w:rsidR="0074228B" w:rsidRPr="00E814EB" w:rsidRDefault="0074228B" w:rsidP="00B13E1E">
            <w:pPr>
              <w:spacing w:after="0" w:line="240" w:lineRule="auto"/>
              <w:jc w:val="center"/>
              <w:rPr>
                <w:rFonts w:ascii="Arial" w:hAnsi="Arial" w:cs="Arial"/>
                <w:color w:val="000000"/>
                <w:sz w:val="16"/>
                <w:szCs w:val="16"/>
                <w:lang w:eastAsia="es-CO"/>
              </w:rPr>
            </w:pPr>
            <w:r w:rsidRPr="00E814EB">
              <w:rPr>
                <w:rFonts w:ascii="Arial" w:hAnsi="Arial" w:cs="Arial"/>
                <w:color w:val="000000"/>
                <w:sz w:val="16"/>
                <w:szCs w:val="16"/>
                <w:lang w:eastAsia="es-CO"/>
              </w:rPr>
              <w:t>Sin Trámite</w:t>
            </w:r>
          </w:p>
        </w:tc>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color w:val="000000"/>
                <w:sz w:val="16"/>
                <w:szCs w:val="16"/>
                <w:lang w:eastAsia="es-CO"/>
              </w:rPr>
            </w:pPr>
            <w:r w:rsidRPr="00E814EB">
              <w:rPr>
                <w:rFonts w:ascii="Arial" w:hAnsi="Arial" w:cs="Arial"/>
                <w:color w:val="000000"/>
                <w:sz w:val="16"/>
                <w:szCs w:val="16"/>
                <w:lang w:eastAsia="es-CO"/>
              </w:rPr>
              <w:t>128</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color w:val="000000"/>
                <w:sz w:val="16"/>
                <w:szCs w:val="16"/>
                <w:lang w:eastAsia="es-CO"/>
              </w:rPr>
            </w:pPr>
            <w:r w:rsidRPr="00E814EB">
              <w:rPr>
                <w:rFonts w:ascii="Arial" w:hAnsi="Arial" w:cs="Arial"/>
                <w:color w:val="000000"/>
                <w:sz w:val="16"/>
                <w:szCs w:val="16"/>
                <w:lang w:eastAsia="es-CO"/>
              </w:rPr>
              <w:t>5.489</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color w:val="000000"/>
                <w:sz w:val="16"/>
                <w:szCs w:val="16"/>
                <w:lang w:eastAsia="es-CO"/>
              </w:rPr>
            </w:pPr>
            <w:r w:rsidRPr="00E814EB">
              <w:rPr>
                <w:rFonts w:ascii="Arial" w:hAnsi="Arial" w:cs="Arial"/>
                <w:color w:val="000000"/>
                <w:sz w:val="16"/>
                <w:szCs w:val="16"/>
                <w:lang w:eastAsia="es-CO"/>
              </w:rPr>
              <w:t>2.406</w:t>
            </w:r>
          </w:p>
        </w:tc>
        <w:tc>
          <w:tcPr>
            <w:tcW w:w="1200" w:type="dxa"/>
            <w:tcBorders>
              <w:top w:val="nil"/>
              <w:left w:val="nil"/>
              <w:bottom w:val="single" w:sz="4" w:space="0" w:color="auto"/>
              <w:right w:val="single" w:sz="8"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color w:val="000000"/>
                <w:sz w:val="16"/>
                <w:szCs w:val="16"/>
                <w:lang w:eastAsia="es-CO"/>
              </w:rPr>
            </w:pPr>
            <w:r w:rsidRPr="00E814EB">
              <w:rPr>
                <w:rFonts w:ascii="Arial" w:hAnsi="Arial" w:cs="Arial"/>
                <w:color w:val="000000"/>
                <w:sz w:val="16"/>
                <w:szCs w:val="16"/>
                <w:lang w:eastAsia="es-CO"/>
              </w:rPr>
              <w:t>17.352</w:t>
            </w:r>
          </w:p>
        </w:tc>
      </w:tr>
      <w:tr w:rsidR="0074228B" w:rsidRPr="00E814EB" w:rsidTr="00B13E1E">
        <w:trPr>
          <w:trHeight w:val="300"/>
          <w:jc w:val="center"/>
        </w:trPr>
        <w:tc>
          <w:tcPr>
            <w:tcW w:w="3053" w:type="dxa"/>
            <w:tcBorders>
              <w:top w:val="nil"/>
              <w:left w:val="single" w:sz="8" w:space="0" w:color="auto"/>
              <w:bottom w:val="single" w:sz="4" w:space="0" w:color="auto"/>
              <w:right w:val="nil"/>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Ingresos</w:t>
            </w:r>
          </w:p>
        </w:tc>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170.131</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474.072</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676.004</w:t>
            </w:r>
          </w:p>
        </w:tc>
        <w:tc>
          <w:tcPr>
            <w:tcW w:w="1200" w:type="dxa"/>
            <w:tcBorders>
              <w:top w:val="nil"/>
              <w:left w:val="nil"/>
              <w:bottom w:val="single" w:sz="4" w:space="0" w:color="auto"/>
              <w:right w:val="single" w:sz="8"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492.172</w:t>
            </w:r>
          </w:p>
        </w:tc>
      </w:tr>
      <w:tr w:rsidR="0074228B" w:rsidRPr="00E814EB" w:rsidTr="00B13E1E">
        <w:trPr>
          <w:trHeight w:val="300"/>
          <w:jc w:val="center"/>
        </w:trPr>
        <w:tc>
          <w:tcPr>
            <w:tcW w:w="3053" w:type="dxa"/>
            <w:tcBorders>
              <w:top w:val="nil"/>
              <w:left w:val="single" w:sz="8" w:space="0" w:color="auto"/>
              <w:bottom w:val="single" w:sz="4" w:space="0" w:color="auto"/>
              <w:right w:val="nil"/>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Ingresos Efectivos</w:t>
            </w:r>
          </w:p>
        </w:tc>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168.655</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472.110</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669.940</w:t>
            </w:r>
          </w:p>
        </w:tc>
        <w:tc>
          <w:tcPr>
            <w:tcW w:w="1200" w:type="dxa"/>
            <w:tcBorders>
              <w:top w:val="nil"/>
              <w:left w:val="nil"/>
              <w:bottom w:val="single" w:sz="4" w:space="0" w:color="auto"/>
              <w:right w:val="single" w:sz="8"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481.931</w:t>
            </w:r>
          </w:p>
        </w:tc>
      </w:tr>
      <w:tr w:rsidR="0074228B" w:rsidRPr="00E814EB" w:rsidTr="00B13E1E">
        <w:trPr>
          <w:trHeight w:val="300"/>
          <w:jc w:val="center"/>
        </w:trPr>
        <w:tc>
          <w:tcPr>
            <w:tcW w:w="3053" w:type="dxa"/>
            <w:tcBorders>
              <w:top w:val="nil"/>
              <w:left w:val="single" w:sz="8" w:space="0" w:color="auto"/>
              <w:bottom w:val="single" w:sz="4" w:space="0" w:color="auto"/>
              <w:right w:val="nil"/>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Egresos</w:t>
            </w:r>
          </w:p>
        </w:tc>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143.859</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313.321</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588.823</w:t>
            </w:r>
          </w:p>
        </w:tc>
        <w:tc>
          <w:tcPr>
            <w:tcW w:w="1200" w:type="dxa"/>
            <w:tcBorders>
              <w:top w:val="nil"/>
              <w:left w:val="nil"/>
              <w:bottom w:val="single" w:sz="4" w:space="0" w:color="auto"/>
              <w:right w:val="single" w:sz="8"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490.431</w:t>
            </w:r>
          </w:p>
        </w:tc>
      </w:tr>
      <w:tr w:rsidR="0074228B" w:rsidRPr="00E814EB" w:rsidTr="00B13E1E">
        <w:trPr>
          <w:trHeight w:val="300"/>
          <w:jc w:val="center"/>
        </w:trPr>
        <w:tc>
          <w:tcPr>
            <w:tcW w:w="3053" w:type="dxa"/>
            <w:tcBorders>
              <w:top w:val="nil"/>
              <w:left w:val="single" w:sz="8" w:space="0" w:color="auto"/>
              <w:bottom w:val="single" w:sz="4" w:space="0" w:color="auto"/>
              <w:right w:val="nil"/>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Egresos Efectivos</w:t>
            </w:r>
          </w:p>
        </w:tc>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132.802</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276.820</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518.827</w:t>
            </w:r>
          </w:p>
        </w:tc>
        <w:tc>
          <w:tcPr>
            <w:tcW w:w="1200" w:type="dxa"/>
            <w:tcBorders>
              <w:top w:val="nil"/>
              <w:left w:val="nil"/>
              <w:bottom w:val="single" w:sz="4" w:space="0" w:color="auto"/>
              <w:right w:val="single" w:sz="8"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409.367</w:t>
            </w:r>
          </w:p>
        </w:tc>
      </w:tr>
      <w:tr w:rsidR="0074228B" w:rsidRPr="00E814EB" w:rsidTr="00B13E1E">
        <w:trPr>
          <w:trHeight w:val="300"/>
          <w:jc w:val="center"/>
        </w:trPr>
        <w:tc>
          <w:tcPr>
            <w:tcW w:w="3053" w:type="dxa"/>
            <w:tcBorders>
              <w:top w:val="nil"/>
              <w:left w:val="single" w:sz="8" w:space="0" w:color="auto"/>
              <w:bottom w:val="single" w:sz="4" w:space="0" w:color="auto"/>
              <w:right w:val="nil"/>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Inventario Final</w:t>
            </w:r>
          </w:p>
        </w:tc>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36.206</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220.334</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333.942</w:t>
            </w:r>
          </w:p>
        </w:tc>
        <w:tc>
          <w:tcPr>
            <w:tcW w:w="1200" w:type="dxa"/>
            <w:tcBorders>
              <w:top w:val="nil"/>
              <w:left w:val="nil"/>
              <w:bottom w:val="single" w:sz="4" w:space="0" w:color="auto"/>
              <w:right w:val="single" w:sz="8"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324.581</w:t>
            </w:r>
          </w:p>
        </w:tc>
      </w:tr>
      <w:tr w:rsidR="0074228B" w:rsidRPr="00E814EB" w:rsidTr="00B13E1E">
        <w:trPr>
          <w:trHeight w:val="300"/>
          <w:jc w:val="center"/>
        </w:trPr>
        <w:tc>
          <w:tcPr>
            <w:tcW w:w="3053" w:type="dxa"/>
            <w:tcBorders>
              <w:top w:val="nil"/>
              <w:left w:val="single" w:sz="8" w:space="0" w:color="auto"/>
              <w:bottom w:val="single" w:sz="4" w:space="0" w:color="auto"/>
              <w:right w:val="nil"/>
            </w:tcBorders>
            <w:shd w:val="clear" w:color="auto" w:fill="auto"/>
            <w:noWrap/>
            <w:vAlign w:val="center"/>
            <w:hideMark/>
          </w:tcPr>
          <w:p w:rsidR="0074228B" w:rsidRPr="00E814EB" w:rsidRDefault="0074228B" w:rsidP="00B13E1E">
            <w:pPr>
              <w:spacing w:after="0" w:line="240" w:lineRule="auto"/>
              <w:jc w:val="center"/>
              <w:rPr>
                <w:rFonts w:ascii="Arial" w:hAnsi="Arial" w:cs="Arial"/>
                <w:color w:val="000000"/>
                <w:sz w:val="16"/>
                <w:szCs w:val="16"/>
                <w:lang w:eastAsia="es-CO"/>
              </w:rPr>
            </w:pPr>
            <w:r w:rsidRPr="00E814EB">
              <w:rPr>
                <w:rFonts w:ascii="Arial" w:hAnsi="Arial" w:cs="Arial"/>
                <w:color w:val="000000"/>
                <w:sz w:val="16"/>
                <w:szCs w:val="16"/>
                <w:lang w:eastAsia="es-CO"/>
              </w:rPr>
              <w:t>Con Trámite</w:t>
            </w:r>
          </w:p>
        </w:tc>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color w:val="000000"/>
                <w:sz w:val="16"/>
                <w:szCs w:val="16"/>
                <w:lang w:eastAsia="es-CO"/>
              </w:rPr>
            </w:pPr>
            <w:r w:rsidRPr="00E814EB">
              <w:rPr>
                <w:rFonts w:ascii="Arial" w:hAnsi="Arial" w:cs="Arial"/>
                <w:color w:val="000000"/>
                <w:sz w:val="16"/>
                <w:szCs w:val="16"/>
                <w:lang w:eastAsia="es-CO"/>
              </w:rPr>
              <w:t>35.594</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color w:val="000000"/>
                <w:sz w:val="16"/>
                <w:szCs w:val="16"/>
                <w:lang w:eastAsia="es-CO"/>
              </w:rPr>
            </w:pPr>
            <w:r w:rsidRPr="00E814EB">
              <w:rPr>
                <w:rFonts w:ascii="Arial" w:hAnsi="Arial" w:cs="Arial"/>
                <w:color w:val="000000"/>
                <w:sz w:val="16"/>
                <w:szCs w:val="16"/>
                <w:lang w:eastAsia="es-CO"/>
              </w:rPr>
              <w:t>214.044</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color w:val="000000"/>
                <w:sz w:val="16"/>
                <w:szCs w:val="16"/>
                <w:lang w:eastAsia="es-CO"/>
              </w:rPr>
            </w:pPr>
            <w:r w:rsidRPr="00E814EB">
              <w:rPr>
                <w:rFonts w:ascii="Arial" w:hAnsi="Arial" w:cs="Arial"/>
                <w:color w:val="000000"/>
                <w:sz w:val="16"/>
                <w:szCs w:val="16"/>
                <w:lang w:eastAsia="es-CO"/>
              </w:rPr>
              <w:t>315.593</w:t>
            </w:r>
          </w:p>
        </w:tc>
        <w:tc>
          <w:tcPr>
            <w:tcW w:w="1200" w:type="dxa"/>
            <w:tcBorders>
              <w:top w:val="nil"/>
              <w:left w:val="nil"/>
              <w:bottom w:val="single" w:sz="4" w:space="0" w:color="auto"/>
              <w:right w:val="single" w:sz="8"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color w:val="000000"/>
                <w:sz w:val="16"/>
                <w:szCs w:val="16"/>
                <w:lang w:eastAsia="es-CO"/>
              </w:rPr>
            </w:pPr>
            <w:r w:rsidRPr="00E814EB">
              <w:rPr>
                <w:rFonts w:ascii="Arial" w:hAnsi="Arial" w:cs="Arial"/>
                <w:color w:val="000000"/>
                <w:sz w:val="16"/>
                <w:szCs w:val="16"/>
                <w:lang w:eastAsia="es-CO"/>
              </w:rPr>
              <w:t>322.183</w:t>
            </w:r>
          </w:p>
        </w:tc>
      </w:tr>
      <w:tr w:rsidR="0074228B" w:rsidRPr="00E814EB" w:rsidTr="00B13E1E">
        <w:trPr>
          <w:trHeight w:val="300"/>
          <w:jc w:val="center"/>
        </w:trPr>
        <w:tc>
          <w:tcPr>
            <w:tcW w:w="3053" w:type="dxa"/>
            <w:tcBorders>
              <w:top w:val="nil"/>
              <w:left w:val="single" w:sz="8" w:space="0" w:color="auto"/>
              <w:bottom w:val="single" w:sz="4" w:space="0" w:color="auto"/>
              <w:right w:val="nil"/>
            </w:tcBorders>
            <w:shd w:val="clear" w:color="auto" w:fill="auto"/>
            <w:noWrap/>
            <w:vAlign w:val="center"/>
            <w:hideMark/>
          </w:tcPr>
          <w:p w:rsidR="0074228B" w:rsidRPr="00E814EB" w:rsidRDefault="0074228B" w:rsidP="00B13E1E">
            <w:pPr>
              <w:spacing w:after="0" w:line="240" w:lineRule="auto"/>
              <w:jc w:val="center"/>
              <w:rPr>
                <w:rFonts w:ascii="Arial" w:hAnsi="Arial" w:cs="Arial"/>
                <w:color w:val="000000"/>
                <w:sz w:val="16"/>
                <w:szCs w:val="16"/>
                <w:lang w:eastAsia="es-CO"/>
              </w:rPr>
            </w:pPr>
            <w:r w:rsidRPr="00E814EB">
              <w:rPr>
                <w:rFonts w:ascii="Arial" w:hAnsi="Arial" w:cs="Arial"/>
                <w:color w:val="000000"/>
                <w:sz w:val="16"/>
                <w:szCs w:val="16"/>
                <w:lang w:eastAsia="es-CO"/>
              </w:rPr>
              <w:t>Sin Trámite</w:t>
            </w:r>
          </w:p>
        </w:tc>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color w:val="000000"/>
                <w:sz w:val="16"/>
                <w:szCs w:val="16"/>
                <w:lang w:eastAsia="es-CO"/>
              </w:rPr>
            </w:pPr>
            <w:r w:rsidRPr="00E814EB">
              <w:rPr>
                <w:rFonts w:ascii="Arial" w:hAnsi="Arial" w:cs="Arial"/>
                <w:color w:val="000000"/>
                <w:sz w:val="16"/>
                <w:szCs w:val="16"/>
                <w:lang w:eastAsia="es-CO"/>
              </w:rPr>
              <w:t>612</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color w:val="000000"/>
                <w:sz w:val="16"/>
                <w:szCs w:val="16"/>
                <w:lang w:eastAsia="es-CO"/>
              </w:rPr>
            </w:pPr>
            <w:r w:rsidRPr="00E814EB">
              <w:rPr>
                <w:rFonts w:ascii="Arial" w:hAnsi="Arial" w:cs="Arial"/>
                <w:color w:val="000000"/>
                <w:sz w:val="16"/>
                <w:szCs w:val="16"/>
                <w:lang w:eastAsia="es-CO"/>
              </w:rPr>
              <w:t>6.290</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color w:val="000000"/>
                <w:sz w:val="16"/>
                <w:szCs w:val="16"/>
                <w:lang w:eastAsia="es-CO"/>
              </w:rPr>
            </w:pPr>
            <w:r w:rsidRPr="00E814EB">
              <w:rPr>
                <w:rFonts w:ascii="Arial" w:hAnsi="Arial" w:cs="Arial"/>
                <w:color w:val="000000"/>
                <w:sz w:val="16"/>
                <w:szCs w:val="16"/>
                <w:lang w:eastAsia="es-CO"/>
              </w:rPr>
              <w:t>18.349</w:t>
            </w:r>
          </w:p>
        </w:tc>
        <w:tc>
          <w:tcPr>
            <w:tcW w:w="1200" w:type="dxa"/>
            <w:tcBorders>
              <w:top w:val="nil"/>
              <w:left w:val="nil"/>
              <w:bottom w:val="single" w:sz="4" w:space="0" w:color="auto"/>
              <w:right w:val="single" w:sz="8"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color w:val="000000"/>
                <w:sz w:val="16"/>
                <w:szCs w:val="16"/>
                <w:lang w:eastAsia="es-CO"/>
              </w:rPr>
            </w:pPr>
            <w:r w:rsidRPr="00E814EB">
              <w:rPr>
                <w:rFonts w:ascii="Arial" w:hAnsi="Arial" w:cs="Arial"/>
                <w:color w:val="000000"/>
                <w:sz w:val="16"/>
                <w:szCs w:val="16"/>
                <w:lang w:eastAsia="es-CO"/>
              </w:rPr>
              <w:t>2.398</w:t>
            </w:r>
          </w:p>
        </w:tc>
      </w:tr>
      <w:tr w:rsidR="0074228B" w:rsidRPr="00E814EB" w:rsidTr="00B13E1E">
        <w:trPr>
          <w:trHeight w:val="315"/>
          <w:jc w:val="center"/>
        </w:trPr>
        <w:tc>
          <w:tcPr>
            <w:tcW w:w="3053" w:type="dxa"/>
            <w:tcBorders>
              <w:top w:val="nil"/>
              <w:left w:val="single" w:sz="8" w:space="0" w:color="auto"/>
              <w:bottom w:val="nil"/>
              <w:right w:val="nil"/>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Carga Laboral Total</w:t>
            </w:r>
          </w:p>
        </w:tc>
        <w:tc>
          <w:tcPr>
            <w:tcW w:w="1200" w:type="dxa"/>
            <w:tcBorders>
              <w:top w:val="nil"/>
              <w:left w:val="single" w:sz="8" w:space="0" w:color="auto"/>
              <w:bottom w:val="single" w:sz="8"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180.466</w:t>
            </w:r>
          </w:p>
        </w:tc>
        <w:tc>
          <w:tcPr>
            <w:tcW w:w="1200" w:type="dxa"/>
            <w:tcBorders>
              <w:top w:val="nil"/>
              <w:left w:val="nil"/>
              <w:bottom w:val="single" w:sz="8"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527.532</w:t>
            </w:r>
          </w:p>
        </w:tc>
        <w:tc>
          <w:tcPr>
            <w:tcW w:w="1200" w:type="dxa"/>
            <w:tcBorders>
              <w:top w:val="nil"/>
              <w:left w:val="nil"/>
              <w:bottom w:val="single" w:sz="8"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915.155</w:t>
            </w:r>
          </w:p>
        </w:tc>
        <w:tc>
          <w:tcPr>
            <w:tcW w:w="1200" w:type="dxa"/>
            <w:tcBorders>
              <w:top w:val="nil"/>
              <w:left w:val="nil"/>
              <w:bottom w:val="single" w:sz="8" w:space="0" w:color="auto"/>
              <w:right w:val="single" w:sz="8"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829.846</w:t>
            </w:r>
          </w:p>
        </w:tc>
      </w:tr>
      <w:tr w:rsidR="0074228B" w:rsidRPr="00E814EB" w:rsidTr="00B13E1E">
        <w:trPr>
          <w:trHeight w:val="300"/>
          <w:jc w:val="center"/>
        </w:trPr>
        <w:tc>
          <w:tcPr>
            <w:tcW w:w="3053"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 xml:space="preserve">Índice </w:t>
            </w:r>
            <w:proofErr w:type="spellStart"/>
            <w:r w:rsidRPr="00E814EB">
              <w:rPr>
                <w:rFonts w:ascii="Arial" w:hAnsi="Arial" w:cs="Arial"/>
                <w:b/>
                <w:bCs/>
                <w:color w:val="000000"/>
                <w:sz w:val="16"/>
                <w:szCs w:val="16"/>
                <w:lang w:eastAsia="es-CO"/>
              </w:rPr>
              <w:t>Evac</w:t>
            </w:r>
            <w:proofErr w:type="spellEnd"/>
            <w:r w:rsidRPr="00E814EB">
              <w:rPr>
                <w:rFonts w:ascii="Arial" w:hAnsi="Arial" w:cs="Arial"/>
                <w:b/>
                <w:bCs/>
                <w:color w:val="000000"/>
                <w:sz w:val="16"/>
                <w:szCs w:val="16"/>
                <w:lang w:eastAsia="es-CO"/>
              </w:rPr>
              <w:t>. Parcial Efectivo</w:t>
            </w:r>
          </w:p>
        </w:tc>
        <w:tc>
          <w:tcPr>
            <w:tcW w:w="1200" w:type="dxa"/>
            <w:tcBorders>
              <w:top w:val="single" w:sz="8" w:space="0" w:color="auto"/>
              <w:left w:val="nil"/>
              <w:bottom w:val="single" w:sz="4"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78,7%</w:t>
            </w:r>
          </w:p>
        </w:tc>
        <w:tc>
          <w:tcPr>
            <w:tcW w:w="1200" w:type="dxa"/>
            <w:tcBorders>
              <w:top w:val="single" w:sz="8" w:space="0" w:color="auto"/>
              <w:left w:val="nil"/>
              <w:bottom w:val="single" w:sz="4"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58,6%</w:t>
            </w:r>
          </w:p>
        </w:tc>
        <w:tc>
          <w:tcPr>
            <w:tcW w:w="1200" w:type="dxa"/>
            <w:tcBorders>
              <w:top w:val="single" w:sz="8" w:space="0" w:color="auto"/>
              <w:left w:val="nil"/>
              <w:bottom w:val="single" w:sz="4"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77,4%</w:t>
            </w:r>
          </w:p>
        </w:tc>
        <w:tc>
          <w:tcPr>
            <w:tcW w:w="1200" w:type="dxa"/>
            <w:tcBorders>
              <w:top w:val="single" w:sz="8" w:space="0" w:color="auto"/>
              <w:left w:val="nil"/>
              <w:bottom w:val="single" w:sz="4" w:space="0" w:color="auto"/>
              <w:right w:val="single" w:sz="8"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84,9%</w:t>
            </w:r>
          </w:p>
        </w:tc>
      </w:tr>
      <w:tr w:rsidR="0074228B" w:rsidRPr="00E814EB" w:rsidTr="00B13E1E">
        <w:trPr>
          <w:trHeight w:val="300"/>
          <w:jc w:val="center"/>
        </w:trPr>
        <w:tc>
          <w:tcPr>
            <w:tcW w:w="3053" w:type="dxa"/>
            <w:tcBorders>
              <w:top w:val="nil"/>
              <w:left w:val="single" w:sz="8" w:space="0" w:color="auto"/>
              <w:bottom w:val="single" w:sz="4" w:space="0" w:color="auto"/>
              <w:right w:val="single" w:sz="8"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 xml:space="preserve">Índice </w:t>
            </w:r>
            <w:proofErr w:type="spellStart"/>
            <w:r w:rsidRPr="00E814EB">
              <w:rPr>
                <w:rFonts w:ascii="Arial" w:hAnsi="Arial" w:cs="Arial"/>
                <w:b/>
                <w:bCs/>
                <w:color w:val="000000"/>
                <w:sz w:val="16"/>
                <w:szCs w:val="16"/>
                <w:lang w:eastAsia="es-CO"/>
              </w:rPr>
              <w:t>Evac</w:t>
            </w:r>
            <w:proofErr w:type="spellEnd"/>
            <w:r w:rsidRPr="00E814EB">
              <w:rPr>
                <w:rFonts w:ascii="Arial" w:hAnsi="Arial" w:cs="Arial"/>
                <w:b/>
                <w:bCs/>
                <w:color w:val="000000"/>
                <w:sz w:val="16"/>
                <w:szCs w:val="16"/>
                <w:lang w:eastAsia="es-CO"/>
              </w:rPr>
              <w:t>. Total Efectivo</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74,2%</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52,7%</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57,1%</w:t>
            </w:r>
          </w:p>
        </w:tc>
        <w:tc>
          <w:tcPr>
            <w:tcW w:w="1200" w:type="dxa"/>
            <w:tcBorders>
              <w:top w:val="nil"/>
              <w:left w:val="nil"/>
              <w:bottom w:val="single" w:sz="4" w:space="0" w:color="auto"/>
              <w:right w:val="single" w:sz="8"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49,9%</w:t>
            </w:r>
          </w:p>
        </w:tc>
      </w:tr>
      <w:tr w:rsidR="0074228B" w:rsidRPr="00E814EB" w:rsidTr="00B13E1E">
        <w:trPr>
          <w:trHeight w:val="315"/>
          <w:jc w:val="center"/>
        </w:trPr>
        <w:tc>
          <w:tcPr>
            <w:tcW w:w="3053" w:type="dxa"/>
            <w:tcBorders>
              <w:top w:val="nil"/>
              <w:left w:val="single" w:sz="8" w:space="0" w:color="auto"/>
              <w:bottom w:val="single" w:sz="8" w:space="0" w:color="auto"/>
              <w:right w:val="single" w:sz="8"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Índice Congestión Efectivo</w:t>
            </w:r>
          </w:p>
        </w:tc>
        <w:tc>
          <w:tcPr>
            <w:tcW w:w="1200" w:type="dxa"/>
            <w:tcBorders>
              <w:top w:val="nil"/>
              <w:left w:val="nil"/>
              <w:bottom w:val="single" w:sz="8"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25,8%</w:t>
            </w:r>
          </w:p>
        </w:tc>
        <w:tc>
          <w:tcPr>
            <w:tcW w:w="1200" w:type="dxa"/>
            <w:tcBorders>
              <w:top w:val="nil"/>
              <w:left w:val="nil"/>
              <w:bottom w:val="single" w:sz="8"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47,3%</w:t>
            </w:r>
          </w:p>
        </w:tc>
        <w:tc>
          <w:tcPr>
            <w:tcW w:w="1200" w:type="dxa"/>
            <w:tcBorders>
              <w:top w:val="nil"/>
              <w:left w:val="nil"/>
              <w:bottom w:val="single" w:sz="8" w:space="0" w:color="auto"/>
              <w:right w:val="single" w:sz="4"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42,9%</w:t>
            </w:r>
          </w:p>
        </w:tc>
        <w:tc>
          <w:tcPr>
            <w:tcW w:w="1200" w:type="dxa"/>
            <w:tcBorders>
              <w:top w:val="nil"/>
              <w:left w:val="nil"/>
              <w:bottom w:val="single" w:sz="8" w:space="0" w:color="auto"/>
              <w:right w:val="single" w:sz="8" w:space="0" w:color="auto"/>
            </w:tcBorders>
            <w:shd w:val="clear" w:color="auto" w:fill="auto"/>
            <w:noWrap/>
            <w:vAlign w:val="center"/>
            <w:hideMark/>
          </w:tcPr>
          <w:p w:rsidR="0074228B" w:rsidRPr="00E814EB" w:rsidRDefault="0074228B" w:rsidP="00B13E1E">
            <w:pPr>
              <w:spacing w:after="0" w:line="240" w:lineRule="auto"/>
              <w:jc w:val="center"/>
              <w:rPr>
                <w:rFonts w:ascii="Arial" w:hAnsi="Arial" w:cs="Arial"/>
                <w:b/>
                <w:bCs/>
                <w:color w:val="000000"/>
                <w:sz w:val="16"/>
                <w:szCs w:val="16"/>
                <w:lang w:eastAsia="es-CO"/>
              </w:rPr>
            </w:pPr>
            <w:r w:rsidRPr="00E814EB">
              <w:rPr>
                <w:rFonts w:ascii="Arial" w:hAnsi="Arial" w:cs="Arial"/>
                <w:b/>
                <w:bCs/>
                <w:color w:val="000000"/>
                <w:sz w:val="16"/>
                <w:szCs w:val="16"/>
                <w:lang w:eastAsia="es-CO"/>
              </w:rPr>
              <w:t>50,1%</w:t>
            </w:r>
          </w:p>
        </w:tc>
      </w:tr>
    </w:tbl>
    <w:p w:rsidR="0074228B" w:rsidRPr="00E814EB" w:rsidRDefault="0074228B" w:rsidP="0074228B">
      <w:pPr>
        <w:spacing w:after="0" w:line="240" w:lineRule="auto"/>
        <w:jc w:val="center"/>
        <w:rPr>
          <w:rFonts w:ascii="Arial" w:hAnsi="Arial" w:cs="Arial"/>
          <w:b/>
          <w:sz w:val="16"/>
          <w:szCs w:val="16"/>
        </w:rPr>
      </w:pPr>
      <w:r w:rsidRPr="00E814EB">
        <w:rPr>
          <w:rFonts w:ascii="Arial" w:hAnsi="Arial" w:cs="Arial"/>
          <w:b/>
          <w:sz w:val="16"/>
          <w:szCs w:val="16"/>
        </w:rPr>
        <w:t>Fuente: Consejo Superior de la Judicatura. Cálculos CGR DES-DJS. Fecha de Corte: Abril de 2014</w:t>
      </w: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lastRenderedPageBreak/>
        <w:t xml:space="preserve">Por otro lado, el personal juzgador en estos despachos creció 185% al pasar de 398 jueces y magistrados en 2010 a 1.136 en 2013 (Ver Gráfica 12), hecho que refleja la alta prioridad de este programa para la administración de justicia. Así mismo, la carga laboral por Juez aumentó 61% en el mismo período, pues pasó de 453 procesos a 730. No obstante, en el último año fue menor a la registrada por la Rama Judicial (887 procesos). </w:t>
      </w:r>
    </w:p>
    <w:p w:rsidR="00A4268C" w:rsidRDefault="00A4268C" w:rsidP="0074228B">
      <w:pPr>
        <w:spacing w:after="0" w:line="240" w:lineRule="auto"/>
        <w:jc w:val="center"/>
        <w:rPr>
          <w:rFonts w:ascii="Arial" w:hAnsi="Arial" w:cs="Arial"/>
          <w:b/>
          <w:sz w:val="20"/>
          <w:szCs w:val="20"/>
        </w:rPr>
      </w:pPr>
    </w:p>
    <w:p w:rsidR="0074228B" w:rsidRPr="000276A7" w:rsidRDefault="0074228B" w:rsidP="0074228B">
      <w:pPr>
        <w:spacing w:after="0" w:line="240" w:lineRule="auto"/>
        <w:jc w:val="center"/>
        <w:rPr>
          <w:rFonts w:ascii="Arial" w:hAnsi="Arial" w:cs="Arial"/>
          <w:b/>
          <w:sz w:val="16"/>
          <w:szCs w:val="16"/>
        </w:rPr>
      </w:pPr>
      <w:r w:rsidRPr="000276A7">
        <w:rPr>
          <w:rFonts w:ascii="Arial" w:hAnsi="Arial" w:cs="Arial"/>
          <w:b/>
          <w:sz w:val="16"/>
          <w:szCs w:val="16"/>
        </w:rPr>
        <w:t>Gráfica 12. Personal Juzgador, Carga Laboral por Juez y Productividad Efectiva por Juez. Despachos de Descongestión 2010-2013</w:t>
      </w:r>
    </w:p>
    <w:p w:rsidR="0074228B" w:rsidRPr="009427D5" w:rsidRDefault="0074228B" w:rsidP="0074228B">
      <w:pPr>
        <w:spacing w:after="0" w:line="240" w:lineRule="auto"/>
        <w:jc w:val="center"/>
        <w:rPr>
          <w:rFonts w:ascii="Arial" w:hAnsi="Arial" w:cs="Arial"/>
          <w:sz w:val="24"/>
          <w:szCs w:val="24"/>
        </w:rPr>
      </w:pPr>
      <w:r w:rsidRPr="009427D5">
        <w:rPr>
          <w:rFonts w:ascii="Arial" w:hAnsi="Arial" w:cs="Arial"/>
          <w:noProof/>
          <w:sz w:val="24"/>
          <w:szCs w:val="24"/>
          <w:lang w:eastAsia="es-CO"/>
        </w:rPr>
        <w:drawing>
          <wp:inline distT="0" distB="0" distL="0" distR="0" wp14:anchorId="1198B187" wp14:editId="29DF35C0">
            <wp:extent cx="3952875" cy="2305050"/>
            <wp:effectExtent l="0" t="0" r="9525"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52875" cy="2305050"/>
                    </a:xfrm>
                    <a:prstGeom prst="rect">
                      <a:avLst/>
                    </a:prstGeom>
                    <a:noFill/>
                    <a:ln>
                      <a:noFill/>
                    </a:ln>
                  </pic:spPr>
                </pic:pic>
              </a:graphicData>
            </a:graphic>
          </wp:inline>
        </w:drawing>
      </w:r>
    </w:p>
    <w:p w:rsidR="0074228B" w:rsidRPr="000276A7" w:rsidRDefault="0074228B" w:rsidP="0074228B">
      <w:pPr>
        <w:spacing w:after="0" w:line="240" w:lineRule="auto"/>
        <w:jc w:val="center"/>
        <w:rPr>
          <w:rFonts w:ascii="Arial" w:hAnsi="Arial" w:cs="Arial"/>
          <w:b/>
          <w:sz w:val="16"/>
          <w:szCs w:val="16"/>
        </w:rPr>
      </w:pPr>
      <w:r w:rsidRPr="000276A7">
        <w:rPr>
          <w:rFonts w:ascii="Arial" w:hAnsi="Arial" w:cs="Arial"/>
          <w:b/>
          <w:sz w:val="16"/>
          <w:szCs w:val="16"/>
        </w:rPr>
        <w:t>Fuente: Consejo Superior de la Judicatura. Cálculos CGR DES-DJS. Fecha de Corte: Abril de 2014</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En relación con la productividad efectiva por Juez, incrementó 8% al pasar de 334 egresos efectivos en 2010 a 360 en 2013. Sin embargo, esta última fue menor a la de la Rama (440 egresos). De esta forma, el aumento en el personal juzgador en los despachos de descongestión no se ha traducido en un crecimiento significativo de sus niveles de productividad.</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Al observar por especialidad, la que presenta el mayor porcentaje de ingresos efectivos es civil (47%), área donde existen los más altos inventarios de procesos y niveles de congestión</w:t>
      </w:r>
      <w:r w:rsidRPr="009427D5">
        <w:rPr>
          <w:rStyle w:val="Refdenotaalpie"/>
          <w:rFonts w:ascii="Arial" w:hAnsi="Arial" w:cs="Arial"/>
        </w:rPr>
        <w:footnoteReference w:id="32"/>
      </w:r>
      <w:r w:rsidRPr="009427D5">
        <w:rPr>
          <w:rFonts w:ascii="Arial" w:hAnsi="Arial" w:cs="Arial"/>
          <w:sz w:val="24"/>
          <w:szCs w:val="24"/>
        </w:rPr>
        <w:t>, luego aparecen penal y laboral</w:t>
      </w:r>
      <w:r w:rsidRPr="009427D5">
        <w:rPr>
          <w:rStyle w:val="Refdenotaalpie"/>
          <w:rFonts w:ascii="Arial" w:hAnsi="Arial" w:cs="Arial"/>
        </w:rPr>
        <w:footnoteReference w:id="33"/>
      </w:r>
      <w:r w:rsidRPr="009427D5">
        <w:rPr>
          <w:rFonts w:ascii="Arial" w:hAnsi="Arial" w:cs="Arial"/>
          <w:sz w:val="24"/>
          <w:szCs w:val="24"/>
        </w:rPr>
        <w:t xml:space="preserve"> (18% cada una), administrativa (13%), mientras que promiscuo, familia y disciplinario poseen participaciones mínimas (1,4%, 1,3% y 0,6%), en el caso de las dos últimas tienen los menores inventarios de procesos</w:t>
      </w:r>
      <w:r w:rsidRPr="009427D5">
        <w:rPr>
          <w:rStyle w:val="Refdenotaalpie"/>
          <w:rFonts w:ascii="Arial" w:hAnsi="Arial" w:cs="Arial"/>
        </w:rPr>
        <w:footnoteReference w:id="34"/>
      </w:r>
      <w:r w:rsidRPr="009427D5">
        <w:rPr>
          <w:rFonts w:ascii="Arial" w:hAnsi="Arial" w:cs="Arial"/>
          <w:sz w:val="24"/>
          <w:szCs w:val="24"/>
        </w:rPr>
        <w:t xml:space="preserve">. Con respecto a los egresos efectivos, los porcentajes son similares, en primer lugar aparece civil (48%), luego penal y laboral (18% cada una), administrativa (13%), promiscuo y familia (1% cada una) y disciplinario (0,5%). Así, la distribución de ingresos efectivos en los despachos de </w:t>
      </w:r>
      <w:r w:rsidRPr="009427D5">
        <w:rPr>
          <w:rFonts w:ascii="Arial" w:hAnsi="Arial" w:cs="Arial"/>
          <w:sz w:val="24"/>
          <w:szCs w:val="24"/>
        </w:rPr>
        <w:lastRenderedPageBreak/>
        <w:t>descongestión ha sido acorde con los inventarios de procesos y niveles de congestión mostrados en cada una de las especialidades.</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Respecto a la distribución del personal juzgador entre especialidades al interior de estos despachos, se encuentran algunas diferencias, pues el mayor promedio anual fue para civil (31%), seguido por laboral (25%), penal (20%), administrativo (17%), promiscuo (4%), familia (3%) y disciplinario (1%). En este caso, las especialidades laboral, administrativa y penal tuvieron mayores porcentajes de personal juzgador en comparación con su participación en los inventarios iniciales de procesos (7%, 9% y 16%), mientras que civil registró un porcentaje mucho menor en relación con estos inventarios (51%).</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Este hecho conlleva a grandes disparidades en las cargas laborales por Juez en cada una de las especialidades, donde el promedio anual más alto es para civil (832 procesos por Juez) y luego aparecen administrativo (615), penal (597), laboral (440), disciplinario (426), familia (355) y promiscuo (279). Y en relación con la productividad efectiva por Juez, el valor más alto también es para  civil (531 egresos efectivos por Juez), seguido por penal (316), administrativo (279), familia (153), disciplinario (146) y promiscuo (116), siendo esta última especialidad donde hay  menor diferencia entre la carga laboral por juez y la productividad efectiva en sus despachos de descongestión.</w:t>
      </w:r>
    </w:p>
    <w:p w:rsidR="00A82197" w:rsidRDefault="00A82197"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Respecto al comportamiento del índice de evacuación parcial efectiva, su promedio fue menor a 100% en todas las especialidades, por ende, sus ingresos efectivos son inferiores a sus egresos efectivos. El mayor índice correspondió a laboral y civil (78% cada uno), seguidos por administrativo (76%) y penal (74%), mientras que familia, promiscuo y disciplinario registraron índices bastante bajos (66%, 65% y 43%), los cuales evidencian dificultades para la evacuación efectiva de los procesos que ingresan a este tipo de despachos.</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 xml:space="preserve">Lo anterior se refleja en el desempeño de los índices de congestión efectiva registrados durante el periodo 2010-2013, pues los menores promedios anuales fueron para las especialidades civil (34%) y laboral (36%) mostrando así un buen desempeño en sus despachos; mientras que en las demás especialidades los índices han sido mayores o están alrededor del 50%, siendo el más alto para el área disciplinaria (68%), seguida por familia y administrativa (55% cada una), promiscuo (48%) y penal (46%), lo cual podría ocasionar una mayor acumulación de procesos efectivos en sus despachos de descongestión. </w:t>
      </w:r>
    </w:p>
    <w:p w:rsidR="0074228B" w:rsidRDefault="0074228B" w:rsidP="0074228B">
      <w:pPr>
        <w:spacing w:after="0" w:line="240" w:lineRule="auto"/>
        <w:jc w:val="both"/>
        <w:rPr>
          <w:rFonts w:ascii="Arial" w:hAnsi="Arial" w:cs="Arial"/>
          <w:i/>
          <w:sz w:val="24"/>
          <w:szCs w:val="24"/>
        </w:rPr>
      </w:pPr>
    </w:p>
    <w:p w:rsidR="00C2522F" w:rsidRDefault="00C2522F" w:rsidP="0074228B">
      <w:pPr>
        <w:spacing w:after="0" w:line="240" w:lineRule="auto"/>
        <w:jc w:val="both"/>
        <w:rPr>
          <w:rFonts w:ascii="Arial" w:hAnsi="Arial" w:cs="Arial"/>
          <w:i/>
          <w:sz w:val="24"/>
          <w:szCs w:val="24"/>
        </w:rPr>
      </w:pPr>
    </w:p>
    <w:p w:rsidR="000276A7" w:rsidRDefault="000276A7" w:rsidP="0074228B">
      <w:pPr>
        <w:spacing w:after="0" w:line="240" w:lineRule="auto"/>
        <w:jc w:val="both"/>
        <w:rPr>
          <w:rFonts w:ascii="Arial" w:hAnsi="Arial" w:cs="Arial"/>
          <w:i/>
          <w:sz w:val="24"/>
          <w:szCs w:val="24"/>
        </w:rPr>
      </w:pPr>
    </w:p>
    <w:p w:rsidR="000276A7" w:rsidRDefault="000276A7" w:rsidP="0074228B">
      <w:pPr>
        <w:spacing w:after="0" w:line="240" w:lineRule="auto"/>
        <w:jc w:val="both"/>
        <w:rPr>
          <w:rFonts w:ascii="Arial" w:hAnsi="Arial" w:cs="Arial"/>
          <w:i/>
          <w:sz w:val="24"/>
          <w:szCs w:val="24"/>
        </w:rPr>
      </w:pPr>
    </w:p>
    <w:p w:rsidR="00C2522F" w:rsidRPr="009427D5" w:rsidRDefault="00C2522F" w:rsidP="0074228B">
      <w:pPr>
        <w:spacing w:after="0" w:line="240" w:lineRule="auto"/>
        <w:jc w:val="both"/>
        <w:rPr>
          <w:rFonts w:ascii="Arial" w:hAnsi="Arial" w:cs="Arial"/>
          <w:i/>
          <w:sz w:val="24"/>
          <w:szCs w:val="24"/>
        </w:rPr>
      </w:pPr>
    </w:p>
    <w:p w:rsidR="0074228B" w:rsidRPr="009427D5" w:rsidRDefault="0074228B" w:rsidP="004C2FBE">
      <w:pPr>
        <w:pStyle w:val="Prrafodelista"/>
        <w:numPr>
          <w:ilvl w:val="4"/>
          <w:numId w:val="33"/>
        </w:numPr>
        <w:spacing w:after="0" w:line="240" w:lineRule="auto"/>
        <w:jc w:val="both"/>
        <w:rPr>
          <w:rFonts w:ascii="Arial" w:hAnsi="Arial" w:cs="Arial"/>
          <w:i/>
          <w:sz w:val="24"/>
          <w:szCs w:val="24"/>
        </w:rPr>
      </w:pPr>
      <w:r w:rsidRPr="009427D5">
        <w:rPr>
          <w:rFonts w:ascii="Arial" w:hAnsi="Arial" w:cs="Arial"/>
          <w:i/>
          <w:sz w:val="24"/>
          <w:szCs w:val="24"/>
        </w:rPr>
        <w:lastRenderedPageBreak/>
        <w:t>Indicadores S</w:t>
      </w:r>
      <w:r w:rsidR="00033104" w:rsidRPr="009427D5">
        <w:rPr>
          <w:rFonts w:ascii="Arial" w:hAnsi="Arial" w:cs="Arial"/>
          <w:i/>
          <w:sz w:val="24"/>
          <w:szCs w:val="24"/>
        </w:rPr>
        <w:t xml:space="preserve">istema </w:t>
      </w:r>
      <w:r w:rsidRPr="009427D5">
        <w:rPr>
          <w:rFonts w:ascii="Arial" w:hAnsi="Arial" w:cs="Arial"/>
          <w:i/>
          <w:sz w:val="24"/>
          <w:szCs w:val="24"/>
        </w:rPr>
        <w:t>Oralidad</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En relación con la Sección Oral, se encuentra que sus ingresos efectivos han crecido significativamente como resultado de la implementación gradual de este modelo en las diferentes especialidades. De esta manera, se pasó de 491.637 nuevos procesos orales en 2010 a 1.054.469 en 2013, es decir, un aumento de 115% en los últimos cuatro años (</w:t>
      </w:r>
      <w:r w:rsidR="006316F7" w:rsidRPr="009427D5">
        <w:rPr>
          <w:rFonts w:ascii="Arial" w:hAnsi="Arial" w:cs="Arial"/>
          <w:sz w:val="24"/>
          <w:szCs w:val="24"/>
        </w:rPr>
        <w:t xml:space="preserve">Tabla </w:t>
      </w:r>
      <w:r w:rsidR="009B6544" w:rsidRPr="009427D5">
        <w:rPr>
          <w:rFonts w:ascii="Arial" w:hAnsi="Arial" w:cs="Arial"/>
          <w:sz w:val="24"/>
          <w:szCs w:val="24"/>
        </w:rPr>
        <w:t>10</w:t>
      </w:r>
      <w:r w:rsidRPr="009427D5">
        <w:rPr>
          <w:rFonts w:ascii="Arial" w:hAnsi="Arial" w:cs="Arial"/>
          <w:sz w:val="24"/>
          <w:szCs w:val="24"/>
        </w:rPr>
        <w:t>.), por ende, pasa de representar 21% de los ingresos efectivos de la Rama Judicial en 2010 a 39% en 2013.</w:t>
      </w:r>
    </w:p>
    <w:p w:rsidR="0074228B" w:rsidRPr="009427D5" w:rsidRDefault="0074228B" w:rsidP="0074228B">
      <w:pPr>
        <w:spacing w:after="0" w:line="240" w:lineRule="auto"/>
        <w:ind w:firstLine="708"/>
        <w:jc w:val="both"/>
        <w:rPr>
          <w:rFonts w:ascii="Arial" w:hAnsi="Arial" w:cs="Arial"/>
          <w:sz w:val="24"/>
          <w:szCs w:val="24"/>
        </w:rPr>
      </w:pPr>
    </w:p>
    <w:p w:rsidR="0074228B" w:rsidRPr="000276A7" w:rsidRDefault="0074228B" w:rsidP="0074228B">
      <w:pPr>
        <w:spacing w:after="0" w:line="240" w:lineRule="auto"/>
        <w:jc w:val="center"/>
        <w:rPr>
          <w:rFonts w:ascii="Arial" w:hAnsi="Arial" w:cs="Arial"/>
          <w:b/>
          <w:sz w:val="16"/>
          <w:szCs w:val="16"/>
        </w:rPr>
      </w:pPr>
      <w:r w:rsidRPr="000276A7">
        <w:rPr>
          <w:rFonts w:ascii="Arial" w:hAnsi="Arial" w:cs="Arial"/>
          <w:b/>
          <w:sz w:val="16"/>
          <w:szCs w:val="16"/>
        </w:rPr>
        <w:t xml:space="preserve">Tabla </w:t>
      </w:r>
      <w:r w:rsidR="009B6544" w:rsidRPr="000276A7">
        <w:rPr>
          <w:rFonts w:ascii="Arial" w:hAnsi="Arial" w:cs="Arial"/>
          <w:b/>
          <w:sz w:val="16"/>
          <w:szCs w:val="16"/>
        </w:rPr>
        <w:t>10</w:t>
      </w:r>
      <w:r w:rsidRPr="000276A7">
        <w:rPr>
          <w:rFonts w:ascii="Arial" w:hAnsi="Arial" w:cs="Arial"/>
          <w:b/>
          <w:sz w:val="16"/>
          <w:szCs w:val="16"/>
        </w:rPr>
        <w:t>. Indicadores Procesos Judiciales. Sección Oralidad 2010-2013</w:t>
      </w:r>
    </w:p>
    <w:tbl>
      <w:tblPr>
        <w:tblW w:w="7975" w:type="dxa"/>
        <w:jc w:val="center"/>
        <w:tblCellMar>
          <w:left w:w="70" w:type="dxa"/>
          <w:right w:w="70" w:type="dxa"/>
        </w:tblCellMar>
        <w:tblLook w:val="04A0" w:firstRow="1" w:lastRow="0" w:firstColumn="1" w:lastColumn="0" w:noHBand="0" w:noVBand="1"/>
      </w:tblPr>
      <w:tblGrid>
        <w:gridCol w:w="3175"/>
        <w:gridCol w:w="1200"/>
        <w:gridCol w:w="1200"/>
        <w:gridCol w:w="1200"/>
        <w:gridCol w:w="1200"/>
      </w:tblGrid>
      <w:tr w:rsidR="0074228B" w:rsidRPr="000276A7" w:rsidTr="00B13E1E">
        <w:trPr>
          <w:trHeight w:val="315"/>
          <w:jc w:val="center"/>
        </w:trPr>
        <w:tc>
          <w:tcPr>
            <w:tcW w:w="3175" w:type="dxa"/>
            <w:tcBorders>
              <w:top w:val="single" w:sz="8" w:space="0" w:color="auto"/>
              <w:left w:val="single" w:sz="8" w:space="0" w:color="auto"/>
              <w:bottom w:val="nil"/>
              <w:right w:val="single" w:sz="8"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p>
        </w:tc>
        <w:tc>
          <w:tcPr>
            <w:tcW w:w="1200" w:type="dxa"/>
            <w:tcBorders>
              <w:top w:val="single" w:sz="8" w:space="0" w:color="auto"/>
              <w:left w:val="nil"/>
              <w:bottom w:val="nil"/>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2010</w:t>
            </w:r>
          </w:p>
        </w:tc>
        <w:tc>
          <w:tcPr>
            <w:tcW w:w="1200" w:type="dxa"/>
            <w:tcBorders>
              <w:top w:val="single" w:sz="8" w:space="0" w:color="auto"/>
              <w:left w:val="nil"/>
              <w:bottom w:val="nil"/>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2011</w:t>
            </w:r>
          </w:p>
        </w:tc>
        <w:tc>
          <w:tcPr>
            <w:tcW w:w="1200" w:type="dxa"/>
            <w:tcBorders>
              <w:top w:val="single" w:sz="8" w:space="0" w:color="auto"/>
              <w:left w:val="nil"/>
              <w:bottom w:val="nil"/>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2012</w:t>
            </w:r>
          </w:p>
        </w:tc>
        <w:tc>
          <w:tcPr>
            <w:tcW w:w="1200" w:type="dxa"/>
            <w:tcBorders>
              <w:top w:val="single" w:sz="8" w:space="0" w:color="auto"/>
              <w:left w:val="nil"/>
              <w:bottom w:val="nil"/>
              <w:right w:val="single" w:sz="8"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2013</w:t>
            </w:r>
          </w:p>
        </w:tc>
      </w:tr>
      <w:tr w:rsidR="0074228B" w:rsidRPr="000276A7" w:rsidTr="00B13E1E">
        <w:trPr>
          <w:trHeight w:val="300"/>
          <w:jc w:val="center"/>
        </w:trPr>
        <w:tc>
          <w:tcPr>
            <w:tcW w:w="3175" w:type="dxa"/>
            <w:tcBorders>
              <w:top w:val="single" w:sz="8" w:space="0" w:color="auto"/>
              <w:left w:val="single" w:sz="8" w:space="0" w:color="auto"/>
              <w:bottom w:val="single" w:sz="4" w:space="0" w:color="auto"/>
              <w:right w:val="nil"/>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Inventario Inicial</w:t>
            </w:r>
          </w:p>
        </w:tc>
        <w:tc>
          <w:tcPr>
            <w:tcW w:w="120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57.718</w:t>
            </w:r>
          </w:p>
        </w:tc>
        <w:tc>
          <w:tcPr>
            <w:tcW w:w="1200" w:type="dxa"/>
            <w:tcBorders>
              <w:top w:val="single" w:sz="8" w:space="0" w:color="auto"/>
              <w:left w:val="nil"/>
              <w:bottom w:val="single" w:sz="4" w:space="0" w:color="auto"/>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88.878</w:t>
            </w:r>
          </w:p>
        </w:tc>
        <w:tc>
          <w:tcPr>
            <w:tcW w:w="1200" w:type="dxa"/>
            <w:tcBorders>
              <w:top w:val="single" w:sz="8" w:space="0" w:color="auto"/>
              <w:left w:val="nil"/>
              <w:bottom w:val="single" w:sz="4" w:space="0" w:color="auto"/>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153.374</w:t>
            </w:r>
          </w:p>
        </w:tc>
        <w:tc>
          <w:tcPr>
            <w:tcW w:w="1200" w:type="dxa"/>
            <w:tcBorders>
              <w:top w:val="single" w:sz="8" w:space="0" w:color="auto"/>
              <w:left w:val="nil"/>
              <w:bottom w:val="single" w:sz="4" w:space="0" w:color="auto"/>
              <w:right w:val="single" w:sz="8"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228.153</w:t>
            </w:r>
          </w:p>
        </w:tc>
      </w:tr>
      <w:tr w:rsidR="0074228B" w:rsidRPr="000276A7" w:rsidTr="00B13E1E">
        <w:trPr>
          <w:trHeight w:val="300"/>
          <w:jc w:val="center"/>
        </w:trPr>
        <w:tc>
          <w:tcPr>
            <w:tcW w:w="3175" w:type="dxa"/>
            <w:tcBorders>
              <w:top w:val="nil"/>
              <w:left w:val="single" w:sz="8" w:space="0" w:color="auto"/>
              <w:bottom w:val="single" w:sz="4" w:space="0" w:color="auto"/>
              <w:right w:val="nil"/>
            </w:tcBorders>
            <w:shd w:val="clear" w:color="auto" w:fill="auto"/>
            <w:noWrap/>
            <w:vAlign w:val="center"/>
            <w:hideMark/>
          </w:tcPr>
          <w:p w:rsidR="0074228B" w:rsidRPr="000276A7" w:rsidRDefault="0074228B" w:rsidP="00B13E1E">
            <w:pPr>
              <w:spacing w:after="0" w:line="240" w:lineRule="auto"/>
              <w:jc w:val="center"/>
              <w:rPr>
                <w:rFonts w:ascii="Arial" w:hAnsi="Arial" w:cs="Arial"/>
                <w:color w:val="000000"/>
                <w:sz w:val="16"/>
                <w:szCs w:val="16"/>
                <w:lang w:eastAsia="es-CO"/>
              </w:rPr>
            </w:pPr>
            <w:r w:rsidRPr="000276A7">
              <w:rPr>
                <w:rFonts w:ascii="Arial" w:hAnsi="Arial" w:cs="Arial"/>
                <w:color w:val="000000"/>
                <w:sz w:val="16"/>
                <w:szCs w:val="16"/>
                <w:lang w:eastAsia="es-CO"/>
              </w:rPr>
              <w:t>Con Trámite</w:t>
            </w:r>
          </w:p>
        </w:tc>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color w:val="000000"/>
                <w:sz w:val="16"/>
                <w:szCs w:val="16"/>
                <w:lang w:eastAsia="es-CO"/>
              </w:rPr>
            </w:pPr>
            <w:r w:rsidRPr="000276A7">
              <w:rPr>
                <w:rFonts w:ascii="Arial" w:hAnsi="Arial" w:cs="Arial"/>
                <w:color w:val="000000"/>
                <w:sz w:val="16"/>
                <w:szCs w:val="16"/>
                <w:lang w:eastAsia="es-CO"/>
              </w:rPr>
              <w:t>57.718</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color w:val="000000"/>
                <w:sz w:val="16"/>
                <w:szCs w:val="16"/>
                <w:lang w:eastAsia="es-CO"/>
              </w:rPr>
            </w:pPr>
            <w:r w:rsidRPr="000276A7">
              <w:rPr>
                <w:rFonts w:ascii="Arial" w:hAnsi="Arial" w:cs="Arial"/>
                <w:color w:val="000000"/>
                <w:sz w:val="16"/>
                <w:szCs w:val="16"/>
                <w:lang w:eastAsia="es-CO"/>
              </w:rPr>
              <w:t>82.549</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color w:val="000000"/>
                <w:sz w:val="16"/>
                <w:szCs w:val="16"/>
                <w:lang w:eastAsia="es-CO"/>
              </w:rPr>
            </w:pPr>
            <w:r w:rsidRPr="000276A7">
              <w:rPr>
                <w:rFonts w:ascii="Arial" w:hAnsi="Arial" w:cs="Arial"/>
                <w:color w:val="000000"/>
                <w:sz w:val="16"/>
                <w:szCs w:val="16"/>
                <w:lang w:eastAsia="es-CO"/>
              </w:rPr>
              <w:t>130.022</w:t>
            </w:r>
          </w:p>
        </w:tc>
        <w:tc>
          <w:tcPr>
            <w:tcW w:w="1200" w:type="dxa"/>
            <w:tcBorders>
              <w:top w:val="nil"/>
              <w:left w:val="nil"/>
              <w:bottom w:val="single" w:sz="4" w:space="0" w:color="auto"/>
              <w:right w:val="single" w:sz="8"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color w:val="000000"/>
                <w:sz w:val="16"/>
                <w:szCs w:val="16"/>
                <w:lang w:eastAsia="es-CO"/>
              </w:rPr>
            </w:pPr>
            <w:r w:rsidRPr="000276A7">
              <w:rPr>
                <w:rFonts w:ascii="Arial" w:hAnsi="Arial" w:cs="Arial"/>
                <w:color w:val="000000"/>
                <w:sz w:val="16"/>
                <w:szCs w:val="16"/>
                <w:lang w:eastAsia="es-CO"/>
              </w:rPr>
              <w:t>214.160</w:t>
            </w:r>
          </w:p>
        </w:tc>
      </w:tr>
      <w:tr w:rsidR="0074228B" w:rsidRPr="000276A7" w:rsidTr="00B13E1E">
        <w:trPr>
          <w:trHeight w:val="300"/>
          <w:jc w:val="center"/>
        </w:trPr>
        <w:tc>
          <w:tcPr>
            <w:tcW w:w="3175" w:type="dxa"/>
            <w:tcBorders>
              <w:top w:val="nil"/>
              <w:left w:val="single" w:sz="8" w:space="0" w:color="auto"/>
              <w:bottom w:val="single" w:sz="4" w:space="0" w:color="auto"/>
              <w:right w:val="nil"/>
            </w:tcBorders>
            <w:shd w:val="clear" w:color="auto" w:fill="auto"/>
            <w:noWrap/>
            <w:vAlign w:val="center"/>
            <w:hideMark/>
          </w:tcPr>
          <w:p w:rsidR="0074228B" w:rsidRPr="000276A7" w:rsidRDefault="0074228B" w:rsidP="00B13E1E">
            <w:pPr>
              <w:spacing w:after="0" w:line="240" w:lineRule="auto"/>
              <w:jc w:val="center"/>
              <w:rPr>
                <w:rFonts w:ascii="Arial" w:hAnsi="Arial" w:cs="Arial"/>
                <w:color w:val="000000"/>
                <w:sz w:val="16"/>
                <w:szCs w:val="16"/>
                <w:lang w:eastAsia="es-CO"/>
              </w:rPr>
            </w:pPr>
            <w:r w:rsidRPr="000276A7">
              <w:rPr>
                <w:rFonts w:ascii="Arial" w:hAnsi="Arial" w:cs="Arial"/>
                <w:color w:val="000000"/>
                <w:sz w:val="16"/>
                <w:szCs w:val="16"/>
                <w:lang w:eastAsia="es-CO"/>
              </w:rPr>
              <w:t>Sin Trámite</w:t>
            </w:r>
          </w:p>
        </w:tc>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color w:val="000000"/>
                <w:sz w:val="16"/>
                <w:szCs w:val="16"/>
                <w:lang w:eastAsia="es-CO"/>
              </w:rPr>
            </w:pPr>
            <w:r w:rsidRPr="000276A7">
              <w:rPr>
                <w:rFonts w:ascii="Arial" w:hAnsi="Arial" w:cs="Arial"/>
                <w:color w:val="000000"/>
                <w:sz w:val="16"/>
                <w:szCs w:val="16"/>
                <w:lang w:eastAsia="es-CO"/>
              </w:rPr>
              <w:t>0</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color w:val="000000"/>
                <w:sz w:val="16"/>
                <w:szCs w:val="16"/>
                <w:lang w:eastAsia="es-CO"/>
              </w:rPr>
            </w:pPr>
            <w:r w:rsidRPr="000276A7">
              <w:rPr>
                <w:rFonts w:ascii="Arial" w:hAnsi="Arial" w:cs="Arial"/>
                <w:color w:val="000000"/>
                <w:sz w:val="16"/>
                <w:szCs w:val="16"/>
                <w:lang w:eastAsia="es-CO"/>
              </w:rPr>
              <w:t>6.329</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color w:val="000000"/>
                <w:sz w:val="16"/>
                <w:szCs w:val="16"/>
                <w:lang w:eastAsia="es-CO"/>
              </w:rPr>
            </w:pPr>
            <w:r w:rsidRPr="000276A7">
              <w:rPr>
                <w:rFonts w:ascii="Arial" w:hAnsi="Arial" w:cs="Arial"/>
                <w:color w:val="000000"/>
                <w:sz w:val="16"/>
                <w:szCs w:val="16"/>
                <w:lang w:eastAsia="es-CO"/>
              </w:rPr>
              <w:t>23.352</w:t>
            </w:r>
          </w:p>
        </w:tc>
        <w:tc>
          <w:tcPr>
            <w:tcW w:w="1200" w:type="dxa"/>
            <w:tcBorders>
              <w:top w:val="nil"/>
              <w:left w:val="nil"/>
              <w:bottom w:val="single" w:sz="4" w:space="0" w:color="auto"/>
              <w:right w:val="single" w:sz="8"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color w:val="000000"/>
                <w:sz w:val="16"/>
                <w:szCs w:val="16"/>
                <w:lang w:eastAsia="es-CO"/>
              </w:rPr>
            </w:pPr>
            <w:r w:rsidRPr="000276A7">
              <w:rPr>
                <w:rFonts w:ascii="Arial" w:hAnsi="Arial" w:cs="Arial"/>
                <w:color w:val="000000"/>
                <w:sz w:val="16"/>
                <w:szCs w:val="16"/>
                <w:lang w:eastAsia="es-CO"/>
              </w:rPr>
              <w:t>13.993</w:t>
            </w:r>
          </w:p>
        </w:tc>
      </w:tr>
      <w:tr w:rsidR="0074228B" w:rsidRPr="000276A7" w:rsidTr="00B13E1E">
        <w:trPr>
          <w:trHeight w:val="300"/>
          <w:jc w:val="center"/>
        </w:trPr>
        <w:tc>
          <w:tcPr>
            <w:tcW w:w="3175" w:type="dxa"/>
            <w:tcBorders>
              <w:top w:val="nil"/>
              <w:left w:val="single" w:sz="8" w:space="0" w:color="auto"/>
              <w:bottom w:val="single" w:sz="4" w:space="0" w:color="auto"/>
              <w:right w:val="nil"/>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Ingresos</w:t>
            </w:r>
          </w:p>
        </w:tc>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494.281</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610.141</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810.059</w:t>
            </w:r>
          </w:p>
        </w:tc>
        <w:tc>
          <w:tcPr>
            <w:tcW w:w="1200" w:type="dxa"/>
            <w:tcBorders>
              <w:top w:val="nil"/>
              <w:left w:val="nil"/>
              <w:bottom w:val="single" w:sz="4" w:space="0" w:color="auto"/>
              <w:right w:val="single" w:sz="8"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1.076.632</w:t>
            </w:r>
          </w:p>
        </w:tc>
      </w:tr>
      <w:tr w:rsidR="0074228B" w:rsidRPr="000276A7" w:rsidTr="00B13E1E">
        <w:trPr>
          <w:trHeight w:val="300"/>
          <w:jc w:val="center"/>
        </w:trPr>
        <w:tc>
          <w:tcPr>
            <w:tcW w:w="3175" w:type="dxa"/>
            <w:tcBorders>
              <w:top w:val="nil"/>
              <w:left w:val="single" w:sz="8" w:space="0" w:color="auto"/>
              <w:bottom w:val="single" w:sz="4" w:space="0" w:color="auto"/>
              <w:right w:val="nil"/>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Ingresos Efectivos</w:t>
            </w:r>
          </w:p>
        </w:tc>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491.637</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601.357</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796.075</w:t>
            </w:r>
          </w:p>
        </w:tc>
        <w:tc>
          <w:tcPr>
            <w:tcW w:w="1200" w:type="dxa"/>
            <w:tcBorders>
              <w:top w:val="nil"/>
              <w:left w:val="nil"/>
              <w:bottom w:val="single" w:sz="4" w:space="0" w:color="auto"/>
              <w:right w:val="single" w:sz="8"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1.054.469</w:t>
            </w:r>
          </w:p>
        </w:tc>
      </w:tr>
      <w:tr w:rsidR="0074228B" w:rsidRPr="000276A7" w:rsidTr="00B13E1E">
        <w:trPr>
          <w:trHeight w:val="300"/>
          <w:jc w:val="center"/>
        </w:trPr>
        <w:tc>
          <w:tcPr>
            <w:tcW w:w="3175" w:type="dxa"/>
            <w:tcBorders>
              <w:top w:val="nil"/>
              <w:left w:val="single" w:sz="8" w:space="0" w:color="auto"/>
              <w:bottom w:val="single" w:sz="4" w:space="0" w:color="auto"/>
              <w:right w:val="nil"/>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Egresos</w:t>
            </w:r>
          </w:p>
        </w:tc>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486.127</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600.006</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739.418</w:t>
            </w:r>
          </w:p>
        </w:tc>
        <w:tc>
          <w:tcPr>
            <w:tcW w:w="1200" w:type="dxa"/>
            <w:tcBorders>
              <w:top w:val="nil"/>
              <w:left w:val="nil"/>
              <w:bottom w:val="single" w:sz="4" w:space="0" w:color="auto"/>
              <w:right w:val="single" w:sz="8"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965.318</w:t>
            </w:r>
          </w:p>
        </w:tc>
      </w:tr>
      <w:tr w:rsidR="0074228B" w:rsidRPr="000276A7" w:rsidTr="00B13E1E">
        <w:trPr>
          <w:trHeight w:val="300"/>
          <w:jc w:val="center"/>
        </w:trPr>
        <w:tc>
          <w:tcPr>
            <w:tcW w:w="3175" w:type="dxa"/>
            <w:tcBorders>
              <w:top w:val="nil"/>
              <w:left w:val="single" w:sz="8" w:space="0" w:color="auto"/>
              <w:bottom w:val="single" w:sz="4" w:space="0" w:color="auto"/>
              <w:right w:val="nil"/>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Egresos Efectivos</w:t>
            </w:r>
          </w:p>
        </w:tc>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466.698</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552.348</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644.531</w:t>
            </w:r>
          </w:p>
        </w:tc>
        <w:tc>
          <w:tcPr>
            <w:tcW w:w="1200" w:type="dxa"/>
            <w:tcBorders>
              <w:top w:val="nil"/>
              <w:left w:val="nil"/>
              <w:bottom w:val="single" w:sz="4" w:space="0" w:color="auto"/>
              <w:right w:val="single" w:sz="8"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837.376</w:t>
            </w:r>
          </w:p>
        </w:tc>
      </w:tr>
      <w:tr w:rsidR="0074228B" w:rsidRPr="000276A7" w:rsidTr="00B13E1E">
        <w:trPr>
          <w:trHeight w:val="300"/>
          <w:jc w:val="center"/>
        </w:trPr>
        <w:tc>
          <w:tcPr>
            <w:tcW w:w="3175" w:type="dxa"/>
            <w:tcBorders>
              <w:top w:val="nil"/>
              <w:left w:val="single" w:sz="8" w:space="0" w:color="auto"/>
              <w:bottom w:val="single" w:sz="4" w:space="0" w:color="auto"/>
              <w:right w:val="nil"/>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Inventario Final</w:t>
            </w:r>
          </w:p>
        </w:tc>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65.770</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140.045</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231.715</w:t>
            </w:r>
          </w:p>
        </w:tc>
        <w:tc>
          <w:tcPr>
            <w:tcW w:w="1200" w:type="dxa"/>
            <w:tcBorders>
              <w:top w:val="nil"/>
              <w:left w:val="nil"/>
              <w:bottom w:val="single" w:sz="4" w:space="0" w:color="auto"/>
              <w:right w:val="single" w:sz="8"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333.794</w:t>
            </w:r>
          </w:p>
        </w:tc>
      </w:tr>
      <w:tr w:rsidR="0074228B" w:rsidRPr="000276A7" w:rsidTr="00B13E1E">
        <w:trPr>
          <w:trHeight w:val="300"/>
          <w:jc w:val="center"/>
        </w:trPr>
        <w:tc>
          <w:tcPr>
            <w:tcW w:w="3175" w:type="dxa"/>
            <w:tcBorders>
              <w:top w:val="nil"/>
              <w:left w:val="single" w:sz="8" w:space="0" w:color="auto"/>
              <w:bottom w:val="single" w:sz="4" w:space="0" w:color="auto"/>
              <w:right w:val="nil"/>
            </w:tcBorders>
            <w:shd w:val="clear" w:color="auto" w:fill="auto"/>
            <w:noWrap/>
            <w:vAlign w:val="center"/>
            <w:hideMark/>
          </w:tcPr>
          <w:p w:rsidR="0074228B" w:rsidRPr="000276A7" w:rsidRDefault="0074228B" w:rsidP="00B13E1E">
            <w:pPr>
              <w:spacing w:after="0" w:line="240" w:lineRule="auto"/>
              <w:jc w:val="center"/>
              <w:rPr>
                <w:rFonts w:ascii="Arial" w:hAnsi="Arial" w:cs="Arial"/>
                <w:color w:val="000000"/>
                <w:sz w:val="16"/>
                <w:szCs w:val="16"/>
                <w:lang w:eastAsia="es-CO"/>
              </w:rPr>
            </w:pPr>
            <w:r w:rsidRPr="000276A7">
              <w:rPr>
                <w:rFonts w:ascii="Arial" w:hAnsi="Arial" w:cs="Arial"/>
                <w:color w:val="000000"/>
                <w:sz w:val="16"/>
                <w:szCs w:val="16"/>
                <w:lang w:eastAsia="es-CO"/>
              </w:rPr>
              <w:t>Con Trámite</w:t>
            </w:r>
          </w:p>
        </w:tc>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color w:val="000000"/>
                <w:sz w:val="16"/>
                <w:szCs w:val="16"/>
                <w:lang w:eastAsia="es-CO"/>
              </w:rPr>
            </w:pPr>
            <w:r w:rsidRPr="000276A7">
              <w:rPr>
                <w:rFonts w:ascii="Arial" w:hAnsi="Arial" w:cs="Arial"/>
                <w:color w:val="000000"/>
                <w:sz w:val="16"/>
                <w:szCs w:val="16"/>
                <w:lang w:eastAsia="es-CO"/>
              </w:rPr>
              <w:t>65.770</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color w:val="000000"/>
                <w:sz w:val="16"/>
                <w:szCs w:val="16"/>
                <w:lang w:eastAsia="es-CO"/>
              </w:rPr>
            </w:pPr>
            <w:r w:rsidRPr="000276A7">
              <w:rPr>
                <w:rFonts w:ascii="Arial" w:hAnsi="Arial" w:cs="Arial"/>
                <w:color w:val="000000"/>
                <w:sz w:val="16"/>
                <w:szCs w:val="16"/>
                <w:lang w:eastAsia="es-CO"/>
              </w:rPr>
              <w:t>119.081</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color w:val="000000"/>
                <w:sz w:val="16"/>
                <w:szCs w:val="16"/>
                <w:lang w:eastAsia="es-CO"/>
              </w:rPr>
            </w:pPr>
            <w:r w:rsidRPr="000276A7">
              <w:rPr>
                <w:rFonts w:ascii="Arial" w:hAnsi="Arial" w:cs="Arial"/>
                <w:color w:val="000000"/>
                <w:sz w:val="16"/>
                <w:szCs w:val="16"/>
                <w:lang w:eastAsia="es-CO"/>
              </w:rPr>
              <w:t>212.233</w:t>
            </w:r>
          </w:p>
        </w:tc>
        <w:tc>
          <w:tcPr>
            <w:tcW w:w="1200" w:type="dxa"/>
            <w:tcBorders>
              <w:top w:val="nil"/>
              <w:left w:val="nil"/>
              <w:bottom w:val="single" w:sz="4" w:space="0" w:color="auto"/>
              <w:right w:val="single" w:sz="8"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color w:val="000000"/>
                <w:sz w:val="16"/>
                <w:szCs w:val="16"/>
                <w:lang w:eastAsia="es-CO"/>
              </w:rPr>
            </w:pPr>
            <w:r w:rsidRPr="000276A7">
              <w:rPr>
                <w:rFonts w:ascii="Arial" w:hAnsi="Arial" w:cs="Arial"/>
                <w:color w:val="000000"/>
                <w:sz w:val="16"/>
                <w:szCs w:val="16"/>
                <w:lang w:eastAsia="es-CO"/>
              </w:rPr>
              <w:t>325.929</w:t>
            </w:r>
          </w:p>
        </w:tc>
      </w:tr>
      <w:tr w:rsidR="0074228B" w:rsidRPr="000276A7" w:rsidTr="00B13E1E">
        <w:trPr>
          <w:trHeight w:val="300"/>
          <w:jc w:val="center"/>
        </w:trPr>
        <w:tc>
          <w:tcPr>
            <w:tcW w:w="3175" w:type="dxa"/>
            <w:tcBorders>
              <w:top w:val="nil"/>
              <w:left w:val="single" w:sz="8" w:space="0" w:color="auto"/>
              <w:bottom w:val="single" w:sz="4" w:space="0" w:color="auto"/>
              <w:right w:val="nil"/>
            </w:tcBorders>
            <w:shd w:val="clear" w:color="auto" w:fill="auto"/>
            <w:noWrap/>
            <w:vAlign w:val="center"/>
            <w:hideMark/>
          </w:tcPr>
          <w:p w:rsidR="0074228B" w:rsidRPr="000276A7" w:rsidRDefault="0074228B" w:rsidP="00B13E1E">
            <w:pPr>
              <w:spacing w:after="0" w:line="240" w:lineRule="auto"/>
              <w:jc w:val="center"/>
              <w:rPr>
                <w:rFonts w:ascii="Arial" w:hAnsi="Arial" w:cs="Arial"/>
                <w:color w:val="000000"/>
                <w:sz w:val="16"/>
                <w:szCs w:val="16"/>
                <w:lang w:eastAsia="es-CO"/>
              </w:rPr>
            </w:pPr>
            <w:r w:rsidRPr="000276A7">
              <w:rPr>
                <w:rFonts w:ascii="Arial" w:hAnsi="Arial" w:cs="Arial"/>
                <w:color w:val="000000"/>
                <w:sz w:val="16"/>
                <w:szCs w:val="16"/>
                <w:lang w:eastAsia="es-CO"/>
              </w:rPr>
              <w:t>Sin Trámite</w:t>
            </w:r>
          </w:p>
        </w:tc>
        <w:tc>
          <w:tcPr>
            <w:tcW w:w="1200" w:type="dxa"/>
            <w:tcBorders>
              <w:top w:val="nil"/>
              <w:left w:val="single" w:sz="8" w:space="0" w:color="auto"/>
              <w:bottom w:val="single" w:sz="4" w:space="0" w:color="auto"/>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color w:val="000000"/>
                <w:sz w:val="16"/>
                <w:szCs w:val="16"/>
                <w:lang w:eastAsia="es-CO"/>
              </w:rPr>
            </w:pPr>
            <w:r w:rsidRPr="000276A7">
              <w:rPr>
                <w:rFonts w:ascii="Arial" w:hAnsi="Arial" w:cs="Arial"/>
                <w:color w:val="000000"/>
                <w:sz w:val="16"/>
                <w:szCs w:val="16"/>
                <w:lang w:eastAsia="es-CO"/>
              </w:rPr>
              <w:t>0</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color w:val="000000"/>
                <w:sz w:val="16"/>
                <w:szCs w:val="16"/>
                <w:lang w:eastAsia="es-CO"/>
              </w:rPr>
            </w:pPr>
            <w:r w:rsidRPr="000276A7">
              <w:rPr>
                <w:rFonts w:ascii="Arial" w:hAnsi="Arial" w:cs="Arial"/>
                <w:color w:val="000000"/>
                <w:sz w:val="16"/>
                <w:szCs w:val="16"/>
                <w:lang w:eastAsia="es-CO"/>
              </w:rPr>
              <w:t>20.964</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color w:val="000000"/>
                <w:sz w:val="16"/>
                <w:szCs w:val="16"/>
                <w:lang w:eastAsia="es-CO"/>
              </w:rPr>
            </w:pPr>
            <w:r w:rsidRPr="000276A7">
              <w:rPr>
                <w:rFonts w:ascii="Arial" w:hAnsi="Arial" w:cs="Arial"/>
                <w:color w:val="000000"/>
                <w:sz w:val="16"/>
                <w:szCs w:val="16"/>
                <w:lang w:eastAsia="es-CO"/>
              </w:rPr>
              <w:t>19.482</w:t>
            </w:r>
          </w:p>
        </w:tc>
        <w:tc>
          <w:tcPr>
            <w:tcW w:w="1200" w:type="dxa"/>
            <w:tcBorders>
              <w:top w:val="nil"/>
              <w:left w:val="nil"/>
              <w:bottom w:val="single" w:sz="4" w:space="0" w:color="auto"/>
              <w:right w:val="single" w:sz="8"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color w:val="000000"/>
                <w:sz w:val="16"/>
                <w:szCs w:val="16"/>
                <w:lang w:eastAsia="es-CO"/>
              </w:rPr>
            </w:pPr>
            <w:r w:rsidRPr="000276A7">
              <w:rPr>
                <w:rFonts w:ascii="Arial" w:hAnsi="Arial" w:cs="Arial"/>
                <w:color w:val="000000"/>
                <w:sz w:val="16"/>
                <w:szCs w:val="16"/>
                <w:lang w:eastAsia="es-CO"/>
              </w:rPr>
              <w:t>7.865</w:t>
            </w:r>
          </w:p>
        </w:tc>
      </w:tr>
      <w:tr w:rsidR="0074228B" w:rsidRPr="000276A7" w:rsidTr="00B13E1E">
        <w:trPr>
          <w:trHeight w:val="315"/>
          <w:jc w:val="center"/>
        </w:trPr>
        <w:tc>
          <w:tcPr>
            <w:tcW w:w="3175" w:type="dxa"/>
            <w:tcBorders>
              <w:top w:val="nil"/>
              <w:left w:val="single" w:sz="8" w:space="0" w:color="auto"/>
              <w:bottom w:val="single" w:sz="8" w:space="0" w:color="auto"/>
              <w:right w:val="nil"/>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Carga Laboral Total</w:t>
            </w:r>
          </w:p>
        </w:tc>
        <w:tc>
          <w:tcPr>
            <w:tcW w:w="1200" w:type="dxa"/>
            <w:tcBorders>
              <w:top w:val="nil"/>
              <w:left w:val="single" w:sz="8" w:space="0" w:color="auto"/>
              <w:bottom w:val="nil"/>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551.999</w:t>
            </w:r>
          </w:p>
        </w:tc>
        <w:tc>
          <w:tcPr>
            <w:tcW w:w="1200" w:type="dxa"/>
            <w:tcBorders>
              <w:top w:val="nil"/>
              <w:left w:val="nil"/>
              <w:bottom w:val="nil"/>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699.019</w:t>
            </w:r>
          </w:p>
        </w:tc>
        <w:tc>
          <w:tcPr>
            <w:tcW w:w="1200" w:type="dxa"/>
            <w:tcBorders>
              <w:top w:val="nil"/>
              <w:left w:val="nil"/>
              <w:bottom w:val="nil"/>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963.433</w:t>
            </w:r>
          </w:p>
        </w:tc>
        <w:tc>
          <w:tcPr>
            <w:tcW w:w="1200" w:type="dxa"/>
            <w:tcBorders>
              <w:top w:val="nil"/>
              <w:left w:val="nil"/>
              <w:bottom w:val="nil"/>
              <w:right w:val="single" w:sz="8"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1.304.785</w:t>
            </w:r>
          </w:p>
        </w:tc>
      </w:tr>
      <w:tr w:rsidR="0074228B" w:rsidRPr="000276A7" w:rsidTr="00B13E1E">
        <w:trPr>
          <w:trHeight w:val="300"/>
          <w:jc w:val="center"/>
        </w:trPr>
        <w:tc>
          <w:tcPr>
            <w:tcW w:w="3175"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 xml:space="preserve">Índice </w:t>
            </w:r>
            <w:proofErr w:type="spellStart"/>
            <w:r w:rsidRPr="000276A7">
              <w:rPr>
                <w:rFonts w:ascii="Arial" w:hAnsi="Arial" w:cs="Arial"/>
                <w:b/>
                <w:bCs/>
                <w:color w:val="000000"/>
                <w:sz w:val="16"/>
                <w:szCs w:val="16"/>
                <w:lang w:eastAsia="es-CO"/>
              </w:rPr>
              <w:t>Evac</w:t>
            </w:r>
            <w:proofErr w:type="spellEnd"/>
            <w:r w:rsidRPr="000276A7">
              <w:rPr>
                <w:rFonts w:ascii="Arial" w:hAnsi="Arial" w:cs="Arial"/>
                <w:b/>
                <w:bCs/>
                <w:color w:val="000000"/>
                <w:sz w:val="16"/>
                <w:szCs w:val="16"/>
                <w:lang w:eastAsia="es-CO"/>
              </w:rPr>
              <w:t>. Parcial Efectivo</w:t>
            </w:r>
          </w:p>
        </w:tc>
        <w:tc>
          <w:tcPr>
            <w:tcW w:w="1200" w:type="dxa"/>
            <w:tcBorders>
              <w:top w:val="single" w:sz="8" w:space="0" w:color="auto"/>
              <w:left w:val="nil"/>
              <w:bottom w:val="single" w:sz="4" w:space="0" w:color="auto"/>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94,9%</w:t>
            </w:r>
          </w:p>
        </w:tc>
        <w:tc>
          <w:tcPr>
            <w:tcW w:w="1200" w:type="dxa"/>
            <w:tcBorders>
              <w:top w:val="single" w:sz="8" w:space="0" w:color="auto"/>
              <w:left w:val="nil"/>
              <w:bottom w:val="single" w:sz="4" w:space="0" w:color="auto"/>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91,9%</w:t>
            </w:r>
          </w:p>
        </w:tc>
        <w:tc>
          <w:tcPr>
            <w:tcW w:w="1200" w:type="dxa"/>
            <w:tcBorders>
              <w:top w:val="single" w:sz="8" w:space="0" w:color="auto"/>
              <w:left w:val="nil"/>
              <w:bottom w:val="single" w:sz="4" w:space="0" w:color="auto"/>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81,0%</w:t>
            </w:r>
          </w:p>
        </w:tc>
        <w:tc>
          <w:tcPr>
            <w:tcW w:w="1200" w:type="dxa"/>
            <w:tcBorders>
              <w:top w:val="single" w:sz="8" w:space="0" w:color="auto"/>
              <w:left w:val="nil"/>
              <w:bottom w:val="single" w:sz="4" w:space="0" w:color="auto"/>
              <w:right w:val="single" w:sz="8"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79,4%</w:t>
            </w:r>
          </w:p>
        </w:tc>
      </w:tr>
      <w:tr w:rsidR="0074228B" w:rsidRPr="000276A7" w:rsidTr="00B13E1E">
        <w:trPr>
          <w:trHeight w:val="300"/>
          <w:jc w:val="center"/>
        </w:trPr>
        <w:tc>
          <w:tcPr>
            <w:tcW w:w="3175" w:type="dxa"/>
            <w:tcBorders>
              <w:top w:val="nil"/>
              <w:left w:val="single" w:sz="8" w:space="0" w:color="auto"/>
              <w:bottom w:val="single" w:sz="4" w:space="0" w:color="auto"/>
              <w:right w:val="single" w:sz="8"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 xml:space="preserve">Índice </w:t>
            </w:r>
            <w:proofErr w:type="spellStart"/>
            <w:r w:rsidRPr="000276A7">
              <w:rPr>
                <w:rFonts w:ascii="Arial" w:hAnsi="Arial" w:cs="Arial"/>
                <w:b/>
                <w:bCs/>
                <w:color w:val="000000"/>
                <w:sz w:val="16"/>
                <w:szCs w:val="16"/>
                <w:lang w:eastAsia="es-CO"/>
              </w:rPr>
              <w:t>Evac</w:t>
            </w:r>
            <w:proofErr w:type="spellEnd"/>
            <w:r w:rsidRPr="000276A7">
              <w:rPr>
                <w:rFonts w:ascii="Arial" w:hAnsi="Arial" w:cs="Arial"/>
                <w:b/>
                <w:bCs/>
                <w:color w:val="000000"/>
                <w:sz w:val="16"/>
                <w:szCs w:val="16"/>
                <w:lang w:eastAsia="es-CO"/>
              </w:rPr>
              <w:t>. Total Efectivo</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85,0%</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80,0%</w:t>
            </w:r>
          </w:p>
        </w:tc>
        <w:tc>
          <w:tcPr>
            <w:tcW w:w="1200" w:type="dxa"/>
            <w:tcBorders>
              <w:top w:val="nil"/>
              <w:left w:val="nil"/>
              <w:bottom w:val="single" w:sz="4" w:space="0" w:color="auto"/>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67,9%</w:t>
            </w:r>
          </w:p>
        </w:tc>
        <w:tc>
          <w:tcPr>
            <w:tcW w:w="1200" w:type="dxa"/>
            <w:tcBorders>
              <w:top w:val="nil"/>
              <w:left w:val="nil"/>
              <w:bottom w:val="single" w:sz="4" w:space="0" w:color="auto"/>
              <w:right w:val="single" w:sz="8"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65,3%</w:t>
            </w:r>
          </w:p>
        </w:tc>
      </w:tr>
      <w:tr w:rsidR="0074228B" w:rsidRPr="000276A7" w:rsidTr="00B13E1E">
        <w:trPr>
          <w:trHeight w:val="315"/>
          <w:jc w:val="center"/>
        </w:trPr>
        <w:tc>
          <w:tcPr>
            <w:tcW w:w="3175" w:type="dxa"/>
            <w:tcBorders>
              <w:top w:val="nil"/>
              <w:left w:val="single" w:sz="8" w:space="0" w:color="auto"/>
              <w:bottom w:val="single" w:sz="8" w:space="0" w:color="auto"/>
              <w:right w:val="single" w:sz="8"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Índice Congestión Efectivo</w:t>
            </w:r>
          </w:p>
        </w:tc>
        <w:tc>
          <w:tcPr>
            <w:tcW w:w="1200" w:type="dxa"/>
            <w:tcBorders>
              <w:top w:val="nil"/>
              <w:left w:val="nil"/>
              <w:bottom w:val="single" w:sz="8" w:space="0" w:color="auto"/>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15,0%</w:t>
            </w:r>
          </w:p>
        </w:tc>
        <w:tc>
          <w:tcPr>
            <w:tcW w:w="1200" w:type="dxa"/>
            <w:tcBorders>
              <w:top w:val="nil"/>
              <w:left w:val="nil"/>
              <w:bottom w:val="single" w:sz="8" w:space="0" w:color="auto"/>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20,0%</w:t>
            </w:r>
          </w:p>
        </w:tc>
        <w:tc>
          <w:tcPr>
            <w:tcW w:w="1200" w:type="dxa"/>
            <w:tcBorders>
              <w:top w:val="nil"/>
              <w:left w:val="nil"/>
              <w:bottom w:val="single" w:sz="8" w:space="0" w:color="auto"/>
              <w:right w:val="single" w:sz="4"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32,1%</w:t>
            </w:r>
          </w:p>
        </w:tc>
        <w:tc>
          <w:tcPr>
            <w:tcW w:w="1200" w:type="dxa"/>
            <w:tcBorders>
              <w:top w:val="nil"/>
              <w:left w:val="nil"/>
              <w:bottom w:val="single" w:sz="8" w:space="0" w:color="auto"/>
              <w:right w:val="single" w:sz="8" w:space="0" w:color="auto"/>
            </w:tcBorders>
            <w:shd w:val="clear" w:color="auto" w:fill="auto"/>
            <w:noWrap/>
            <w:vAlign w:val="center"/>
            <w:hideMark/>
          </w:tcPr>
          <w:p w:rsidR="0074228B" w:rsidRPr="000276A7" w:rsidRDefault="0074228B" w:rsidP="00B13E1E">
            <w:pPr>
              <w:spacing w:after="0" w:line="240" w:lineRule="auto"/>
              <w:jc w:val="center"/>
              <w:rPr>
                <w:rFonts w:ascii="Arial" w:hAnsi="Arial" w:cs="Arial"/>
                <w:b/>
                <w:bCs/>
                <w:color w:val="000000"/>
                <w:sz w:val="16"/>
                <w:szCs w:val="16"/>
                <w:lang w:eastAsia="es-CO"/>
              </w:rPr>
            </w:pPr>
            <w:r w:rsidRPr="000276A7">
              <w:rPr>
                <w:rFonts w:ascii="Arial" w:hAnsi="Arial" w:cs="Arial"/>
                <w:b/>
                <w:bCs/>
                <w:color w:val="000000"/>
                <w:sz w:val="16"/>
                <w:szCs w:val="16"/>
                <w:lang w:eastAsia="es-CO"/>
              </w:rPr>
              <w:t>34,7%</w:t>
            </w:r>
          </w:p>
        </w:tc>
      </w:tr>
    </w:tbl>
    <w:p w:rsidR="0074228B" w:rsidRPr="000276A7" w:rsidRDefault="0074228B" w:rsidP="0074228B">
      <w:pPr>
        <w:spacing w:after="0" w:line="240" w:lineRule="auto"/>
        <w:jc w:val="center"/>
        <w:rPr>
          <w:rFonts w:ascii="Arial" w:hAnsi="Arial" w:cs="Arial"/>
          <w:b/>
          <w:sz w:val="16"/>
          <w:szCs w:val="16"/>
        </w:rPr>
      </w:pPr>
      <w:r w:rsidRPr="000276A7">
        <w:rPr>
          <w:rFonts w:ascii="Arial" w:hAnsi="Arial" w:cs="Arial"/>
          <w:b/>
          <w:sz w:val="16"/>
          <w:szCs w:val="16"/>
        </w:rPr>
        <w:t>Fuente: Consejo Superior de la Judicatura. Cálculos CGR DES-DJS. Fecha de Corte: Abril de 2014</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En el caso de los egresos efectivos, también han crecido pero en una menor proporción (79%), al pasar de 466.698 procesos orales con salida de fondo en 2010 a 837.376 en 2013, por ello, su participación en los egresos efectivos de la Rama incrementó de 21% en 2010 a 32% en 2013 (Ver Gráfica 13.). Lo anterior muestra que si bien se ha ampliado la cobertura del modelo oral en el sistema judicial del país, aún falta bastante para su completa implementación.</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Por otra parte, los inventarios de procesos orales al final de cada vigencia han crecido a una tasa considerable (407%) durante el periodo revisado, llegando a 333.794 procesos en 2013, que representan 17% de los inventarios finales de la Rama Judicial. De estos casi la totalidad (98%) corresponden a procesos con trámite. Dicho aumento en los niveles de inventarios es consecuencia directa del mayor crecimiento en los ingresos con respecto a los egresos.</w:t>
      </w: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lastRenderedPageBreak/>
        <w:t>Al observar el índice de evacuación parcial efectivo en la modalidad oral, muestra una tendencia decreciente, pasando de 95% en 2010 a 79% en 2013, lo cual significa que los ingresos efectivos son mayores a los egresos efectivos, hecho que puede generar mayor acumulación de este tipo de procesos en los despachos judiciales. De igual forma, se encuentra que en 2013 el índice resulta menor al registrado por la Rama Judicial (98%), mostrando una menor capacidad de evacuación de procesos en comparación con el modelo escrito.</w:t>
      </w:r>
    </w:p>
    <w:p w:rsidR="00C21486" w:rsidRDefault="00C21486" w:rsidP="0074228B">
      <w:pPr>
        <w:spacing w:after="0" w:line="240" w:lineRule="auto"/>
        <w:jc w:val="center"/>
        <w:rPr>
          <w:rFonts w:ascii="Arial" w:hAnsi="Arial" w:cs="Arial"/>
          <w:b/>
          <w:sz w:val="20"/>
          <w:szCs w:val="20"/>
        </w:rPr>
      </w:pPr>
    </w:p>
    <w:p w:rsidR="0074228B" w:rsidRPr="000276A7" w:rsidRDefault="0074228B" w:rsidP="0074228B">
      <w:pPr>
        <w:spacing w:after="0" w:line="240" w:lineRule="auto"/>
        <w:jc w:val="center"/>
        <w:rPr>
          <w:rFonts w:ascii="Arial" w:hAnsi="Arial" w:cs="Arial"/>
          <w:b/>
          <w:sz w:val="16"/>
          <w:szCs w:val="16"/>
        </w:rPr>
      </w:pPr>
      <w:r w:rsidRPr="000276A7">
        <w:rPr>
          <w:rFonts w:ascii="Arial" w:hAnsi="Arial" w:cs="Arial"/>
          <w:b/>
          <w:sz w:val="16"/>
          <w:szCs w:val="16"/>
        </w:rPr>
        <w:t>Gráfica 13. Ingresos y Egresos Efectivos. Sección Oralidad (Como % de Ingresos y Egresos Efectivos. Rama Judicial)</w:t>
      </w:r>
    </w:p>
    <w:p w:rsidR="0074228B" w:rsidRPr="009427D5" w:rsidRDefault="0074228B" w:rsidP="0074228B">
      <w:pPr>
        <w:spacing w:after="0" w:line="240" w:lineRule="auto"/>
        <w:jc w:val="center"/>
        <w:rPr>
          <w:rFonts w:ascii="Arial" w:hAnsi="Arial" w:cs="Arial"/>
          <w:sz w:val="24"/>
          <w:szCs w:val="24"/>
        </w:rPr>
      </w:pPr>
      <w:r w:rsidRPr="009427D5">
        <w:rPr>
          <w:rFonts w:ascii="Arial" w:hAnsi="Arial" w:cs="Arial"/>
          <w:noProof/>
          <w:sz w:val="24"/>
          <w:szCs w:val="24"/>
          <w:lang w:eastAsia="es-CO"/>
        </w:rPr>
        <w:drawing>
          <wp:inline distT="0" distB="0" distL="0" distR="0" wp14:anchorId="731DD8F2" wp14:editId="5B189FB8">
            <wp:extent cx="3276600" cy="2257425"/>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76600" cy="2257425"/>
                    </a:xfrm>
                    <a:prstGeom prst="rect">
                      <a:avLst/>
                    </a:prstGeom>
                    <a:noFill/>
                    <a:ln>
                      <a:noFill/>
                    </a:ln>
                  </pic:spPr>
                </pic:pic>
              </a:graphicData>
            </a:graphic>
          </wp:inline>
        </w:drawing>
      </w:r>
    </w:p>
    <w:p w:rsidR="0074228B" w:rsidRPr="000276A7" w:rsidRDefault="0074228B" w:rsidP="0074228B">
      <w:pPr>
        <w:spacing w:after="0" w:line="240" w:lineRule="auto"/>
        <w:jc w:val="center"/>
        <w:rPr>
          <w:rFonts w:ascii="Arial" w:hAnsi="Arial" w:cs="Arial"/>
          <w:b/>
          <w:sz w:val="16"/>
          <w:szCs w:val="16"/>
        </w:rPr>
      </w:pPr>
      <w:r w:rsidRPr="000276A7">
        <w:rPr>
          <w:rFonts w:ascii="Arial" w:hAnsi="Arial" w:cs="Arial"/>
          <w:b/>
          <w:sz w:val="16"/>
          <w:szCs w:val="16"/>
        </w:rPr>
        <w:t>Fuente: Consejo Superior de la Judicatura. Cálculos CGR DES-DJS. Fecha de Corte: Abril de 2014</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Respecto al comportamiento del índice de congestión efectivo, se aprecia un incremento considerable durante el periodo analizado, al pasar de 15% en el año 2010 a 35% en 2013; lo cual significa que de 100 procesos orales que se encuentran en los despachos judiciales, 35 quedan acumulados para el siguiente año. El valor de este indicador es menor al mostrado por la Rama Judicial en el año 2013 (47%), sin embargo, de continuar teniendo este ritmo de crecimiento, implicaría que al aplicarse la oralidad a un mayor número de especialidades y distritos judiciales, podría llegarse a un nivel de congestión similar al registrado en la modalidad escrita (este alcanzó un 51% en 2013).</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 xml:space="preserve">Al analizar por especialidades, la que posee en promedio una mayor parte de los ingresos efectivos durante el periodo 2010-2013, es penal (62%), seguida por promiscuo (15%), laboral (10%), administrativo (8%), civil (4%) y familia (2%). En el caso de estas tres últimas especialidades, se debe a que la oralidad en los procesos comenzó a implementarse desde el año 2011, mientras que en penal y laboral dicho modelo empezó a funcionar en 2005 y 2007 respectivamente, y en la actualidad se encuentran en proceso de consolidación. En relación con los egresos efectivos en oralidad, las participaciones resultan similares, pues en </w:t>
      </w:r>
      <w:r w:rsidRPr="009427D5">
        <w:rPr>
          <w:rFonts w:ascii="Arial" w:hAnsi="Arial" w:cs="Arial"/>
          <w:sz w:val="24"/>
          <w:szCs w:val="24"/>
        </w:rPr>
        <w:lastRenderedPageBreak/>
        <w:t>primer lugar, se halla penal (69%) y luego aparecen promiscuo (16%), laboral (7%), administrativo (4%), civil (3%) y familia (1%).</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En cuanto al porcentaje de los ingresos efectivos orales dentro de los ingresos efectivos totales de cada especialidad en el año 2013, el más alto correspondió a administrativo (68%), seguido por penal (61%), laboral (54%) y promiscuo (43%), siendo estas las especialidades con mayores avances en la implementación del modelo oral; en cambio, los porcentajes más bajos fueron para familia (10%) y civil (7%), en donde su ámbito de aplicación ha sido mínimo.</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Respecto al porcentaje de los egresos efectivos orales dentro de los egresos efectivos totales en 2013, se presentan algunas diferencias, en el área penal se mantiene en 61%, mientras que en las demás especialidades los porcentajes son mucho menores, es el caso de laboral (42%), promiscuo (38%), administrativo (37%), familia (8%) y civil (4%), lo cual muestra que en estas áreas aún falta bastante tiempo para sustituir completamente los procesos escritos.</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Por otra parte, en relación con el índice de evacuación parcial efectivo, las especialidades que registraron los promedios más altos durante el periodo 2010- 2013, fueron penal (95%), familia (90%) y promiscuo (87%), mientras que civil, laboral y administrativo mostraron los valores más bajos (70%, 64% y 63%), ello refleja que en estas tres especialidades los egresos efectivos han sido mucho menores frente a los ingresos efectivos, lo cual puede conducir a una acumulación de procesos de este tipo en el futuro próximo.</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 xml:space="preserve">Es importante señalar que en </w:t>
      </w:r>
      <w:proofErr w:type="gramStart"/>
      <w:r w:rsidRPr="009427D5">
        <w:rPr>
          <w:rFonts w:ascii="Arial" w:hAnsi="Arial" w:cs="Arial"/>
          <w:sz w:val="24"/>
          <w:szCs w:val="24"/>
        </w:rPr>
        <w:t>las especialidades penal</w:t>
      </w:r>
      <w:proofErr w:type="gramEnd"/>
      <w:r w:rsidRPr="009427D5">
        <w:rPr>
          <w:rFonts w:ascii="Arial" w:hAnsi="Arial" w:cs="Arial"/>
          <w:sz w:val="24"/>
          <w:szCs w:val="24"/>
        </w:rPr>
        <w:t xml:space="preserve"> y familia, los índices de evacuación parcial efectivos son mayores en el modelo oral que en el escrito (iguales a 87% y 85%), mostrando una mayor capacidad para la evacuación de los procesos. Sin embargo, en otras especialidades como civil, administrativo, laboral y promiscuo, sus índices de evacuación parcial efectivo resultan menores a los de la modalidad escrita (iguales a 125%, 110%, 101% y 97% respectivamente), por ende, esta última continúa mostrando una mayor eficacia en este tema.</w:t>
      </w:r>
    </w:p>
    <w:p w:rsidR="0074228B" w:rsidRPr="009427D5" w:rsidRDefault="0074228B" w:rsidP="0074228B">
      <w:pPr>
        <w:spacing w:after="0" w:line="240" w:lineRule="auto"/>
        <w:jc w:val="both"/>
        <w:rPr>
          <w:rFonts w:ascii="Arial" w:hAnsi="Arial" w:cs="Arial"/>
          <w:sz w:val="24"/>
          <w:szCs w:val="24"/>
        </w:rPr>
      </w:pPr>
    </w:p>
    <w:p w:rsidR="0074228B" w:rsidRPr="009427D5" w:rsidRDefault="0074228B" w:rsidP="0074228B">
      <w:pPr>
        <w:spacing w:after="0" w:line="240" w:lineRule="auto"/>
        <w:jc w:val="both"/>
        <w:rPr>
          <w:rFonts w:ascii="Arial" w:hAnsi="Arial" w:cs="Arial"/>
          <w:sz w:val="24"/>
          <w:szCs w:val="24"/>
        </w:rPr>
      </w:pPr>
      <w:r w:rsidRPr="009427D5">
        <w:rPr>
          <w:rFonts w:ascii="Arial" w:hAnsi="Arial" w:cs="Arial"/>
          <w:sz w:val="24"/>
          <w:szCs w:val="24"/>
        </w:rPr>
        <w:t xml:space="preserve">Al observar el comportamiento del índice de congestión efectivo, las especialidades que tuvieron los promedios más bajos entre 2010 y 2013, fueron penal (17%) y promiscuo (22%), ello debido al alto crecimiento de sus egresos efectivos frente a sus inventarios de procesos e ingresos efectivos. No obstante, una situación contraria se presentó en las especialidades administrativa y civil, cuyos índices fueron superiores al 50% (69% y 59%), mostrando niveles de congestión bastante altos para el modelo oral. Y en relación con </w:t>
      </w:r>
      <w:proofErr w:type="gramStart"/>
      <w:r w:rsidRPr="009427D5">
        <w:rPr>
          <w:rFonts w:ascii="Arial" w:hAnsi="Arial" w:cs="Arial"/>
          <w:sz w:val="24"/>
          <w:szCs w:val="24"/>
        </w:rPr>
        <w:t>las especialidades laboral</w:t>
      </w:r>
      <w:proofErr w:type="gramEnd"/>
      <w:r w:rsidRPr="009427D5">
        <w:rPr>
          <w:rFonts w:ascii="Arial" w:hAnsi="Arial" w:cs="Arial"/>
          <w:sz w:val="24"/>
          <w:szCs w:val="24"/>
        </w:rPr>
        <w:t xml:space="preserve"> y familia registraron índices alrededor del 50% (51% y 48%).</w:t>
      </w:r>
    </w:p>
    <w:p w:rsidR="0074228B" w:rsidRPr="009427D5" w:rsidRDefault="0074228B" w:rsidP="0074228B">
      <w:pPr>
        <w:spacing w:after="0" w:line="240" w:lineRule="auto"/>
        <w:jc w:val="both"/>
        <w:rPr>
          <w:rFonts w:ascii="Arial" w:hAnsi="Arial" w:cs="Arial"/>
          <w:i/>
          <w:color w:val="FF0000"/>
          <w:sz w:val="24"/>
          <w:szCs w:val="24"/>
        </w:rPr>
      </w:pPr>
      <w:r w:rsidRPr="009427D5">
        <w:rPr>
          <w:rFonts w:ascii="Arial" w:hAnsi="Arial" w:cs="Arial"/>
          <w:sz w:val="24"/>
          <w:szCs w:val="24"/>
        </w:rPr>
        <w:lastRenderedPageBreak/>
        <w:t>Finalmente, se encuentra que en las especialidades penal y promiscuo, los índices de congestión en oralidad son mucho menores en comparación con los del modelo escrito (58% en cada una), evidenciando una ventaja importante en su desempeño durante los últimos cuatro años. Por el contrario, en la especialidad administrativa, el índice de congestión del modelo oral es superior al del escrito (igual a 55%), lo cual señala la existencia de dificultades en la aplicación de los procesos orales en dicha especialidad. Por su parte, en las especialidades civil, familia y laboral, las diferencias entre los niveles de congestión de ambos modelos resulta poco significativa (para el escrito son iguales a 60%, 53% y 47%).</w:t>
      </w:r>
    </w:p>
    <w:p w:rsidR="0074228B" w:rsidRPr="009427D5" w:rsidRDefault="0074228B" w:rsidP="00CC46D6">
      <w:pPr>
        <w:spacing w:after="0" w:line="240" w:lineRule="auto"/>
        <w:jc w:val="both"/>
        <w:rPr>
          <w:rFonts w:ascii="Arial" w:hAnsi="Arial" w:cs="Arial"/>
          <w:i/>
          <w:color w:val="FF0000"/>
          <w:sz w:val="24"/>
          <w:szCs w:val="24"/>
        </w:rPr>
      </w:pPr>
    </w:p>
    <w:p w:rsidR="00DE084B" w:rsidRPr="009427D5" w:rsidRDefault="00E87B73" w:rsidP="00E619C0">
      <w:pPr>
        <w:pStyle w:val="Prrafodelista"/>
        <w:numPr>
          <w:ilvl w:val="2"/>
          <w:numId w:val="31"/>
        </w:numPr>
        <w:spacing w:after="0" w:line="240" w:lineRule="auto"/>
        <w:jc w:val="both"/>
        <w:rPr>
          <w:rFonts w:ascii="Arial" w:hAnsi="Arial" w:cs="Arial"/>
          <w:b/>
          <w:sz w:val="24"/>
          <w:szCs w:val="24"/>
        </w:rPr>
      </w:pPr>
      <w:r w:rsidRPr="009427D5">
        <w:rPr>
          <w:rFonts w:ascii="Arial" w:hAnsi="Arial" w:cs="Arial"/>
          <w:b/>
          <w:sz w:val="24"/>
          <w:szCs w:val="24"/>
        </w:rPr>
        <w:t>Gestión y Resultados de la Política Pública</w:t>
      </w:r>
      <w:r w:rsidR="00DE084B" w:rsidRPr="009427D5">
        <w:rPr>
          <w:rFonts w:ascii="Arial" w:hAnsi="Arial" w:cs="Arial"/>
          <w:b/>
          <w:sz w:val="24"/>
          <w:szCs w:val="24"/>
        </w:rPr>
        <w:t xml:space="preserve"> </w:t>
      </w:r>
    </w:p>
    <w:p w:rsidR="00E619C0" w:rsidRPr="009427D5" w:rsidRDefault="00E619C0" w:rsidP="00E619C0">
      <w:pPr>
        <w:spacing w:after="0" w:line="240" w:lineRule="auto"/>
        <w:ind w:left="60"/>
        <w:rPr>
          <w:rFonts w:ascii="Arial" w:hAnsi="Arial" w:cs="Arial"/>
          <w:i/>
          <w:sz w:val="24"/>
          <w:szCs w:val="24"/>
        </w:rPr>
      </w:pPr>
    </w:p>
    <w:p w:rsidR="00ED59B0" w:rsidRPr="009427D5" w:rsidRDefault="0074228B" w:rsidP="005437E9">
      <w:pPr>
        <w:pStyle w:val="Prrafodelista"/>
        <w:numPr>
          <w:ilvl w:val="3"/>
          <w:numId w:val="31"/>
        </w:numPr>
        <w:spacing w:after="0" w:line="240" w:lineRule="auto"/>
        <w:rPr>
          <w:rFonts w:ascii="Arial" w:hAnsi="Arial" w:cs="Arial"/>
          <w:i/>
          <w:sz w:val="24"/>
          <w:szCs w:val="24"/>
        </w:rPr>
      </w:pPr>
      <w:r w:rsidRPr="009427D5">
        <w:rPr>
          <w:rFonts w:ascii="Arial" w:hAnsi="Arial" w:cs="Arial"/>
          <w:i/>
          <w:sz w:val="24"/>
          <w:szCs w:val="24"/>
        </w:rPr>
        <w:t>C</w:t>
      </w:r>
      <w:r w:rsidR="00ED59B0" w:rsidRPr="009427D5">
        <w:rPr>
          <w:rFonts w:ascii="Arial" w:hAnsi="Arial" w:cs="Arial"/>
          <w:i/>
          <w:sz w:val="24"/>
          <w:szCs w:val="24"/>
        </w:rPr>
        <w:t>onclusiones</w:t>
      </w:r>
      <w:r w:rsidR="00E619C0" w:rsidRPr="009427D5">
        <w:rPr>
          <w:rFonts w:ascii="Arial" w:hAnsi="Arial" w:cs="Arial"/>
          <w:i/>
          <w:sz w:val="24"/>
          <w:szCs w:val="24"/>
        </w:rPr>
        <w:t xml:space="preserve"> de la Política Pública</w:t>
      </w:r>
    </w:p>
    <w:p w:rsidR="00ED59B0" w:rsidRPr="009427D5" w:rsidRDefault="00ED59B0" w:rsidP="00ED59B0">
      <w:pPr>
        <w:spacing w:after="0" w:line="240" w:lineRule="auto"/>
        <w:jc w:val="center"/>
        <w:rPr>
          <w:rFonts w:ascii="Arial" w:hAnsi="Arial" w:cs="Arial"/>
          <w:b/>
          <w:sz w:val="24"/>
          <w:szCs w:val="24"/>
        </w:rPr>
      </w:pPr>
    </w:p>
    <w:p w:rsidR="00ED59B0" w:rsidRPr="009427D5" w:rsidRDefault="00ED59B0" w:rsidP="00ED59B0">
      <w:pPr>
        <w:spacing w:after="0" w:line="240" w:lineRule="auto"/>
        <w:jc w:val="both"/>
        <w:rPr>
          <w:rFonts w:ascii="Arial" w:hAnsi="Arial" w:cs="Arial"/>
          <w:sz w:val="24"/>
          <w:szCs w:val="24"/>
        </w:rPr>
      </w:pPr>
      <w:r w:rsidRPr="009427D5">
        <w:rPr>
          <w:rFonts w:ascii="Arial" w:hAnsi="Arial" w:cs="Arial"/>
          <w:sz w:val="24"/>
          <w:szCs w:val="24"/>
        </w:rPr>
        <w:t>Los ingresos y egresos efectivos de procesos de la Rama Judicial tuvieron crecimientos significativos (14,9% y 16,2%), durante el periodo 2010-2013, que muestran un incremento tanto en la demanda de justicia por parte de los ciudadanos, como en la capacidad de respuesta del sistema judicial, sin embargo, los egresos han sido inferiores a los ingresos en la mayoría de las vigencias revisadas, lo cual se refleja en índices de evacuación parcial efectivos menores a 100%, hecho que puede generar una mayor acumulación de este tipo de procesos en los despachos judiciales.</w:t>
      </w:r>
    </w:p>
    <w:p w:rsidR="00ED59B0" w:rsidRPr="009427D5" w:rsidRDefault="00ED59B0" w:rsidP="00ED59B0">
      <w:pPr>
        <w:spacing w:after="0" w:line="240" w:lineRule="auto"/>
        <w:jc w:val="both"/>
        <w:rPr>
          <w:rFonts w:ascii="Arial" w:hAnsi="Arial" w:cs="Arial"/>
          <w:sz w:val="24"/>
          <w:szCs w:val="24"/>
        </w:rPr>
      </w:pPr>
    </w:p>
    <w:p w:rsidR="00ED59B0" w:rsidRPr="009427D5" w:rsidRDefault="00ED59B0" w:rsidP="00ED59B0">
      <w:pPr>
        <w:spacing w:after="0" w:line="240" w:lineRule="auto"/>
        <w:jc w:val="both"/>
        <w:rPr>
          <w:rFonts w:ascii="Arial" w:hAnsi="Arial" w:cs="Arial"/>
          <w:sz w:val="24"/>
          <w:szCs w:val="24"/>
        </w:rPr>
      </w:pPr>
      <w:r w:rsidRPr="009427D5">
        <w:rPr>
          <w:rFonts w:ascii="Arial" w:hAnsi="Arial" w:cs="Arial"/>
          <w:sz w:val="24"/>
          <w:szCs w:val="24"/>
        </w:rPr>
        <w:t>Por otro lado, se observa una importante reducción en los inventarios finales de procesos, mostrando el avance en la meta del Plan Nacional de Desarrollo relacionada con esta política pública. No obstante, debe señalarse que dicha disminución se presentó en los inventarios de procesos sin trámite, es decir, aquellos que no habían sido objeto de actuaciones por parte de los jueces y magistrados, por ende, es el resultado de la depuración de procesos realizada al interior de los despachos judiciales y no por el incremento en sus egresos efectivos. Por el contrario, los inventarios de procesos con trámite crecieron levemente, los cuales influyen sobre los niveles de congestión del sistema.</w:t>
      </w:r>
    </w:p>
    <w:p w:rsidR="00ED59B0" w:rsidRPr="009427D5" w:rsidRDefault="00ED59B0" w:rsidP="00ED59B0">
      <w:pPr>
        <w:spacing w:after="0" w:line="240" w:lineRule="auto"/>
        <w:jc w:val="both"/>
        <w:rPr>
          <w:rFonts w:ascii="Arial" w:hAnsi="Arial" w:cs="Arial"/>
          <w:sz w:val="24"/>
          <w:szCs w:val="24"/>
        </w:rPr>
      </w:pPr>
    </w:p>
    <w:p w:rsidR="00ED59B0" w:rsidRPr="009427D5" w:rsidRDefault="00ED59B0" w:rsidP="00ED59B0">
      <w:pPr>
        <w:spacing w:after="0" w:line="240" w:lineRule="auto"/>
        <w:jc w:val="both"/>
        <w:rPr>
          <w:rFonts w:ascii="Arial" w:hAnsi="Arial" w:cs="Arial"/>
          <w:sz w:val="24"/>
          <w:szCs w:val="24"/>
        </w:rPr>
      </w:pPr>
      <w:r w:rsidRPr="009427D5">
        <w:rPr>
          <w:rFonts w:ascii="Arial" w:hAnsi="Arial" w:cs="Arial"/>
          <w:sz w:val="24"/>
          <w:szCs w:val="24"/>
        </w:rPr>
        <w:t>El personal juzgador de la Rama Judicial, ha aumentado considerablemente durante el periodo revisado (19%), hecho que ha permitido una importante disminución en la carga laboral por Juez (-17%). Sin embargo, no ha generado una mejora sustancial en los niveles de productividad por Juez (1,6% total y 2,3% efectiva), los cuales continúan siendo bastante inferiores (547 egresos totales y 440 egresos efectivos por Juez en 2013), en comparación con la carga laboral (887 procesos por Juez). Lo anterior podría ocasionar una mayor acumulación de procesos al interior de los despachos judiciales y a su vez generar efectos negativos sobre los tiempos y costos procesales.</w:t>
      </w:r>
    </w:p>
    <w:p w:rsidR="00ED59B0" w:rsidRPr="009427D5" w:rsidRDefault="00ED59B0" w:rsidP="00ED59B0">
      <w:pPr>
        <w:spacing w:after="0" w:line="240" w:lineRule="auto"/>
        <w:jc w:val="both"/>
        <w:rPr>
          <w:rFonts w:ascii="Arial" w:hAnsi="Arial" w:cs="Arial"/>
          <w:sz w:val="24"/>
          <w:szCs w:val="24"/>
        </w:rPr>
      </w:pPr>
      <w:r w:rsidRPr="009427D5">
        <w:rPr>
          <w:rFonts w:ascii="Arial" w:hAnsi="Arial" w:cs="Arial"/>
          <w:sz w:val="24"/>
          <w:szCs w:val="24"/>
        </w:rPr>
        <w:lastRenderedPageBreak/>
        <w:t>En cuanto al desempeño por especialidades, la que registró un mayor promedio en el índice de evacuación parcial efectiva, entre 2010 y 2013, fue civil (122%), mostrando un mayor nivel en sus egresos efectivos y en la capacidad de evacuación de procesos. Mientras que en las demás especialidades, los índices fueron menores a 100%, siendo los más bajos para familia (83%) y administrativo (87%). Respecto a los índices de congestión efectiva, los promedios más altos fueron para las especialidades civil (60%), administrativa (57%), disciplinaria y familia (53% cada una), lo anterior como consecuencia de sus altos inventarios iniciales de procesos en comparación con sus egresos efectivos, mientras que el menor nivel de congestión se observó en el área penal (41%)</w:t>
      </w:r>
      <w:r w:rsidR="00140000">
        <w:rPr>
          <w:rStyle w:val="Refdenotaalpie"/>
          <w:rFonts w:ascii="Arial" w:hAnsi="Arial" w:cs="Arial"/>
          <w:sz w:val="24"/>
          <w:szCs w:val="24"/>
        </w:rPr>
        <w:footnoteReference w:id="35"/>
      </w:r>
      <w:r w:rsidRPr="009427D5">
        <w:rPr>
          <w:rFonts w:ascii="Arial" w:hAnsi="Arial" w:cs="Arial"/>
          <w:sz w:val="24"/>
          <w:szCs w:val="24"/>
        </w:rPr>
        <w:t>.</w:t>
      </w:r>
    </w:p>
    <w:p w:rsidR="00ED59B0" w:rsidRPr="009427D5" w:rsidRDefault="00ED59B0" w:rsidP="00ED59B0">
      <w:pPr>
        <w:spacing w:after="0" w:line="240" w:lineRule="auto"/>
        <w:jc w:val="both"/>
        <w:rPr>
          <w:rFonts w:ascii="Arial" w:hAnsi="Arial" w:cs="Arial"/>
          <w:sz w:val="24"/>
          <w:szCs w:val="24"/>
        </w:rPr>
      </w:pPr>
    </w:p>
    <w:p w:rsidR="00ED59B0" w:rsidRPr="009427D5" w:rsidRDefault="00ED59B0" w:rsidP="00ED59B0">
      <w:pPr>
        <w:spacing w:after="0" w:line="240" w:lineRule="auto"/>
        <w:jc w:val="both"/>
        <w:rPr>
          <w:rFonts w:ascii="Arial" w:hAnsi="Arial" w:cs="Arial"/>
          <w:sz w:val="24"/>
          <w:szCs w:val="24"/>
        </w:rPr>
      </w:pPr>
      <w:r w:rsidRPr="009427D5">
        <w:rPr>
          <w:rFonts w:ascii="Arial" w:hAnsi="Arial" w:cs="Arial"/>
          <w:sz w:val="24"/>
          <w:szCs w:val="24"/>
        </w:rPr>
        <w:t>En relación con el desempeño de los despachos de descongestión, se encuentra que los egresos efectivos si bien han crecido durante las vigencias revisadas, resultan menores a los ingresos efectivos, esto se refleja en índices de evacuación parcial efectiva que no solamente son menores al 100% (85% en 2013), sino que resultan inferiores a los registrados por la Rama Judicial en su conjunto. Este hecho señala una menor capacidad de evacuación de procesos en estos despachos en comparación con los despachos permanentes.</w:t>
      </w:r>
    </w:p>
    <w:p w:rsidR="00ED59B0" w:rsidRPr="009427D5" w:rsidRDefault="00ED59B0" w:rsidP="00ED59B0">
      <w:pPr>
        <w:spacing w:after="0" w:line="240" w:lineRule="auto"/>
        <w:jc w:val="both"/>
        <w:rPr>
          <w:rFonts w:ascii="Arial" w:hAnsi="Arial" w:cs="Arial"/>
          <w:sz w:val="24"/>
          <w:szCs w:val="24"/>
        </w:rPr>
      </w:pPr>
    </w:p>
    <w:p w:rsidR="00ED59B0" w:rsidRPr="009427D5" w:rsidRDefault="00ED59B0" w:rsidP="00ED59B0">
      <w:pPr>
        <w:spacing w:after="0" w:line="240" w:lineRule="auto"/>
        <w:jc w:val="both"/>
        <w:rPr>
          <w:rFonts w:ascii="Arial" w:hAnsi="Arial" w:cs="Arial"/>
          <w:sz w:val="24"/>
          <w:szCs w:val="24"/>
        </w:rPr>
      </w:pPr>
      <w:r w:rsidRPr="009427D5">
        <w:rPr>
          <w:rFonts w:ascii="Arial" w:hAnsi="Arial" w:cs="Arial"/>
          <w:sz w:val="24"/>
          <w:szCs w:val="24"/>
        </w:rPr>
        <w:t>Los inventarios finales de procesos en los despachos de descongestión han tenido un crecimiento cada vez mayor a lo largo del periodo analizado, lo cual condujo a que en la última vigencia, su índice de congestión efectivo (50%) fuera</w:t>
      </w:r>
      <w:r w:rsidR="004B5465">
        <w:rPr>
          <w:rFonts w:ascii="Arial" w:hAnsi="Arial" w:cs="Arial"/>
          <w:sz w:val="24"/>
          <w:szCs w:val="24"/>
        </w:rPr>
        <w:t xml:space="preserve"> levemente</w:t>
      </w:r>
      <w:r w:rsidRPr="009427D5">
        <w:rPr>
          <w:rFonts w:ascii="Arial" w:hAnsi="Arial" w:cs="Arial"/>
          <w:sz w:val="24"/>
          <w:szCs w:val="24"/>
        </w:rPr>
        <w:t xml:space="preserve"> mayor al reg</w:t>
      </w:r>
      <w:r w:rsidR="00B71DC2">
        <w:rPr>
          <w:rFonts w:ascii="Arial" w:hAnsi="Arial" w:cs="Arial"/>
          <w:sz w:val="24"/>
          <w:szCs w:val="24"/>
        </w:rPr>
        <w:t>istrado por la Rama Judicial (47</w:t>
      </w:r>
      <w:r w:rsidRPr="009427D5">
        <w:rPr>
          <w:rFonts w:ascii="Arial" w:hAnsi="Arial" w:cs="Arial"/>
          <w:sz w:val="24"/>
          <w:szCs w:val="24"/>
        </w:rPr>
        <w:t>%). Este aspecto llama la atención, pues señala que la mayor asignación de procesos a estos despachos, no se corresponde con un crecimiento similar en los egresos (totales y efectivos).</w:t>
      </w:r>
    </w:p>
    <w:p w:rsidR="00ED59B0" w:rsidRPr="009427D5" w:rsidRDefault="00ED59B0" w:rsidP="00ED59B0">
      <w:pPr>
        <w:spacing w:after="0" w:line="240" w:lineRule="auto"/>
        <w:jc w:val="both"/>
        <w:rPr>
          <w:rFonts w:ascii="Arial" w:hAnsi="Arial" w:cs="Arial"/>
          <w:sz w:val="24"/>
          <w:szCs w:val="24"/>
        </w:rPr>
      </w:pPr>
    </w:p>
    <w:p w:rsidR="00ED59B0" w:rsidRPr="009427D5" w:rsidRDefault="00ED59B0" w:rsidP="00ED59B0">
      <w:pPr>
        <w:spacing w:after="0" w:line="240" w:lineRule="auto"/>
        <w:jc w:val="both"/>
        <w:rPr>
          <w:rFonts w:ascii="Arial" w:hAnsi="Arial" w:cs="Arial"/>
          <w:sz w:val="24"/>
          <w:szCs w:val="24"/>
        </w:rPr>
      </w:pPr>
      <w:r w:rsidRPr="009427D5">
        <w:rPr>
          <w:rFonts w:ascii="Arial" w:hAnsi="Arial" w:cs="Arial"/>
          <w:sz w:val="24"/>
          <w:szCs w:val="24"/>
        </w:rPr>
        <w:t>Para el caso del crecimiento del personal juzgador en este tipo de despachos, ha sido significativo (185%) y evidencia el alto grado de prioridad que tiene esta estrategia para la administración de justicia. Sin embargo, no ha generado una disminución en la carga laboral por Juez, la cual por el contrario ha aumentado como consecuencia del fuerte crecimiento en los ingresos totales e inventarios iniciales de procesos. Por su parte, la productividad por Juez ha incrementado pero en una menor proporción, siendo inferior a la registrada por la Rama Judicial en su conjunto. Lo anterior cuestiona los impactos de esta estrategia para lograr una mayor evacuación de procesos del sistema judicial.</w:t>
      </w:r>
    </w:p>
    <w:p w:rsidR="00ED59B0" w:rsidRPr="009427D5" w:rsidRDefault="00ED59B0" w:rsidP="00ED59B0">
      <w:pPr>
        <w:spacing w:after="0" w:line="240" w:lineRule="auto"/>
        <w:jc w:val="both"/>
        <w:rPr>
          <w:rFonts w:ascii="Arial" w:hAnsi="Arial" w:cs="Arial"/>
          <w:sz w:val="24"/>
          <w:szCs w:val="24"/>
        </w:rPr>
      </w:pPr>
    </w:p>
    <w:p w:rsidR="00ED59B0" w:rsidRPr="009427D5" w:rsidRDefault="00ED59B0" w:rsidP="00ED59B0">
      <w:pPr>
        <w:spacing w:after="0" w:line="240" w:lineRule="auto"/>
        <w:jc w:val="both"/>
        <w:rPr>
          <w:rFonts w:ascii="Arial" w:hAnsi="Arial" w:cs="Arial"/>
          <w:sz w:val="24"/>
          <w:szCs w:val="24"/>
        </w:rPr>
      </w:pPr>
      <w:r w:rsidRPr="009427D5">
        <w:rPr>
          <w:rFonts w:ascii="Arial" w:hAnsi="Arial" w:cs="Arial"/>
          <w:sz w:val="24"/>
          <w:szCs w:val="24"/>
        </w:rPr>
        <w:t xml:space="preserve">Respecto a la distribución del personal juzgador al interior de los despachos de descongestión, se encontró que fue adecuada, pues las mayores participaciones correspondieron a las especialidades con mayor crecimiento en los ingresos de procesos y altos índices de congestión, como son: civil y laboral (31% y 25%), seguidas por las especialidades penal y administrativa (20% y 17%), las cuales </w:t>
      </w:r>
      <w:r w:rsidRPr="009427D5">
        <w:rPr>
          <w:rFonts w:ascii="Arial" w:hAnsi="Arial" w:cs="Arial"/>
          <w:sz w:val="24"/>
          <w:szCs w:val="24"/>
        </w:rPr>
        <w:lastRenderedPageBreak/>
        <w:t>poseen menores niveles de congestión, mientras que promiscuo, familia y disciplinaria tuvieron unas participaciones mínimas (4%, 3% y 1%).</w:t>
      </w:r>
    </w:p>
    <w:p w:rsidR="00ED59B0" w:rsidRPr="009427D5" w:rsidRDefault="00ED59B0" w:rsidP="00ED59B0">
      <w:pPr>
        <w:spacing w:after="0" w:line="240" w:lineRule="auto"/>
        <w:jc w:val="both"/>
        <w:rPr>
          <w:rFonts w:ascii="Arial" w:hAnsi="Arial" w:cs="Arial"/>
          <w:sz w:val="24"/>
          <w:szCs w:val="24"/>
        </w:rPr>
      </w:pPr>
    </w:p>
    <w:p w:rsidR="00ED59B0" w:rsidRPr="009427D5" w:rsidRDefault="00ED59B0" w:rsidP="00ED59B0">
      <w:pPr>
        <w:spacing w:after="0" w:line="240" w:lineRule="auto"/>
        <w:jc w:val="both"/>
        <w:rPr>
          <w:rFonts w:ascii="Arial" w:hAnsi="Arial" w:cs="Arial"/>
          <w:sz w:val="24"/>
          <w:szCs w:val="24"/>
        </w:rPr>
      </w:pPr>
      <w:r w:rsidRPr="009427D5">
        <w:rPr>
          <w:rFonts w:ascii="Arial" w:hAnsi="Arial" w:cs="Arial"/>
          <w:sz w:val="24"/>
          <w:szCs w:val="24"/>
        </w:rPr>
        <w:t>Al observar el desempeño de la modalidad oral, en primer lugar, se encontró un crecimiento considerable tanto en los ingresos efectivos como en los egresos efectivos (115% y 79%), durante el periodo revisado, ello condujo a una mayor participación dentro de los ingresos y egresos efectivos de la Rama Judicial (39% y 32% en la vigencia 2013). Lo anterior muestra una importante ampliación del modelo oral en el sistema judicial colombiano, sin embargo, señala que aún faltan varios años para lograr su completa implementación.</w:t>
      </w:r>
    </w:p>
    <w:p w:rsidR="00726D12" w:rsidRDefault="00726D12" w:rsidP="00ED59B0">
      <w:pPr>
        <w:spacing w:after="0" w:line="240" w:lineRule="auto"/>
        <w:jc w:val="both"/>
        <w:rPr>
          <w:rFonts w:ascii="Arial" w:hAnsi="Arial" w:cs="Arial"/>
          <w:sz w:val="24"/>
          <w:szCs w:val="24"/>
        </w:rPr>
      </w:pPr>
    </w:p>
    <w:p w:rsidR="00ED59B0" w:rsidRPr="009427D5" w:rsidRDefault="00ED59B0" w:rsidP="00ED59B0">
      <w:pPr>
        <w:spacing w:after="0" w:line="240" w:lineRule="auto"/>
        <w:jc w:val="both"/>
        <w:rPr>
          <w:rFonts w:ascii="Arial" w:hAnsi="Arial" w:cs="Arial"/>
          <w:sz w:val="24"/>
          <w:szCs w:val="24"/>
        </w:rPr>
      </w:pPr>
      <w:r w:rsidRPr="009427D5">
        <w:rPr>
          <w:rFonts w:ascii="Arial" w:hAnsi="Arial" w:cs="Arial"/>
          <w:sz w:val="24"/>
          <w:szCs w:val="24"/>
        </w:rPr>
        <w:t>Por otra parte, se evidencia un aumento continuo en los inventarios finales de procesos e índices de congestión efectivo en la modalidad oral, esto debido al mayor crecimiento de los ingresos con respecto a los egresos. Lo anterior también se ha reflejado en una disminución continua del índice de evacuación parcial efectivo (que llegó a 79% en 2013), siendo inferior al registrado por la Rama Judicial, hecho que muestra una menor capacidad de evacuación de este tipo de procesos en el modelo oral en comparación con el escrito.</w:t>
      </w:r>
    </w:p>
    <w:p w:rsidR="00ED59B0" w:rsidRPr="009427D5" w:rsidRDefault="00ED59B0" w:rsidP="00ED59B0">
      <w:pPr>
        <w:spacing w:after="0" w:line="240" w:lineRule="auto"/>
        <w:jc w:val="both"/>
        <w:rPr>
          <w:rFonts w:ascii="Arial" w:hAnsi="Arial" w:cs="Arial"/>
          <w:sz w:val="24"/>
          <w:szCs w:val="24"/>
        </w:rPr>
      </w:pPr>
    </w:p>
    <w:p w:rsidR="00ED59B0" w:rsidRPr="009427D5" w:rsidRDefault="00ED59B0" w:rsidP="00ED59B0">
      <w:pPr>
        <w:spacing w:after="0" w:line="240" w:lineRule="auto"/>
        <w:jc w:val="both"/>
        <w:rPr>
          <w:rFonts w:ascii="Arial" w:hAnsi="Arial" w:cs="Arial"/>
          <w:sz w:val="24"/>
          <w:szCs w:val="24"/>
        </w:rPr>
      </w:pPr>
      <w:r w:rsidRPr="009427D5">
        <w:rPr>
          <w:rFonts w:ascii="Arial" w:hAnsi="Arial" w:cs="Arial"/>
          <w:sz w:val="24"/>
          <w:szCs w:val="24"/>
        </w:rPr>
        <w:t>La tendencia creciente mostrada por el índice de congestión efectivo durante las vigencias revisadas, al pasar de 15% en 2010 a 35% en 2013, sugiere que de continuar con dicho comportamiento, los niveles de congestión de la modalidad oral igualarían a los de la modalidad escrita, en un futuro cercano (los cuales a su vez, han venido disminuyendo de 62% en 2010 a 51% en 2013). Lo anterior indica claramente, la existencia de dificultades en la aplicación del modelo oral, que impiden lograr menores niveles de congestión en el sistema judicial del país, siendo este uno de sus principales propósitos.</w:t>
      </w:r>
    </w:p>
    <w:p w:rsidR="00ED59B0" w:rsidRPr="009427D5" w:rsidRDefault="00ED59B0" w:rsidP="00ED59B0">
      <w:pPr>
        <w:spacing w:after="0" w:line="240" w:lineRule="auto"/>
        <w:jc w:val="both"/>
        <w:rPr>
          <w:rFonts w:ascii="Arial" w:hAnsi="Arial" w:cs="Arial"/>
          <w:sz w:val="24"/>
          <w:szCs w:val="24"/>
        </w:rPr>
      </w:pPr>
    </w:p>
    <w:p w:rsidR="00ED59B0" w:rsidRPr="009427D5" w:rsidRDefault="00ED59B0" w:rsidP="00ED59B0">
      <w:pPr>
        <w:spacing w:after="0" w:line="240" w:lineRule="auto"/>
        <w:jc w:val="both"/>
        <w:rPr>
          <w:rFonts w:ascii="Arial" w:hAnsi="Arial" w:cs="Arial"/>
          <w:sz w:val="24"/>
          <w:szCs w:val="24"/>
        </w:rPr>
      </w:pPr>
      <w:r w:rsidRPr="009427D5">
        <w:rPr>
          <w:rFonts w:ascii="Arial" w:hAnsi="Arial" w:cs="Arial"/>
          <w:sz w:val="24"/>
          <w:szCs w:val="24"/>
        </w:rPr>
        <w:t>En cuanto al desempeño del modelo oral por especialidades, las que poseen un mayor porcentaje de ingresos de este tipo, dentro de los ingresos efectivos de cada una de ellas, en la vigencia 2013, son: administrativa, penal y laboral, los cuales superan el 50%, por ende, muestran un mayor grado de avance en la implementación de esta modalidad en los distritos judiciales. En cambio, en las especialidades familia y civil, dichos porcentajes resultan inferiores al 10%, ello significa que su ámbito de aplicación ha sido mínimo.</w:t>
      </w:r>
    </w:p>
    <w:p w:rsidR="00ED59B0" w:rsidRPr="009427D5" w:rsidRDefault="00ED59B0" w:rsidP="00ED59B0">
      <w:pPr>
        <w:spacing w:after="0" w:line="240" w:lineRule="auto"/>
        <w:jc w:val="both"/>
        <w:rPr>
          <w:rFonts w:ascii="Arial" w:hAnsi="Arial" w:cs="Arial"/>
          <w:sz w:val="24"/>
          <w:szCs w:val="24"/>
        </w:rPr>
      </w:pPr>
    </w:p>
    <w:p w:rsidR="00ED59B0" w:rsidRDefault="00ED59B0" w:rsidP="00ED59B0">
      <w:pPr>
        <w:spacing w:after="0" w:line="240" w:lineRule="auto"/>
        <w:jc w:val="both"/>
        <w:rPr>
          <w:rFonts w:ascii="Arial" w:hAnsi="Arial" w:cs="Arial"/>
          <w:sz w:val="24"/>
          <w:szCs w:val="24"/>
        </w:rPr>
      </w:pPr>
      <w:r w:rsidRPr="009427D5">
        <w:rPr>
          <w:rFonts w:ascii="Arial" w:hAnsi="Arial" w:cs="Arial"/>
          <w:sz w:val="24"/>
          <w:szCs w:val="24"/>
        </w:rPr>
        <w:t>Por último, de acuerdo con el análisis realizado por el equipo auditor de la CGR, debe señalarse que la existencia de un único indicador en el Plan Nacional de Desarrollo (PND) 2010-2014, relacionado con la política pública de justicia formal, descongestión y oralidad, como es la disminución en los inventarios finales de procesos judiciales, resulta insuficiente para evaluar de una manera integral, la eficacia y eficiencia en la gestión de la Rama Judicial.</w:t>
      </w:r>
    </w:p>
    <w:p w:rsidR="008852C4" w:rsidRPr="009427D5" w:rsidRDefault="008852C4" w:rsidP="00ED59B0">
      <w:pPr>
        <w:spacing w:after="0" w:line="240" w:lineRule="auto"/>
        <w:jc w:val="both"/>
        <w:rPr>
          <w:rFonts w:ascii="Arial" w:hAnsi="Arial" w:cs="Arial"/>
          <w:sz w:val="24"/>
          <w:szCs w:val="24"/>
        </w:rPr>
      </w:pPr>
    </w:p>
    <w:p w:rsidR="00A96525" w:rsidRPr="009427D5" w:rsidRDefault="00A96525" w:rsidP="00E619C0">
      <w:pPr>
        <w:pStyle w:val="Prrafodelista"/>
        <w:numPr>
          <w:ilvl w:val="3"/>
          <w:numId w:val="31"/>
        </w:numPr>
        <w:autoSpaceDE w:val="0"/>
        <w:autoSpaceDN w:val="0"/>
        <w:adjustRightInd w:val="0"/>
        <w:spacing w:after="0" w:line="240" w:lineRule="auto"/>
        <w:rPr>
          <w:rFonts w:ascii="Arial" w:hAnsi="Arial" w:cs="Arial"/>
          <w:i/>
          <w:color w:val="000000" w:themeColor="text1"/>
          <w:sz w:val="24"/>
          <w:szCs w:val="24"/>
        </w:rPr>
      </w:pPr>
      <w:r w:rsidRPr="009427D5">
        <w:rPr>
          <w:rFonts w:ascii="Arial" w:hAnsi="Arial" w:cs="Arial"/>
          <w:i/>
          <w:color w:val="000000" w:themeColor="text1"/>
          <w:sz w:val="24"/>
          <w:szCs w:val="24"/>
        </w:rPr>
        <w:lastRenderedPageBreak/>
        <w:t>Gestión Reporte Estadísticas</w:t>
      </w:r>
    </w:p>
    <w:p w:rsidR="005D30A1" w:rsidRPr="009427D5" w:rsidRDefault="005D30A1" w:rsidP="005D30A1">
      <w:pPr>
        <w:pStyle w:val="Prrafodelista"/>
        <w:autoSpaceDE w:val="0"/>
        <w:autoSpaceDN w:val="0"/>
        <w:adjustRightInd w:val="0"/>
        <w:spacing w:after="0" w:line="240" w:lineRule="auto"/>
        <w:ind w:left="1080"/>
        <w:rPr>
          <w:rFonts w:ascii="Arial" w:hAnsi="Arial" w:cs="Arial"/>
          <w:i/>
          <w:color w:val="000000" w:themeColor="text1"/>
          <w:sz w:val="24"/>
          <w:szCs w:val="24"/>
        </w:rPr>
      </w:pPr>
    </w:p>
    <w:p w:rsidR="005D30A1" w:rsidRPr="009427D5" w:rsidRDefault="005D30A1" w:rsidP="005D30A1">
      <w:pPr>
        <w:pStyle w:val="Prrafodelista"/>
        <w:autoSpaceDE w:val="0"/>
        <w:autoSpaceDN w:val="0"/>
        <w:adjustRightInd w:val="0"/>
        <w:spacing w:after="0" w:line="240" w:lineRule="auto"/>
        <w:ind w:left="0"/>
        <w:rPr>
          <w:rFonts w:ascii="Arial" w:hAnsi="Arial" w:cs="Arial"/>
          <w:color w:val="000000" w:themeColor="text1"/>
          <w:sz w:val="24"/>
          <w:szCs w:val="24"/>
        </w:rPr>
      </w:pPr>
      <w:r w:rsidRPr="009427D5">
        <w:rPr>
          <w:rFonts w:ascii="Arial" w:hAnsi="Arial" w:cs="Arial"/>
          <w:color w:val="000000" w:themeColor="text1"/>
          <w:sz w:val="24"/>
          <w:szCs w:val="24"/>
        </w:rPr>
        <w:t>Hallazgo No. 2 Reporte estadísticas SIERJU-Despachos Permanentes</w:t>
      </w:r>
    </w:p>
    <w:p w:rsidR="00CE4C19" w:rsidRPr="009427D5" w:rsidRDefault="00CE4C19" w:rsidP="00313F6F">
      <w:pPr>
        <w:autoSpaceDE w:val="0"/>
        <w:autoSpaceDN w:val="0"/>
        <w:adjustRightInd w:val="0"/>
        <w:spacing w:after="0" w:line="240" w:lineRule="auto"/>
        <w:rPr>
          <w:rFonts w:ascii="Arial" w:hAnsi="Arial" w:cs="Arial"/>
          <w:i/>
          <w:color w:val="FF0000"/>
          <w:sz w:val="24"/>
          <w:szCs w:val="24"/>
        </w:rPr>
      </w:pPr>
    </w:p>
    <w:p w:rsidR="00602528" w:rsidRPr="009427D5" w:rsidRDefault="00602528" w:rsidP="00602528">
      <w:pPr>
        <w:spacing w:after="0" w:line="240" w:lineRule="auto"/>
        <w:jc w:val="both"/>
        <w:rPr>
          <w:rFonts w:ascii="Arial" w:hAnsi="Arial" w:cs="Arial"/>
          <w:color w:val="000000" w:themeColor="text1"/>
          <w:sz w:val="24"/>
          <w:szCs w:val="24"/>
        </w:rPr>
      </w:pPr>
      <w:r w:rsidRPr="009427D5">
        <w:rPr>
          <w:rFonts w:ascii="Arial" w:hAnsi="Arial" w:cs="Arial"/>
          <w:color w:val="000000" w:themeColor="text1"/>
          <w:sz w:val="24"/>
          <w:szCs w:val="24"/>
        </w:rPr>
        <w:t xml:space="preserve">De acuerdo con la información suministrada por la Entidad, respecto al cumplimiento del Reporte al Sistema de Información Estadística de la Rama Judicial – SIERJU, de conformidad con la obligación establecida </w:t>
      </w:r>
      <w:r w:rsidR="00CC180F" w:rsidRPr="009427D5">
        <w:rPr>
          <w:rFonts w:ascii="Arial" w:hAnsi="Arial" w:cs="Arial"/>
          <w:color w:val="000000" w:themeColor="text1"/>
          <w:sz w:val="24"/>
          <w:szCs w:val="24"/>
        </w:rPr>
        <w:t>en los Acuerdos 29</w:t>
      </w:r>
      <w:r w:rsidRPr="009427D5">
        <w:rPr>
          <w:rFonts w:ascii="Arial" w:hAnsi="Arial" w:cs="Arial"/>
          <w:color w:val="000000" w:themeColor="text1"/>
          <w:sz w:val="24"/>
          <w:szCs w:val="24"/>
        </w:rPr>
        <w:t xml:space="preserve">15 de 2005, modificado por el Acuerdo 4551 de 2008; Acuerdo 9859 de 2008, Acuerdo 9991 de 2013 y 10106 de 2014 por parte de los Despachos Judiciales, se evidencia que en promedio durante el período 2010-2013, sólo 71% de los citados Despachos cumplen con el 100% del reporte, es decir los doce (12) meses del año, como se muestra en la Tabla </w:t>
      </w:r>
      <w:r w:rsidR="006316F7" w:rsidRPr="009427D5">
        <w:rPr>
          <w:rFonts w:ascii="Arial" w:hAnsi="Arial" w:cs="Arial"/>
          <w:color w:val="000000" w:themeColor="text1"/>
          <w:sz w:val="24"/>
          <w:szCs w:val="24"/>
        </w:rPr>
        <w:t>1</w:t>
      </w:r>
      <w:r w:rsidR="00E02F8F" w:rsidRPr="009427D5">
        <w:rPr>
          <w:rFonts w:ascii="Arial" w:hAnsi="Arial" w:cs="Arial"/>
          <w:color w:val="000000" w:themeColor="text1"/>
          <w:sz w:val="24"/>
          <w:szCs w:val="24"/>
        </w:rPr>
        <w:t>1</w:t>
      </w:r>
      <w:r w:rsidRPr="009427D5">
        <w:rPr>
          <w:rFonts w:ascii="Arial" w:hAnsi="Arial" w:cs="Arial"/>
          <w:color w:val="000000" w:themeColor="text1"/>
          <w:sz w:val="24"/>
          <w:szCs w:val="24"/>
        </w:rPr>
        <w:t xml:space="preserve">.  </w:t>
      </w:r>
      <w:r w:rsidR="00B768BE" w:rsidRPr="009427D5">
        <w:rPr>
          <w:rFonts w:ascii="Arial" w:hAnsi="Arial" w:cs="Arial"/>
          <w:color w:val="000000" w:themeColor="text1"/>
          <w:sz w:val="24"/>
          <w:szCs w:val="24"/>
        </w:rPr>
        <w:t>Así mismo, 9% reportaron 8 meses o menos.</w:t>
      </w:r>
    </w:p>
    <w:p w:rsidR="00602528" w:rsidRPr="009427D5" w:rsidRDefault="00602528" w:rsidP="00602528">
      <w:pPr>
        <w:spacing w:after="0" w:line="240" w:lineRule="auto"/>
        <w:jc w:val="both"/>
        <w:rPr>
          <w:rFonts w:ascii="Arial" w:hAnsi="Arial" w:cs="Arial"/>
          <w:sz w:val="24"/>
          <w:szCs w:val="24"/>
        </w:rPr>
      </w:pPr>
    </w:p>
    <w:p w:rsidR="00602528" w:rsidRPr="0036031F" w:rsidRDefault="00602528" w:rsidP="00602528">
      <w:pPr>
        <w:spacing w:after="0" w:line="240" w:lineRule="auto"/>
        <w:jc w:val="center"/>
        <w:rPr>
          <w:rFonts w:ascii="Arial" w:hAnsi="Arial" w:cs="Arial"/>
          <w:b/>
          <w:sz w:val="16"/>
          <w:szCs w:val="16"/>
        </w:rPr>
      </w:pPr>
      <w:r w:rsidRPr="0036031F">
        <w:rPr>
          <w:rFonts w:ascii="Arial" w:hAnsi="Arial" w:cs="Arial"/>
          <w:b/>
          <w:sz w:val="16"/>
          <w:szCs w:val="16"/>
        </w:rPr>
        <w:t xml:space="preserve">Tabla </w:t>
      </w:r>
      <w:r w:rsidR="00E02F8F" w:rsidRPr="0036031F">
        <w:rPr>
          <w:rFonts w:ascii="Arial" w:hAnsi="Arial" w:cs="Arial"/>
          <w:b/>
          <w:sz w:val="16"/>
          <w:szCs w:val="16"/>
        </w:rPr>
        <w:t>11</w:t>
      </w:r>
      <w:r w:rsidRPr="0036031F">
        <w:rPr>
          <w:rFonts w:ascii="Arial" w:hAnsi="Arial" w:cs="Arial"/>
          <w:b/>
          <w:sz w:val="16"/>
          <w:szCs w:val="16"/>
        </w:rPr>
        <w:t>. Porcentaje Reporte SIERJU Despachos Judiciales Permanentes 2010-2013</w:t>
      </w:r>
    </w:p>
    <w:tbl>
      <w:tblPr>
        <w:tblW w:w="7887" w:type="dxa"/>
        <w:jc w:val="center"/>
        <w:tblCellMar>
          <w:left w:w="70" w:type="dxa"/>
          <w:right w:w="70" w:type="dxa"/>
        </w:tblCellMar>
        <w:tblLook w:val="04A0" w:firstRow="1" w:lastRow="0" w:firstColumn="1" w:lastColumn="0" w:noHBand="0" w:noVBand="1"/>
      </w:tblPr>
      <w:tblGrid>
        <w:gridCol w:w="1640"/>
        <w:gridCol w:w="1200"/>
        <w:gridCol w:w="1200"/>
        <w:gridCol w:w="1200"/>
        <w:gridCol w:w="1200"/>
        <w:gridCol w:w="1447"/>
      </w:tblGrid>
      <w:tr w:rsidR="00602528" w:rsidRPr="0036031F" w:rsidTr="00E272A2">
        <w:trPr>
          <w:trHeight w:val="300"/>
          <w:jc w:val="center"/>
        </w:trPr>
        <w:tc>
          <w:tcPr>
            <w:tcW w:w="16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602528" w:rsidRPr="0036031F" w:rsidRDefault="00602528" w:rsidP="00E272A2">
            <w:pPr>
              <w:spacing w:after="0" w:line="240" w:lineRule="auto"/>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 </w:t>
            </w:r>
          </w:p>
        </w:tc>
        <w:tc>
          <w:tcPr>
            <w:tcW w:w="1200" w:type="dxa"/>
            <w:tcBorders>
              <w:top w:val="single" w:sz="8" w:space="0" w:color="auto"/>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2010</w:t>
            </w:r>
          </w:p>
        </w:tc>
        <w:tc>
          <w:tcPr>
            <w:tcW w:w="1200" w:type="dxa"/>
            <w:tcBorders>
              <w:top w:val="single" w:sz="8" w:space="0" w:color="auto"/>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2011</w:t>
            </w:r>
          </w:p>
        </w:tc>
        <w:tc>
          <w:tcPr>
            <w:tcW w:w="1200" w:type="dxa"/>
            <w:tcBorders>
              <w:top w:val="single" w:sz="8" w:space="0" w:color="auto"/>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2012</w:t>
            </w:r>
          </w:p>
        </w:tc>
        <w:tc>
          <w:tcPr>
            <w:tcW w:w="1200" w:type="dxa"/>
            <w:tcBorders>
              <w:top w:val="single" w:sz="8" w:space="0" w:color="auto"/>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2013</w:t>
            </w:r>
          </w:p>
        </w:tc>
        <w:tc>
          <w:tcPr>
            <w:tcW w:w="1447" w:type="dxa"/>
            <w:tcBorders>
              <w:top w:val="single" w:sz="8" w:space="0" w:color="auto"/>
              <w:left w:val="nil"/>
              <w:bottom w:val="single" w:sz="4" w:space="0" w:color="auto"/>
              <w:right w:val="single" w:sz="8" w:space="0" w:color="auto"/>
            </w:tcBorders>
            <w:shd w:val="clear" w:color="auto" w:fill="auto"/>
            <w:noWrap/>
            <w:vAlign w:val="bottom"/>
            <w:hideMark/>
          </w:tcPr>
          <w:p w:rsidR="00602528" w:rsidRPr="0036031F" w:rsidRDefault="00602528" w:rsidP="00E272A2">
            <w:pPr>
              <w:spacing w:after="0" w:line="240" w:lineRule="auto"/>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PROMEDIO</w:t>
            </w:r>
          </w:p>
        </w:tc>
      </w:tr>
      <w:tr w:rsidR="00602528" w:rsidRPr="0036031F" w:rsidTr="00E272A2">
        <w:trPr>
          <w:trHeight w:val="300"/>
          <w:jc w:val="center"/>
        </w:trPr>
        <w:tc>
          <w:tcPr>
            <w:tcW w:w="1640" w:type="dxa"/>
            <w:tcBorders>
              <w:top w:val="nil"/>
              <w:left w:val="single" w:sz="8" w:space="0" w:color="auto"/>
              <w:bottom w:val="single" w:sz="4" w:space="0" w:color="auto"/>
              <w:right w:val="single" w:sz="4" w:space="0" w:color="auto"/>
            </w:tcBorders>
            <w:shd w:val="clear" w:color="auto" w:fill="auto"/>
            <w:noWrap/>
            <w:vAlign w:val="bottom"/>
            <w:hideMark/>
          </w:tcPr>
          <w:p w:rsidR="00602528" w:rsidRPr="0036031F" w:rsidRDefault="009D0100" w:rsidP="00E272A2">
            <w:pPr>
              <w:spacing w:after="0" w:line="240" w:lineRule="auto"/>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No Reportó</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0,0%</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0,0%</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1,2%</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0,8%</w:t>
            </w:r>
          </w:p>
        </w:tc>
        <w:tc>
          <w:tcPr>
            <w:tcW w:w="1447" w:type="dxa"/>
            <w:tcBorders>
              <w:top w:val="nil"/>
              <w:left w:val="nil"/>
              <w:bottom w:val="single" w:sz="4" w:space="0" w:color="auto"/>
              <w:right w:val="single" w:sz="8" w:space="0" w:color="auto"/>
            </w:tcBorders>
            <w:shd w:val="clear" w:color="auto" w:fill="auto"/>
            <w:noWrap/>
            <w:vAlign w:val="bottom"/>
            <w:hideMark/>
          </w:tcPr>
          <w:p w:rsidR="00602528" w:rsidRPr="0036031F" w:rsidRDefault="00602528" w:rsidP="00E272A2">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0,5%</w:t>
            </w:r>
          </w:p>
        </w:tc>
      </w:tr>
      <w:tr w:rsidR="00602528" w:rsidRPr="0036031F" w:rsidTr="00E272A2">
        <w:trPr>
          <w:trHeight w:val="300"/>
          <w:jc w:val="center"/>
        </w:trPr>
        <w:tc>
          <w:tcPr>
            <w:tcW w:w="1640" w:type="dxa"/>
            <w:tcBorders>
              <w:top w:val="nil"/>
              <w:left w:val="single" w:sz="8" w:space="0" w:color="auto"/>
              <w:bottom w:val="single" w:sz="4" w:space="0" w:color="auto"/>
              <w:right w:val="single" w:sz="4" w:space="0" w:color="auto"/>
            </w:tcBorders>
            <w:shd w:val="clear" w:color="auto" w:fill="auto"/>
            <w:noWrap/>
            <w:vAlign w:val="bottom"/>
            <w:hideMark/>
          </w:tcPr>
          <w:p w:rsidR="00602528" w:rsidRPr="0036031F" w:rsidRDefault="00602528" w:rsidP="00E272A2">
            <w:pPr>
              <w:spacing w:after="0" w:line="240" w:lineRule="auto"/>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 Mes</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0,8%</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0,3%</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0,1%</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0,3%</w:t>
            </w:r>
          </w:p>
        </w:tc>
        <w:tc>
          <w:tcPr>
            <w:tcW w:w="1447" w:type="dxa"/>
            <w:tcBorders>
              <w:top w:val="nil"/>
              <w:left w:val="nil"/>
              <w:bottom w:val="single" w:sz="4" w:space="0" w:color="auto"/>
              <w:right w:val="single" w:sz="8" w:space="0" w:color="auto"/>
            </w:tcBorders>
            <w:shd w:val="clear" w:color="auto" w:fill="auto"/>
            <w:noWrap/>
            <w:vAlign w:val="bottom"/>
            <w:hideMark/>
          </w:tcPr>
          <w:p w:rsidR="00602528" w:rsidRPr="0036031F" w:rsidRDefault="00602528" w:rsidP="00E272A2">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0,4%</w:t>
            </w:r>
          </w:p>
        </w:tc>
      </w:tr>
      <w:tr w:rsidR="00602528" w:rsidRPr="0036031F" w:rsidTr="00E272A2">
        <w:trPr>
          <w:trHeight w:val="300"/>
          <w:jc w:val="center"/>
        </w:trPr>
        <w:tc>
          <w:tcPr>
            <w:tcW w:w="1640" w:type="dxa"/>
            <w:tcBorders>
              <w:top w:val="nil"/>
              <w:left w:val="single" w:sz="8" w:space="0" w:color="auto"/>
              <w:bottom w:val="single" w:sz="4" w:space="0" w:color="auto"/>
              <w:right w:val="single" w:sz="4" w:space="0" w:color="auto"/>
            </w:tcBorders>
            <w:shd w:val="clear" w:color="auto" w:fill="auto"/>
            <w:noWrap/>
            <w:vAlign w:val="bottom"/>
            <w:hideMark/>
          </w:tcPr>
          <w:p w:rsidR="00602528" w:rsidRPr="0036031F" w:rsidRDefault="00602528" w:rsidP="00E272A2">
            <w:pPr>
              <w:spacing w:after="0" w:line="240" w:lineRule="auto"/>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2 Meses</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0,2%</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0,3%</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0,3%</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0,6%</w:t>
            </w:r>
          </w:p>
        </w:tc>
        <w:tc>
          <w:tcPr>
            <w:tcW w:w="1447" w:type="dxa"/>
            <w:tcBorders>
              <w:top w:val="nil"/>
              <w:left w:val="nil"/>
              <w:bottom w:val="single" w:sz="4" w:space="0" w:color="auto"/>
              <w:right w:val="single" w:sz="8" w:space="0" w:color="auto"/>
            </w:tcBorders>
            <w:shd w:val="clear" w:color="auto" w:fill="auto"/>
            <w:noWrap/>
            <w:vAlign w:val="bottom"/>
            <w:hideMark/>
          </w:tcPr>
          <w:p w:rsidR="00602528" w:rsidRPr="0036031F" w:rsidRDefault="00602528" w:rsidP="00E272A2">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0,4%</w:t>
            </w:r>
          </w:p>
        </w:tc>
      </w:tr>
      <w:tr w:rsidR="00602528" w:rsidRPr="0036031F" w:rsidTr="00E272A2">
        <w:trPr>
          <w:trHeight w:val="300"/>
          <w:jc w:val="center"/>
        </w:trPr>
        <w:tc>
          <w:tcPr>
            <w:tcW w:w="1640" w:type="dxa"/>
            <w:tcBorders>
              <w:top w:val="nil"/>
              <w:left w:val="single" w:sz="8" w:space="0" w:color="auto"/>
              <w:bottom w:val="single" w:sz="4" w:space="0" w:color="auto"/>
              <w:right w:val="single" w:sz="4" w:space="0" w:color="auto"/>
            </w:tcBorders>
            <w:shd w:val="clear" w:color="auto" w:fill="auto"/>
            <w:noWrap/>
            <w:vAlign w:val="bottom"/>
            <w:hideMark/>
          </w:tcPr>
          <w:p w:rsidR="00602528" w:rsidRPr="0036031F" w:rsidRDefault="00602528" w:rsidP="00E272A2">
            <w:pPr>
              <w:spacing w:after="0" w:line="240" w:lineRule="auto"/>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3 Meses</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1,0%</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0,9%</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2,3%</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1,0%</w:t>
            </w:r>
          </w:p>
        </w:tc>
        <w:tc>
          <w:tcPr>
            <w:tcW w:w="1447" w:type="dxa"/>
            <w:tcBorders>
              <w:top w:val="nil"/>
              <w:left w:val="nil"/>
              <w:bottom w:val="single" w:sz="4" w:space="0" w:color="auto"/>
              <w:right w:val="single" w:sz="8" w:space="0" w:color="auto"/>
            </w:tcBorders>
            <w:shd w:val="clear" w:color="auto" w:fill="auto"/>
            <w:noWrap/>
            <w:vAlign w:val="bottom"/>
            <w:hideMark/>
          </w:tcPr>
          <w:p w:rsidR="00602528" w:rsidRPr="0036031F" w:rsidRDefault="00602528" w:rsidP="00E272A2">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1,3%</w:t>
            </w:r>
          </w:p>
        </w:tc>
      </w:tr>
      <w:tr w:rsidR="00602528" w:rsidRPr="0036031F" w:rsidTr="00E272A2">
        <w:trPr>
          <w:trHeight w:val="300"/>
          <w:jc w:val="center"/>
        </w:trPr>
        <w:tc>
          <w:tcPr>
            <w:tcW w:w="1640" w:type="dxa"/>
            <w:tcBorders>
              <w:top w:val="nil"/>
              <w:left w:val="single" w:sz="8" w:space="0" w:color="auto"/>
              <w:bottom w:val="single" w:sz="4" w:space="0" w:color="auto"/>
              <w:right w:val="single" w:sz="4" w:space="0" w:color="auto"/>
            </w:tcBorders>
            <w:shd w:val="clear" w:color="auto" w:fill="auto"/>
            <w:noWrap/>
            <w:vAlign w:val="bottom"/>
            <w:hideMark/>
          </w:tcPr>
          <w:p w:rsidR="00602528" w:rsidRPr="0036031F" w:rsidRDefault="00602528" w:rsidP="00E272A2">
            <w:pPr>
              <w:spacing w:after="0" w:line="240" w:lineRule="auto"/>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4 Meses</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0,2%</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0,4%</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0,4%</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0,1%</w:t>
            </w:r>
          </w:p>
        </w:tc>
        <w:tc>
          <w:tcPr>
            <w:tcW w:w="1447" w:type="dxa"/>
            <w:tcBorders>
              <w:top w:val="nil"/>
              <w:left w:val="nil"/>
              <w:bottom w:val="single" w:sz="4" w:space="0" w:color="auto"/>
              <w:right w:val="single" w:sz="8" w:space="0" w:color="auto"/>
            </w:tcBorders>
            <w:shd w:val="clear" w:color="auto" w:fill="auto"/>
            <w:noWrap/>
            <w:vAlign w:val="bottom"/>
            <w:hideMark/>
          </w:tcPr>
          <w:p w:rsidR="00602528" w:rsidRPr="0036031F" w:rsidRDefault="00602528" w:rsidP="00E272A2">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0,3%</w:t>
            </w:r>
          </w:p>
        </w:tc>
      </w:tr>
      <w:tr w:rsidR="00602528" w:rsidRPr="0036031F" w:rsidTr="00E272A2">
        <w:trPr>
          <w:trHeight w:val="300"/>
          <w:jc w:val="center"/>
        </w:trPr>
        <w:tc>
          <w:tcPr>
            <w:tcW w:w="1640" w:type="dxa"/>
            <w:tcBorders>
              <w:top w:val="nil"/>
              <w:left w:val="single" w:sz="8" w:space="0" w:color="auto"/>
              <w:bottom w:val="single" w:sz="4" w:space="0" w:color="auto"/>
              <w:right w:val="single" w:sz="4" w:space="0" w:color="auto"/>
            </w:tcBorders>
            <w:shd w:val="clear" w:color="auto" w:fill="auto"/>
            <w:noWrap/>
            <w:vAlign w:val="bottom"/>
            <w:hideMark/>
          </w:tcPr>
          <w:p w:rsidR="00602528" w:rsidRPr="0036031F" w:rsidRDefault="00602528" w:rsidP="00E272A2">
            <w:pPr>
              <w:spacing w:after="0" w:line="240" w:lineRule="auto"/>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5 Meses</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0,2%</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0,8%</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0,6%</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0,8%</w:t>
            </w:r>
          </w:p>
        </w:tc>
        <w:tc>
          <w:tcPr>
            <w:tcW w:w="1447" w:type="dxa"/>
            <w:tcBorders>
              <w:top w:val="nil"/>
              <w:left w:val="nil"/>
              <w:bottom w:val="single" w:sz="4" w:space="0" w:color="auto"/>
              <w:right w:val="single" w:sz="8" w:space="0" w:color="auto"/>
            </w:tcBorders>
            <w:shd w:val="clear" w:color="auto" w:fill="auto"/>
            <w:noWrap/>
            <w:vAlign w:val="bottom"/>
            <w:hideMark/>
          </w:tcPr>
          <w:p w:rsidR="00602528" w:rsidRPr="0036031F" w:rsidRDefault="00602528" w:rsidP="00E272A2">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0,6%</w:t>
            </w:r>
          </w:p>
        </w:tc>
      </w:tr>
      <w:tr w:rsidR="00602528" w:rsidRPr="0036031F" w:rsidTr="00E272A2">
        <w:trPr>
          <w:trHeight w:val="300"/>
          <w:jc w:val="center"/>
        </w:trPr>
        <w:tc>
          <w:tcPr>
            <w:tcW w:w="1640" w:type="dxa"/>
            <w:tcBorders>
              <w:top w:val="nil"/>
              <w:left w:val="single" w:sz="8" w:space="0" w:color="auto"/>
              <w:bottom w:val="single" w:sz="4" w:space="0" w:color="auto"/>
              <w:right w:val="single" w:sz="4" w:space="0" w:color="auto"/>
            </w:tcBorders>
            <w:shd w:val="clear" w:color="auto" w:fill="auto"/>
            <w:noWrap/>
            <w:vAlign w:val="bottom"/>
            <w:hideMark/>
          </w:tcPr>
          <w:p w:rsidR="00602528" w:rsidRPr="0036031F" w:rsidRDefault="00602528" w:rsidP="00E272A2">
            <w:pPr>
              <w:spacing w:after="0" w:line="240" w:lineRule="auto"/>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6 Meses</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2,1%</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1,5%</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9,4%</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2,2%</w:t>
            </w:r>
          </w:p>
        </w:tc>
        <w:tc>
          <w:tcPr>
            <w:tcW w:w="1447" w:type="dxa"/>
            <w:tcBorders>
              <w:top w:val="nil"/>
              <w:left w:val="nil"/>
              <w:bottom w:val="single" w:sz="4" w:space="0" w:color="auto"/>
              <w:right w:val="single" w:sz="8" w:space="0" w:color="auto"/>
            </w:tcBorders>
            <w:shd w:val="clear" w:color="auto" w:fill="auto"/>
            <w:noWrap/>
            <w:vAlign w:val="bottom"/>
            <w:hideMark/>
          </w:tcPr>
          <w:p w:rsidR="00602528" w:rsidRPr="0036031F" w:rsidRDefault="00602528" w:rsidP="00E272A2">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3,8%</w:t>
            </w:r>
          </w:p>
        </w:tc>
      </w:tr>
      <w:tr w:rsidR="00602528" w:rsidRPr="0036031F" w:rsidTr="00E272A2">
        <w:trPr>
          <w:trHeight w:val="300"/>
          <w:jc w:val="center"/>
        </w:trPr>
        <w:tc>
          <w:tcPr>
            <w:tcW w:w="1640" w:type="dxa"/>
            <w:tcBorders>
              <w:top w:val="nil"/>
              <w:left w:val="single" w:sz="8" w:space="0" w:color="auto"/>
              <w:bottom w:val="single" w:sz="4" w:space="0" w:color="auto"/>
              <w:right w:val="single" w:sz="4" w:space="0" w:color="auto"/>
            </w:tcBorders>
            <w:shd w:val="clear" w:color="auto" w:fill="auto"/>
            <w:noWrap/>
            <w:vAlign w:val="bottom"/>
            <w:hideMark/>
          </w:tcPr>
          <w:p w:rsidR="00602528" w:rsidRPr="0036031F" w:rsidRDefault="00602528" w:rsidP="00E272A2">
            <w:pPr>
              <w:spacing w:after="0" w:line="240" w:lineRule="auto"/>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7 Meses</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0,6%</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0,5%</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0,9%</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0,2%</w:t>
            </w:r>
          </w:p>
        </w:tc>
        <w:tc>
          <w:tcPr>
            <w:tcW w:w="1447" w:type="dxa"/>
            <w:tcBorders>
              <w:top w:val="nil"/>
              <w:left w:val="nil"/>
              <w:bottom w:val="single" w:sz="4" w:space="0" w:color="auto"/>
              <w:right w:val="single" w:sz="8" w:space="0" w:color="auto"/>
            </w:tcBorders>
            <w:shd w:val="clear" w:color="auto" w:fill="auto"/>
            <w:noWrap/>
            <w:vAlign w:val="bottom"/>
            <w:hideMark/>
          </w:tcPr>
          <w:p w:rsidR="00602528" w:rsidRPr="0036031F" w:rsidRDefault="00602528" w:rsidP="00E272A2">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0,5%</w:t>
            </w:r>
          </w:p>
        </w:tc>
      </w:tr>
      <w:tr w:rsidR="00602528" w:rsidRPr="0036031F" w:rsidTr="00E272A2">
        <w:trPr>
          <w:trHeight w:val="300"/>
          <w:jc w:val="center"/>
        </w:trPr>
        <w:tc>
          <w:tcPr>
            <w:tcW w:w="1640" w:type="dxa"/>
            <w:tcBorders>
              <w:top w:val="nil"/>
              <w:left w:val="single" w:sz="8" w:space="0" w:color="auto"/>
              <w:bottom w:val="single" w:sz="4" w:space="0" w:color="auto"/>
              <w:right w:val="single" w:sz="4" w:space="0" w:color="auto"/>
            </w:tcBorders>
            <w:shd w:val="clear" w:color="auto" w:fill="auto"/>
            <w:noWrap/>
            <w:vAlign w:val="bottom"/>
            <w:hideMark/>
          </w:tcPr>
          <w:p w:rsidR="00602528" w:rsidRPr="0036031F" w:rsidRDefault="00602528" w:rsidP="00E272A2">
            <w:pPr>
              <w:spacing w:after="0" w:line="240" w:lineRule="auto"/>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8 Meses</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0,9%</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2,9%</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0,7%</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0,4%</w:t>
            </w:r>
          </w:p>
        </w:tc>
        <w:tc>
          <w:tcPr>
            <w:tcW w:w="1447" w:type="dxa"/>
            <w:tcBorders>
              <w:top w:val="nil"/>
              <w:left w:val="nil"/>
              <w:bottom w:val="single" w:sz="4" w:space="0" w:color="auto"/>
              <w:right w:val="single" w:sz="8" w:space="0" w:color="auto"/>
            </w:tcBorders>
            <w:shd w:val="clear" w:color="auto" w:fill="auto"/>
            <w:noWrap/>
            <w:vAlign w:val="bottom"/>
            <w:hideMark/>
          </w:tcPr>
          <w:p w:rsidR="00602528" w:rsidRPr="0036031F" w:rsidRDefault="00602528" w:rsidP="00E272A2">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1,2%</w:t>
            </w:r>
          </w:p>
        </w:tc>
      </w:tr>
      <w:tr w:rsidR="00602528" w:rsidRPr="0036031F" w:rsidTr="00E272A2">
        <w:trPr>
          <w:trHeight w:val="300"/>
          <w:jc w:val="center"/>
        </w:trPr>
        <w:tc>
          <w:tcPr>
            <w:tcW w:w="1640" w:type="dxa"/>
            <w:tcBorders>
              <w:top w:val="nil"/>
              <w:left w:val="single" w:sz="8" w:space="0" w:color="auto"/>
              <w:bottom w:val="single" w:sz="4" w:space="0" w:color="auto"/>
              <w:right w:val="single" w:sz="4" w:space="0" w:color="auto"/>
            </w:tcBorders>
            <w:shd w:val="clear" w:color="auto" w:fill="auto"/>
            <w:noWrap/>
            <w:vAlign w:val="bottom"/>
            <w:hideMark/>
          </w:tcPr>
          <w:p w:rsidR="00602528" w:rsidRPr="0036031F" w:rsidRDefault="00602528" w:rsidP="00E272A2">
            <w:pPr>
              <w:spacing w:after="0" w:line="240" w:lineRule="auto"/>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9 Meses</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12,1%</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9,4%</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14,2%</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11,4%</w:t>
            </w:r>
          </w:p>
        </w:tc>
        <w:tc>
          <w:tcPr>
            <w:tcW w:w="1447" w:type="dxa"/>
            <w:tcBorders>
              <w:top w:val="nil"/>
              <w:left w:val="nil"/>
              <w:bottom w:val="single" w:sz="4" w:space="0" w:color="auto"/>
              <w:right w:val="single" w:sz="8" w:space="0" w:color="auto"/>
            </w:tcBorders>
            <w:shd w:val="clear" w:color="auto" w:fill="auto"/>
            <w:noWrap/>
            <w:vAlign w:val="bottom"/>
            <w:hideMark/>
          </w:tcPr>
          <w:p w:rsidR="00602528" w:rsidRPr="0036031F" w:rsidRDefault="00602528" w:rsidP="00E272A2">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11,8%</w:t>
            </w:r>
          </w:p>
        </w:tc>
      </w:tr>
      <w:tr w:rsidR="00602528" w:rsidRPr="0036031F" w:rsidTr="00E272A2">
        <w:trPr>
          <w:trHeight w:val="300"/>
          <w:jc w:val="center"/>
        </w:trPr>
        <w:tc>
          <w:tcPr>
            <w:tcW w:w="1640" w:type="dxa"/>
            <w:tcBorders>
              <w:top w:val="nil"/>
              <w:left w:val="single" w:sz="8" w:space="0" w:color="auto"/>
              <w:bottom w:val="single" w:sz="4" w:space="0" w:color="auto"/>
              <w:right w:val="single" w:sz="4" w:space="0" w:color="auto"/>
            </w:tcBorders>
            <w:shd w:val="clear" w:color="auto" w:fill="auto"/>
            <w:noWrap/>
            <w:vAlign w:val="bottom"/>
            <w:hideMark/>
          </w:tcPr>
          <w:p w:rsidR="00602528" w:rsidRPr="0036031F" w:rsidRDefault="00602528" w:rsidP="00E272A2">
            <w:pPr>
              <w:spacing w:after="0" w:line="240" w:lineRule="auto"/>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10 Meses</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0,8%</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1,2%</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0,7%</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2,0%</w:t>
            </w:r>
          </w:p>
        </w:tc>
        <w:tc>
          <w:tcPr>
            <w:tcW w:w="1447" w:type="dxa"/>
            <w:tcBorders>
              <w:top w:val="nil"/>
              <w:left w:val="nil"/>
              <w:bottom w:val="single" w:sz="4" w:space="0" w:color="auto"/>
              <w:right w:val="single" w:sz="8" w:space="0" w:color="auto"/>
            </w:tcBorders>
            <w:shd w:val="clear" w:color="auto" w:fill="auto"/>
            <w:noWrap/>
            <w:vAlign w:val="bottom"/>
            <w:hideMark/>
          </w:tcPr>
          <w:p w:rsidR="00602528" w:rsidRPr="0036031F" w:rsidRDefault="00602528" w:rsidP="00E272A2">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1,2%</w:t>
            </w:r>
          </w:p>
        </w:tc>
      </w:tr>
      <w:tr w:rsidR="00602528" w:rsidRPr="0036031F" w:rsidTr="00E272A2">
        <w:trPr>
          <w:trHeight w:val="300"/>
          <w:jc w:val="center"/>
        </w:trPr>
        <w:tc>
          <w:tcPr>
            <w:tcW w:w="1640" w:type="dxa"/>
            <w:tcBorders>
              <w:top w:val="nil"/>
              <w:left w:val="single" w:sz="8" w:space="0" w:color="auto"/>
              <w:bottom w:val="single" w:sz="4" w:space="0" w:color="auto"/>
              <w:right w:val="single" w:sz="4" w:space="0" w:color="auto"/>
            </w:tcBorders>
            <w:shd w:val="clear" w:color="auto" w:fill="auto"/>
            <w:noWrap/>
            <w:vAlign w:val="bottom"/>
            <w:hideMark/>
          </w:tcPr>
          <w:p w:rsidR="00602528" w:rsidRPr="0036031F" w:rsidRDefault="00602528" w:rsidP="00E272A2">
            <w:pPr>
              <w:spacing w:after="0" w:line="240" w:lineRule="auto"/>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11 Meses</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7,4%</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15,9%</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1,3%</w:t>
            </w:r>
          </w:p>
        </w:tc>
        <w:tc>
          <w:tcPr>
            <w:tcW w:w="1200" w:type="dxa"/>
            <w:tcBorders>
              <w:top w:val="nil"/>
              <w:left w:val="nil"/>
              <w:bottom w:val="single" w:sz="4"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5,2%</w:t>
            </w:r>
          </w:p>
        </w:tc>
        <w:tc>
          <w:tcPr>
            <w:tcW w:w="1447" w:type="dxa"/>
            <w:tcBorders>
              <w:top w:val="nil"/>
              <w:left w:val="nil"/>
              <w:bottom w:val="single" w:sz="4" w:space="0" w:color="auto"/>
              <w:right w:val="single" w:sz="8" w:space="0" w:color="auto"/>
            </w:tcBorders>
            <w:shd w:val="clear" w:color="auto" w:fill="auto"/>
            <w:noWrap/>
            <w:vAlign w:val="bottom"/>
            <w:hideMark/>
          </w:tcPr>
          <w:p w:rsidR="00602528" w:rsidRPr="0036031F" w:rsidRDefault="00602528" w:rsidP="00E272A2">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7,5%</w:t>
            </w:r>
          </w:p>
        </w:tc>
      </w:tr>
      <w:tr w:rsidR="00602528" w:rsidRPr="0036031F" w:rsidTr="005D30A1">
        <w:trPr>
          <w:trHeight w:val="300"/>
          <w:jc w:val="center"/>
        </w:trPr>
        <w:tc>
          <w:tcPr>
            <w:tcW w:w="1640" w:type="dxa"/>
            <w:tcBorders>
              <w:top w:val="nil"/>
              <w:left w:val="single" w:sz="8" w:space="0" w:color="auto"/>
              <w:bottom w:val="single" w:sz="4" w:space="0" w:color="auto"/>
              <w:right w:val="single" w:sz="4" w:space="0" w:color="auto"/>
            </w:tcBorders>
            <w:shd w:val="clear" w:color="auto" w:fill="auto"/>
            <w:noWrap/>
            <w:vAlign w:val="bottom"/>
            <w:hideMark/>
          </w:tcPr>
          <w:p w:rsidR="00602528" w:rsidRPr="0036031F" w:rsidRDefault="00602528" w:rsidP="00E272A2">
            <w:pPr>
              <w:spacing w:after="0" w:line="240" w:lineRule="auto"/>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12 Meses</w:t>
            </w:r>
          </w:p>
        </w:tc>
        <w:tc>
          <w:tcPr>
            <w:tcW w:w="1200" w:type="dxa"/>
            <w:tcBorders>
              <w:top w:val="nil"/>
              <w:left w:val="nil"/>
              <w:bottom w:val="single" w:sz="4" w:space="0" w:color="auto"/>
              <w:right w:val="single" w:sz="4" w:space="0" w:color="auto"/>
            </w:tcBorders>
            <w:shd w:val="clear" w:color="auto" w:fill="FFFFFF" w:themeFill="background1"/>
            <w:noWrap/>
            <w:vAlign w:val="center"/>
            <w:hideMark/>
          </w:tcPr>
          <w:p w:rsidR="00602528" w:rsidRPr="0036031F" w:rsidRDefault="00602528" w:rsidP="00E272A2">
            <w:pPr>
              <w:spacing w:after="0" w:line="240" w:lineRule="auto"/>
              <w:jc w:val="center"/>
              <w:rPr>
                <w:rFonts w:ascii="Arial" w:eastAsia="Times New Roman" w:hAnsi="Arial" w:cs="Arial"/>
                <w:b/>
                <w:color w:val="000000"/>
                <w:sz w:val="16"/>
                <w:szCs w:val="16"/>
                <w:lang w:eastAsia="es-CO"/>
              </w:rPr>
            </w:pPr>
            <w:r w:rsidRPr="0036031F">
              <w:rPr>
                <w:rFonts w:ascii="Arial" w:eastAsia="Times New Roman" w:hAnsi="Arial" w:cs="Arial"/>
                <w:b/>
                <w:color w:val="000000"/>
                <w:sz w:val="16"/>
                <w:szCs w:val="16"/>
                <w:lang w:eastAsia="es-CO"/>
              </w:rPr>
              <w:t>73,8%</w:t>
            </w:r>
          </w:p>
        </w:tc>
        <w:tc>
          <w:tcPr>
            <w:tcW w:w="1200" w:type="dxa"/>
            <w:tcBorders>
              <w:top w:val="nil"/>
              <w:left w:val="nil"/>
              <w:bottom w:val="single" w:sz="4" w:space="0" w:color="auto"/>
              <w:right w:val="single" w:sz="4" w:space="0" w:color="auto"/>
            </w:tcBorders>
            <w:shd w:val="clear" w:color="auto" w:fill="FFFFFF" w:themeFill="background1"/>
            <w:noWrap/>
            <w:vAlign w:val="center"/>
            <w:hideMark/>
          </w:tcPr>
          <w:p w:rsidR="00602528" w:rsidRPr="0036031F" w:rsidRDefault="00602528" w:rsidP="00E272A2">
            <w:pPr>
              <w:spacing w:after="0" w:line="240" w:lineRule="auto"/>
              <w:jc w:val="center"/>
              <w:rPr>
                <w:rFonts w:ascii="Arial" w:eastAsia="Times New Roman" w:hAnsi="Arial" w:cs="Arial"/>
                <w:b/>
                <w:color w:val="000000"/>
                <w:sz w:val="16"/>
                <w:szCs w:val="16"/>
                <w:lang w:eastAsia="es-CO"/>
              </w:rPr>
            </w:pPr>
            <w:r w:rsidRPr="0036031F">
              <w:rPr>
                <w:rFonts w:ascii="Arial" w:eastAsia="Times New Roman" w:hAnsi="Arial" w:cs="Arial"/>
                <w:b/>
                <w:color w:val="000000"/>
                <w:sz w:val="16"/>
                <w:szCs w:val="16"/>
                <w:lang w:eastAsia="es-CO"/>
              </w:rPr>
              <w:t>66,0%</w:t>
            </w:r>
          </w:p>
        </w:tc>
        <w:tc>
          <w:tcPr>
            <w:tcW w:w="1200" w:type="dxa"/>
            <w:tcBorders>
              <w:top w:val="nil"/>
              <w:left w:val="nil"/>
              <w:bottom w:val="single" w:sz="4" w:space="0" w:color="auto"/>
              <w:right w:val="single" w:sz="4" w:space="0" w:color="auto"/>
            </w:tcBorders>
            <w:shd w:val="clear" w:color="auto" w:fill="FFFFFF" w:themeFill="background1"/>
            <w:noWrap/>
            <w:vAlign w:val="center"/>
            <w:hideMark/>
          </w:tcPr>
          <w:p w:rsidR="00602528" w:rsidRPr="0036031F" w:rsidRDefault="00602528" w:rsidP="00E272A2">
            <w:pPr>
              <w:spacing w:after="0" w:line="240" w:lineRule="auto"/>
              <w:jc w:val="center"/>
              <w:rPr>
                <w:rFonts w:ascii="Arial" w:eastAsia="Times New Roman" w:hAnsi="Arial" w:cs="Arial"/>
                <w:b/>
                <w:color w:val="000000"/>
                <w:sz w:val="16"/>
                <w:szCs w:val="16"/>
                <w:lang w:eastAsia="es-CO"/>
              </w:rPr>
            </w:pPr>
            <w:r w:rsidRPr="0036031F">
              <w:rPr>
                <w:rFonts w:ascii="Arial" w:eastAsia="Times New Roman" w:hAnsi="Arial" w:cs="Arial"/>
                <w:b/>
                <w:color w:val="000000"/>
                <w:sz w:val="16"/>
                <w:szCs w:val="16"/>
                <w:lang w:eastAsia="es-CO"/>
              </w:rPr>
              <w:t>67,9%</w:t>
            </w:r>
          </w:p>
        </w:tc>
        <w:tc>
          <w:tcPr>
            <w:tcW w:w="1200" w:type="dxa"/>
            <w:tcBorders>
              <w:top w:val="nil"/>
              <w:left w:val="nil"/>
              <w:bottom w:val="single" w:sz="4" w:space="0" w:color="auto"/>
              <w:right w:val="single" w:sz="4" w:space="0" w:color="auto"/>
            </w:tcBorders>
            <w:shd w:val="clear" w:color="auto" w:fill="FFFFFF" w:themeFill="background1"/>
            <w:noWrap/>
            <w:vAlign w:val="center"/>
            <w:hideMark/>
          </w:tcPr>
          <w:p w:rsidR="00602528" w:rsidRPr="0036031F" w:rsidRDefault="00602528" w:rsidP="00E272A2">
            <w:pPr>
              <w:spacing w:after="0" w:line="240" w:lineRule="auto"/>
              <w:jc w:val="center"/>
              <w:rPr>
                <w:rFonts w:ascii="Arial" w:eastAsia="Times New Roman" w:hAnsi="Arial" w:cs="Arial"/>
                <w:b/>
                <w:color w:val="000000"/>
                <w:sz w:val="16"/>
                <w:szCs w:val="16"/>
                <w:lang w:eastAsia="es-CO"/>
              </w:rPr>
            </w:pPr>
            <w:r w:rsidRPr="0036031F">
              <w:rPr>
                <w:rFonts w:ascii="Arial" w:eastAsia="Times New Roman" w:hAnsi="Arial" w:cs="Arial"/>
                <w:b/>
                <w:color w:val="000000"/>
                <w:sz w:val="16"/>
                <w:szCs w:val="16"/>
                <w:lang w:eastAsia="es-CO"/>
              </w:rPr>
              <w:t>75,0%</w:t>
            </w:r>
          </w:p>
        </w:tc>
        <w:tc>
          <w:tcPr>
            <w:tcW w:w="1447" w:type="dxa"/>
            <w:tcBorders>
              <w:top w:val="nil"/>
              <w:left w:val="nil"/>
              <w:bottom w:val="single" w:sz="4" w:space="0" w:color="auto"/>
              <w:right w:val="single" w:sz="8" w:space="0" w:color="auto"/>
            </w:tcBorders>
            <w:shd w:val="clear" w:color="auto" w:fill="FFFFFF" w:themeFill="background1"/>
            <w:noWrap/>
            <w:vAlign w:val="bottom"/>
            <w:hideMark/>
          </w:tcPr>
          <w:p w:rsidR="00602528" w:rsidRPr="0036031F" w:rsidRDefault="00602528" w:rsidP="00E272A2">
            <w:pPr>
              <w:spacing w:after="0" w:line="240" w:lineRule="auto"/>
              <w:jc w:val="right"/>
              <w:rPr>
                <w:rFonts w:ascii="Arial" w:eastAsia="Times New Roman" w:hAnsi="Arial" w:cs="Arial"/>
                <w:b/>
                <w:color w:val="000000"/>
                <w:sz w:val="16"/>
                <w:szCs w:val="16"/>
                <w:lang w:eastAsia="es-CO"/>
              </w:rPr>
            </w:pPr>
            <w:r w:rsidRPr="0036031F">
              <w:rPr>
                <w:rFonts w:ascii="Arial" w:eastAsia="Times New Roman" w:hAnsi="Arial" w:cs="Arial"/>
                <w:b/>
                <w:color w:val="000000"/>
                <w:sz w:val="16"/>
                <w:szCs w:val="16"/>
                <w:lang w:eastAsia="es-CO"/>
              </w:rPr>
              <w:t>70,7%</w:t>
            </w:r>
          </w:p>
        </w:tc>
      </w:tr>
      <w:tr w:rsidR="00602528" w:rsidRPr="0036031F" w:rsidTr="00E272A2">
        <w:trPr>
          <w:trHeight w:val="315"/>
          <w:jc w:val="center"/>
        </w:trPr>
        <w:tc>
          <w:tcPr>
            <w:tcW w:w="1640" w:type="dxa"/>
            <w:tcBorders>
              <w:top w:val="nil"/>
              <w:left w:val="single" w:sz="8" w:space="0" w:color="auto"/>
              <w:bottom w:val="single" w:sz="8" w:space="0" w:color="auto"/>
              <w:right w:val="single" w:sz="4" w:space="0" w:color="auto"/>
            </w:tcBorders>
            <w:shd w:val="clear" w:color="auto" w:fill="auto"/>
            <w:noWrap/>
            <w:vAlign w:val="bottom"/>
            <w:hideMark/>
          </w:tcPr>
          <w:p w:rsidR="00602528" w:rsidRPr="0036031F" w:rsidRDefault="00602528" w:rsidP="00E272A2">
            <w:pPr>
              <w:spacing w:after="0" w:line="240" w:lineRule="auto"/>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Total Registros</w:t>
            </w:r>
          </w:p>
        </w:tc>
        <w:tc>
          <w:tcPr>
            <w:tcW w:w="1200" w:type="dxa"/>
            <w:tcBorders>
              <w:top w:val="nil"/>
              <w:left w:val="nil"/>
              <w:bottom w:val="single" w:sz="8"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100,0%</w:t>
            </w:r>
          </w:p>
        </w:tc>
        <w:tc>
          <w:tcPr>
            <w:tcW w:w="1200" w:type="dxa"/>
            <w:tcBorders>
              <w:top w:val="nil"/>
              <w:left w:val="nil"/>
              <w:bottom w:val="single" w:sz="8"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100,0%</w:t>
            </w:r>
          </w:p>
        </w:tc>
        <w:tc>
          <w:tcPr>
            <w:tcW w:w="1200" w:type="dxa"/>
            <w:tcBorders>
              <w:top w:val="nil"/>
              <w:left w:val="nil"/>
              <w:bottom w:val="single" w:sz="8"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100,0%</w:t>
            </w:r>
          </w:p>
        </w:tc>
        <w:tc>
          <w:tcPr>
            <w:tcW w:w="1200" w:type="dxa"/>
            <w:tcBorders>
              <w:top w:val="nil"/>
              <w:left w:val="nil"/>
              <w:bottom w:val="single" w:sz="8" w:space="0" w:color="auto"/>
              <w:right w:val="single" w:sz="4" w:space="0" w:color="auto"/>
            </w:tcBorders>
            <w:shd w:val="clear" w:color="auto" w:fill="auto"/>
            <w:noWrap/>
            <w:vAlign w:val="center"/>
            <w:hideMark/>
          </w:tcPr>
          <w:p w:rsidR="00602528" w:rsidRPr="0036031F" w:rsidRDefault="00602528" w:rsidP="00E272A2">
            <w:pPr>
              <w:spacing w:after="0" w:line="240" w:lineRule="auto"/>
              <w:jc w:val="center"/>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100,0%</w:t>
            </w:r>
          </w:p>
        </w:tc>
        <w:tc>
          <w:tcPr>
            <w:tcW w:w="1447" w:type="dxa"/>
            <w:tcBorders>
              <w:top w:val="nil"/>
              <w:left w:val="nil"/>
              <w:bottom w:val="single" w:sz="8" w:space="0" w:color="auto"/>
              <w:right w:val="single" w:sz="8" w:space="0" w:color="auto"/>
            </w:tcBorders>
            <w:shd w:val="clear" w:color="auto" w:fill="auto"/>
            <w:noWrap/>
            <w:vAlign w:val="bottom"/>
            <w:hideMark/>
          </w:tcPr>
          <w:p w:rsidR="00602528" w:rsidRPr="0036031F" w:rsidRDefault="00602528" w:rsidP="00E272A2">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100,0%</w:t>
            </w:r>
          </w:p>
        </w:tc>
      </w:tr>
    </w:tbl>
    <w:p w:rsidR="00D92E7C" w:rsidRPr="009427D5" w:rsidRDefault="00D92E7C" w:rsidP="00D92E7C">
      <w:pPr>
        <w:spacing w:line="240" w:lineRule="auto"/>
        <w:jc w:val="center"/>
        <w:rPr>
          <w:rFonts w:ascii="Arial" w:hAnsi="Arial" w:cs="Arial"/>
          <w:sz w:val="24"/>
          <w:szCs w:val="24"/>
        </w:rPr>
      </w:pPr>
      <w:r w:rsidRPr="0036031F">
        <w:rPr>
          <w:rFonts w:ascii="Arial" w:hAnsi="Arial" w:cs="Arial"/>
          <w:b/>
          <w:sz w:val="16"/>
          <w:szCs w:val="16"/>
        </w:rPr>
        <w:t>Fuente: Consejo Superior de la Judicatura. Cálculos CGR DES-DJS  Fecha de Corte: Abril</w:t>
      </w:r>
      <w:r w:rsidRPr="009427D5">
        <w:rPr>
          <w:rFonts w:ascii="Arial" w:hAnsi="Arial" w:cs="Arial"/>
          <w:b/>
          <w:sz w:val="18"/>
          <w:szCs w:val="18"/>
        </w:rPr>
        <w:t xml:space="preserve"> de 2014</w:t>
      </w:r>
    </w:p>
    <w:p w:rsidR="00D92E7C" w:rsidRPr="009427D5" w:rsidRDefault="00D92E7C" w:rsidP="00602528">
      <w:pPr>
        <w:spacing w:after="0" w:line="240" w:lineRule="auto"/>
        <w:jc w:val="both"/>
        <w:rPr>
          <w:rFonts w:ascii="Arial" w:hAnsi="Arial" w:cs="Arial"/>
          <w:sz w:val="24"/>
          <w:szCs w:val="24"/>
        </w:rPr>
      </w:pPr>
    </w:p>
    <w:p w:rsidR="00602528" w:rsidRPr="009427D5" w:rsidRDefault="00602528" w:rsidP="00602528">
      <w:pPr>
        <w:spacing w:after="0" w:line="240" w:lineRule="auto"/>
        <w:jc w:val="both"/>
        <w:rPr>
          <w:rFonts w:ascii="Arial" w:hAnsi="Arial" w:cs="Arial"/>
          <w:sz w:val="24"/>
          <w:szCs w:val="24"/>
        </w:rPr>
      </w:pPr>
      <w:r w:rsidRPr="009427D5">
        <w:rPr>
          <w:rFonts w:ascii="Arial" w:hAnsi="Arial" w:cs="Arial"/>
          <w:sz w:val="24"/>
          <w:szCs w:val="24"/>
        </w:rPr>
        <w:t>La situación anotada anteriormente, genera debilidades en la confiabilidad y oportunidad de la información estadística, instrumento fundamental para la toma de decisiones por parte de la Sala Administrativa del Consejo Superior de la Judicatura, que permita mejorar el cumplimiento de las estrategias y metas proyectadas mediante el Plan Sectorial de Desarrollo de la Rama Judicial.</w:t>
      </w:r>
    </w:p>
    <w:p w:rsidR="00CE4C19" w:rsidRPr="009427D5" w:rsidRDefault="00CE4C19" w:rsidP="006401F4">
      <w:pPr>
        <w:pStyle w:val="Prrafodelista"/>
        <w:numPr>
          <w:ilvl w:val="3"/>
          <w:numId w:val="31"/>
        </w:numPr>
        <w:autoSpaceDE w:val="0"/>
        <w:autoSpaceDN w:val="0"/>
        <w:adjustRightInd w:val="0"/>
        <w:spacing w:after="0" w:line="240" w:lineRule="auto"/>
        <w:rPr>
          <w:rFonts w:ascii="Arial" w:hAnsi="Arial" w:cs="Arial"/>
          <w:i/>
          <w:color w:val="000000" w:themeColor="text1"/>
          <w:sz w:val="24"/>
          <w:szCs w:val="24"/>
        </w:rPr>
      </w:pPr>
      <w:r w:rsidRPr="009427D5">
        <w:rPr>
          <w:rFonts w:ascii="Arial" w:hAnsi="Arial" w:cs="Arial"/>
          <w:i/>
          <w:color w:val="000000" w:themeColor="text1"/>
          <w:sz w:val="24"/>
          <w:szCs w:val="24"/>
        </w:rPr>
        <w:t>Gestión Planes de Acción</w:t>
      </w:r>
    </w:p>
    <w:p w:rsidR="002A107D" w:rsidRDefault="002A107D" w:rsidP="002A107D">
      <w:pPr>
        <w:autoSpaceDE w:val="0"/>
        <w:autoSpaceDN w:val="0"/>
        <w:adjustRightInd w:val="0"/>
        <w:spacing w:after="0" w:line="240" w:lineRule="auto"/>
        <w:rPr>
          <w:rFonts w:ascii="Arial" w:hAnsi="Arial" w:cs="Arial"/>
          <w:i/>
          <w:color w:val="000000" w:themeColor="text1"/>
          <w:sz w:val="24"/>
          <w:szCs w:val="24"/>
        </w:rPr>
      </w:pPr>
    </w:p>
    <w:p w:rsidR="000276A7" w:rsidRPr="009427D5" w:rsidRDefault="000276A7" w:rsidP="002A107D">
      <w:pPr>
        <w:autoSpaceDE w:val="0"/>
        <w:autoSpaceDN w:val="0"/>
        <w:adjustRightInd w:val="0"/>
        <w:spacing w:after="0" w:line="240" w:lineRule="auto"/>
        <w:rPr>
          <w:rFonts w:ascii="Arial" w:hAnsi="Arial" w:cs="Arial"/>
          <w:i/>
          <w:color w:val="000000" w:themeColor="text1"/>
          <w:sz w:val="24"/>
          <w:szCs w:val="24"/>
        </w:rPr>
      </w:pPr>
    </w:p>
    <w:p w:rsidR="002A107D" w:rsidRPr="009427D5" w:rsidRDefault="002A107D" w:rsidP="002A107D">
      <w:pPr>
        <w:spacing w:line="240" w:lineRule="auto"/>
        <w:jc w:val="both"/>
        <w:rPr>
          <w:rFonts w:ascii="Arial" w:hAnsi="Arial" w:cs="Arial"/>
          <w:color w:val="000000" w:themeColor="text1"/>
          <w:sz w:val="24"/>
          <w:szCs w:val="24"/>
        </w:rPr>
      </w:pPr>
      <w:r w:rsidRPr="009427D5">
        <w:rPr>
          <w:rFonts w:ascii="Arial" w:hAnsi="Arial" w:cs="Arial"/>
          <w:color w:val="000000" w:themeColor="text1"/>
          <w:sz w:val="24"/>
          <w:szCs w:val="24"/>
        </w:rPr>
        <w:lastRenderedPageBreak/>
        <w:t>Hallazgo No. 3 Formulación y Seguimiento de Metas e Indicadores Planes de Acción.</w:t>
      </w:r>
    </w:p>
    <w:p w:rsidR="00CB6D96" w:rsidRPr="009427D5" w:rsidRDefault="00CB6D96" w:rsidP="00CB6D96">
      <w:pPr>
        <w:spacing w:after="0" w:line="240" w:lineRule="auto"/>
        <w:jc w:val="both"/>
        <w:rPr>
          <w:rFonts w:ascii="Arial" w:hAnsi="Arial" w:cs="Arial"/>
          <w:sz w:val="24"/>
          <w:szCs w:val="24"/>
        </w:rPr>
      </w:pPr>
      <w:r w:rsidRPr="009427D5">
        <w:rPr>
          <w:rFonts w:ascii="Arial" w:hAnsi="Arial" w:cs="Arial"/>
          <w:sz w:val="24"/>
          <w:szCs w:val="24"/>
        </w:rPr>
        <w:t>Luego de revisar el Plan de Acción de la Rama Judicial - vigencia 2011, el equipo auditor encontró problemas en la formulación de algunas metas e indicadores establecidos para los proyectos de inversión relacionados con la construcción, adquisición y/o adecuación de infraestructura física del sector, en especial, la construcción de sedes judiciales en diferentes ciudades del país</w:t>
      </w:r>
      <w:r w:rsidRPr="009427D5">
        <w:rPr>
          <w:rStyle w:val="Refdenotaalpie"/>
          <w:rFonts w:ascii="Arial" w:hAnsi="Arial" w:cs="Arial"/>
          <w:sz w:val="24"/>
          <w:szCs w:val="24"/>
        </w:rPr>
        <w:footnoteReference w:id="36"/>
      </w:r>
      <w:r w:rsidRPr="009427D5">
        <w:rPr>
          <w:rFonts w:ascii="Arial" w:hAnsi="Arial" w:cs="Arial"/>
          <w:sz w:val="24"/>
          <w:szCs w:val="24"/>
        </w:rPr>
        <w:t>, y la construcción y dotación de salas de audiencias para la implementación de la oralidad en las especialidades: contencioso administrativo, civil, familia y laboral.</w:t>
      </w:r>
    </w:p>
    <w:p w:rsidR="00CB6D96" w:rsidRPr="009427D5" w:rsidRDefault="00CB6D96" w:rsidP="00CB6D96">
      <w:pPr>
        <w:spacing w:after="0" w:line="240" w:lineRule="auto"/>
        <w:jc w:val="both"/>
        <w:rPr>
          <w:rFonts w:ascii="Arial" w:hAnsi="Arial" w:cs="Arial"/>
          <w:sz w:val="24"/>
          <w:szCs w:val="24"/>
        </w:rPr>
      </w:pPr>
    </w:p>
    <w:p w:rsidR="00CB6D96" w:rsidRPr="009427D5" w:rsidRDefault="00CB6D96" w:rsidP="00CB6D96">
      <w:pPr>
        <w:spacing w:after="0" w:line="240" w:lineRule="auto"/>
        <w:jc w:val="both"/>
        <w:rPr>
          <w:rFonts w:ascii="Arial" w:hAnsi="Arial" w:cs="Arial"/>
          <w:sz w:val="24"/>
          <w:szCs w:val="24"/>
        </w:rPr>
      </w:pPr>
      <w:r w:rsidRPr="009427D5">
        <w:rPr>
          <w:rFonts w:ascii="Arial" w:hAnsi="Arial" w:cs="Arial"/>
          <w:sz w:val="24"/>
          <w:szCs w:val="24"/>
        </w:rPr>
        <w:t>En la información entregada inicialmente por la Entidad</w:t>
      </w:r>
      <w:r w:rsidRPr="009427D5">
        <w:rPr>
          <w:rStyle w:val="Refdenotaalpie"/>
          <w:rFonts w:ascii="Arial" w:hAnsi="Arial" w:cs="Arial"/>
          <w:sz w:val="24"/>
          <w:szCs w:val="24"/>
        </w:rPr>
        <w:footnoteReference w:id="37"/>
      </w:r>
      <w:r w:rsidRPr="009427D5">
        <w:rPr>
          <w:rFonts w:ascii="Arial" w:hAnsi="Arial" w:cs="Arial"/>
          <w:sz w:val="24"/>
          <w:szCs w:val="24"/>
        </w:rPr>
        <w:t>, se observó que varias de las metas se formularon de una manera general y cualitativa, y además sin contar con indicadores adecuados que permitan una verificación precisa del avance de estos proyectos de inversión</w:t>
      </w:r>
      <w:r w:rsidR="009716B4" w:rsidRPr="009427D5">
        <w:rPr>
          <w:rFonts w:ascii="Arial" w:hAnsi="Arial" w:cs="Arial"/>
          <w:sz w:val="24"/>
          <w:szCs w:val="24"/>
        </w:rPr>
        <w:t xml:space="preserve">, conforme lo establece el parágrafo </w:t>
      </w:r>
      <w:r w:rsidR="008E62B0" w:rsidRPr="009427D5">
        <w:rPr>
          <w:rFonts w:ascii="Arial" w:hAnsi="Arial" w:cs="Arial"/>
          <w:sz w:val="24"/>
          <w:szCs w:val="24"/>
        </w:rPr>
        <w:t>1º, del A</w:t>
      </w:r>
      <w:r w:rsidR="009716B4" w:rsidRPr="009427D5">
        <w:rPr>
          <w:rFonts w:ascii="Arial" w:hAnsi="Arial" w:cs="Arial"/>
          <w:sz w:val="24"/>
          <w:szCs w:val="24"/>
        </w:rPr>
        <w:t>rtículo 4 de la Ley 872 de 2003</w:t>
      </w:r>
      <w:r w:rsidR="009716B4" w:rsidRPr="009427D5">
        <w:rPr>
          <w:rStyle w:val="Refdenotaalpie"/>
          <w:rFonts w:ascii="Arial" w:hAnsi="Arial" w:cs="Arial"/>
          <w:sz w:val="24"/>
          <w:szCs w:val="24"/>
        </w:rPr>
        <w:footnoteReference w:id="38"/>
      </w:r>
      <w:r w:rsidRPr="009427D5">
        <w:rPr>
          <w:rFonts w:ascii="Arial" w:hAnsi="Arial" w:cs="Arial"/>
          <w:sz w:val="24"/>
          <w:szCs w:val="24"/>
        </w:rPr>
        <w:t>. En el caso de los proyectos de construcción de sedes judiciales, no se contemplan los metros cuadrados de obra planeados y ejecutados al final de la vigencia. Y en los proyectos de salas de audiencias para la oralidad, no se establece el número de salas programadas y construidas.</w:t>
      </w:r>
    </w:p>
    <w:p w:rsidR="00CB6D96" w:rsidRPr="009427D5" w:rsidRDefault="00CB6D96" w:rsidP="00CB6D96">
      <w:pPr>
        <w:spacing w:after="0" w:line="240" w:lineRule="auto"/>
        <w:jc w:val="both"/>
        <w:rPr>
          <w:rFonts w:ascii="Arial" w:hAnsi="Arial" w:cs="Arial"/>
          <w:sz w:val="24"/>
          <w:szCs w:val="24"/>
        </w:rPr>
      </w:pPr>
    </w:p>
    <w:p w:rsidR="00CB6D96" w:rsidRPr="009427D5" w:rsidRDefault="00CB6D96" w:rsidP="00CB6D96">
      <w:pPr>
        <w:spacing w:after="0" w:line="240" w:lineRule="auto"/>
        <w:jc w:val="both"/>
        <w:rPr>
          <w:rFonts w:ascii="Arial" w:hAnsi="Arial" w:cs="Arial"/>
          <w:sz w:val="24"/>
          <w:szCs w:val="24"/>
        </w:rPr>
      </w:pPr>
      <w:r w:rsidRPr="009427D5">
        <w:rPr>
          <w:rFonts w:ascii="Arial" w:hAnsi="Arial" w:cs="Arial"/>
          <w:sz w:val="24"/>
          <w:szCs w:val="24"/>
        </w:rPr>
        <w:t>Después de recibir la presente observación de parte del equipo auditor, la Entidad entregó una información específica sobre indicadores y metas cuantitativas para dichos proyectos de inversión. Sin embargo, no se precisa si tal información efectivamente se encuentra incluida en el Plan de Acción - vigencia 2011, pues el archivo enviado al inicio de la actuación especial de la CGR (en hoja de cálculo Excel), posee las deficiencias anteriormente mencionadas.</w:t>
      </w:r>
    </w:p>
    <w:p w:rsidR="006E3843" w:rsidRDefault="006E3843" w:rsidP="00CB6D96">
      <w:pPr>
        <w:spacing w:after="0" w:line="240" w:lineRule="auto"/>
        <w:jc w:val="both"/>
        <w:rPr>
          <w:rFonts w:ascii="Arial" w:hAnsi="Arial" w:cs="Arial"/>
          <w:sz w:val="24"/>
          <w:szCs w:val="24"/>
        </w:rPr>
      </w:pPr>
    </w:p>
    <w:p w:rsidR="00CB6D96" w:rsidRPr="009427D5" w:rsidRDefault="00CB6D96" w:rsidP="00CB6D96">
      <w:pPr>
        <w:spacing w:after="0" w:line="240" w:lineRule="auto"/>
        <w:jc w:val="both"/>
        <w:rPr>
          <w:rFonts w:ascii="Arial" w:hAnsi="Arial" w:cs="Arial"/>
          <w:sz w:val="24"/>
          <w:szCs w:val="24"/>
        </w:rPr>
      </w:pPr>
      <w:r w:rsidRPr="009427D5">
        <w:rPr>
          <w:rFonts w:ascii="Arial" w:hAnsi="Arial" w:cs="Arial"/>
          <w:sz w:val="24"/>
          <w:szCs w:val="24"/>
        </w:rPr>
        <w:t>Igualmente, la Entidad manifestó que las metas, indicadores y porcentajes de avance de estos proyectos de inversión, se detallan en el documento denominado: “Informe Parcial de Evaluación y Seguimiento. Plan Sectorial de Desarrollo de la Rama Judicial 2011-2012”. Este hecho muestra la labor de monitoreo y seguimiento a las actividades programadas realizada por la Entidad. No obstante, el equipo auditor señala de nuevo la importancia de incorporar esta información de manera centralizada en el Plan de Acción de la vigencia.</w:t>
      </w:r>
    </w:p>
    <w:p w:rsidR="00CB6D96" w:rsidRPr="009427D5" w:rsidRDefault="00CB6D96" w:rsidP="00CB6D96">
      <w:pPr>
        <w:spacing w:after="0" w:line="240" w:lineRule="auto"/>
        <w:jc w:val="both"/>
        <w:rPr>
          <w:rFonts w:ascii="Arial" w:hAnsi="Arial" w:cs="Arial"/>
          <w:sz w:val="24"/>
          <w:szCs w:val="24"/>
        </w:rPr>
      </w:pPr>
      <w:r w:rsidRPr="009427D5">
        <w:rPr>
          <w:rFonts w:ascii="Arial" w:hAnsi="Arial" w:cs="Arial"/>
          <w:sz w:val="24"/>
          <w:szCs w:val="24"/>
        </w:rPr>
        <w:lastRenderedPageBreak/>
        <w:t>Por otro lado, el equipo auditor encontró que el Plan de Acción - vigencia 2010 entregado inicialmente por la Entidad</w:t>
      </w:r>
      <w:r w:rsidRPr="009427D5">
        <w:rPr>
          <w:rStyle w:val="Refdenotaalpie"/>
          <w:rFonts w:ascii="Arial" w:hAnsi="Arial" w:cs="Arial"/>
          <w:sz w:val="24"/>
          <w:szCs w:val="24"/>
        </w:rPr>
        <w:footnoteReference w:id="39"/>
      </w:r>
      <w:r w:rsidRPr="009427D5">
        <w:rPr>
          <w:rFonts w:ascii="Arial" w:hAnsi="Arial" w:cs="Arial"/>
          <w:sz w:val="24"/>
          <w:szCs w:val="24"/>
        </w:rPr>
        <w:t>, cuenta únicamente con información sobre sobre los recursos proyectados en el Plan Sectorial de Desarrollo de la Rama Judicial 2007-2010, para cada uno de los objetivos estratégicos, programas y proyectos de inversión del sector, sin embargo, no contiene información acerca de la apropiación y ejecución presupuestal y tampoco sobre las metas, indicadores y porcentajes de avance de los proyectos.</w:t>
      </w:r>
    </w:p>
    <w:p w:rsidR="00CB6D96" w:rsidRPr="009427D5" w:rsidRDefault="00CB6D96" w:rsidP="00CB6D96">
      <w:pPr>
        <w:spacing w:after="0" w:line="240" w:lineRule="auto"/>
        <w:jc w:val="both"/>
        <w:rPr>
          <w:rFonts w:ascii="Arial" w:hAnsi="Arial" w:cs="Arial"/>
          <w:sz w:val="24"/>
          <w:szCs w:val="24"/>
        </w:rPr>
      </w:pPr>
    </w:p>
    <w:p w:rsidR="000A33F5" w:rsidRPr="009427D5" w:rsidRDefault="00CB6D96" w:rsidP="00CB6D96">
      <w:pPr>
        <w:spacing w:after="0" w:line="240" w:lineRule="auto"/>
        <w:jc w:val="both"/>
        <w:rPr>
          <w:rFonts w:ascii="Arial" w:hAnsi="Arial" w:cs="Arial"/>
          <w:sz w:val="24"/>
          <w:szCs w:val="24"/>
        </w:rPr>
      </w:pPr>
      <w:r w:rsidRPr="009427D5">
        <w:rPr>
          <w:rFonts w:ascii="Arial" w:hAnsi="Arial" w:cs="Arial"/>
          <w:sz w:val="24"/>
          <w:szCs w:val="24"/>
        </w:rPr>
        <w:t>Sobre este punto, la Entidad manifestó que la información requerida se encuentra en el Informe al Congreso 2009-2010 (Capítulo 3.), en lo relacionado con los logros alcanzados en materia de eficiencia, donde se describen las metas, indicadores y avances físicos de los proyectos. De igual forma, señaló que el seguimiento y monitoreo a la ejecución de las inversiones del Plan, efectuado por cada una de las unidades responsables, se detalla en el documento “Informe Consolidado. Plan Sectorial de Desarrollo 2007-2010” (sin embargo, este no ha sido entregado a la CGR)</w:t>
      </w:r>
      <w:r w:rsidR="000A33F5" w:rsidRPr="009427D5">
        <w:rPr>
          <w:rFonts w:ascii="Arial" w:hAnsi="Arial" w:cs="Arial"/>
          <w:sz w:val="24"/>
          <w:szCs w:val="24"/>
        </w:rPr>
        <w:t>.</w:t>
      </w:r>
    </w:p>
    <w:p w:rsidR="000A33F5" w:rsidRPr="009427D5" w:rsidRDefault="000A33F5" w:rsidP="00CB6D96">
      <w:pPr>
        <w:spacing w:after="0" w:line="240" w:lineRule="auto"/>
        <w:jc w:val="both"/>
        <w:rPr>
          <w:rFonts w:ascii="Arial" w:hAnsi="Arial" w:cs="Arial"/>
          <w:sz w:val="24"/>
          <w:szCs w:val="24"/>
        </w:rPr>
      </w:pPr>
    </w:p>
    <w:p w:rsidR="00CB6D96" w:rsidRPr="009427D5" w:rsidRDefault="00CB6D96" w:rsidP="00CB6D96">
      <w:pPr>
        <w:spacing w:after="0" w:line="240" w:lineRule="auto"/>
        <w:jc w:val="both"/>
        <w:rPr>
          <w:rFonts w:ascii="Arial" w:hAnsi="Arial" w:cs="Arial"/>
          <w:sz w:val="24"/>
          <w:szCs w:val="24"/>
        </w:rPr>
      </w:pPr>
      <w:r w:rsidRPr="009427D5">
        <w:rPr>
          <w:rFonts w:ascii="Arial" w:hAnsi="Arial" w:cs="Arial"/>
          <w:sz w:val="24"/>
          <w:szCs w:val="24"/>
        </w:rPr>
        <w:t xml:space="preserve">Por tal razón, el equipo auditor </w:t>
      </w:r>
      <w:r w:rsidR="008D0009" w:rsidRPr="009427D5">
        <w:rPr>
          <w:rFonts w:ascii="Arial" w:hAnsi="Arial" w:cs="Arial"/>
          <w:sz w:val="24"/>
          <w:szCs w:val="24"/>
        </w:rPr>
        <w:t>persiste</w:t>
      </w:r>
      <w:r w:rsidRPr="009427D5">
        <w:rPr>
          <w:rFonts w:ascii="Arial" w:hAnsi="Arial" w:cs="Arial"/>
          <w:sz w:val="24"/>
          <w:szCs w:val="24"/>
        </w:rPr>
        <w:t xml:space="preserve"> en señalar que dicha información debe estar incorporada en el Plan de Acción - vigencia 2010, al ser este el mecanismo indicado para realizar la evaluación de las actividades y resultados dirigidos al cumplimiento de los objetivos de los Planes Sectoriales de Desarrollo.</w:t>
      </w:r>
    </w:p>
    <w:p w:rsidR="00A54EF3" w:rsidRPr="009427D5" w:rsidRDefault="00A54EF3" w:rsidP="00313F6F">
      <w:pPr>
        <w:autoSpaceDE w:val="0"/>
        <w:autoSpaceDN w:val="0"/>
        <w:adjustRightInd w:val="0"/>
        <w:spacing w:after="0" w:line="240" w:lineRule="auto"/>
        <w:rPr>
          <w:rFonts w:ascii="Arial" w:hAnsi="Arial" w:cs="Arial"/>
          <w:b/>
          <w:color w:val="FF0000"/>
          <w:sz w:val="24"/>
          <w:szCs w:val="24"/>
        </w:rPr>
      </w:pPr>
    </w:p>
    <w:p w:rsidR="00CE4C19" w:rsidRPr="009427D5" w:rsidRDefault="00FC4DE1" w:rsidP="00313F6F">
      <w:pPr>
        <w:autoSpaceDE w:val="0"/>
        <w:autoSpaceDN w:val="0"/>
        <w:adjustRightInd w:val="0"/>
        <w:spacing w:after="0" w:line="240" w:lineRule="auto"/>
        <w:rPr>
          <w:rFonts w:ascii="Arial" w:hAnsi="Arial" w:cs="Arial"/>
          <w:i/>
          <w:color w:val="000000" w:themeColor="text1"/>
          <w:sz w:val="24"/>
          <w:szCs w:val="24"/>
        </w:rPr>
      </w:pPr>
      <w:r w:rsidRPr="009427D5">
        <w:rPr>
          <w:rFonts w:ascii="Arial" w:hAnsi="Arial" w:cs="Arial"/>
          <w:i/>
          <w:color w:val="000000" w:themeColor="text1"/>
          <w:sz w:val="24"/>
          <w:szCs w:val="24"/>
        </w:rPr>
        <w:t xml:space="preserve">2.2.2.4 </w:t>
      </w:r>
      <w:r w:rsidR="00CE4C19" w:rsidRPr="009427D5">
        <w:rPr>
          <w:rFonts w:ascii="Arial" w:hAnsi="Arial" w:cs="Arial"/>
          <w:i/>
          <w:color w:val="000000" w:themeColor="text1"/>
          <w:sz w:val="24"/>
          <w:szCs w:val="24"/>
        </w:rPr>
        <w:t>Gestión Tiempos y Costos Procesales</w:t>
      </w:r>
    </w:p>
    <w:p w:rsidR="00C503DA" w:rsidRPr="009427D5" w:rsidRDefault="00C503DA" w:rsidP="00313F6F">
      <w:pPr>
        <w:autoSpaceDE w:val="0"/>
        <w:autoSpaceDN w:val="0"/>
        <w:adjustRightInd w:val="0"/>
        <w:spacing w:after="0" w:line="240" w:lineRule="auto"/>
        <w:rPr>
          <w:rFonts w:ascii="Arial" w:hAnsi="Arial" w:cs="Arial"/>
          <w:i/>
          <w:color w:val="000000" w:themeColor="text1"/>
          <w:sz w:val="24"/>
          <w:szCs w:val="24"/>
        </w:rPr>
      </w:pPr>
    </w:p>
    <w:p w:rsidR="00CB6D96" w:rsidRPr="009427D5" w:rsidRDefault="00CB6D96" w:rsidP="00CB6D96">
      <w:pPr>
        <w:spacing w:after="0" w:line="240" w:lineRule="auto"/>
        <w:jc w:val="both"/>
        <w:rPr>
          <w:rFonts w:ascii="Arial" w:hAnsi="Arial" w:cs="Arial"/>
          <w:sz w:val="24"/>
          <w:szCs w:val="24"/>
        </w:rPr>
      </w:pPr>
      <w:r w:rsidRPr="009427D5">
        <w:rPr>
          <w:rFonts w:ascii="Arial" w:hAnsi="Arial" w:cs="Arial"/>
          <w:sz w:val="24"/>
          <w:szCs w:val="24"/>
        </w:rPr>
        <w:t>El equipo auditor solicitó a la Sala Administrativa del CSJ, información sobre estudios de tiempos y costos procesales relacionados con la implementación de la oralidad en las diferentes jurisdicciones y especialidades, entre 2010 y 2013. Ello con el fin de verificar resultados en términos de eficacia y eficiencia, generados por la aplicación de dicho modelo, por lo cual, se constituye en un insumo indispensable para los procesos de planeación y toma de decisiones.</w:t>
      </w:r>
    </w:p>
    <w:p w:rsidR="00CB6D96" w:rsidRPr="009427D5" w:rsidRDefault="00CB6D96" w:rsidP="00CB6D96">
      <w:pPr>
        <w:spacing w:after="0" w:line="240" w:lineRule="auto"/>
        <w:jc w:val="both"/>
        <w:rPr>
          <w:rFonts w:ascii="Arial" w:hAnsi="Arial" w:cs="Arial"/>
          <w:sz w:val="24"/>
          <w:szCs w:val="24"/>
        </w:rPr>
      </w:pPr>
    </w:p>
    <w:p w:rsidR="00CB6D96" w:rsidRPr="009427D5" w:rsidRDefault="00CB6D96" w:rsidP="00CB6D96">
      <w:pPr>
        <w:spacing w:after="0" w:line="240" w:lineRule="auto"/>
        <w:jc w:val="both"/>
        <w:rPr>
          <w:rFonts w:ascii="Arial" w:hAnsi="Arial" w:cs="Arial"/>
          <w:sz w:val="24"/>
          <w:szCs w:val="24"/>
        </w:rPr>
      </w:pPr>
      <w:r w:rsidRPr="009427D5">
        <w:rPr>
          <w:rFonts w:ascii="Arial" w:hAnsi="Arial" w:cs="Arial"/>
          <w:sz w:val="24"/>
          <w:szCs w:val="24"/>
        </w:rPr>
        <w:t>Al respecto, la Entidad manifestó inicialmente que el último estudio de tiempos procesales se realizó en la vigencia 2010</w:t>
      </w:r>
      <w:r w:rsidRPr="009427D5">
        <w:rPr>
          <w:rStyle w:val="Refdenotaalpie"/>
          <w:rFonts w:ascii="Arial" w:hAnsi="Arial" w:cs="Arial"/>
          <w:sz w:val="24"/>
          <w:szCs w:val="24"/>
        </w:rPr>
        <w:footnoteReference w:id="40"/>
      </w:r>
      <w:r w:rsidRPr="009427D5">
        <w:rPr>
          <w:rFonts w:ascii="Arial" w:hAnsi="Arial" w:cs="Arial"/>
          <w:sz w:val="24"/>
          <w:szCs w:val="24"/>
        </w:rPr>
        <w:t>, arrojando tiempos promedio (medidos en días) por especialidad, que comprenden la duración entre el ingreso de un proceso a un despacho judicial y su salida del mismo</w:t>
      </w:r>
      <w:r w:rsidR="0078422C" w:rsidRPr="009427D5">
        <w:rPr>
          <w:rStyle w:val="Refdenotaalpie"/>
          <w:rFonts w:ascii="Arial" w:hAnsi="Arial" w:cs="Arial"/>
          <w:sz w:val="24"/>
          <w:szCs w:val="24"/>
        </w:rPr>
        <w:footnoteReference w:id="41"/>
      </w:r>
      <w:r w:rsidRPr="009427D5">
        <w:rPr>
          <w:rFonts w:ascii="Arial" w:hAnsi="Arial" w:cs="Arial"/>
          <w:sz w:val="24"/>
          <w:szCs w:val="24"/>
        </w:rPr>
        <w:t>. Y con relación a las vigencias 2011, 2012 y 2013, indicó que no se han efectuado dichos estudios, pues se declararon desiertos los procesos contractuales dirigidos a este propósito</w:t>
      </w:r>
      <w:r w:rsidRPr="009427D5">
        <w:rPr>
          <w:rStyle w:val="Refdenotaalpie"/>
          <w:rFonts w:ascii="Arial" w:hAnsi="Arial" w:cs="Arial"/>
          <w:sz w:val="24"/>
          <w:szCs w:val="24"/>
        </w:rPr>
        <w:footnoteReference w:id="42"/>
      </w:r>
      <w:r w:rsidRPr="009427D5">
        <w:rPr>
          <w:rFonts w:ascii="Arial" w:hAnsi="Arial" w:cs="Arial"/>
          <w:sz w:val="24"/>
          <w:szCs w:val="24"/>
        </w:rPr>
        <w:t>, al no recibirse ofertas por parte de ningún proponente.</w:t>
      </w:r>
    </w:p>
    <w:p w:rsidR="00CB6D96" w:rsidRPr="009427D5" w:rsidRDefault="00CB6D96" w:rsidP="00CB6D96">
      <w:pPr>
        <w:spacing w:after="0" w:line="240" w:lineRule="auto"/>
        <w:jc w:val="both"/>
        <w:rPr>
          <w:rFonts w:ascii="Arial" w:hAnsi="Arial" w:cs="Arial"/>
          <w:sz w:val="24"/>
          <w:szCs w:val="24"/>
        </w:rPr>
      </w:pPr>
      <w:r w:rsidRPr="009427D5">
        <w:rPr>
          <w:rFonts w:ascii="Arial" w:hAnsi="Arial" w:cs="Arial"/>
          <w:sz w:val="24"/>
          <w:szCs w:val="24"/>
        </w:rPr>
        <w:lastRenderedPageBreak/>
        <w:t>Luego de recibir la presente observación del equipo auditor, la Entidad señaló la existencia de otros motivos, por los cuales, no cuentan con estos estudios, pese a estar contemplados en uno de los proyectos del Plan Sectorial de Desarrollo de la Rama Judicial 2011-2014, denominado “Seguimiento de medición de tiempos en oralidad y estandarización de tiempos a partir de muestreos y estudios de caso”, con partidas presupuestales proyectadas para las vigencias 2012 y 2014. Pues dado que el proceso contractual para la selección de oferentes se declaró desierto, se solicitaron vigencias futuras para su realización en la vigencia 2013, pero estas no fueron aprobadas por el Ministerio de Hacienda</w:t>
      </w:r>
      <w:r w:rsidR="00E86B02" w:rsidRPr="009427D5">
        <w:rPr>
          <w:rFonts w:ascii="Arial" w:hAnsi="Arial" w:cs="Arial"/>
          <w:sz w:val="24"/>
          <w:szCs w:val="24"/>
        </w:rPr>
        <w:t xml:space="preserve"> y Crédito Público</w:t>
      </w:r>
      <w:r w:rsidRPr="009427D5">
        <w:rPr>
          <w:rFonts w:ascii="Arial" w:hAnsi="Arial" w:cs="Arial"/>
          <w:sz w:val="24"/>
          <w:szCs w:val="24"/>
        </w:rPr>
        <w:t>.</w:t>
      </w:r>
    </w:p>
    <w:p w:rsidR="00CB6D96" w:rsidRPr="009427D5" w:rsidRDefault="00CB6D96" w:rsidP="00CB6D96">
      <w:pPr>
        <w:spacing w:after="0" w:line="240" w:lineRule="auto"/>
        <w:jc w:val="both"/>
        <w:rPr>
          <w:rFonts w:ascii="Arial" w:hAnsi="Arial" w:cs="Arial"/>
          <w:sz w:val="24"/>
          <w:szCs w:val="24"/>
        </w:rPr>
      </w:pPr>
    </w:p>
    <w:p w:rsidR="00CB6D96" w:rsidRPr="009427D5" w:rsidRDefault="00CB6D96" w:rsidP="00CB6D96">
      <w:pPr>
        <w:spacing w:after="0" w:line="240" w:lineRule="auto"/>
        <w:jc w:val="both"/>
        <w:rPr>
          <w:rFonts w:ascii="Arial" w:hAnsi="Arial" w:cs="Arial"/>
          <w:sz w:val="24"/>
          <w:szCs w:val="24"/>
        </w:rPr>
      </w:pPr>
      <w:r w:rsidRPr="009427D5">
        <w:rPr>
          <w:rFonts w:ascii="Arial" w:hAnsi="Arial" w:cs="Arial"/>
          <w:sz w:val="24"/>
          <w:szCs w:val="24"/>
        </w:rPr>
        <w:t>Igualmente, precisó que en la vigencia 2014 se aprobaron los recursos para este componente del Plan de Inversiones, mediante Acuerdo PSAA14-10085 de la Sala Administrativa del CSJ. Sin embargo, a la fecha el Gobierno Nacional no ha situado dichos recursos, por lo cual, el proyecto se encuentra “sin situación de fondos” y no ha podido adelantarse ninguna de las actividades programadas.</w:t>
      </w:r>
    </w:p>
    <w:p w:rsidR="00CB6D96" w:rsidRPr="009427D5" w:rsidRDefault="00CB6D96" w:rsidP="00CB6D96">
      <w:pPr>
        <w:spacing w:after="0" w:line="240" w:lineRule="auto"/>
        <w:jc w:val="both"/>
        <w:rPr>
          <w:rFonts w:ascii="Arial" w:hAnsi="Arial" w:cs="Arial"/>
          <w:sz w:val="24"/>
          <w:szCs w:val="24"/>
        </w:rPr>
      </w:pPr>
    </w:p>
    <w:p w:rsidR="00CB6D96" w:rsidRPr="009427D5" w:rsidRDefault="00CB6D96" w:rsidP="00CB6D96">
      <w:pPr>
        <w:spacing w:after="0" w:line="240" w:lineRule="auto"/>
        <w:jc w:val="both"/>
        <w:rPr>
          <w:rFonts w:ascii="Arial" w:hAnsi="Arial" w:cs="Arial"/>
          <w:sz w:val="24"/>
          <w:szCs w:val="24"/>
        </w:rPr>
      </w:pPr>
      <w:r w:rsidRPr="009427D5">
        <w:rPr>
          <w:rFonts w:ascii="Arial" w:hAnsi="Arial" w:cs="Arial"/>
          <w:sz w:val="24"/>
          <w:szCs w:val="24"/>
        </w:rPr>
        <w:t>Dado que se han presentado una serie de situaciones externas a la gestión de la Entidad, por las cuales, no han podido realizarse estos estudios, el equipo auditor considera que no existe suficiente mérito para constituir hallazgo administrativo. Sin embargo, señala que dada la importancia estratégica de dichos estudios para evaluar las fortalezas y dificultades en la implementación del modelo oral en cada una de las jurisdicciones y especialidades, resulta indispensable que la Entidad continúe adelantando las gestiones pertinentes ante el Gobierno Nacional, con el fin de contar con estos estudios en el menor tiempo posible.</w:t>
      </w:r>
    </w:p>
    <w:p w:rsidR="00CB6D96" w:rsidRPr="009427D5" w:rsidRDefault="00CB6D96" w:rsidP="00CB6D96">
      <w:pPr>
        <w:spacing w:after="0" w:line="240" w:lineRule="auto"/>
        <w:jc w:val="both"/>
        <w:rPr>
          <w:rFonts w:ascii="Arial" w:hAnsi="Arial" w:cs="Arial"/>
          <w:sz w:val="24"/>
          <w:szCs w:val="24"/>
        </w:rPr>
      </w:pPr>
    </w:p>
    <w:p w:rsidR="00CE4C19" w:rsidRPr="009427D5" w:rsidRDefault="007A18A9" w:rsidP="00313F6F">
      <w:pPr>
        <w:autoSpaceDE w:val="0"/>
        <w:autoSpaceDN w:val="0"/>
        <w:adjustRightInd w:val="0"/>
        <w:spacing w:after="0" w:line="240" w:lineRule="auto"/>
        <w:rPr>
          <w:rFonts w:ascii="Arial" w:hAnsi="Arial" w:cs="Arial"/>
          <w:i/>
          <w:color w:val="000000" w:themeColor="text1"/>
          <w:sz w:val="24"/>
          <w:szCs w:val="24"/>
        </w:rPr>
      </w:pPr>
      <w:r w:rsidRPr="009427D5">
        <w:rPr>
          <w:rFonts w:ascii="Arial" w:hAnsi="Arial" w:cs="Arial"/>
          <w:i/>
          <w:color w:val="000000" w:themeColor="text1"/>
          <w:sz w:val="24"/>
          <w:szCs w:val="24"/>
        </w:rPr>
        <w:t xml:space="preserve">2.2.2.5 </w:t>
      </w:r>
      <w:r w:rsidR="009F0E9E" w:rsidRPr="009427D5">
        <w:rPr>
          <w:rFonts w:ascii="Arial" w:hAnsi="Arial" w:cs="Arial"/>
          <w:i/>
          <w:color w:val="000000" w:themeColor="text1"/>
          <w:sz w:val="24"/>
          <w:szCs w:val="24"/>
        </w:rPr>
        <w:t>Gestión Contractual</w:t>
      </w:r>
    </w:p>
    <w:p w:rsidR="00CE4C19" w:rsidRPr="009427D5" w:rsidRDefault="00CE4C19" w:rsidP="002B1BA8">
      <w:pPr>
        <w:autoSpaceDE w:val="0"/>
        <w:autoSpaceDN w:val="0"/>
        <w:adjustRightInd w:val="0"/>
        <w:spacing w:after="0" w:line="240" w:lineRule="auto"/>
        <w:rPr>
          <w:rFonts w:ascii="Helvetica-Oblique" w:hAnsi="Helvetica-Oblique" w:cs="Helvetica-Oblique"/>
          <w:i/>
          <w:iCs/>
          <w:sz w:val="24"/>
          <w:szCs w:val="24"/>
        </w:rPr>
      </w:pPr>
    </w:p>
    <w:p w:rsidR="00EF6DE3" w:rsidRPr="009427D5" w:rsidRDefault="00EF6DE3" w:rsidP="002B1BA8">
      <w:pPr>
        <w:autoSpaceDE w:val="0"/>
        <w:autoSpaceDN w:val="0"/>
        <w:adjustRightInd w:val="0"/>
        <w:spacing w:after="0" w:line="240" w:lineRule="auto"/>
        <w:jc w:val="both"/>
        <w:rPr>
          <w:rFonts w:ascii="Helvetica" w:hAnsi="Helvetica" w:cs="Helvetica"/>
          <w:sz w:val="24"/>
          <w:szCs w:val="24"/>
        </w:rPr>
      </w:pPr>
      <w:r w:rsidRPr="009427D5">
        <w:rPr>
          <w:rFonts w:ascii="Helvetica" w:hAnsi="Helvetica" w:cs="Helvetica"/>
          <w:sz w:val="24"/>
          <w:szCs w:val="24"/>
        </w:rPr>
        <w:t xml:space="preserve">Se verificó el cumplimiento de los objetos contractuales celebrados para ejecutar los proyectos de inversión seleccionados, </w:t>
      </w:r>
      <w:r w:rsidR="00A158FA" w:rsidRPr="009427D5">
        <w:rPr>
          <w:rFonts w:ascii="Helvetica" w:hAnsi="Helvetica" w:cs="Helvetica"/>
          <w:sz w:val="24"/>
          <w:szCs w:val="24"/>
        </w:rPr>
        <w:t>suscritos</w:t>
      </w:r>
      <w:r w:rsidRPr="009427D5">
        <w:rPr>
          <w:rFonts w:ascii="Helvetica" w:hAnsi="Helvetica" w:cs="Helvetica"/>
          <w:sz w:val="24"/>
          <w:szCs w:val="24"/>
        </w:rPr>
        <w:t xml:space="preserve"> por el Consejo Superior de la Judicatura, durante las vigencias 2010 – 2013.</w:t>
      </w:r>
    </w:p>
    <w:p w:rsidR="00EF6DE3" w:rsidRPr="009427D5" w:rsidRDefault="00EF6DE3" w:rsidP="002B1BA8">
      <w:pPr>
        <w:autoSpaceDE w:val="0"/>
        <w:autoSpaceDN w:val="0"/>
        <w:adjustRightInd w:val="0"/>
        <w:spacing w:after="0" w:line="240" w:lineRule="auto"/>
        <w:jc w:val="both"/>
        <w:rPr>
          <w:rFonts w:ascii="Helvetica" w:hAnsi="Helvetica" w:cs="Helvetica"/>
          <w:sz w:val="24"/>
          <w:szCs w:val="24"/>
        </w:rPr>
      </w:pPr>
    </w:p>
    <w:p w:rsidR="00EF6DE3" w:rsidRPr="009427D5" w:rsidRDefault="00EF6DE3" w:rsidP="002B1BA8">
      <w:pPr>
        <w:autoSpaceDE w:val="0"/>
        <w:autoSpaceDN w:val="0"/>
        <w:adjustRightInd w:val="0"/>
        <w:spacing w:after="0" w:line="240" w:lineRule="auto"/>
        <w:jc w:val="both"/>
        <w:rPr>
          <w:rFonts w:ascii="Helvetica" w:hAnsi="Helvetica" w:cs="Helvetica"/>
          <w:sz w:val="24"/>
          <w:szCs w:val="24"/>
        </w:rPr>
      </w:pPr>
      <w:r w:rsidRPr="009427D5">
        <w:rPr>
          <w:rFonts w:ascii="Helvetica" w:hAnsi="Helvetica" w:cs="Helvetica"/>
          <w:sz w:val="24"/>
          <w:szCs w:val="24"/>
        </w:rPr>
        <w:t>Se examinaron 18 contratos por valor de $70.702.6 millones, de los 136 suscritos por $336.079,23 millones que corresponden a 21% de los recursos invertidos.</w:t>
      </w:r>
    </w:p>
    <w:p w:rsidR="00EF6DE3" w:rsidRPr="009427D5" w:rsidRDefault="00EF6DE3" w:rsidP="002B1BA8">
      <w:pPr>
        <w:autoSpaceDE w:val="0"/>
        <w:autoSpaceDN w:val="0"/>
        <w:adjustRightInd w:val="0"/>
        <w:spacing w:after="0" w:line="240" w:lineRule="auto"/>
        <w:jc w:val="both"/>
        <w:rPr>
          <w:rFonts w:ascii="Helvetica" w:hAnsi="Helvetica" w:cs="Helvetica"/>
          <w:sz w:val="24"/>
          <w:szCs w:val="24"/>
        </w:rPr>
      </w:pPr>
    </w:p>
    <w:p w:rsidR="002B1BA8" w:rsidRPr="009427D5" w:rsidRDefault="002B1BA8" w:rsidP="002B1BA8">
      <w:pPr>
        <w:autoSpaceDE w:val="0"/>
        <w:autoSpaceDN w:val="0"/>
        <w:adjustRightInd w:val="0"/>
        <w:spacing w:after="0" w:line="240" w:lineRule="auto"/>
        <w:jc w:val="both"/>
        <w:rPr>
          <w:rFonts w:ascii="Arial" w:hAnsi="Arial" w:cs="Arial"/>
          <w:b/>
          <w:sz w:val="24"/>
          <w:szCs w:val="24"/>
        </w:rPr>
      </w:pPr>
      <w:r w:rsidRPr="009427D5">
        <w:rPr>
          <w:rFonts w:ascii="Arial" w:hAnsi="Arial" w:cs="Arial"/>
          <w:sz w:val="24"/>
          <w:szCs w:val="24"/>
        </w:rPr>
        <w:t>Hallazgo No. 4 Planeación y Coordinación Contractual</w:t>
      </w:r>
      <w:r w:rsidRPr="009427D5">
        <w:rPr>
          <w:rFonts w:ascii="Arial" w:hAnsi="Arial" w:cs="Arial"/>
          <w:b/>
          <w:sz w:val="24"/>
          <w:szCs w:val="24"/>
        </w:rPr>
        <w:t xml:space="preserve">. </w:t>
      </w:r>
    </w:p>
    <w:p w:rsidR="002B1BA8" w:rsidRPr="009427D5" w:rsidRDefault="002B1BA8" w:rsidP="002B1BA8">
      <w:pPr>
        <w:spacing w:after="0" w:line="240" w:lineRule="auto"/>
        <w:jc w:val="both"/>
        <w:rPr>
          <w:rFonts w:ascii="Arial" w:hAnsi="Arial" w:cs="Arial"/>
          <w:sz w:val="24"/>
          <w:szCs w:val="24"/>
        </w:rPr>
      </w:pPr>
    </w:p>
    <w:p w:rsidR="002B1BA8" w:rsidRPr="009427D5" w:rsidRDefault="002B1BA8" w:rsidP="002B1BA8">
      <w:pPr>
        <w:spacing w:after="0" w:line="240" w:lineRule="auto"/>
        <w:jc w:val="both"/>
        <w:rPr>
          <w:rFonts w:ascii="Arial" w:hAnsi="Arial" w:cs="Arial"/>
          <w:sz w:val="24"/>
          <w:szCs w:val="24"/>
        </w:rPr>
      </w:pPr>
      <w:r w:rsidRPr="009427D5">
        <w:rPr>
          <w:rFonts w:ascii="Arial" w:hAnsi="Arial" w:cs="Arial"/>
          <w:sz w:val="24"/>
          <w:szCs w:val="24"/>
        </w:rPr>
        <w:t>La ejecución contractual del Consejo Superior de la Judicatura presenta debilidades en el tema de coordinación de la obras de infraestructura con la instalación tecnológica y con la logística necesaria para ejecutar las obras, como la necesidad de reubicación temporal de los ocupantes de los inmuebles objeto de las obras; que eventualmente puede generar retrasos en el cumplimiento del objeto del contrato, como se puede evidenciar en los siguientes contratos:</w:t>
      </w:r>
    </w:p>
    <w:p w:rsidR="002B1BA8" w:rsidRPr="009427D5" w:rsidRDefault="002B1BA8" w:rsidP="003C4B29">
      <w:pPr>
        <w:spacing w:after="0" w:line="240" w:lineRule="auto"/>
        <w:jc w:val="both"/>
        <w:rPr>
          <w:rFonts w:ascii="Arial" w:hAnsi="Arial" w:cs="Arial"/>
          <w:sz w:val="24"/>
          <w:szCs w:val="24"/>
        </w:rPr>
      </w:pPr>
    </w:p>
    <w:p w:rsidR="00A158FA" w:rsidRPr="0036031F" w:rsidRDefault="00A158FA" w:rsidP="003C4B29">
      <w:pPr>
        <w:spacing w:after="0" w:line="240" w:lineRule="auto"/>
        <w:jc w:val="center"/>
        <w:rPr>
          <w:rFonts w:ascii="Arial" w:hAnsi="Arial" w:cs="Arial"/>
          <w:b/>
          <w:sz w:val="16"/>
          <w:szCs w:val="16"/>
        </w:rPr>
      </w:pPr>
      <w:r w:rsidRPr="0036031F">
        <w:rPr>
          <w:rFonts w:ascii="Arial" w:hAnsi="Arial" w:cs="Arial"/>
          <w:b/>
          <w:sz w:val="16"/>
          <w:szCs w:val="16"/>
        </w:rPr>
        <w:lastRenderedPageBreak/>
        <w:t>Tabla No</w:t>
      </w:r>
      <w:r w:rsidR="00BB164E" w:rsidRPr="0036031F">
        <w:rPr>
          <w:rFonts w:ascii="Arial" w:hAnsi="Arial" w:cs="Arial"/>
          <w:b/>
          <w:sz w:val="16"/>
          <w:szCs w:val="16"/>
        </w:rPr>
        <w:t>. 12</w:t>
      </w:r>
      <w:r w:rsidRPr="0036031F">
        <w:rPr>
          <w:rFonts w:ascii="Arial" w:hAnsi="Arial" w:cs="Arial"/>
          <w:b/>
          <w:sz w:val="16"/>
          <w:szCs w:val="16"/>
        </w:rPr>
        <w:t>.</w:t>
      </w:r>
      <w:r w:rsidR="00BB164E" w:rsidRPr="0036031F">
        <w:rPr>
          <w:rFonts w:ascii="Arial" w:hAnsi="Arial" w:cs="Arial"/>
          <w:b/>
          <w:sz w:val="16"/>
          <w:szCs w:val="16"/>
        </w:rPr>
        <w:t xml:space="preserve"> </w:t>
      </w:r>
      <w:r w:rsidRPr="0036031F">
        <w:rPr>
          <w:rFonts w:ascii="Arial" w:hAnsi="Arial" w:cs="Arial"/>
          <w:b/>
          <w:sz w:val="16"/>
          <w:szCs w:val="16"/>
        </w:rPr>
        <w:t xml:space="preserve">Relación Contratos con Debilidades en Planeación y Coordinación 2010-2013 </w:t>
      </w:r>
    </w:p>
    <w:tbl>
      <w:tblPr>
        <w:tblStyle w:val="Tablaconcuadrcula"/>
        <w:tblW w:w="0" w:type="auto"/>
        <w:tblLook w:val="04A0" w:firstRow="1" w:lastRow="0" w:firstColumn="1" w:lastColumn="0" w:noHBand="0" w:noVBand="1"/>
      </w:tblPr>
      <w:tblGrid>
        <w:gridCol w:w="1216"/>
        <w:gridCol w:w="1936"/>
        <w:gridCol w:w="5392"/>
      </w:tblGrid>
      <w:tr w:rsidR="002B1BA8" w:rsidRPr="0036031F" w:rsidTr="00A158FA">
        <w:tc>
          <w:tcPr>
            <w:tcW w:w="1216" w:type="dxa"/>
            <w:tcBorders>
              <w:top w:val="single" w:sz="4" w:space="0" w:color="auto"/>
              <w:left w:val="single" w:sz="4" w:space="0" w:color="auto"/>
              <w:bottom w:val="single" w:sz="4" w:space="0" w:color="auto"/>
              <w:right w:val="single" w:sz="4" w:space="0" w:color="auto"/>
            </w:tcBorders>
            <w:hideMark/>
          </w:tcPr>
          <w:p w:rsidR="002B1BA8" w:rsidRPr="0036031F" w:rsidRDefault="002B1BA8" w:rsidP="005A666E">
            <w:pPr>
              <w:jc w:val="center"/>
              <w:rPr>
                <w:rFonts w:ascii="Arial" w:hAnsi="Arial" w:cs="Arial"/>
                <w:b/>
                <w:sz w:val="16"/>
                <w:szCs w:val="16"/>
              </w:rPr>
            </w:pPr>
            <w:r w:rsidRPr="0036031F">
              <w:rPr>
                <w:rFonts w:ascii="Arial" w:hAnsi="Arial" w:cs="Arial"/>
                <w:b/>
                <w:sz w:val="16"/>
                <w:szCs w:val="16"/>
              </w:rPr>
              <w:t>No. Contrato</w:t>
            </w:r>
          </w:p>
        </w:tc>
        <w:tc>
          <w:tcPr>
            <w:tcW w:w="1936" w:type="dxa"/>
            <w:tcBorders>
              <w:top w:val="single" w:sz="4" w:space="0" w:color="auto"/>
              <w:left w:val="single" w:sz="4" w:space="0" w:color="auto"/>
              <w:bottom w:val="single" w:sz="4" w:space="0" w:color="auto"/>
              <w:right w:val="single" w:sz="4" w:space="0" w:color="auto"/>
            </w:tcBorders>
            <w:hideMark/>
          </w:tcPr>
          <w:p w:rsidR="002B1BA8" w:rsidRPr="0036031F" w:rsidRDefault="002B1BA8" w:rsidP="005A666E">
            <w:pPr>
              <w:jc w:val="center"/>
              <w:rPr>
                <w:rFonts w:ascii="Arial" w:hAnsi="Arial" w:cs="Arial"/>
                <w:b/>
                <w:sz w:val="16"/>
                <w:szCs w:val="16"/>
              </w:rPr>
            </w:pPr>
            <w:r w:rsidRPr="0036031F">
              <w:rPr>
                <w:rFonts w:ascii="Arial" w:hAnsi="Arial" w:cs="Arial"/>
                <w:b/>
                <w:sz w:val="16"/>
                <w:szCs w:val="16"/>
              </w:rPr>
              <w:t>Contratista</w:t>
            </w:r>
          </w:p>
        </w:tc>
        <w:tc>
          <w:tcPr>
            <w:tcW w:w="5392" w:type="dxa"/>
            <w:tcBorders>
              <w:top w:val="single" w:sz="4" w:space="0" w:color="auto"/>
              <w:left w:val="single" w:sz="4" w:space="0" w:color="auto"/>
              <w:bottom w:val="single" w:sz="4" w:space="0" w:color="auto"/>
              <w:right w:val="single" w:sz="4" w:space="0" w:color="auto"/>
            </w:tcBorders>
            <w:hideMark/>
          </w:tcPr>
          <w:p w:rsidR="002B1BA8" w:rsidRPr="0036031F" w:rsidRDefault="002B1BA8" w:rsidP="005A666E">
            <w:pPr>
              <w:jc w:val="center"/>
              <w:rPr>
                <w:rFonts w:ascii="Arial" w:hAnsi="Arial" w:cs="Arial"/>
                <w:b/>
                <w:sz w:val="16"/>
                <w:szCs w:val="16"/>
              </w:rPr>
            </w:pPr>
            <w:r w:rsidRPr="0036031F">
              <w:rPr>
                <w:rFonts w:ascii="Arial" w:hAnsi="Arial" w:cs="Arial"/>
                <w:b/>
                <w:sz w:val="16"/>
                <w:szCs w:val="16"/>
              </w:rPr>
              <w:t>Situación Irregular</w:t>
            </w:r>
          </w:p>
        </w:tc>
      </w:tr>
      <w:tr w:rsidR="002B1BA8" w:rsidRPr="0036031F" w:rsidTr="00A158FA">
        <w:tc>
          <w:tcPr>
            <w:tcW w:w="1216" w:type="dxa"/>
            <w:tcBorders>
              <w:top w:val="single" w:sz="4" w:space="0" w:color="auto"/>
              <w:left w:val="single" w:sz="4" w:space="0" w:color="auto"/>
              <w:bottom w:val="single" w:sz="4" w:space="0" w:color="auto"/>
              <w:right w:val="single" w:sz="4" w:space="0" w:color="auto"/>
            </w:tcBorders>
            <w:hideMark/>
          </w:tcPr>
          <w:p w:rsidR="002B1BA8" w:rsidRPr="0036031F" w:rsidRDefault="002B1BA8" w:rsidP="005A666E">
            <w:pPr>
              <w:jc w:val="both"/>
              <w:rPr>
                <w:rFonts w:ascii="Arial" w:hAnsi="Arial" w:cs="Arial"/>
                <w:sz w:val="16"/>
                <w:szCs w:val="16"/>
              </w:rPr>
            </w:pPr>
            <w:r w:rsidRPr="0036031F">
              <w:rPr>
                <w:rFonts w:ascii="Arial" w:hAnsi="Arial" w:cs="Arial"/>
                <w:sz w:val="16"/>
                <w:szCs w:val="16"/>
              </w:rPr>
              <w:t>259 de 2010</w:t>
            </w:r>
            <w:r w:rsidRPr="0036031F">
              <w:rPr>
                <w:rFonts w:ascii="Arial" w:hAnsi="Arial" w:cs="Arial"/>
                <w:sz w:val="16"/>
                <w:szCs w:val="16"/>
              </w:rPr>
              <w:tab/>
            </w:r>
          </w:p>
        </w:tc>
        <w:tc>
          <w:tcPr>
            <w:tcW w:w="1936" w:type="dxa"/>
            <w:tcBorders>
              <w:top w:val="single" w:sz="4" w:space="0" w:color="auto"/>
              <w:left w:val="single" w:sz="4" w:space="0" w:color="auto"/>
              <w:bottom w:val="single" w:sz="4" w:space="0" w:color="auto"/>
              <w:right w:val="single" w:sz="4" w:space="0" w:color="auto"/>
            </w:tcBorders>
            <w:hideMark/>
          </w:tcPr>
          <w:p w:rsidR="002B1BA8" w:rsidRPr="0036031F" w:rsidRDefault="002B1BA8" w:rsidP="005A666E">
            <w:pPr>
              <w:jc w:val="both"/>
              <w:rPr>
                <w:rFonts w:ascii="Arial" w:hAnsi="Arial" w:cs="Arial"/>
                <w:sz w:val="16"/>
                <w:szCs w:val="16"/>
              </w:rPr>
            </w:pPr>
            <w:r w:rsidRPr="0036031F">
              <w:rPr>
                <w:rFonts w:ascii="Arial" w:hAnsi="Arial" w:cs="Arial"/>
                <w:sz w:val="16"/>
                <w:szCs w:val="16"/>
              </w:rPr>
              <w:t xml:space="preserve">Consorcio </w:t>
            </w:r>
            <w:proofErr w:type="spellStart"/>
            <w:r w:rsidRPr="0036031F">
              <w:rPr>
                <w:rFonts w:ascii="Arial" w:hAnsi="Arial" w:cs="Arial"/>
                <w:sz w:val="16"/>
                <w:szCs w:val="16"/>
              </w:rPr>
              <w:t>Iaras</w:t>
            </w:r>
            <w:proofErr w:type="spellEnd"/>
            <w:r w:rsidRPr="0036031F">
              <w:rPr>
                <w:rFonts w:ascii="Arial" w:hAnsi="Arial" w:cs="Arial"/>
                <w:sz w:val="16"/>
                <w:szCs w:val="16"/>
              </w:rPr>
              <w:t xml:space="preserve"> Ltda., conformado por </w:t>
            </w:r>
            <w:proofErr w:type="spellStart"/>
            <w:r w:rsidRPr="0036031F">
              <w:rPr>
                <w:rFonts w:ascii="Arial" w:hAnsi="Arial" w:cs="Arial"/>
                <w:sz w:val="16"/>
                <w:szCs w:val="16"/>
              </w:rPr>
              <w:t>Iaras</w:t>
            </w:r>
            <w:proofErr w:type="spellEnd"/>
            <w:r w:rsidRPr="0036031F">
              <w:rPr>
                <w:rFonts w:ascii="Arial" w:hAnsi="Arial" w:cs="Arial"/>
                <w:sz w:val="16"/>
                <w:szCs w:val="16"/>
              </w:rPr>
              <w:t xml:space="preserve"> Ltda. y Darío Montoya Mier</w:t>
            </w:r>
          </w:p>
        </w:tc>
        <w:tc>
          <w:tcPr>
            <w:tcW w:w="5392" w:type="dxa"/>
            <w:tcBorders>
              <w:top w:val="single" w:sz="4" w:space="0" w:color="auto"/>
              <w:left w:val="single" w:sz="4" w:space="0" w:color="auto"/>
              <w:bottom w:val="single" w:sz="4" w:space="0" w:color="auto"/>
              <w:right w:val="single" w:sz="4" w:space="0" w:color="auto"/>
            </w:tcBorders>
            <w:hideMark/>
          </w:tcPr>
          <w:p w:rsidR="002B1BA8" w:rsidRPr="0036031F" w:rsidRDefault="002B1BA8" w:rsidP="005A666E">
            <w:pPr>
              <w:jc w:val="both"/>
              <w:rPr>
                <w:rFonts w:ascii="Arial" w:hAnsi="Arial" w:cs="Arial"/>
                <w:sz w:val="16"/>
                <w:szCs w:val="16"/>
              </w:rPr>
            </w:pPr>
            <w:r w:rsidRPr="0036031F">
              <w:rPr>
                <w:rFonts w:ascii="Arial" w:hAnsi="Arial" w:cs="Arial"/>
                <w:sz w:val="16"/>
                <w:szCs w:val="16"/>
              </w:rPr>
              <w:t>En informe de mayo de 2012, comunican que en Valledupar no se ha podido iniciar formalmente la obra porque no se han evacuado las oficinas a intervenir.</w:t>
            </w:r>
          </w:p>
        </w:tc>
      </w:tr>
      <w:tr w:rsidR="002B1BA8" w:rsidRPr="0036031F" w:rsidTr="00A158FA">
        <w:tc>
          <w:tcPr>
            <w:tcW w:w="1216" w:type="dxa"/>
            <w:tcBorders>
              <w:top w:val="single" w:sz="4" w:space="0" w:color="auto"/>
              <w:left w:val="single" w:sz="4" w:space="0" w:color="auto"/>
              <w:bottom w:val="single" w:sz="4" w:space="0" w:color="auto"/>
              <w:right w:val="single" w:sz="4" w:space="0" w:color="auto"/>
            </w:tcBorders>
            <w:hideMark/>
          </w:tcPr>
          <w:p w:rsidR="002B1BA8" w:rsidRPr="0036031F" w:rsidRDefault="002B1BA8" w:rsidP="005A666E">
            <w:pPr>
              <w:jc w:val="both"/>
              <w:rPr>
                <w:rFonts w:ascii="Arial" w:hAnsi="Arial" w:cs="Arial"/>
                <w:sz w:val="16"/>
                <w:szCs w:val="16"/>
              </w:rPr>
            </w:pPr>
            <w:r w:rsidRPr="0036031F">
              <w:rPr>
                <w:rFonts w:ascii="Arial" w:hAnsi="Arial" w:cs="Arial"/>
                <w:sz w:val="16"/>
                <w:szCs w:val="16"/>
              </w:rPr>
              <w:t>081 de 2011</w:t>
            </w:r>
            <w:r w:rsidRPr="0036031F">
              <w:rPr>
                <w:rFonts w:ascii="Arial" w:hAnsi="Arial" w:cs="Arial"/>
                <w:sz w:val="16"/>
                <w:szCs w:val="16"/>
              </w:rPr>
              <w:tab/>
            </w:r>
          </w:p>
        </w:tc>
        <w:tc>
          <w:tcPr>
            <w:tcW w:w="1936" w:type="dxa"/>
            <w:tcBorders>
              <w:top w:val="single" w:sz="4" w:space="0" w:color="auto"/>
              <w:left w:val="single" w:sz="4" w:space="0" w:color="auto"/>
              <w:bottom w:val="single" w:sz="4" w:space="0" w:color="auto"/>
              <w:right w:val="single" w:sz="4" w:space="0" w:color="auto"/>
            </w:tcBorders>
            <w:hideMark/>
          </w:tcPr>
          <w:p w:rsidR="002B1BA8" w:rsidRPr="0036031F" w:rsidRDefault="002B1BA8" w:rsidP="005A666E">
            <w:pPr>
              <w:jc w:val="both"/>
              <w:rPr>
                <w:rFonts w:ascii="Arial" w:hAnsi="Arial" w:cs="Arial"/>
                <w:sz w:val="16"/>
                <w:szCs w:val="16"/>
              </w:rPr>
            </w:pPr>
            <w:proofErr w:type="spellStart"/>
            <w:r w:rsidRPr="0036031F">
              <w:rPr>
                <w:rFonts w:ascii="Arial" w:hAnsi="Arial" w:cs="Arial"/>
                <w:sz w:val="16"/>
                <w:szCs w:val="16"/>
              </w:rPr>
              <w:t>Datapoint</w:t>
            </w:r>
            <w:proofErr w:type="spellEnd"/>
            <w:r w:rsidRPr="0036031F">
              <w:rPr>
                <w:rFonts w:ascii="Arial" w:hAnsi="Arial" w:cs="Arial"/>
                <w:sz w:val="16"/>
                <w:szCs w:val="16"/>
              </w:rPr>
              <w:t xml:space="preserve"> de Colombia S.A.S</w:t>
            </w:r>
          </w:p>
        </w:tc>
        <w:tc>
          <w:tcPr>
            <w:tcW w:w="5392" w:type="dxa"/>
            <w:tcBorders>
              <w:top w:val="single" w:sz="4" w:space="0" w:color="auto"/>
              <w:left w:val="single" w:sz="4" w:space="0" w:color="auto"/>
              <w:bottom w:val="single" w:sz="4" w:space="0" w:color="auto"/>
              <w:right w:val="single" w:sz="4" w:space="0" w:color="auto"/>
            </w:tcBorders>
            <w:hideMark/>
          </w:tcPr>
          <w:p w:rsidR="002B1BA8" w:rsidRPr="0036031F" w:rsidRDefault="002B1BA8" w:rsidP="005A666E">
            <w:pPr>
              <w:jc w:val="both"/>
              <w:rPr>
                <w:rFonts w:ascii="Arial" w:hAnsi="Arial" w:cs="Arial"/>
                <w:sz w:val="16"/>
                <w:szCs w:val="16"/>
              </w:rPr>
            </w:pPr>
            <w:r w:rsidRPr="0036031F">
              <w:rPr>
                <w:rFonts w:ascii="Arial" w:hAnsi="Arial" w:cs="Arial"/>
                <w:sz w:val="16"/>
                <w:szCs w:val="16"/>
              </w:rPr>
              <w:t>Se presentaron inconvenientes del CSJ en la obras para instalar los equipos.</w:t>
            </w:r>
          </w:p>
        </w:tc>
      </w:tr>
      <w:tr w:rsidR="002B1BA8" w:rsidRPr="0036031F" w:rsidTr="00A158FA">
        <w:tc>
          <w:tcPr>
            <w:tcW w:w="1216" w:type="dxa"/>
            <w:tcBorders>
              <w:top w:val="single" w:sz="4" w:space="0" w:color="auto"/>
              <w:left w:val="single" w:sz="4" w:space="0" w:color="auto"/>
              <w:bottom w:val="single" w:sz="4" w:space="0" w:color="auto"/>
              <w:right w:val="single" w:sz="4" w:space="0" w:color="auto"/>
            </w:tcBorders>
            <w:hideMark/>
          </w:tcPr>
          <w:p w:rsidR="002B1BA8" w:rsidRPr="0036031F" w:rsidRDefault="002B1BA8" w:rsidP="005A666E">
            <w:pPr>
              <w:jc w:val="both"/>
              <w:rPr>
                <w:rFonts w:ascii="Arial" w:hAnsi="Arial" w:cs="Arial"/>
                <w:sz w:val="16"/>
                <w:szCs w:val="16"/>
              </w:rPr>
            </w:pPr>
            <w:r w:rsidRPr="0036031F">
              <w:rPr>
                <w:rFonts w:ascii="Arial" w:hAnsi="Arial" w:cs="Arial"/>
                <w:sz w:val="16"/>
                <w:szCs w:val="16"/>
              </w:rPr>
              <w:t>176 de 2012</w:t>
            </w:r>
            <w:r w:rsidRPr="0036031F">
              <w:rPr>
                <w:rFonts w:ascii="Arial" w:hAnsi="Arial" w:cs="Arial"/>
                <w:sz w:val="16"/>
                <w:szCs w:val="16"/>
              </w:rPr>
              <w:tab/>
            </w:r>
            <w:r w:rsidRPr="0036031F">
              <w:rPr>
                <w:rFonts w:ascii="Arial" w:hAnsi="Arial" w:cs="Arial"/>
                <w:sz w:val="16"/>
                <w:szCs w:val="16"/>
              </w:rPr>
              <w:tab/>
            </w:r>
          </w:p>
        </w:tc>
        <w:tc>
          <w:tcPr>
            <w:tcW w:w="1936" w:type="dxa"/>
            <w:tcBorders>
              <w:top w:val="single" w:sz="4" w:space="0" w:color="auto"/>
              <w:left w:val="single" w:sz="4" w:space="0" w:color="auto"/>
              <w:bottom w:val="single" w:sz="4" w:space="0" w:color="auto"/>
              <w:right w:val="single" w:sz="4" w:space="0" w:color="auto"/>
            </w:tcBorders>
          </w:tcPr>
          <w:p w:rsidR="002B1BA8" w:rsidRPr="0036031F" w:rsidRDefault="002B1BA8" w:rsidP="005A666E">
            <w:pPr>
              <w:jc w:val="both"/>
              <w:rPr>
                <w:rFonts w:ascii="Arial" w:hAnsi="Arial" w:cs="Arial"/>
                <w:sz w:val="16"/>
                <w:szCs w:val="16"/>
              </w:rPr>
            </w:pPr>
            <w:r w:rsidRPr="0036031F">
              <w:rPr>
                <w:rFonts w:ascii="Arial" w:hAnsi="Arial" w:cs="Arial"/>
                <w:sz w:val="16"/>
                <w:szCs w:val="16"/>
              </w:rPr>
              <w:t>Carvajal Tecnología y Servicios S.A.S.</w:t>
            </w:r>
          </w:p>
          <w:p w:rsidR="002B1BA8" w:rsidRPr="0036031F" w:rsidRDefault="002B1BA8" w:rsidP="005A666E">
            <w:pPr>
              <w:jc w:val="both"/>
              <w:rPr>
                <w:rFonts w:ascii="Arial" w:hAnsi="Arial" w:cs="Arial"/>
                <w:sz w:val="16"/>
                <w:szCs w:val="16"/>
              </w:rPr>
            </w:pPr>
          </w:p>
        </w:tc>
        <w:tc>
          <w:tcPr>
            <w:tcW w:w="5392" w:type="dxa"/>
            <w:tcBorders>
              <w:top w:val="single" w:sz="4" w:space="0" w:color="auto"/>
              <w:left w:val="single" w:sz="4" w:space="0" w:color="auto"/>
              <w:bottom w:val="single" w:sz="4" w:space="0" w:color="auto"/>
              <w:right w:val="single" w:sz="4" w:space="0" w:color="auto"/>
            </w:tcBorders>
            <w:hideMark/>
          </w:tcPr>
          <w:p w:rsidR="002B1BA8" w:rsidRPr="0036031F" w:rsidRDefault="002B1BA8" w:rsidP="005A666E">
            <w:pPr>
              <w:jc w:val="both"/>
              <w:rPr>
                <w:rFonts w:ascii="Arial" w:hAnsi="Arial" w:cs="Arial"/>
                <w:sz w:val="16"/>
                <w:szCs w:val="16"/>
              </w:rPr>
            </w:pPr>
            <w:r w:rsidRPr="0036031F">
              <w:rPr>
                <w:rFonts w:ascii="Arial" w:hAnsi="Arial" w:cs="Arial"/>
                <w:sz w:val="16"/>
                <w:szCs w:val="16"/>
              </w:rPr>
              <w:t>El contratista informa a la Entidad las actividades adelantadas para la instalación de equipos han presentado dificultades respecto a la falta de condiciones ambientales en el sitio final de instalación pues no se cuenta con aire acondicionado.</w:t>
            </w:r>
          </w:p>
        </w:tc>
      </w:tr>
      <w:tr w:rsidR="002B1BA8" w:rsidRPr="0036031F" w:rsidTr="00A158FA">
        <w:tc>
          <w:tcPr>
            <w:tcW w:w="1216" w:type="dxa"/>
            <w:tcBorders>
              <w:top w:val="single" w:sz="4" w:space="0" w:color="auto"/>
              <w:left w:val="single" w:sz="4" w:space="0" w:color="auto"/>
              <w:bottom w:val="single" w:sz="4" w:space="0" w:color="auto"/>
              <w:right w:val="single" w:sz="4" w:space="0" w:color="auto"/>
            </w:tcBorders>
            <w:hideMark/>
          </w:tcPr>
          <w:p w:rsidR="002B1BA8" w:rsidRPr="0036031F" w:rsidRDefault="002B1BA8" w:rsidP="005A666E">
            <w:pPr>
              <w:jc w:val="both"/>
              <w:rPr>
                <w:rFonts w:ascii="Arial" w:hAnsi="Arial" w:cs="Arial"/>
                <w:sz w:val="16"/>
                <w:szCs w:val="16"/>
              </w:rPr>
            </w:pPr>
            <w:r w:rsidRPr="0036031F">
              <w:rPr>
                <w:rFonts w:ascii="Arial" w:hAnsi="Arial" w:cs="Arial"/>
                <w:sz w:val="16"/>
                <w:szCs w:val="16"/>
              </w:rPr>
              <w:t>205 de 2013</w:t>
            </w:r>
            <w:r w:rsidRPr="0036031F">
              <w:rPr>
                <w:rFonts w:ascii="Arial" w:hAnsi="Arial" w:cs="Arial"/>
                <w:sz w:val="16"/>
                <w:szCs w:val="16"/>
              </w:rPr>
              <w:tab/>
            </w:r>
          </w:p>
        </w:tc>
        <w:tc>
          <w:tcPr>
            <w:tcW w:w="1936" w:type="dxa"/>
            <w:tcBorders>
              <w:top w:val="single" w:sz="4" w:space="0" w:color="auto"/>
              <w:left w:val="single" w:sz="4" w:space="0" w:color="auto"/>
              <w:bottom w:val="single" w:sz="4" w:space="0" w:color="auto"/>
              <w:right w:val="single" w:sz="4" w:space="0" w:color="auto"/>
            </w:tcBorders>
            <w:hideMark/>
          </w:tcPr>
          <w:p w:rsidR="002B1BA8" w:rsidRPr="0036031F" w:rsidRDefault="002B1BA8" w:rsidP="005A666E">
            <w:pPr>
              <w:jc w:val="both"/>
              <w:rPr>
                <w:rFonts w:ascii="Arial" w:hAnsi="Arial" w:cs="Arial"/>
                <w:sz w:val="16"/>
                <w:szCs w:val="16"/>
              </w:rPr>
            </w:pPr>
            <w:r w:rsidRPr="0036031F">
              <w:rPr>
                <w:rFonts w:ascii="Arial" w:hAnsi="Arial" w:cs="Arial"/>
                <w:sz w:val="16"/>
                <w:szCs w:val="16"/>
              </w:rPr>
              <w:t>Unión Temporal Superior 18-2013</w:t>
            </w:r>
          </w:p>
        </w:tc>
        <w:tc>
          <w:tcPr>
            <w:tcW w:w="5392" w:type="dxa"/>
            <w:tcBorders>
              <w:top w:val="single" w:sz="4" w:space="0" w:color="auto"/>
              <w:left w:val="single" w:sz="4" w:space="0" w:color="auto"/>
              <w:bottom w:val="single" w:sz="4" w:space="0" w:color="auto"/>
              <w:right w:val="single" w:sz="4" w:space="0" w:color="auto"/>
            </w:tcBorders>
            <w:hideMark/>
          </w:tcPr>
          <w:p w:rsidR="002B1BA8" w:rsidRPr="0036031F" w:rsidRDefault="002B1BA8" w:rsidP="005A666E">
            <w:pPr>
              <w:jc w:val="both"/>
              <w:rPr>
                <w:rFonts w:ascii="Arial" w:hAnsi="Arial" w:cs="Arial"/>
                <w:sz w:val="16"/>
                <w:szCs w:val="16"/>
              </w:rPr>
            </w:pPr>
            <w:r w:rsidRPr="0036031F">
              <w:rPr>
                <w:rFonts w:ascii="Arial" w:hAnsi="Arial" w:cs="Arial"/>
                <w:sz w:val="16"/>
                <w:szCs w:val="16"/>
              </w:rPr>
              <w:t>De acuerdo con los informes del interventor, algunas áreas no se pueden intervenir en la fecha señalada por inconvenientes de reubicación por parte del CSJ.</w:t>
            </w:r>
          </w:p>
        </w:tc>
      </w:tr>
    </w:tbl>
    <w:p w:rsidR="00A158FA" w:rsidRPr="0036031F" w:rsidRDefault="00A158FA" w:rsidP="00A158FA">
      <w:pPr>
        <w:spacing w:line="240" w:lineRule="auto"/>
        <w:jc w:val="center"/>
        <w:rPr>
          <w:rFonts w:ascii="Arial" w:hAnsi="Arial" w:cs="Arial"/>
          <w:sz w:val="16"/>
          <w:szCs w:val="16"/>
        </w:rPr>
      </w:pPr>
      <w:r w:rsidRPr="0036031F">
        <w:rPr>
          <w:rFonts w:ascii="Arial" w:hAnsi="Arial" w:cs="Arial"/>
          <w:b/>
          <w:sz w:val="16"/>
          <w:szCs w:val="16"/>
        </w:rPr>
        <w:t>Fuente: Consejo Superior de la Judicatura. Fecha de Corte: Abril de 2014</w:t>
      </w:r>
    </w:p>
    <w:p w:rsidR="00AF2C74" w:rsidRPr="009427D5" w:rsidRDefault="00AF2C74" w:rsidP="00AF2C74">
      <w:pPr>
        <w:autoSpaceDE w:val="0"/>
        <w:autoSpaceDN w:val="0"/>
        <w:adjustRightInd w:val="0"/>
        <w:spacing w:after="0" w:line="240" w:lineRule="auto"/>
        <w:jc w:val="both"/>
        <w:rPr>
          <w:rFonts w:ascii="Arial" w:hAnsi="Arial" w:cs="Arial"/>
          <w:sz w:val="24"/>
          <w:szCs w:val="24"/>
        </w:rPr>
      </w:pPr>
    </w:p>
    <w:p w:rsidR="002B1BA8" w:rsidRPr="009427D5" w:rsidRDefault="002B1BA8" w:rsidP="00AF2C74">
      <w:pPr>
        <w:autoSpaceDE w:val="0"/>
        <w:autoSpaceDN w:val="0"/>
        <w:adjustRightInd w:val="0"/>
        <w:spacing w:after="0" w:line="240" w:lineRule="auto"/>
        <w:jc w:val="both"/>
        <w:rPr>
          <w:rFonts w:ascii="Arial" w:hAnsi="Arial" w:cs="Arial"/>
          <w:i/>
          <w:sz w:val="24"/>
          <w:szCs w:val="24"/>
        </w:rPr>
      </w:pPr>
      <w:r w:rsidRPr="009427D5">
        <w:rPr>
          <w:rFonts w:ascii="Arial" w:hAnsi="Arial" w:cs="Arial"/>
          <w:sz w:val="24"/>
          <w:szCs w:val="24"/>
        </w:rPr>
        <w:t>Las situaciones anotadas evidencian deficiencias en la aplicación del principio de planeación contemplado en el artículo 209 de la Constitución Política</w:t>
      </w:r>
      <w:r w:rsidRPr="009427D5">
        <w:rPr>
          <w:rStyle w:val="Refdenotaalpie"/>
          <w:rFonts w:ascii="Arial" w:hAnsi="Arial" w:cs="Arial"/>
        </w:rPr>
        <w:footnoteReference w:id="43"/>
      </w:r>
      <w:r w:rsidRPr="009427D5">
        <w:rPr>
          <w:rFonts w:ascii="Arial" w:hAnsi="Arial" w:cs="Arial"/>
          <w:sz w:val="24"/>
          <w:szCs w:val="24"/>
        </w:rPr>
        <w:t>, el artículo 25 de la Ley 80 de 1993</w:t>
      </w:r>
      <w:r w:rsidRPr="009427D5">
        <w:rPr>
          <w:rStyle w:val="Refdenotaalpie"/>
          <w:rFonts w:ascii="Arial" w:hAnsi="Arial" w:cs="Arial"/>
        </w:rPr>
        <w:footnoteReference w:id="44"/>
      </w:r>
      <w:r w:rsidRPr="009427D5">
        <w:rPr>
          <w:rFonts w:ascii="Arial" w:hAnsi="Arial" w:cs="Arial"/>
          <w:sz w:val="24"/>
          <w:szCs w:val="24"/>
        </w:rPr>
        <w:t xml:space="preserve"> y el Manual de Contratación de la Entidad sobre Procedimientos de Selección que señala </w:t>
      </w:r>
      <w:r w:rsidRPr="009427D5">
        <w:rPr>
          <w:rFonts w:ascii="Arial" w:hAnsi="Arial" w:cs="Arial"/>
          <w:i/>
          <w:sz w:val="24"/>
          <w:szCs w:val="24"/>
        </w:rPr>
        <w:t>“La Coordinación de los procesos contractuales. En este sentido, las demás áreas de la Dirección, deben mantener comunicación permanente, y actuación armónica y coordinada con estas instancias, a fin de que los fines de la contratación se cumplan plenamente”.</w:t>
      </w:r>
    </w:p>
    <w:p w:rsidR="002B1BA8" w:rsidRPr="009427D5" w:rsidRDefault="002B1BA8" w:rsidP="00AF2C74">
      <w:pPr>
        <w:autoSpaceDE w:val="0"/>
        <w:autoSpaceDN w:val="0"/>
        <w:adjustRightInd w:val="0"/>
        <w:spacing w:after="0" w:line="240" w:lineRule="auto"/>
        <w:jc w:val="both"/>
        <w:rPr>
          <w:rFonts w:ascii="Arial" w:hAnsi="Arial" w:cs="Arial"/>
          <w:sz w:val="24"/>
          <w:szCs w:val="24"/>
        </w:rPr>
      </w:pPr>
    </w:p>
    <w:p w:rsidR="00DE0BE9" w:rsidRPr="009427D5" w:rsidRDefault="00DE0BE9" w:rsidP="00AF2C74">
      <w:pPr>
        <w:autoSpaceDE w:val="0"/>
        <w:autoSpaceDN w:val="0"/>
        <w:adjustRightInd w:val="0"/>
        <w:spacing w:after="0" w:line="240" w:lineRule="auto"/>
        <w:jc w:val="both"/>
        <w:rPr>
          <w:rFonts w:ascii="Arial" w:hAnsi="Arial" w:cs="Arial"/>
          <w:sz w:val="24"/>
          <w:szCs w:val="24"/>
        </w:rPr>
      </w:pPr>
      <w:r w:rsidRPr="009427D5">
        <w:rPr>
          <w:rFonts w:ascii="Arial" w:hAnsi="Arial" w:cs="Arial"/>
          <w:sz w:val="24"/>
          <w:szCs w:val="24"/>
        </w:rPr>
        <w:t>Hallazgo No. 5 Cumplimiento</w:t>
      </w:r>
      <w:r w:rsidR="008347DD" w:rsidRPr="009427D5">
        <w:rPr>
          <w:rFonts w:ascii="Arial" w:hAnsi="Arial" w:cs="Arial"/>
          <w:sz w:val="24"/>
          <w:szCs w:val="24"/>
        </w:rPr>
        <w:t xml:space="preserve"> </w:t>
      </w:r>
      <w:r w:rsidRPr="009427D5">
        <w:rPr>
          <w:rFonts w:ascii="Arial" w:hAnsi="Arial" w:cs="Arial"/>
          <w:sz w:val="24"/>
          <w:szCs w:val="24"/>
        </w:rPr>
        <w:t>objeto contractual.</w:t>
      </w:r>
      <w:r w:rsidR="008347DD" w:rsidRPr="009427D5">
        <w:rPr>
          <w:rFonts w:ascii="Arial" w:hAnsi="Arial" w:cs="Arial"/>
          <w:sz w:val="24"/>
          <w:szCs w:val="24"/>
        </w:rPr>
        <w:t xml:space="preserve"> (D)</w:t>
      </w:r>
    </w:p>
    <w:p w:rsidR="00DE0BE9" w:rsidRPr="009427D5" w:rsidRDefault="00DE0BE9" w:rsidP="00AF2C74">
      <w:pPr>
        <w:autoSpaceDE w:val="0"/>
        <w:autoSpaceDN w:val="0"/>
        <w:adjustRightInd w:val="0"/>
        <w:spacing w:after="0" w:line="240" w:lineRule="auto"/>
        <w:jc w:val="both"/>
        <w:rPr>
          <w:rFonts w:ascii="Arial" w:hAnsi="Arial" w:cs="Arial"/>
          <w:b/>
          <w:sz w:val="24"/>
          <w:szCs w:val="24"/>
        </w:rPr>
      </w:pPr>
    </w:p>
    <w:p w:rsidR="00DE0BE9" w:rsidRPr="009427D5" w:rsidRDefault="00DE0BE9" w:rsidP="00AF2C74">
      <w:pPr>
        <w:autoSpaceDE w:val="0"/>
        <w:autoSpaceDN w:val="0"/>
        <w:adjustRightInd w:val="0"/>
        <w:spacing w:after="0" w:line="240" w:lineRule="auto"/>
        <w:jc w:val="both"/>
        <w:rPr>
          <w:rFonts w:ascii="Arial" w:hAnsi="Arial" w:cs="Arial"/>
          <w:sz w:val="24"/>
          <w:szCs w:val="24"/>
        </w:rPr>
      </w:pPr>
      <w:r w:rsidRPr="009427D5">
        <w:rPr>
          <w:rFonts w:ascii="Arial" w:hAnsi="Arial" w:cs="Arial"/>
          <w:sz w:val="24"/>
          <w:szCs w:val="24"/>
        </w:rPr>
        <w:t xml:space="preserve">Para la ejecución de obras necesarias y dotación de mobiliario </w:t>
      </w:r>
      <w:r w:rsidR="00047ADB" w:rsidRPr="009427D5">
        <w:rPr>
          <w:rFonts w:ascii="Arial" w:hAnsi="Arial" w:cs="Arial"/>
          <w:sz w:val="24"/>
          <w:szCs w:val="24"/>
        </w:rPr>
        <w:t xml:space="preserve">requeridas </w:t>
      </w:r>
      <w:r w:rsidRPr="009427D5">
        <w:rPr>
          <w:rFonts w:ascii="Arial" w:hAnsi="Arial" w:cs="Arial"/>
          <w:sz w:val="24"/>
          <w:szCs w:val="24"/>
        </w:rPr>
        <w:t>para la implementación del sistema oral en las especialidades civil y familia a nivel nacional, se observó diferencia entre lo estipulado en el contrato y el área intervenida por el Contratista, pues se presentaron cambios en las áreas a intervenir sin que se observe una modificación al contrato, como se evidencia en los contratos que se relacionan a continuación:</w:t>
      </w:r>
    </w:p>
    <w:p w:rsidR="002039EA" w:rsidRPr="009427D5" w:rsidRDefault="002039EA" w:rsidP="00AF2C74">
      <w:pPr>
        <w:spacing w:after="0" w:line="240" w:lineRule="auto"/>
        <w:jc w:val="center"/>
        <w:rPr>
          <w:rFonts w:ascii="Arial" w:hAnsi="Arial" w:cs="Arial"/>
          <w:b/>
          <w:sz w:val="20"/>
          <w:szCs w:val="20"/>
        </w:rPr>
      </w:pPr>
    </w:p>
    <w:p w:rsidR="00DE0BE9" w:rsidRPr="0036031F" w:rsidRDefault="004D0074" w:rsidP="00AF2C74">
      <w:pPr>
        <w:spacing w:after="0" w:line="240" w:lineRule="auto"/>
        <w:jc w:val="center"/>
        <w:rPr>
          <w:rFonts w:ascii="Arial" w:hAnsi="Arial" w:cs="Arial"/>
          <w:sz w:val="16"/>
          <w:szCs w:val="16"/>
        </w:rPr>
      </w:pPr>
      <w:r w:rsidRPr="0036031F">
        <w:rPr>
          <w:rFonts w:ascii="Arial" w:hAnsi="Arial" w:cs="Arial"/>
          <w:b/>
          <w:sz w:val="16"/>
          <w:szCs w:val="16"/>
        </w:rPr>
        <w:t>Tabla No.</w:t>
      </w:r>
      <w:r w:rsidR="00BB164E" w:rsidRPr="0036031F">
        <w:rPr>
          <w:rFonts w:ascii="Arial" w:hAnsi="Arial" w:cs="Arial"/>
          <w:b/>
          <w:sz w:val="16"/>
          <w:szCs w:val="16"/>
        </w:rPr>
        <w:t xml:space="preserve"> 13</w:t>
      </w:r>
      <w:r w:rsidR="00AF2C74" w:rsidRPr="0036031F">
        <w:rPr>
          <w:rFonts w:ascii="Arial" w:hAnsi="Arial" w:cs="Arial"/>
          <w:b/>
          <w:sz w:val="16"/>
          <w:szCs w:val="16"/>
        </w:rPr>
        <w:t xml:space="preserve"> </w:t>
      </w:r>
      <w:r w:rsidRPr="0036031F">
        <w:rPr>
          <w:rFonts w:ascii="Arial" w:hAnsi="Arial" w:cs="Arial"/>
          <w:b/>
          <w:sz w:val="16"/>
          <w:szCs w:val="16"/>
        </w:rPr>
        <w:t xml:space="preserve"> Relación Contratos con</w:t>
      </w:r>
      <w:r w:rsidR="00610AA0" w:rsidRPr="0036031F">
        <w:rPr>
          <w:rFonts w:ascii="Arial" w:hAnsi="Arial" w:cs="Arial"/>
          <w:b/>
          <w:sz w:val="16"/>
          <w:szCs w:val="16"/>
        </w:rPr>
        <w:t xml:space="preserve"> Diferencias en el Cumplimiento del Objeto Contractual </w:t>
      </w:r>
      <w:r w:rsidRPr="0036031F">
        <w:rPr>
          <w:rFonts w:ascii="Arial" w:hAnsi="Arial" w:cs="Arial"/>
          <w:b/>
          <w:sz w:val="16"/>
          <w:szCs w:val="16"/>
        </w:rPr>
        <w:t>2010-2013</w:t>
      </w:r>
    </w:p>
    <w:tbl>
      <w:tblPr>
        <w:tblStyle w:val="Tablaconcuadrcula"/>
        <w:tblW w:w="0" w:type="auto"/>
        <w:tblLook w:val="04A0" w:firstRow="1" w:lastRow="0" w:firstColumn="1" w:lastColumn="0" w:noHBand="0" w:noVBand="1"/>
      </w:tblPr>
      <w:tblGrid>
        <w:gridCol w:w="1216"/>
        <w:gridCol w:w="1968"/>
        <w:gridCol w:w="5644"/>
      </w:tblGrid>
      <w:tr w:rsidR="00DE0BE9" w:rsidRPr="0036031F" w:rsidTr="005A666E">
        <w:tc>
          <w:tcPr>
            <w:tcW w:w="1216" w:type="dxa"/>
            <w:tcBorders>
              <w:top w:val="single" w:sz="4" w:space="0" w:color="auto"/>
              <w:left w:val="single" w:sz="4" w:space="0" w:color="auto"/>
              <w:bottom w:val="single" w:sz="4" w:space="0" w:color="auto"/>
              <w:right w:val="single" w:sz="4" w:space="0" w:color="auto"/>
            </w:tcBorders>
            <w:hideMark/>
          </w:tcPr>
          <w:p w:rsidR="00DE0BE9" w:rsidRPr="0036031F" w:rsidRDefault="00DE0BE9" w:rsidP="005A666E">
            <w:pPr>
              <w:jc w:val="center"/>
              <w:rPr>
                <w:rFonts w:ascii="Arial" w:hAnsi="Arial" w:cs="Arial"/>
                <w:b/>
                <w:sz w:val="16"/>
                <w:szCs w:val="16"/>
              </w:rPr>
            </w:pPr>
            <w:r w:rsidRPr="0036031F">
              <w:rPr>
                <w:rFonts w:ascii="Arial" w:hAnsi="Arial" w:cs="Arial"/>
                <w:b/>
                <w:sz w:val="16"/>
                <w:szCs w:val="16"/>
              </w:rPr>
              <w:t>No. Contrato</w:t>
            </w:r>
          </w:p>
        </w:tc>
        <w:tc>
          <w:tcPr>
            <w:tcW w:w="1968" w:type="dxa"/>
            <w:tcBorders>
              <w:top w:val="single" w:sz="4" w:space="0" w:color="auto"/>
              <w:left w:val="single" w:sz="4" w:space="0" w:color="auto"/>
              <w:bottom w:val="single" w:sz="4" w:space="0" w:color="auto"/>
              <w:right w:val="single" w:sz="4" w:space="0" w:color="auto"/>
            </w:tcBorders>
            <w:hideMark/>
          </w:tcPr>
          <w:p w:rsidR="00DE0BE9" w:rsidRPr="0036031F" w:rsidRDefault="00DE0BE9" w:rsidP="005A666E">
            <w:pPr>
              <w:jc w:val="center"/>
              <w:rPr>
                <w:rFonts w:ascii="Arial" w:hAnsi="Arial" w:cs="Arial"/>
                <w:b/>
                <w:sz w:val="16"/>
                <w:szCs w:val="16"/>
              </w:rPr>
            </w:pPr>
            <w:r w:rsidRPr="0036031F">
              <w:rPr>
                <w:rFonts w:ascii="Arial" w:hAnsi="Arial" w:cs="Arial"/>
                <w:b/>
                <w:sz w:val="16"/>
                <w:szCs w:val="16"/>
              </w:rPr>
              <w:t>Contratista</w:t>
            </w:r>
          </w:p>
        </w:tc>
        <w:tc>
          <w:tcPr>
            <w:tcW w:w="5644" w:type="dxa"/>
            <w:tcBorders>
              <w:top w:val="single" w:sz="4" w:space="0" w:color="auto"/>
              <w:left w:val="single" w:sz="4" w:space="0" w:color="auto"/>
              <w:bottom w:val="single" w:sz="4" w:space="0" w:color="auto"/>
              <w:right w:val="single" w:sz="4" w:space="0" w:color="auto"/>
            </w:tcBorders>
            <w:hideMark/>
          </w:tcPr>
          <w:p w:rsidR="00DE0BE9" w:rsidRPr="0036031F" w:rsidRDefault="00DE0BE9" w:rsidP="005A666E">
            <w:pPr>
              <w:jc w:val="center"/>
              <w:rPr>
                <w:rFonts w:ascii="Arial" w:hAnsi="Arial" w:cs="Arial"/>
                <w:b/>
                <w:sz w:val="16"/>
                <w:szCs w:val="16"/>
              </w:rPr>
            </w:pPr>
            <w:r w:rsidRPr="0036031F">
              <w:rPr>
                <w:rFonts w:ascii="Arial" w:hAnsi="Arial" w:cs="Arial"/>
                <w:b/>
                <w:sz w:val="16"/>
                <w:szCs w:val="16"/>
              </w:rPr>
              <w:t>Situación Irregular</w:t>
            </w:r>
          </w:p>
        </w:tc>
      </w:tr>
      <w:tr w:rsidR="00DE0BE9" w:rsidRPr="0036031F" w:rsidTr="005A666E">
        <w:tc>
          <w:tcPr>
            <w:tcW w:w="1216" w:type="dxa"/>
            <w:tcBorders>
              <w:top w:val="single" w:sz="4" w:space="0" w:color="auto"/>
              <w:left w:val="single" w:sz="4" w:space="0" w:color="auto"/>
              <w:bottom w:val="single" w:sz="4" w:space="0" w:color="auto"/>
              <w:right w:val="single" w:sz="4" w:space="0" w:color="auto"/>
            </w:tcBorders>
            <w:hideMark/>
          </w:tcPr>
          <w:p w:rsidR="00DE0BE9" w:rsidRPr="0036031F" w:rsidRDefault="00DE0BE9" w:rsidP="005A666E">
            <w:pPr>
              <w:jc w:val="both"/>
              <w:rPr>
                <w:rFonts w:ascii="Arial" w:hAnsi="Arial" w:cs="Arial"/>
                <w:sz w:val="16"/>
                <w:szCs w:val="16"/>
              </w:rPr>
            </w:pPr>
            <w:r w:rsidRPr="0036031F">
              <w:rPr>
                <w:rFonts w:ascii="Arial" w:hAnsi="Arial" w:cs="Arial"/>
                <w:sz w:val="16"/>
                <w:szCs w:val="16"/>
              </w:rPr>
              <w:t>150 de 2011</w:t>
            </w:r>
            <w:r w:rsidRPr="0036031F">
              <w:rPr>
                <w:rFonts w:ascii="Arial" w:hAnsi="Arial" w:cs="Arial"/>
                <w:sz w:val="16"/>
                <w:szCs w:val="16"/>
              </w:rPr>
              <w:tab/>
            </w:r>
          </w:p>
        </w:tc>
        <w:tc>
          <w:tcPr>
            <w:tcW w:w="1968" w:type="dxa"/>
            <w:tcBorders>
              <w:top w:val="single" w:sz="4" w:space="0" w:color="auto"/>
              <w:left w:val="single" w:sz="4" w:space="0" w:color="auto"/>
              <w:bottom w:val="single" w:sz="4" w:space="0" w:color="auto"/>
              <w:right w:val="single" w:sz="4" w:space="0" w:color="auto"/>
            </w:tcBorders>
            <w:hideMark/>
          </w:tcPr>
          <w:p w:rsidR="00DE0BE9" w:rsidRPr="0036031F" w:rsidRDefault="00DE0BE9" w:rsidP="005A666E">
            <w:pPr>
              <w:jc w:val="both"/>
              <w:rPr>
                <w:rFonts w:ascii="Arial" w:hAnsi="Arial" w:cs="Arial"/>
                <w:sz w:val="16"/>
                <w:szCs w:val="16"/>
              </w:rPr>
            </w:pPr>
            <w:r w:rsidRPr="0036031F">
              <w:rPr>
                <w:rFonts w:ascii="Arial" w:hAnsi="Arial" w:cs="Arial"/>
                <w:sz w:val="16"/>
                <w:szCs w:val="16"/>
              </w:rPr>
              <w:t>Unión Temporal Nueva Esperanza</w:t>
            </w:r>
          </w:p>
        </w:tc>
        <w:tc>
          <w:tcPr>
            <w:tcW w:w="5644" w:type="dxa"/>
            <w:tcBorders>
              <w:top w:val="single" w:sz="4" w:space="0" w:color="auto"/>
              <w:left w:val="single" w:sz="4" w:space="0" w:color="auto"/>
              <w:bottom w:val="single" w:sz="4" w:space="0" w:color="auto"/>
              <w:right w:val="single" w:sz="4" w:space="0" w:color="auto"/>
            </w:tcBorders>
            <w:hideMark/>
          </w:tcPr>
          <w:p w:rsidR="00DE0BE9" w:rsidRPr="0036031F" w:rsidRDefault="00DE0BE9" w:rsidP="005A666E">
            <w:pPr>
              <w:jc w:val="both"/>
              <w:rPr>
                <w:rFonts w:ascii="Arial" w:hAnsi="Arial" w:cs="Arial"/>
                <w:sz w:val="16"/>
                <w:szCs w:val="16"/>
              </w:rPr>
            </w:pPr>
            <w:r w:rsidRPr="0036031F">
              <w:rPr>
                <w:rFonts w:ascii="Arial" w:hAnsi="Arial" w:cs="Arial"/>
                <w:sz w:val="16"/>
                <w:szCs w:val="16"/>
              </w:rPr>
              <w:t xml:space="preserve">Fueron intervenidas las áreas: Dorada, Duitama, el Banco, Plato – Magdalena, Girardot, Honda, Puerto Boyacá, Puerto Salgar que no fueron previstas en el contrato. </w:t>
            </w:r>
          </w:p>
        </w:tc>
      </w:tr>
      <w:tr w:rsidR="00DE0BE9" w:rsidRPr="0036031F" w:rsidTr="005A666E">
        <w:tc>
          <w:tcPr>
            <w:tcW w:w="1216" w:type="dxa"/>
            <w:tcBorders>
              <w:top w:val="single" w:sz="4" w:space="0" w:color="auto"/>
              <w:left w:val="single" w:sz="4" w:space="0" w:color="auto"/>
              <w:bottom w:val="single" w:sz="4" w:space="0" w:color="auto"/>
              <w:right w:val="single" w:sz="4" w:space="0" w:color="auto"/>
            </w:tcBorders>
            <w:vAlign w:val="center"/>
            <w:hideMark/>
          </w:tcPr>
          <w:p w:rsidR="00DE0BE9" w:rsidRPr="0036031F" w:rsidRDefault="00DE0BE9" w:rsidP="005A666E">
            <w:pPr>
              <w:rPr>
                <w:rFonts w:ascii="Arial" w:hAnsi="Arial" w:cs="Arial"/>
                <w:sz w:val="16"/>
                <w:szCs w:val="16"/>
              </w:rPr>
            </w:pPr>
            <w:r w:rsidRPr="0036031F">
              <w:rPr>
                <w:rFonts w:ascii="Arial" w:hAnsi="Arial" w:cs="Arial"/>
                <w:sz w:val="16"/>
                <w:szCs w:val="16"/>
              </w:rPr>
              <w:t>154 de 2011</w:t>
            </w:r>
          </w:p>
        </w:tc>
        <w:tc>
          <w:tcPr>
            <w:tcW w:w="1968" w:type="dxa"/>
            <w:tcBorders>
              <w:top w:val="single" w:sz="4" w:space="0" w:color="auto"/>
              <w:left w:val="single" w:sz="4" w:space="0" w:color="auto"/>
              <w:bottom w:val="single" w:sz="4" w:space="0" w:color="auto"/>
              <w:right w:val="single" w:sz="4" w:space="0" w:color="auto"/>
            </w:tcBorders>
            <w:vAlign w:val="center"/>
            <w:hideMark/>
          </w:tcPr>
          <w:p w:rsidR="00DE0BE9" w:rsidRPr="0036031F" w:rsidRDefault="00DE0BE9" w:rsidP="005A666E">
            <w:pPr>
              <w:rPr>
                <w:rFonts w:ascii="Arial" w:hAnsi="Arial" w:cs="Arial"/>
                <w:color w:val="000000"/>
                <w:sz w:val="16"/>
                <w:szCs w:val="16"/>
              </w:rPr>
            </w:pPr>
            <w:r w:rsidRPr="0036031F">
              <w:rPr>
                <w:rFonts w:ascii="Arial" w:hAnsi="Arial" w:cs="Arial"/>
                <w:color w:val="000000"/>
                <w:sz w:val="16"/>
                <w:szCs w:val="16"/>
              </w:rPr>
              <w:t>UNION TEMPORAL NUEVO SOL</w:t>
            </w:r>
          </w:p>
        </w:tc>
        <w:tc>
          <w:tcPr>
            <w:tcW w:w="5644" w:type="dxa"/>
            <w:tcBorders>
              <w:top w:val="single" w:sz="4" w:space="0" w:color="auto"/>
              <w:left w:val="single" w:sz="4" w:space="0" w:color="auto"/>
              <w:bottom w:val="single" w:sz="4" w:space="0" w:color="auto"/>
              <w:right w:val="single" w:sz="4" w:space="0" w:color="auto"/>
            </w:tcBorders>
            <w:hideMark/>
          </w:tcPr>
          <w:p w:rsidR="00DE0BE9" w:rsidRPr="0036031F" w:rsidRDefault="00DE0BE9" w:rsidP="005A666E">
            <w:pPr>
              <w:jc w:val="both"/>
              <w:rPr>
                <w:rFonts w:ascii="Arial" w:hAnsi="Arial" w:cs="Arial"/>
                <w:sz w:val="16"/>
                <w:szCs w:val="16"/>
              </w:rPr>
            </w:pPr>
            <w:r w:rsidRPr="0036031F">
              <w:rPr>
                <w:rFonts w:ascii="Arial" w:hAnsi="Arial" w:cs="Arial"/>
                <w:sz w:val="16"/>
                <w:szCs w:val="16"/>
              </w:rPr>
              <w:t xml:space="preserve">Se evidencian cambios en los despachos, así: no se intervinieron los siguientes despachos que fueron previstos en el contrato: Distrito Arauca; Distrito San Andrés;  Distrito Armenia; Distrito Pasto, Mocoa y Putumayo; Distrito Pereira; Circuito Sincelejo; Distrito Tunja; Distrito Buga, se intervino </w:t>
            </w:r>
            <w:r w:rsidRPr="0036031F">
              <w:rPr>
                <w:rFonts w:ascii="Arial" w:hAnsi="Arial" w:cs="Arial"/>
                <w:sz w:val="16"/>
                <w:szCs w:val="16"/>
              </w:rPr>
              <w:lastRenderedPageBreak/>
              <w:t>sólo uno y se tenían previstos Buenaventura, Cartago, Sevilla, Tulia y Palmira; Distrito; Distrito Valledupar. Sin embargo, se intervinieron los siguientes despachos que no fueron previstos en el contrato: Fresno, Líbano, Girardot, Florencia, Soacha y Fusagasugá.</w:t>
            </w:r>
          </w:p>
        </w:tc>
      </w:tr>
    </w:tbl>
    <w:p w:rsidR="00176691" w:rsidRPr="0036031F" w:rsidRDefault="00176691" w:rsidP="00176691">
      <w:pPr>
        <w:spacing w:line="240" w:lineRule="auto"/>
        <w:jc w:val="center"/>
        <w:rPr>
          <w:rFonts w:ascii="Arial" w:hAnsi="Arial" w:cs="Arial"/>
          <w:sz w:val="16"/>
          <w:szCs w:val="16"/>
        </w:rPr>
      </w:pPr>
      <w:r w:rsidRPr="0036031F">
        <w:rPr>
          <w:rFonts w:ascii="Arial" w:hAnsi="Arial" w:cs="Arial"/>
          <w:b/>
          <w:sz w:val="16"/>
          <w:szCs w:val="16"/>
        </w:rPr>
        <w:lastRenderedPageBreak/>
        <w:t>Fuente: Consejo Superior de la Judicatura. Fecha de Corte: Abril de 2014</w:t>
      </w:r>
    </w:p>
    <w:p w:rsidR="00DE0BE9" w:rsidRPr="0036031F" w:rsidRDefault="00DE0BE9" w:rsidP="00DE0BE9">
      <w:pPr>
        <w:pStyle w:val="Prrafodelista"/>
        <w:autoSpaceDE w:val="0"/>
        <w:autoSpaceDN w:val="0"/>
        <w:adjustRightInd w:val="0"/>
        <w:spacing w:after="0" w:line="240" w:lineRule="auto"/>
        <w:jc w:val="both"/>
        <w:rPr>
          <w:rFonts w:ascii="Arial" w:hAnsi="Arial" w:cs="Arial"/>
          <w:sz w:val="16"/>
          <w:szCs w:val="16"/>
        </w:rPr>
      </w:pPr>
    </w:p>
    <w:p w:rsidR="00DE0BE9" w:rsidRPr="009427D5" w:rsidRDefault="00DE0BE9" w:rsidP="00DE0BE9">
      <w:pPr>
        <w:autoSpaceDE w:val="0"/>
        <w:autoSpaceDN w:val="0"/>
        <w:adjustRightInd w:val="0"/>
        <w:spacing w:after="0" w:line="240" w:lineRule="auto"/>
        <w:jc w:val="both"/>
        <w:rPr>
          <w:rFonts w:ascii="Arial" w:hAnsi="Arial" w:cs="Arial"/>
          <w:sz w:val="24"/>
          <w:szCs w:val="24"/>
        </w:rPr>
      </w:pPr>
      <w:r w:rsidRPr="009427D5">
        <w:rPr>
          <w:rFonts w:ascii="Arial" w:hAnsi="Arial" w:cs="Arial"/>
          <w:sz w:val="24"/>
          <w:szCs w:val="24"/>
        </w:rPr>
        <w:t>Lo anterior evidencia debilidades en la supervisión de los contratos para vigilar la correcta ejecución del objeto contratado, en virtud del principio de responsabilidad  consagrado en el artículo 26 de la Ley 80 de 1993 y en la determinación de las necesidades de las obras</w:t>
      </w:r>
      <w:r w:rsidR="00610AA0" w:rsidRPr="009427D5">
        <w:rPr>
          <w:rFonts w:ascii="Arial" w:hAnsi="Arial" w:cs="Arial"/>
          <w:sz w:val="24"/>
          <w:szCs w:val="24"/>
        </w:rPr>
        <w:t>,</w:t>
      </w:r>
      <w:r w:rsidRPr="009427D5">
        <w:rPr>
          <w:rFonts w:ascii="Arial" w:hAnsi="Arial" w:cs="Arial"/>
          <w:sz w:val="24"/>
          <w:szCs w:val="24"/>
        </w:rPr>
        <w:t xml:space="preserve"> en el deber de planeación; que pueden generar eventualmente riesgos en la prestación de los servicios de justicia y la inversión de los recursos.</w:t>
      </w:r>
    </w:p>
    <w:p w:rsidR="002B1BA8" w:rsidRPr="009427D5" w:rsidRDefault="002B1BA8" w:rsidP="00EF6DE3">
      <w:pPr>
        <w:autoSpaceDE w:val="0"/>
        <w:autoSpaceDN w:val="0"/>
        <w:adjustRightInd w:val="0"/>
        <w:spacing w:after="0" w:line="240" w:lineRule="auto"/>
        <w:jc w:val="both"/>
        <w:rPr>
          <w:rFonts w:ascii="Arial" w:hAnsi="Arial" w:cs="Arial"/>
          <w:sz w:val="24"/>
          <w:szCs w:val="24"/>
        </w:rPr>
      </w:pPr>
    </w:p>
    <w:p w:rsidR="008617ED" w:rsidRPr="009427D5" w:rsidRDefault="0035139F" w:rsidP="00C8503E">
      <w:pPr>
        <w:shd w:val="clear" w:color="auto" w:fill="FFFFFF" w:themeFill="background1"/>
        <w:autoSpaceDE w:val="0"/>
        <w:autoSpaceDN w:val="0"/>
        <w:adjustRightInd w:val="0"/>
        <w:spacing w:after="0" w:line="240" w:lineRule="auto"/>
        <w:jc w:val="both"/>
        <w:rPr>
          <w:rFonts w:ascii="Arial" w:hAnsi="Arial" w:cs="Arial"/>
          <w:i/>
          <w:sz w:val="24"/>
          <w:szCs w:val="24"/>
        </w:rPr>
      </w:pPr>
      <w:r w:rsidRPr="009427D5">
        <w:rPr>
          <w:rFonts w:ascii="Arial" w:hAnsi="Arial" w:cs="Arial"/>
          <w:i/>
          <w:sz w:val="24"/>
          <w:szCs w:val="24"/>
        </w:rPr>
        <w:t xml:space="preserve">2.2.2.6 </w:t>
      </w:r>
      <w:r w:rsidR="008617ED" w:rsidRPr="009427D5">
        <w:rPr>
          <w:rFonts w:ascii="Arial" w:hAnsi="Arial" w:cs="Arial"/>
          <w:i/>
          <w:sz w:val="24"/>
          <w:szCs w:val="24"/>
        </w:rPr>
        <w:t>Gestión Presupuestal</w:t>
      </w:r>
    </w:p>
    <w:p w:rsidR="005320EB" w:rsidRPr="009427D5" w:rsidRDefault="005320EB" w:rsidP="00C8503E">
      <w:pPr>
        <w:shd w:val="clear" w:color="auto" w:fill="FFFFFF" w:themeFill="background1"/>
        <w:tabs>
          <w:tab w:val="left" w:pos="5387"/>
        </w:tabs>
        <w:spacing w:after="0" w:line="240" w:lineRule="auto"/>
        <w:jc w:val="both"/>
        <w:rPr>
          <w:rStyle w:val="CharacterStyle3"/>
          <w:spacing w:val="-4"/>
        </w:rPr>
      </w:pPr>
    </w:p>
    <w:p w:rsidR="005320EB" w:rsidRPr="009427D5" w:rsidRDefault="005320EB" w:rsidP="00C8503E">
      <w:pPr>
        <w:shd w:val="clear" w:color="auto" w:fill="FFFFFF" w:themeFill="background1"/>
        <w:tabs>
          <w:tab w:val="left" w:pos="5387"/>
        </w:tabs>
        <w:spacing w:after="0" w:line="240" w:lineRule="auto"/>
        <w:jc w:val="both"/>
        <w:rPr>
          <w:rFonts w:ascii="Arial" w:hAnsi="Arial" w:cs="Arial"/>
          <w:b/>
          <w:sz w:val="24"/>
          <w:szCs w:val="24"/>
        </w:rPr>
      </w:pPr>
      <w:r w:rsidRPr="009427D5">
        <w:rPr>
          <w:rStyle w:val="CharacterStyle3"/>
          <w:spacing w:val="-4"/>
        </w:rPr>
        <w:t>A partir de la evaluación y análisis del proceso de ejecución y cierre presupuestal, surgieron los siguientes hallazgos:</w:t>
      </w:r>
    </w:p>
    <w:p w:rsidR="005320EB" w:rsidRPr="009427D5" w:rsidRDefault="005320EB" w:rsidP="00C8503E">
      <w:pPr>
        <w:shd w:val="clear" w:color="auto" w:fill="FFFFFF" w:themeFill="background1"/>
        <w:tabs>
          <w:tab w:val="left" w:pos="5387"/>
        </w:tabs>
        <w:spacing w:after="0" w:line="240" w:lineRule="auto"/>
        <w:jc w:val="both"/>
        <w:rPr>
          <w:rFonts w:ascii="Arial" w:hAnsi="Arial" w:cs="Arial"/>
          <w:b/>
          <w:sz w:val="24"/>
          <w:szCs w:val="24"/>
        </w:rPr>
      </w:pPr>
    </w:p>
    <w:p w:rsidR="005320EB" w:rsidRPr="009427D5" w:rsidRDefault="005320EB" w:rsidP="00C8503E">
      <w:pPr>
        <w:shd w:val="clear" w:color="auto" w:fill="FFFFFF" w:themeFill="background1"/>
        <w:tabs>
          <w:tab w:val="left" w:pos="5387"/>
        </w:tabs>
        <w:spacing w:after="0" w:line="240" w:lineRule="auto"/>
        <w:rPr>
          <w:rFonts w:ascii="Arial" w:hAnsi="Arial" w:cs="Arial"/>
          <w:sz w:val="24"/>
          <w:szCs w:val="24"/>
        </w:rPr>
      </w:pPr>
      <w:r w:rsidRPr="009427D5">
        <w:rPr>
          <w:rFonts w:ascii="Arial" w:hAnsi="Arial" w:cs="Arial"/>
          <w:sz w:val="24"/>
          <w:szCs w:val="24"/>
        </w:rPr>
        <w:t>Hallazgo No. 6 Recursos Presupuestales (D)</w:t>
      </w:r>
    </w:p>
    <w:p w:rsidR="005320EB" w:rsidRPr="009427D5" w:rsidRDefault="005320EB" w:rsidP="00C8503E">
      <w:pPr>
        <w:pStyle w:val="Style6"/>
        <w:shd w:val="clear" w:color="auto" w:fill="FFFFFF" w:themeFill="background1"/>
        <w:kinsoku w:val="0"/>
        <w:autoSpaceDE/>
        <w:autoSpaceDN/>
        <w:ind w:left="0"/>
        <w:rPr>
          <w:rStyle w:val="CharacterStyle3"/>
          <w:spacing w:val="4"/>
          <w:lang w:val="es-CO"/>
        </w:rPr>
      </w:pPr>
    </w:p>
    <w:p w:rsidR="005320EB" w:rsidRPr="009427D5" w:rsidRDefault="005320EB" w:rsidP="00C8503E">
      <w:pPr>
        <w:pStyle w:val="Style6"/>
        <w:shd w:val="clear" w:color="auto" w:fill="FFFFFF" w:themeFill="background1"/>
        <w:kinsoku w:val="0"/>
        <w:autoSpaceDE/>
        <w:autoSpaceDN/>
        <w:ind w:left="0"/>
        <w:rPr>
          <w:rStyle w:val="CharacterStyle3"/>
          <w:spacing w:val="4"/>
          <w:lang w:val="es-CO"/>
        </w:rPr>
      </w:pPr>
      <w:r w:rsidRPr="009427D5">
        <w:rPr>
          <w:rStyle w:val="CharacterStyle3"/>
          <w:spacing w:val="4"/>
          <w:lang w:val="es-CO"/>
        </w:rPr>
        <w:t xml:space="preserve">Se determinó que en lo referente a la ejecución de los proyectos de inversión relacionados con descongestión y oralidad, especialmente, en estos últimos, se presentaron en los respectivos cierres presupuestales, saldos de </w:t>
      </w:r>
      <w:proofErr w:type="spellStart"/>
      <w:r w:rsidRPr="009427D5">
        <w:rPr>
          <w:rStyle w:val="CharacterStyle3"/>
          <w:spacing w:val="4"/>
          <w:lang w:val="es-CO"/>
        </w:rPr>
        <w:t>CDP´s</w:t>
      </w:r>
      <w:proofErr w:type="spellEnd"/>
      <w:r w:rsidRPr="009427D5">
        <w:rPr>
          <w:rStyle w:val="CharacterStyle3"/>
          <w:spacing w:val="4"/>
          <w:lang w:val="es-CO"/>
        </w:rPr>
        <w:t xml:space="preserve"> sin liberar por un valor total de $2.742 millones durante las vigencias 2010 a 2013, como se aprecia en la siguiente Tabla:</w:t>
      </w:r>
    </w:p>
    <w:p w:rsidR="005320EB" w:rsidRPr="009427D5" w:rsidRDefault="005320EB" w:rsidP="00C8503E">
      <w:pPr>
        <w:pStyle w:val="Style6"/>
        <w:shd w:val="clear" w:color="auto" w:fill="FFFFFF" w:themeFill="background1"/>
        <w:kinsoku w:val="0"/>
        <w:autoSpaceDE/>
        <w:autoSpaceDN/>
        <w:ind w:left="0"/>
        <w:jc w:val="center"/>
        <w:rPr>
          <w:rStyle w:val="CharacterStyle3"/>
          <w:b/>
          <w:spacing w:val="4"/>
          <w:sz w:val="20"/>
          <w:szCs w:val="20"/>
          <w:lang w:val="es-CO"/>
        </w:rPr>
      </w:pPr>
    </w:p>
    <w:p w:rsidR="005320EB" w:rsidRPr="0036031F" w:rsidRDefault="000B27F4" w:rsidP="00C8503E">
      <w:pPr>
        <w:pStyle w:val="Style6"/>
        <w:shd w:val="clear" w:color="auto" w:fill="FFFFFF" w:themeFill="background1"/>
        <w:kinsoku w:val="0"/>
        <w:autoSpaceDE/>
        <w:autoSpaceDN/>
        <w:ind w:left="0"/>
        <w:jc w:val="center"/>
        <w:rPr>
          <w:rStyle w:val="CharacterStyle3"/>
          <w:b/>
          <w:spacing w:val="4"/>
          <w:sz w:val="16"/>
          <w:szCs w:val="16"/>
          <w:lang w:val="es-CO"/>
        </w:rPr>
      </w:pPr>
      <w:r w:rsidRPr="0036031F">
        <w:rPr>
          <w:rStyle w:val="CharacterStyle3"/>
          <w:b/>
          <w:spacing w:val="4"/>
          <w:sz w:val="16"/>
          <w:szCs w:val="16"/>
          <w:lang w:val="es-CO"/>
        </w:rPr>
        <w:t>Tabla 14</w:t>
      </w:r>
      <w:r w:rsidR="005320EB" w:rsidRPr="0036031F">
        <w:rPr>
          <w:rStyle w:val="CharacterStyle3"/>
          <w:b/>
          <w:spacing w:val="4"/>
          <w:sz w:val="16"/>
          <w:szCs w:val="16"/>
          <w:lang w:val="es-CO"/>
        </w:rPr>
        <w:t xml:space="preserve">. Cuadro Saldos de </w:t>
      </w:r>
      <w:proofErr w:type="spellStart"/>
      <w:r w:rsidR="005320EB" w:rsidRPr="0036031F">
        <w:rPr>
          <w:rStyle w:val="CharacterStyle3"/>
          <w:b/>
          <w:spacing w:val="4"/>
          <w:sz w:val="16"/>
          <w:szCs w:val="16"/>
          <w:lang w:val="es-CO"/>
        </w:rPr>
        <w:t>CDP´s</w:t>
      </w:r>
      <w:proofErr w:type="spellEnd"/>
      <w:r w:rsidR="005320EB" w:rsidRPr="0036031F">
        <w:rPr>
          <w:rStyle w:val="CharacterStyle3"/>
          <w:b/>
          <w:spacing w:val="4"/>
          <w:sz w:val="16"/>
          <w:szCs w:val="16"/>
          <w:lang w:val="es-CO"/>
        </w:rPr>
        <w:t xml:space="preserve"> sin Liberar-CSJ. 2010-2013</w:t>
      </w:r>
    </w:p>
    <w:tbl>
      <w:tblPr>
        <w:tblStyle w:val="Tablaconcuadrcula"/>
        <w:tblW w:w="0" w:type="auto"/>
        <w:tblInd w:w="108" w:type="dxa"/>
        <w:tblLook w:val="04A0" w:firstRow="1" w:lastRow="0" w:firstColumn="1" w:lastColumn="0" w:noHBand="0" w:noVBand="1"/>
      </w:tblPr>
      <w:tblGrid>
        <w:gridCol w:w="6123"/>
        <w:gridCol w:w="1022"/>
        <w:gridCol w:w="1801"/>
      </w:tblGrid>
      <w:tr w:rsidR="005320EB" w:rsidRPr="0036031F" w:rsidTr="00B13E1E">
        <w:tc>
          <w:tcPr>
            <w:tcW w:w="0" w:type="auto"/>
          </w:tcPr>
          <w:p w:rsidR="005320EB" w:rsidRPr="0036031F" w:rsidRDefault="005320EB" w:rsidP="00C8503E">
            <w:pPr>
              <w:pStyle w:val="Style6"/>
              <w:shd w:val="clear" w:color="auto" w:fill="FFFFFF" w:themeFill="background1"/>
              <w:kinsoku w:val="0"/>
              <w:autoSpaceDE/>
              <w:autoSpaceDN/>
              <w:ind w:left="0"/>
              <w:jc w:val="center"/>
              <w:rPr>
                <w:rStyle w:val="CharacterStyle3"/>
                <w:b/>
                <w:spacing w:val="4"/>
                <w:sz w:val="16"/>
                <w:szCs w:val="16"/>
                <w:lang w:val="es-CO"/>
              </w:rPr>
            </w:pPr>
            <w:r w:rsidRPr="0036031F">
              <w:rPr>
                <w:rStyle w:val="CharacterStyle3"/>
                <w:b/>
                <w:spacing w:val="4"/>
                <w:sz w:val="16"/>
                <w:szCs w:val="16"/>
                <w:lang w:val="es-CO"/>
              </w:rPr>
              <w:t>PROYECTO DE INVERSIÓN</w:t>
            </w:r>
          </w:p>
        </w:tc>
        <w:tc>
          <w:tcPr>
            <w:tcW w:w="0" w:type="auto"/>
          </w:tcPr>
          <w:p w:rsidR="005320EB" w:rsidRPr="0036031F" w:rsidRDefault="005320EB" w:rsidP="00C8503E">
            <w:pPr>
              <w:pStyle w:val="Style6"/>
              <w:shd w:val="clear" w:color="auto" w:fill="FFFFFF" w:themeFill="background1"/>
              <w:kinsoku w:val="0"/>
              <w:autoSpaceDE/>
              <w:autoSpaceDN/>
              <w:ind w:left="0"/>
              <w:jc w:val="center"/>
              <w:rPr>
                <w:rStyle w:val="CharacterStyle3"/>
                <w:b/>
                <w:spacing w:val="4"/>
                <w:sz w:val="16"/>
                <w:szCs w:val="16"/>
                <w:lang w:val="es-CO"/>
              </w:rPr>
            </w:pPr>
            <w:r w:rsidRPr="0036031F">
              <w:rPr>
                <w:rStyle w:val="CharacterStyle3"/>
                <w:b/>
                <w:spacing w:val="4"/>
                <w:sz w:val="16"/>
                <w:szCs w:val="16"/>
                <w:lang w:val="es-CO"/>
              </w:rPr>
              <w:t>VIGENCIA</w:t>
            </w:r>
          </w:p>
        </w:tc>
        <w:tc>
          <w:tcPr>
            <w:tcW w:w="0" w:type="auto"/>
          </w:tcPr>
          <w:p w:rsidR="005320EB" w:rsidRPr="0036031F" w:rsidRDefault="005320EB" w:rsidP="00C8503E">
            <w:pPr>
              <w:pStyle w:val="Style6"/>
              <w:shd w:val="clear" w:color="auto" w:fill="FFFFFF" w:themeFill="background1"/>
              <w:kinsoku w:val="0"/>
              <w:autoSpaceDE/>
              <w:autoSpaceDN/>
              <w:ind w:left="0"/>
              <w:jc w:val="center"/>
              <w:rPr>
                <w:rStyle w:val="CharacterStyle3"/>
                <w:b/>
                <w:spacing w:val="4"/>
                <w:sz w:val="16"/>
                <w:szCs w:val="16"/>
                <w:lang w:val="es-CO"/>
              </w:rPr>
            </w:pPr>
            <w:r w:rsidRPr="0036031F">
              <w:rPr>
                <w:rStyle w:val="CharacterStyle3"/>
                <w:b/>
                <w:spacing w:val="4"/>
                <w:sz w:val="16"/>
                <w:szCs w:val="16"/>
                <w:lang w:val="es-CO"/>
              </w:rPr>
              <w:t>SALDO CDP SIN LIBERAR</w:t>
            </w:r>
          </w:p>
        </w:tc>
      </w:tr>
      <w:tr w:rsidR="005320EB" w:rsidRPr="0036031F" w:rsidTr="00B13E1E">
        <w:tc>
          <w:tcPr>
            <w:tcW w:w="0" w:type="auto"/>
          </w:tcPr>
          <w:p w:rsidR="005320EB" w:rsidRPr="0036031F" w:rsidRDefault="005320EB" w:rsidP="00C8503E">
            <w:pPr>
              <w:pStyle w:val="Style6"/>
              <w:shd w:val="clear" w:color="auto" w:fill="FFFFFF" w:themeFill="background1"/>
              <w:kinsoku w:val="0"/>
              <w:autoSpaceDE/>
              <w:autoSpaceDN/>
              <w:ind w:left="0"/>
              <w:rPr>
                <w:rStyle w:val="CharacterStyle3"/>
                <w:spacing w:val="4"/>
                <w:sz w:val="16"/>
                <w:szCs w:val="16"/>
                <w:lang w:val="es-CO"/>
              </w:rPr>
            </w:pPr>
            <w:r w:rsidRPr="0036031F">
              <w:rPr>
                <w:color w:val="000000"/>
                <w:sz w:val="16"/>
                <w:szCs w:val="16"/>
                <w:lang w:val="es-CO" w:eastAsia="es-CO"/>
              </w:rPr>
              <w:t>Con</w:t>
            </w:r>
            <w:r w:rsidRPr="0036031F">
              <w:rPr>
                <w:bCs/>
                <w:color w:val="000000"/>
                <w:sz w:val="16"/>
                <w:szCs w:val="16"/>
                <w:lang w:val="es-CO" w:eastAsia="es-CO"/>
              </w:rPr>
              <w:t>strucción, adecuación y dotación sede juzgados laborales y salas de audiencias para la implementación del sistema oral a nivel nacional</w:t>
            </w:r>
          </w:p>
        </w:tc>
        <w:tc>
          <w:tcPr>
            <w:tcW w:w="0" w:type="auto"/>
          </w:tcPr>
          <w:p w:rsidR="005320EB" w:rsidRPr="0036031F" w:rsidRDefault="005320EB" w:rsidP="00C8503E">
            <w:pPr>
              <w:pStyle w:val="Style6"/>
              <w:shd w:val="clear" w:color="auto" w:fill="FFFFFF" w:themeFill="background1"/>
              <w:kinsoku w:val="0"/>
              <w:autoSpaceDE/>
              <w:autoSpaceDN/>
              <w:ind w:left="0"/>
              <w:jc w:val="center"/>
              <w:rPr>
                <w:rStyle w:val="CharacterStyle3"/>
                <w:spacing w:val="4"/>
                <w:sz w:val="16"/>
                <w:szCs w:val="16"/>
                <w:lang w:val="es-CO"/>
              </w:rPr>
            </w:pPr>
            <w:r w:rsidRPr="0036031F">
              <w:rPr>
                <w:rStyle w:val="CharacterStyle3"/>
                <w:spacing w:val="4"/>
                <w:sz w:val="16"/>
                <w:szCs w:val="16"/>
                <w:lang w:val="es-CO"/>
              </w:rPr>
              <w:t>2010</w:t>
            </w:r>
          </w:p>
        </w:tc>
        <w:tc>
          <w:tcPr>
            <w:tcW w:w="0" w:type="auto"/>
          </w:tcPr>
          <w:p w:rsidR="005320EB" w:rsidRPr="0036031F" w:rsidRDefault="005320EB" w:rsidP="00C8503E">
            <w:pPr>
              <w:pStyle w:val="Style6"/>
              <w:shd w:val="clear" w:color="auto" w:fill="FFFFFF" w:themeFill="background1"/>
              <w:kinsoku w:val="0"/>
              <w:autoSpaceDE/>
              <w:autoSpaceDN/>
              <w:ind w:left="0"/>
              <w:jc w:val="right"/>
              <w:rPr>
                <w:rStyle w:val="CharacterStyle3"/>
                <w:spacing w:val="4"/>
                <w:sz w:val="16"/>
                <w:szCs w:val="16"/>
                <w:lang w:val="es-CO"/>
              </w:rPr>
            </w:pPr>
            <w:r w:rsidRPr="0036031F">
              <w:rPr>
                <w:rStyle w:val="CharacterStyle3"/>
                <w:spacing w:val="4"/>
                <w:sz w:val="16"/>
                <w:szCs w:val="16"/>
                <w:lang w:val="es-CO"/>
              </w:rPr>
              <w:t>$822.688</w:t>
            </w:r>
          </w:p>
        </w:tc>
      </w:tr>
      <w:tr w:rsidR="005320EB" w:rsidRPr="0036031F" w:rsidTr="00B13E1E">
        <w:tc>
          <w:tcPr>
            <w:tcW w:w="0" w:type="auto"/>
          </w:tcPr>
          <w:p w:rsidR="005320EB" w:rsidRPr="0036031F" w:rsidRDefault="005320EB" w:rsidP="00C8503E">
            <w:pPr>
              <w:pStyle w:val="Style6"/>
              <w:shd w:val="clear" w:color="auto" w:fill="FFFFFF" w:themeFill="background1"/>
              <w:kinsoku w:val="0"/>
              <w:autoSpaceDE/>
              <w:autoSpaceDN/>
              <w:ind w:left="0"/>
              <w:rPr>
                <w:rStyle w:val="CharacterStyle3"/>
                <w:spacing w:val="4"/>
                <w:sz w:val="16"/>
                <w:szCs w:val="16"/>
                <w:lang w:val="es-CO"/>
              </w:rPr>
            </w:pPr>
            <w:r w:rsidRPr="0036031F">
              <w:rPr>
                <w:bCs/>
                <w:color w:val="000000"/>
                <w:sz w:val="16"/>
                <w:szCs w:val="16"/>
                <w:lang w:val="es-CO" w:eastAsia="es-CO"/>
              </w:rPr>
              <w:t>Adquisición y/o adecuación y dotación de salas de audiencias para el sistema penal acusatorio a nivel nacional</w:t>
            </w:r>
          </w:p>
        </w:tc>
        <w:tc>
          <w:tcPr>
            <w:tcW w:w="0" w:type="auto"/>
          </w:tcPr>
          <w:p w:rsidR="005320EB" w:rsidRPr="0036031F" w:rsidRDefault="005320EB" w:rsidP="00C8503E">
            <w:pPr>
              <w:pStyle w:val="Style6"/>
              <w:shd w:val="clear" w:color="auto" w:fill="FFFFFF" w:themeFill="background1"/>
              <w:kinsoku w:val="0"/>
              <w:autoSpaceDE/>
              <w:autoSpaceDN/>
              <w:ind w:left="0"/>
              <w:jc w:val="center"/>
              <w:rPr>
                <w:rStyle w:val="CharacterStyle3"/>
                <w:spacing w:val="4"/>
                <w:sz w:val="16"/>
                <w:szCs w:val="16"/>
                <w:lang w:val="es-CO"/>
              </w:rPr>
            </w:pPr>
            <w:r w:rsidRPr="0036031F">
              <w:rPr>
                <w:rStyle w:val="CharacterStyle3"/>
                <w:spacing w:val="4"/>
                <w:sz w:val="16"/>
                <w:szCs w:val="16"/>
                <w:lang w:val="es-CO"/>
              </w:rPr>
              <w:t>2010</w:t>
            </w:r>
          </w:p>
        </w:tc>
        <w:tc>
          <w:tcPr>
            <w:tcW w:w="0" w:type="auto"/>
          </w:tcPr>
          <w:p w:rsidR="005320EB" w:rsidRPr="0036031F" w:rsidRDefault="005320EB" w:rsidP="00C8503E">
            <w:pPr>
              <w:shd w:val="clear" w:color="auto" w:fill="FFFFFF" w:themeFill="background1"/>
              <w:jc w:val="right"/>
              <w:rPr>
                <w:rFonts w:ascii="Arial" w:hAnsi="Arial" w:cs="Arial"/>
                <w:color w:val="000000"/>
                <w:sz w:val="16"/>
                <w:szCs w:val="16"/>
                <w:lang w:eastAsia="es-CO"/>
              </w:rPr>
            </w:pPr>
            <w:r w:rsidRPr="0036031F">
              <w:rPr>
                <w:rFonts w:ascii="Arial" w:hAnsi="Arial" w:cs="Arial"/>
                <w:bCs/>
                <w:color w:val="000000"/>
                <w:sz w:val="16"/>
                <w:szCs w:val="16"/>
                <w:lang w:eastAsia="es-CO"/>
              </w:rPr>
              <w:t>$ 5.358.170</w:t>
            </w:r>
          </w:p>
        </w:tc>
      </w:tr>
      <w:tr w:rsidR="005320EB" w:rsidRPr="0036031F" w:rsidTr="00B13E1E">
        <w:tc>
          <w:tcPr>
            <w:tcW w:w="0" w:type="auto"/>
          </w:tcPr>
          <w:p w:rsidR="005320EB" w:rsidRPr="0036031F" w:rsidRDefault="005320EB" w:rsidP="00C8503E">
            <w:pPr>
              <w:shd w:val="clear" w:color="auto" w:fill="FFFFFF" w:themeFill="background1"/>
              <w:jc w:val="both"/>
              <w:rPr>
                <w:rFonts w:ascii="Arial" w:hAnsi="Arial" w:cs="Arial"/>
                <w:b/>
                <w:sz w:val="16"/>
                <w:szCs w:val="16"/>
              </w:rPr>
            </w:pPr>
            <w:r w:rsidRPr="0036031F">
              <w:rPr>
                <w:rFonts w:ascii="Arial" w:hAnsi="Arial" w:cs="Arial"/>
                <w:color w:val="000000"/>
                <w:sz w:val="16"/>
                <w:szCs w:val="16"/>
                <w:lang w:eastAsia="es-CO"/>
              </w:rPr>
              <w:t>C</w:t>
            </w:r>
            <w:r w:rsidRPr="0036031F">
              <w:rPr>
                <w:rFonts w:ascii="Arial" w:hAnsi="Arial" w:cs="Arial"/>
                <w:bCs/>
                <w:color w:val="000000"/>
                <w:sz w:val="16"/>
                <w:szCs w:val="16"/>
                <w:lang w:eastAsia="es-CO"/>
              </w:rPr>
              <w:t>onstrucción, adquisición, adecuación y dotación de sedes y salas de audiencia para la implementación del sistema oral de los juzgados de menores a nivel nacional</w:t>
            </w:r>
          </w:p>
        </w:tc>
        <w:tc>
          <w:tcPr>
            <w:tcW w:w="0" w:type="auto"/>
          </w:tcPr>
          <w:p w:rsidR="005320EB" w:rsidRPr="0036031F" w:rsidRDefault="005320EB" w:rsidP="00C8503E">
            <w:pPr>
              <w:pStyle w:val="Style6"/>
              <w:shd w:val="clear" w:color="auto" w:fill="FFFFFF" w:themeFill="background1"/>
              <w:kinsoku w:val="0"/>
              <w:autoSpaceDE/>
              <w:autoSpaceDN/>
              <w:ind w:left="0"/>
              <w:jc w:val="center"/>
              <w:rPr>
                <w:rStyle w:val="CharacterStyle3"/>
                <w:spacing w:val="4"/>
                <w:sz w:val="16"/>
                <w:szCs w:val="16"/>
                <w:lang w:val="es-CO"/>
              </w:rPr>
            </w:pPr>
            <w:r w:rsidRPr="0036031F">
              <w:rPr>
                <w:rStyle w:val="CharacterStyle3"/>
                <w:spacing w:val="4"/>
                <w:sz w:val="16"/>
                <w:szCs w:val="16"/>
                <w:lang w:val="es-CO"/>
              </w:rPr>
              <w:t>2011</w:t>
            </w:r>
          </w:p>
        </w:tc>
        <w:tc>
          <w:tcPr>
            <w:tcW w:w="0" w:type="auto"/>
          </w:tcPr>
          <w:p w:rsidR="005320EB" w:rsidRPr="0036031F" w:rsidRDefault="005320EB" w:rsidP="00C8503E">
            <w:pPr>
              <w:shd w:val="clear" w:color="auto" w:fill="FFFFFF" w:themeFill="background1"/>
              <w:jc w:val="right"/>
              <w:rPr>
                <w:rFonts w:ascii="Arial" w:hAnsi="Arial" w:cs="Arial"/>
                <w:color w:val="000000"/>
                <w:sz w:val="16"/>
                <w:szCs w:val="16"/>
                <w:lang w:eastAsia="es-CO"/>
              </w:rPr>
            </w:pPr>
            <w:r w:rsidRPr="0036031F">
              <w:rPr>
                <w:rFonts w:ascii="Arial" w:hAnsi="Arial" w:cs="Arial"/>
                <w:bCs/>
                <w:color w:val="000000"/>
                <w:sz w:val="16"/>
                <w:szCs w:val="16"/>
                <w:lang w:eastAsia="es-CO"/>
              </w:rPr>
              <w:t>$ 252.689.814</w:t>
            </w:r>
          </w:p>
        </w:tc>
      </w:tr>
      <w:tr w:rsidR="005320EB" w:rsidRPr="0036031F" w:rsidTr="00B13E1E">
        <w:tc>
          <w:tcPr>
            <w:tcW w:w="0" w:type="auto"/>
          </w:tcPr>
          <w:p w:rsidR="005320EB" w:rsidRPr="0036031F" w:rsidRDefault="005320EB" w:rsidP="00C8503E">
            <w:pPr>
              <w:pStyle w:val="Style6"/>
              <w:shd w:val="clear" w:color="auto" w:fill="FFFFFF" w:themeFill="background1"/>
              <w:kinsoku w:val="0"/>
              <w:autoSpaceDE/>
              <w:autoSpaceDN/>
              <w:ind w:left="0"/>
              <w:rPr>
                <w:rStyle w:val="CharacterStyle3"/>
                <w:spacing w:val="4"/>
                <w:sz w:val="16"/>
                <w:szCs w:val="16"/>
                <w:lang w:val="es-CO"/>
              </w:rPr>
            </w:pPr>
            <w:r w:rsidRPr="0036031F">
              <w:rPr>
                <w:bCs/>
                <w:color w:val="000000"/>
                <w:sz w:val="16"/>
                <w:szCs w:val="16"/>
                <w:lang w:val="es-CO" w:eastAsia="es-CO"/>
              </w:rPr>
              <w:t>Construcción, adecuación y dotación de sedes de juzgados laborales y salas de audiencias para la implementación del sistema oral a nivel nacional</w:t>
            </w:r>
          </w:p>
        </w:tc>
        <w:tc>
          <w:tcPr>
            <w:tcW w:w="0" w:type="auto"/>
          </w:tcPr>
          <w:p w:rsidR="005320EB" w:rsidRPr="0036031F" w:rsidRDefault="005320EB" w:rsidP="00C8503E">
            <w:pPr>
              <w:pStyle w:val="Style6"/>
              <w:shd w:val="clear" w:color="auto" w:fill="FFFFFF" w:themeFill="background1"/>
              <w:kinsoku w:val="0"/>
              <w:autoSpaceDE/>
              <w:autoSpaceDN/>
              <w:ind w:left="0"/>
              <w:jc w:val="center"/>
              <w:rPr>
                <w:rStyle w:val="CharacterStyle3"/>
                <w:spacing w:val="4"/>
                <w:sz w:val="16"/>
                <w:szCs w:val="16"/>
                <w:lang w:val="es-CO"/>
              </w:rPr>
            </w:pPr>
            <w:r w:rsidRPr="0036031F">
              <w:rPr>
                <w:rStyle w:val="CharacterStyle3"/>
                <w:spacing w:val="4"/>
                <w:sz w:val="16"/>
                <w:szCs w:val="16"/>
                <w:lang w:val="es-CO"/>
              </w:rPr>
              <w:t>2013</w:t>
            </w:r>
          </w:p>
        </w:tc>
        <w:tc>
          <w:tcPr>
            <w:tcW w:w="0" w:type="auto"/>
          </w:tcPr>
          <w:p w:rsidR="005320EB" w:rsidRPr="0036031F" w:rsidRDefault="005320EB" w:rsidP="00C8503E">
            <w:pPr>
              <w:pStyle w:val="Style6"/>
              <w:shd w:val="clear" w:color="auto" w:fill="FFFFFF" w:themeFill="background1"/>
              <w:kinsoku w:val="0"/>
              <w:autoSpaceDE/>
              <w:autoSpaceDN/>
              <w:ind w:left="0"/>
              <w:jc w:val="right"/>
              <w:rPr>
                <w:rStyle w:val="CharacterStyle3"/>
                <w:spacing w:val="4"/>
                <w:sz w:val="16"/>
                <w:szCs w:val="16"/>
                <w:lang w:val="es-CO"/>
              </w:rPr>
            </w:pPr>
            <w:r w:rsidRPr="0036031F">
              <w:rPr>
                <w:bCs/>
                <w:color w:val="000000"/>
                <w:sz w:val="16"/>
                <w:szCs w:val="16"/>
                <w:lang w:val="es-CO" w:eastAsia="es-CO"/>
              </w:rPr>
              <w:t>$305.260.736</w:t>
            </w:r>
          </w:p>
        </w:tc>
      </w:tr>
      <w:tr w:rsidR="005320EB" w:rsidRPr="0036031F" w:rsidTr="00B13E1E">
        <w:tc>
          <w:tcPr>
            <w:tcW w:w="0" w:type="auto"/>
          </w:tcPr>
          <w:p w:rsidR="005320EB" w:rsidRPr="0036031F" w:rsidRDefault="005320EB" w:rsidP="00C8503E">
            <w:pPr>
              <w:pStyle w:val="Style6"/>
              <w:shd w:val="clear" w:color="auto" w:fill="FFFFFF" w:themeFill="background1"/>
              <w:kinsoku w:val="0"/>
              <w:autoSpaceDE/>
              <w:autoSpaceDN/>
              <w:ind w:left="0"/>
              <w:rPr>
                <w:rStyle w:val="CharacterStyle3"/>
                <w:spacing w:val="4"/>
                <w:sz w:val="16"/>
                <w:szCs w:val="16"/>
                <w:lang w:val="es-CO"/>
              </w:rPr>
            </w:pPr>
            <w:r w:rsidRPr="0036031F">
              <w:rPr>
                <w:bCs/>
                <w:color w:val="000000"/>
                <w:sz w:val="16"/>
                <w:szCs w:val="16"/>
                <w:lang w:val="es-CO"/>
              </w:rPr>
              <w:t>C</w:t>
            </w:r>
            <w:r w:rsidRPr="0036031F">
              <w:rPr>
                <w:bCs/>
                <w:color w:val="000000"/>
                <w:sz w:val="16"/>
                <w:szCs w:val="16"/>
                <w:lang w:val="es-CO" w:eastAsia="es-CO"/>
              </w:rPr>
              <w:t>onstrucción y adecuación de salas de audiencias para oralidad en lo contencioso administrativo a nivel nacional</w:t>
            </w:r>
          </w:p>
        </w:tc>
        <w:tc>
          <w:tcPr>
            <w:tcW w:w="0" w:type="auto"/>
          </w:tcPr>
          <w:p w:rsidR="005320EB" w:rsidRPr="0036031F" w:rsidRDefault="005320EB" w:rsidP="00C8503E">
            <w:pPr>
              <w:pStyle w:val="Style6"/>
              <w:shd w:val="clear" w:color="auto" w:fill="FFFFFF" w:themeFill="background1"/>
              <w:kinsoku w:val="0"/>
              <w:autoSpaceDE/>
              <w:autoSpaceDN/>
              <w:ind w:left="0"/>
              <w:jc w:val="center"/>
              <w:rPr>
                <w:rStyle w:val="CharacterStyle3"/>
                <w:spacing w:val="4"/>
                <w:sz w:val="16"/>
                <w:szCs w:val="16"/>
                <w:lang w:val="es-CO"/>
              </w:rPr>
            </w:pPr>
            <w:r w:rsidRPr="0036031F">
              <w:rPr>
                <w:rStyle w:val="CharacterStyle3"/>
                <w:spacing w:val="4"/>
                <w:sz w:val="16"/>
                <w:szCs w:val="16"/>
                <w:lang w:val="es-CO"/>
              </w:rPr>
              <w:t>2012</w:t>
            </w:r>
          </w:p>
        </w:tc>
        <w:tc>
          <w:tcPr>
            <w:tcW w:w="0" w:type="auto"/>
          </w:tcPr>
          <w:p w:rsidR="005320EB" w:rsidRPr="0036031F" w:rsidRDefault="005320EB" w:rsidP="00C8503E">
            <w:pPr>
              <w:shd w:val="clear" w:color="auto" w:fill="FFFFFF" w:themeFill="background1"/>
              <w:jc w:val="right"/>
              <w:rPr>
                <w:rFonts w:ascii="Arial" w:hAnsi="Arial" w:cs="Arial"/>
                <w:color w:val="000000"/>
                <w:sz w:val="16"/>
                <w:szCs w:val="16"/>
                <w:lang w:eastAsia="es-CO"/>
              </w:rPr>
            </w:pPr>
            <w:r w:rsidRPr="0036031F">
              <w:rPr>
                <w:rFonts w:ascii="Arial" w:hAnsi="Arial" w:cs="Arial"/>
                <w:bCs/>
                <w:color w:val="000000"/>
                <w:sz w:val="16"/>
                <w:szCs w:val="16"/>
                <w:lang w:eastAsia="es-CO"/>
              </w:rPr>
              <w:t>$1.891.229.799</w:t>
            </w:r>
          </w:p>
        </w:tc>
      </w:tr>
      <w:tr w:rsidR="005320EB" w:rsidRPr="0036031F" w:rsidTr="00B13E1E">
        <w:tc>
          <w:tcPr>
            <w:tcW w:w="0" w:type="auto"/>
          </w:tcPr>
          <w:p w:rsidR="005320EB" w:rsidRPr="0036031F" w:rsidRDefault="005320EB" w:rsidP="00C8503E">
            <w:pPr>
              <w:shd w:val="clear" w:color="auto" w:fill="FFFFFF" w:themeFill="background1"/>
              <w:jc w:val="both"/>
              <w:rPr>
                <w:rStyle w:val="CharacterStyle3"/>
                <w:spacing w:val="4"/>
                <w:sz w:val="16"/>
                <w:szCs w:val="16"/>
              </w:rPr>
            </w:pPr>
            <w:r w:rsidRPr="0036031F">
              <w:rPr>
                <w:rFonts w:ascii="Arial" w:hAnsi="Arial" w:cs="Arial"/>
                <w:bCs/>
                <w:color w:val="000000"/>
                <w:sz w:val="16"/>
                <w:szCs w:val="16"/>
              </w:rPr>
              <w:t>Sistematización de despachos judiciales a nivel nacional</w:t>
            </w:r>
          </w:p>
        </w:tc>
        <w:tc>
          <w:tcPr>
            <w:tcW w:w="0" w:type="auto"/>
          </w:tcPr>
          <w:p w:rsidR="005320EB" w:rsidRPr="0036031F" w:rsidRDefault="005320EB" w:rsidP="00C8503E">
            <w:pPr>
              <w:pStyle w:val="Style6"/>
              <w:shd w:val="clear" w:color="auto" w:fill="FFFFFF" w:themeFill="background1"/>
              <w:kinsoku w:val="0"/>
              <w:autoSpaceDE/>
              <w:autoSpaceDN/>
              <w:ind w:left="0"/>
              <w:jc w:val="center"/>
              <w:rPr>
                <w:rStyle w:val="CharacterStyle3"/>
                <w:spacing w:val="4"/>
                <w:sz w:val="16"/>
                <w:szCs w:val="16"/>
                <w:lang w:val="es-CO"/>
              </w:rPr>
            </w:pPr>
            <w:r w:rsidRPr="0036031F">
              <w:rPr>
                <w:rStyle w:val="CharacterStyle3"/>
                <w:spacing w:val="4"/>
                <w:sz w:val="16"/>
                <w:szCs w:val="16"/>
                <w:lang w:val="es-CO"/>
              </w:rPr>
              <w:t>2011</w:t>
            </w:r>
          </w:p>
        </w:tc>
        <w:tc>
          <w:tcPr>
            <w:tcW w:w="0" w:type="auto"/>
          </w:tcPr>
          <w:p w:rsidR="005320EB" w:rsidRPr="0036031F" w:rsidRDefault="005320EB" w:rsidP="00C8503E">
            <w:pPr>
              <w:pStyle w:val="Style6"/>
              <w:shd w:val="clear" w:color="auto" w:fill="FFFFFF" w:themeFill="background1"/>
              <w:kinsoku w:val="0"/>
              <w:autoSpaceDE/>
              <w:autoSpaceDN/>
              <w:ind w:left="0"/>
              <w:jc w:val="right"/>
              <w:rPr>
                <w:rStyle w:val="CharacterStyle3"/>
                <w:spacing w:val="4"/>
                <w:sz w:val="16"/>
                <w:szCs w:val="16"/>
                <w:lang w:val="es-CO"/>
              </w:rPr>
            </w:pPr>
            <w:r w:rsidRPr="0036031F">
              <w:rPr>
                <w:sz w:val="16"/>
                <w:szCs w:val="16"/>
                <w:lang w:val="es-CO"/>
              </w:rPr>
              <w:t>$135.677.207</w:t>
            </w:r>
          </w:p>
        </w:tc>
      </w:tr>
      <w:tr w:rsidR="005320EB" w:rsidRPr="0036031F" w:rsidTr="00B13E1E">
        <w:tc>
          <w:tcPr>
            <w:tcW w:w="0" w:type="auto"/>
            <w:shd w:val="clear" w:color="auto" w:fill="auto"/>
          </w:tcPr>
          <w:p w:rsidR="005320EB" w:rsidRPr="0036031F" w:rsidRDefault="005320EB" w:rsidP="00C8503E">
            <w:pPr>
              <w:pStyle w:val="Style6"/>
              <w:shd w:val="clear" w:color="auto" w:fill="FFFFFF" w:themeFill="background1"/>
              <w:kinsoku w:val="0"/>
              <w:autoSpaceDE/>
              <w:autoSpaceDN/>
              <w:ind w:left="0"/>
              <w:rPr>
                <w:rStyle w:val="CharacterStyle3"/>
                <w:spacing w:val="4"/>
                <w:sz w:val="16"/>
                <w:szCs w:val="16"/>
                <w:lang w:val="es-CO"/>
              </w:rPr>
            </w:pPr>
            <w:r w:rsidRPr="0036031F">
              <w:rPr>
                <w:bCs/>
                <w:color w:val="000000"/>
                <w:sz w:val="16"/>
                <w:szCs w:val="16"/>
                <w:lang w:val="es-CO" w:eastAsia="es-CO"/>
              </w:rPr>
              <w:t>Construcción, adquisición, adecuación y dotación de sedes y salas de audiencia para la implementación del sistema oral de los juzgados de menores a nivel nacional</w:t>
            </w:r>
          </w:p>
        </w:tc>
        <w:tc>
          <w:tcPr>
            <w:tcW w:w="0" w:type="auto"/>
          </w:tcPr>
          <w:p w:rsidR="005320EB" w:rsidRPr="0036031F" w:rsidRDefault="005320EB" w:rsidP="00C8503E">
            <w:pPr>
              <w:pStyle w:val="Style6"/>
              <w:shd w:val="clear" w:color="auto" w:fill="FFFFFF" w:themeFill="background1"/>
              <w:kinsoku w:val="0"/>
              <w:autoSpaceDE/>
              <w:autoSpaceDN/>
              <w:ind w:left="0"/>
              <w:jc w:val="center"/>
              <w:rPr>
                <w:rStyle w:val="CharacterStyle3"/>
                <w:spacing w:val="4"/>
                <w:sz w:val="16"/>
                <w:szCs w:val="16"/>
                <w:lang w:val="es-CO"/>
              </w:rPr>
            </w:pPr>
            <w:r w:rsidRPr="0036031F">
              <w:rPr>
                <w:rStyle w:val="CharacterStyle3"/>
                <w:spacing w:val="4"/>
                <w:sz w:val="16"/>
                <w:szCs w:val="16"/>
                <w:lang w:val="es-CO"/>
              </w:rPr>
              <w:t>2013</w:t>
            </w:r>
          </w:p>
        </w:tc>
        <w:tc>
          <w:tcPr>
            <w:tcW w:w="0" w:type="auto"/>
          </w:tcPr>
          <w:p w:rsidR="005320EB" w:rsidRPr="0036031F" w:rsidRDefault="005320EB" w:rsidP="00C8503E">
            <w:pPr>
              <w:pStyle w:val="Style6"/>
              <w:shd w:val="clear" w:color="auto" w:fill="FFFFFF" w:themeFill="background1"/>
              <w:kinsoku w:val="0"/>
              <w:autoSpaceDE/>
              <w:autoSpaceDN/>
              <w:ind w:left="0"/>
              <w:jc w:val="right"/>
              <w:rPr>
                <w:rStyle w:val="CharacterStyle3"/>
                <w:spacing w:val="4"/>
                <w:sz w:val="16"/>
                <w:szCs w:val="16"/>
                <w:lang w:val="es-CO"/>
              </w:rPr>
            </w:pPr>
            <w:r w:rsidRPr="0036031F">
              <w:rPr>
                <w:bCs/>
                <w:color w:val="000000"/>
                <w:sz w:val="16"/>
                <w:szCs w:val="16"/>
                <w:lang w:val="es-CO" w:eastAsia="es-CO"/>
              </w:rPr>
              <w:t>$36.249.955</w:t>
            </w:r>
          </w:p>
        </w:tc>
      </w:tr>
      <w:tr w:rsidR="005320EB" w:rsidRPr="0036031F" w:rsidTr="00B13E1E">
        <w:tc>
          <w:tcPr>
            <w:tcW w:w="0" w:type="auto"/>
          </w:tcPr>
          <w:p w:rsidR="005320EB" w:rsidRPr="0036031F" w:rsidRDefault="005320EB" w:rsidP="00C8503E">
            <w:pPr>
              <w:pStyle w:val="Style6"/>
              <w:shd w:val="clear" w:color="auto" w:fill="FFFFFF" w:themeFill="background1"/>
              <w:kinsoku w:val="0"/>
              <w:autoSpaceDE/>
              <w:autoSpaceDN/>
              <w:ind w:left="0"/>
              <w:rPr>
                <w:rStyle w:val="CharacterStyle3"/>
                <w:spacing w:val="4"/>
                <w:sz w:val="16"/>
                <w:szCs w:val="16"/>
                <w:lang w:val="es-CO"/>
              </w:rPr>
            </w:pPr>
            <w:r w:rsidRPr="0036031F">
              <w:rPr>
                <w:bCs/>
                <w:color w:val="000000"/>
                <w:sz w:val="16"/>
                <w:szCs w:val="16"/>
                <w:lang w:val="es-CO" w:eastAsia="es-CO"/>
              </w:rPr>
              <w:t>Construcción, adquisición, adecuación y dotación de sedes y salas de audiencias para la implementación del sistema oral de los juzgados civiles a nivel nacional</w:t>
            </w:r>
          </w:p>
        </w:tc>
        <w:tc>
          <w:tcPr>
            <w:tcW w:w="0" w:type="auto"/>
          </w:tcPr>
          <w:p w:rsidR="005320EB" w:rsidRPr="0036031F" w:rsidRDefault="005320EB" w:rsidP="00C8503E">
            <w:pPr>
              <w:pStyle w:val="Style6"/>
              <w:shd w:val="clear" w:color="auto" w:fill="FFFFFF" w:themeFill="background1"/>
              <w:kinsoku w:val="0"/>
              <w:autoSpaceDE/>
              <w:autoSpaceDN/>
              <w:ind w:left="0"/>
              <w:jc w:val="center"/>
              <w:rPr>
                <w:rStyle w:val="CharacterStyle3"/>
                <w:spacing w:val="4"/>
                <w:sz w:val="16"/>
                <w:szCs w:val="16"/>
                <w:lang w:val="es-CO"/>
              </w:rPr>
            </w:pPr>
            <w:r w:rsidRPr="0036031F">
              <w:rPr>
                <w:rStyle w:val="CharacterStyle3"/>
                <w:spacing w:val="4"/>
                <w:sz w:val="16"/>
                <w:szCs w:val="16"/>
                <w:lang w:val="es-CO"/>
              </w:rPr>
              <w:t>2013</w:t>
            </w:r>
          </w:p>
        </w:tc>
        <w:tc>
          <w:tcPr>
            <w:tcW w:w="0" w:type="auto"/>
          </w:tcPr>
          <w:p w:rsidR="005320EB" w:rsidRPr="0036031F" w:rsidRDefault="005320EB" w:rsidP="00C8503E">
            <w:pPr>
              <w:pStyle w:val="Style6"/>
              <w:shd w:val="clear" w:color="auto" w:fill="FFFFFF" w:themeFill="background1"/>
              <w:kinsoku w:val="0"/>
              <w:autoSpaceDE/>
              <w:autoSpaceDN/>
              <w:ind w:left="0"/>
              <w:jc w:val="right"/>
              <w:rPr>
                <w:rStyle w:val="CharacterStyle3"/>
                <w:spacing w:val="4"/>
                <w:sz w:val="16"/>
                <w:szCs w:val="16"/>
                <w:lang w:val="es-CO"/>
              </w:rPr>
            </w:pPr>
            <w:r w:rsidRPr="0036031F">
              <w:rPr>
                <w:color w:val="000000"/>
                <w:sz w:val="16"/>
                <w:szCs w:val="16"/>
                <w:lang w:val="es-CO" w:eastAsia="es-CO"/>
              </w:rPr>
              <w:t>$115.107.113</w:t>
            </w:r>
          </w:p>
        </w:tc>
      </w:tr>
      <w:tr w:rsidR="005320EB" w:rsidRPr="0036031F" w:rsidTr="00B13E1E">
        <w:tc>
          <w:tcPr>
            <w:tcW w:w="0" w:type="auto"/>
          </w:tcPr>
          <w:p w:rsidR="005320EB" w:rsidRPr="0036031F" w:rsidRDefault="005320EB" w:rsidP="00C8503E">
            <w:pPr>
              <w:pStyle w:val="Style6"/>
              <w:shd w:val="clear" w:color="auto" w:fill="FFFFFF" w:themeFill="background1"/>
              <w:kinsoku w:val="0"/>
              <w:autoSpaceDE/>
              <w:autoSpaceDN/>
              <w:ind w:left="0"/>
              <w:rPr>
                <w:rStyle w:val="CharacterStyle3"/>
                <w:i/>
                <w:spacing w:val="4"/>
                <w:sz w:val="16"/>
                <w:szCs w:val="16"/>
                <w:lang w:val="es-CO"/>
              </w:rPr>
            </w:pPr>
          </w:p>
        </w:tc>
        <w:tc>
          <w:tcPr>
            <w:tcW w:w="0" w:type="auto"/>
          </w:tcPr>
          <w:p w:rsidR="005320EB" w:rsidRPr="0036031F" w:rsidRDefault="005320EB" w:rsidP="00C8503E">
            <w:pPr>
              <w:pStyle w:val="Style6"/>
              <w:shd w:val="clear" w:color="auto" w:fill="FFFFFF" w:themeFill="background1"/>
              <w:kinsoku w:val="0"/>
              <w:autoSpaceDE/>
              <w:autoSpaceDN/>
              <w:ind w:left="0"/>
              <w:rPr>
                <w:rStyle w:val="CharacterStyle3"/>
                <w:spacing w:val="4"/>
                <w:sz w:val="16"/>
                <w:szCs w:val="16"/>
                <w:lang w:val="es-CO"/>
              </w:rPr>
            </w:pPr>
          </w:p>
        </w:tc>
        <w:tc>
          <w:tcPr>
            <w:tcW w:w="0" w:type="auto"/>
          </w:tcPr>
          <w:p w:rsidR="005320EB" w:rsidRPr="0036031F" w:rsidRDefault="005320EB" w:rsidP="00C8503E">
            <w:pPr>
              <w:pStyle w:val="Style6"/>
              <w:shd w:val="clear" w:color="auto" w:fill="FFFFFF" w:themeFill="background1"/>
              <w:kinsoku w:val="0"/>
              <w:autoSpaceDE/>
              <w:autoSpaceDN/>
              <w:ind w:left="0"/>
              <w:jc w:val="right"/>
              <w:rPr>
                <w:rStyle w:val="CharacterStyle3"/>
                <w:b/>
                <w:spacing w:val="4"/>
                <w:sz w:val="16"/>
                <w:szCs w:val="16"/>
                <w:lang w:val="es-CO"/>
              </w:rPr>
            </w:pPr>
            <w:r w:rsidRPr="0036031F">
              <w:rPr>
                <w:rStyle w:val="CharacterStyle3"/>
                <w:b/>
                <w:spacing w:val="4"/>
                <w:sz w:val="16"/>
                <w:szCs w:val="16"/>
                <w:lang w:val="es-CO"/>
              </w:rPr>
              <w:t>$2.742.395.482</w:t>
            </w:r>
          </w:p>
        </w:tc>
      </w:tr>
    </w:tbl>
    <w:p w:rsidR="005320EB" w:rsidRPr="009427D5" w:rsidRDefault="005320EB" w:rsidP="00C8503E">
      <w:pPr>
        <w:pStyle w:val="Style6"/>
        <w:shd w:val="clear" w:color="auto" w:fill="FFFFFF" w:themeFill="background1"/>
        <w:kinsoku w:val="0"/>
        <w:autoSpaceDE/>
        <w:autoSpaceDN/>
        <w:ind w:left="0"/>
        <w:rPr>
          <w:rStyle w:val="CharacterStyle3"/>
          <w:b/>
          <w:spacing w:val="4"/>
          <w:sz w:val="16"/>
          <w:szCs w:val="16"/>
          <w:lang w:val="es-CO"/>
        </w:rPr>
      </w:pPr>
      <w:r w:rsidRPr="0036031F">
        <w:rPr>
          <w:rStyle w:val="CharacterStyle3"/>
          <w:b/>
          <w:spacing w:val="4"/>
          <w:sz w:val="16"/>
          <w:szCs w:val="16"/>
          <w:lang w:val="es-CO"/>
        </w:rPr>
        <w:t>Fuente: Oficio DEAJPL14-438 del 13/05/2014 del</w:t>
      </w:r>
      <w:r w:rsidRPr="009427D5">
        <w:rPr>
          <w:rStyle w:val="CharacterStyle3"/>
          <w:b/>
          <w:spacing w:val="4"/>
          <w:sz w:val="16"/>
          <w:szCs w:val="16"/>
          <w:lang w:val="es-CO"/>
        </w:rPr>
        <w:t xml:space="preserve"> CSJ</w:t>
      </w:r>
    </w:p>
    <w:p w:rsidR="005320EB" w:rsidRPr="009427D5" w:rsidRDefault="005320EB" w:rsidP="00C8503E">
      <w:pPr>
        <w:pStyle w:val="Style6"/>
        <w:shd w:val="clear" w:color="auto" w:fill="FFFFFF" w:themeFill="background1"/>
        <w:kinsoku w:val="0"/>
        <w:autoSpaceDE/>
        <w:autoSpaceDN/>
        <w:ind w:left="0"/>
        <w:rPr>
          <w:rStyle w:val="CharacterStyle3"/>
          <w:spacing w:val="4"/>
          <w:lang w:val="es-CO"/>
        </w:rPr>
      </w:pPr>
    </w:p>
    <w:p w:rsidR="005320EB" w:rsidRPr="009427D5" w:rsidRDefault="005320EB" w:rsidP="00C8503E">
      <w:pPr>
        <w:pStyle w:val="Style6"/>
        <w:shd w:val="clear" w:color="auto" w:fill="FFFFFF" w:themeFill="background1"/>
        <w:kinsoku w:val="0"/>
        <w:autoSpaceDE/>
        <w:autoSpaceDN/>
        <w:ind w:left="0"/>
        <w:rPr>
          <w:rStyle w:val="CharacterStyle3"/>
          <w:spacing w:val="4"/>
          <w:lang w:val="es-CO"/>
        </w:rPr>
      </w:pPr>
      <w:r w:rsidRPr="009427D5">
        <w:rPr>
          <w:rStyle w:val="CharacterStyle3"/>
          <w:spacing w:val="4"/>
          <w:lang w:val="es-CO"/>
        </w:rPr>
        <w:t>En algunos de estos proyectos, no se pudieron liberar recursos por falta del proceso de liquidación contractual.</w:t>
      </w:r>
    </w:p>
    <w:p w:rsidR="005320EB" w:rsidRPr="009427D5" w:rsidRDefault="005320EB" w:rsidP="00C8503E">
      <w:pPr>
        <w:pStyle w:val="Style6"/>
        <w:shd w:val="clear" w:color="auto" w:fill="FFFFFF" w:themeFill="background1"/>
        <w:kinsoku w:val="0"/>
        <w:autoSpaceDE/>
        <w:autoSpaceDN/>
        <w:ind w:left="0"/>
        <w:rPr>
          <w:rStyle w:val="CharacterStyle3"/>
          <w:spacing w:val="4"/>
          <w:lang w:val="es-CO"/>
        </w:rPr>
      </w:pPr>
      <w:r w:rsidRPr="009427D5">
        <w:rPr>
          <w:rStyle w:val="CharacterStyle3"/>
          <w:spacing w:val="4"/>
          <w:lang w:val="es-CO"/>
        </w:rPr>
        <w:lastRenderedPageBreak/>
        <w:t xml:space="preserve">Los argumentos expuestos por la Entidad, como: a) el hecho que al apropiar un monto determinado de recursos para inversión, no necesariamente tengan que ejecutarse en su totalidad y b) que no se hubiesen realizado trámites y acciones tanto para liberar los saldos de estos </w:t>
      </w:r>
      <w:proofErr w:type="spellStart"/>
      <w:r w:rsidRPr="009427D5">
        <w:rPr>
          <w:rStyle w:val="CharacterStyle3"/>
          <w:spacing w:val="4"/>
          <w:lang w:val="es-CO"/>
        </w:rPr>
        <w:t>CDP´s</w:t>
      </w:r>
      <w:proofErr w:type="spellEnd"/>
      <w:r w:rsidRPr="009427D5">
        <w:rPr>
          <w:rStyle w:val="CharacterStyle3"/>
          <w:spacing w:val="4"/>
          <w:lang w:val="es-CO"/>
        </w:rPr>
        <w:t>, como para comprometerlos, por razones como contratos en proceso de liquidación o término de duración de los tramites presupuestales ante el Departamento Nacional de Planeación (DNP) y el Ministerio de Hacienda y Crédito Público; no justifican el incumplimiento de los procedimientos establecidos para el cierre presupuestal, el cual en los fundamentos conceptuales del SIIF II Nación, establece en el Capítulo 5, numeral 5.4.1, lo siguiente: “….</w:t>
      </w:r>
      <w:r w:rsidRPr="009427D5">
        <w:rPr>
          <w:rStyle w:val="CharacterStyle3"/>
          <w:i/>
          <w:spacing w:val="4"/>
          <w:lang w:val="es-CO"/>
        </w:rPr>
        <w:t>Cuando se detecte que el monto del compromiso es inferior al del CDP expedido, se procederá a reversar el CDP por el valor no comprometido, liberando así la apropiación en dicho monto;” y</w:t>
      </w:r>
      <w:r w:rsidRPr="009427D5">
        <w:rPr>
          <w:rStyle w:val="CharacterStyle3"/>
          <w:spacing w:val="4"/>
          <w:lang w:val="es-CO"/>
        </w:rPr>
        <w:t xml:space="preserve"> el Artículo 8 de la Ley 819 de 2003, donde se determina que las apropiaciones puedan ejecutarse en su totalidad durante la vigencia fiscal correspondiente.</w:t>
      </w:r>
    </w:p>
    <w:p w:rsidR="005320EB" w:rsidRPr="009427D5" w:rsidRDefault="005320EB" w:rsidP="00C8503E">
      <w:pPr>
        <w:pStyle w:val="Style6"/>
        <w:shd w:val="clear" w:color="auto" w:fill="FFFFFF" w:themeFill="background1"/>
        <w:kinsoku w:val="0"/>
        <w:autoSpaceDE/>
        <w:autoSpaceDN/>
        <w:ind w:left="0"/>
        <w:rPr>
          <w:rStyle w:val="CharacterStyle3"/>
          <w:spacing w:val="4"/>
          <w:lang w:val="es-CO"/>
        </w:rPr>
      </w:pPr>
    </w:p>
    <w:p w:rsidR="005320EB" w:rsidRPr="009427D5" w:rsidRDefault="005320EB" w:rsidP="00C8503E">
      <w:pPr>
        <w:pStyle w:val="Style6"/>
        <w:shd w:val="clear" w:color="auto" w:fill="FFFFFF" w:themeFill="background1"/>
        <w:kinsoku w:val="0"/>
        <w:autoSpaceDE/>
        <w:autoSpaceDN/>
        <w:ind w:left="0"/>
        <w:rPr>
          <w:rStyle w:val="CharacterStyle3"/>
          <w:spacing w:val="4"/>
          <w:lang w:val="es-CO"/>
        </w:rPr>
      </w:pPr>
      <w:r w:rsidRPr="009427D5">
        <w:rPr>
          <w:rStyle w:val="CharacterStyle3"/>
          <w:spacing w:val="4"/>
          <w:lang w:val="es-CO"/>
        </w:rPr>
        <w:t xml:space="preserve">De acuerdo con lo anterior y teniendo en cuenta que a pesar de que estos saldos de </w:t>
      </w:r>
      <w:proofErr w:type="spellStart"/>
      <w:r w:rsidRPr="009427D5">
        <w:rPr>
          <w:rStyle w:val="CharacterStyle3"/>
          <w:spacing w:val="4"/>
          <w:lang w:val="es-CO"/>
        </w:rPr>
        <w:t>CDP´s</w:t>
      </w:r>
      <w:proofErr w:type="spellEnd"/>
      <w:r w:rsidRPr="009427D5">
        <w:rPr>
          <w:rStyle w:val="CharacterStyle3"/>
          <w:spacing w:val="4"/>
          <w:lang w:val="es-CO"/>
        </w:rPr>
        <w:t xml:space="preserve"> sin liberar por valor de $2.742 millones, pertenecientes a los periodos 2010 a 2013, comprenden en términos porcentuales sólo 0,3% de la inversión realizada durante estos mismos periodos por valor de $902.965 millones</w:t>
      </w:r>
      <w:r w:rsidRPr="009427D5">
        <w:rPr>
          <w:rStyle w:val="Refdenotaalpie"/>
          <w:spacing w:val="4"/>
          <w:lang w:val="es-CO"/>
        </w:rPr>
        <w:footnoteReference w:id="45"/>
      </w:r>
      <w:r w:rsidRPr="009427D5">
        <w:rPr>
          <w:rStyle w:val="CharacterStyle3"/>
          <w:spacing w:val="4"/>
          <w:lang w:val="es-CO"/>
        </w:rPr>
        <w:t xml:space="preserve"> (a precios corrientes). No debe dejar de analizarse la lógica presupuestal, en la cual es relevante la planeación que realice la Entidad para proveer el mayor grado de contingencias que puedan afectar la ejecución de los proyectos; en este sentido, es indispensable lograr una mejor gestión en la ejecución de los recursos que han sido apropiados, con el propósito de optimizarlos, pues, de una u otra forma inciden en el logro de los objetivos misionales e institucionales, así como, en la dinámica de la eficiencia y eficacia de las políticas públicas, en l</w:t>
      </w:r>
      <w:r w:rsidR="00A31A8F">
        <w:rPr>
          <w:rStyle w:val="CharacterStyle3"/>
          <w:spacing w:val="4"/>
          <w:lang w:val="es-CO"/>
        </w:rPr>
        <w:t>a</w:t>
      </w:r>
      <w:r w:rsidRPr="009427D5">
        <w:rPr>
          <w:rStyle w:val="CharacterStyle3"/>
          <w:spacing w:val="4"/>
          <w:lang w:val="es-CO"/>
        </w:rPr>
        <w:t>s estrategias de oralidad y descongestión, consecuente con lo señalado en el Decreto 111 de 1996 en su Artículo 13, referente al Plan Nacional de Desarrollo.</w:t>
      </w:r>
    </w:p>
    <w:p w:rsidR="005320EB" w:rsidRPr="009427D5" w:rsidRDefault="005320EB" w:rsidP="00C8503E">
      <w:pPr>
        <w:shd w:val="clear" w:color="auto" w:fill="FFFFFF" w:themeFill="background1"/>
        <w:tabs>
          <w:tab w:val="left" w:pos="5387"/>
        </w:tabs>
        <w:spacing w:after="0" w:line="240" w:lineRule="auto"/>
        <w:rPr>
          <w:rFonts w:ascii="Arial" w:hAnsi="Arial" w:cs="Arial"/>
          <w:b/>
        </w:rPr>
      </w:pPr>
    </w:p>
    <w:p w:rsidR="005320EB" w:rsidRPr="009427D5" w:rsidRDefault="005320EB" w:rsidP="00C8503E">
      <w:pPr>
        <w:shd w:val="clear" w:color="auto" w:fill="FFFFFF" w:themeFill="background1"/>
        <w:tabs>
          <w:tab w:val="left" w:pos="5387"/>
        </w:tabs>
        <w:spacing w:after="0" w:line="240" w:lineRule="auto"/>
        <w:rPr>
          <w:rFonts w:ascii="Arial" w:hAnsi="Arial" w:cs="Arial"/>
          <w:sz w:val="24"/>
          <w:szCs w:val="24"/>
        </w:rPr>
      </w:pPr>
      <w:r w:rsidRPr="009427D5">
        <w:rPr>
          <w:rFonts w:ascii="Arial" w:hAnsi="Arial" w:cs="Arial"/>
          <w:sz w:val="24"/>
          <w:szCs w:val="24"/>
        </w:rPr>
        <w:t>Hallazgo No. 7  Ejecución Recursos Presupuestales (D)</w:t>
      </w:r>
    </w:p>
    <w:p w:rsidR="005320EB" w:rsidRPr="009427D5" w:rsidRDefault="005320EB" w:rsidP="00C8503E">
      <w:pPr>
        <w:pStyle w:val="Style6"/>
        <w:shd w:val="clear" w:color="auto" w:fill="FFFFFF" w:themeFill="background1"/>
        <w:kinsoku w:val="0"/>
        <w:autoSpaceDE/>
        <w:autoSpaceDN/>
        <w:ind w:left="0"/>
        <w:rPr>
          <w:rStyle w:val="CharacterStyle3"/>
          <w:spacing w:val="4"/>
          <w:lang w:val="es-CO"/>
        </w:rPr>
      </w:pPr>
    </w:p>
    <w:p w:rsidR="005320EB" w:rsidRPr="009427D5" w:rsidRDefault="005320EB" w:rsidP="00C8503E">
      <w:pPr>
        <w:pStyle w:val="Style6"/>
        <w:shd w:val="clear" w:color="auto" w:fill="FFFFFF" w:themeFill="background1"/>
        <w:kinsoku w:val="0"/>
        <w:autoSpaceDE/>
        <w:autoSpaceDN/>
        <w:ind w:left="0"/>
        <w:rPr>
          <w:rStyle w:val="CharacterStyle3"/>
          <w:spacing w:val="4"/>
          <w:lang w:val="es-CO"/>
        </w:rPr>
      </w:pPr>
      <w:r w:rsidRPr="009427D5">
        <w:rPr>
          <w:rStyle w:val="CharacterStyle3"/>
          <w:spacing w:val="4"/>
          <w:lang w:val="es-CO"/>
        </w:rPr>
        <w:t xml:space="preserve">Se determinó que en relación </w:t>
      </w:r>
      <w:r w:rsidR="00D91F12">
        <w:rPr>
          <w:rStyle w:val="CharacterStyle3"/>
          <w:spacing w:val="4"/>
          <w:lang w:val="es-CO"/>
        </w:rPr>
        <w:t>con el proyecto de inversión: “C</w:t>
      </w:r>
      <w:r w:rsidRPr="009427D5">
        <w:rPr>
          <w:rStyle w:val="CharacterStyle3"/>
          <w:spacing w:val="4"/>
          <w:lang w:val="es-CO"/>
        </w:rPr>
        <w:t>onstrucción adquisición, adecuación y dotación de sedes y salas de audiencias para la implementación del sistema oral de los juzgados de familia a nivel nacional”, correspondiente al cierre de la vigencia presupuestal 2012, se liberaron recursos el 19 de diciembre de 2012, por valor de $1.874 millones del CDP 9812 del 20 de enero de 2012 por valor de $2.000 millones, los cuales no se constituyeron en vigencias futuras, ni se realizó acción alguna para comprometerlos.</w:t>
      </w:r>
    </w:p>
    <w:p w:rsidR="005320EB" w:rsidRPr="009427D5" w:rsidRDefault="005320EB" w:rsidP="00C8503E">
      <w:pPr>
        <w:pStyle w:val="Style6"/>
        <w:shd w:val="clear" w:color="auto" w:fill="FFFFFF" w:themeFill="background1"/>
        <w:kinsoku w:val="0"/>
        <w:autoSpaceDE/>
        <w:autoSpaceDN/>
        <w:ind w:left="0"/>
        <w:rPr>
          <w:rStyle w:val="CharacterStyle3"/>
          <w:spacing w:val="4"/>
          <w:lang w:val="es-CO"/>
        </w:rPr>
      </w:pPr>
      <w:r w:rsidRPr="009427D5">
        <w:rPr>
          <w:rStyle w:val="CharacterStyle3"/>
          <w:spacing w:val="4"/>
          <w:lang w:val="es-CO"/>
        </w:rPr>
        <w:lastRenderedPageBreak/>
        <w:t xml:space="preserve">La misma situación se encontró </w:t>
      </w:r>
      <w:r w:rsidR="009B227B" w:rsidRPr="009427D5">
        <w:rPr>
          <w:rStyle w:val="CharacterStyle3"/>
          <w:spacing w:val="4"/>
          <w:lang w:val="es-CO"/>
        </w:rPr>
        <w:t xml:space="preserve">con </w:t>
      </w:r>
      <w:r w:rsidRPr="009427D5">
        <w:rPr>
          <w:rStyle w:val="CharacterStyle3"/>
          <w:spacing w:val="4"/>
          <w:lang w:val="es-CO"/>
        </w:rPr>
        <w:t>el proyecto de inversión “adquisición y/o adecuación y dotación de salas de audiencias para el sistema penal acusatorio a nivel nacional”, correspondiente al cierre de la vigencia presupuestal 2012, donde se liberaron recursos el 31 de diciembre 2012 por un valor de $ 4.985 millones</w:t>
      </w:r>
      <w:r w:rsidR="009B227B" w:rsidRPr="009427D5">
        <w:rPr>
          <w:rStyle w:val="CharacterStyle3"/>
          <w:spacing w:val="4"/>
          <w:lang w:val="es-CO"/>
        </w:rPr>
        <w:t>,</w:t>
      </w:r>
      <w:r w:rsidRPr="009427D5">
        <w:rPr>
          <w:rStyle w:val="CharacterStyle3"/>
          <w:spacing w:val="4"/>
          <w:lang w:val="es-CO"/>
        </w:rPr>
        <w:t xml:space="preserve"> del CDP 10312 del 20 de enero de 2012 por valor de $ 5.000 millones.</w:t>
      </w:r>
    </w:p>
    <w:p w:rsidR="005320EB" w:rsidRPr="009427D5" w:rsidRDefault="005320EB" w:rsidP="00C8503E">
      <w:pPr>
        <w:pStyle w:val="Style6"/>
        <w:shd w:val="clear" w:color="auto" w:fill="FFFFFF" w:themeFill="background1"/>
        <w:kinsoku w:val="0"/>
        <w:autoSpaceDE/>
        <w:autoSpaceDN/>
        <w:ind w:left="0"/>
        <w:rPr>
          <w:rStyle w:val="CharacterStyle3"/>
          <w:spacing w:val="4"/>
          <w:lang w:val="es-CO"/>
        </w:rPr>
      </w:pPr>
    </w:p>
    <w:p w:rsidR="005320EB" w:rsidRPr="009427D5" w:rsidRDefault="005320EB" w:rsidP="00C8503E">
      <w:pPr>
        <w:pStyle w:val="Style6"/>
        <w:shd w:val="clear" w:color="auto" w:fill="FFFFFF" w:themeFill="background1"/>
        <w:kinsoku w:val="0"/>
        <w:autoSpaceDE/>
        <w:autoSpaceDN/>
        <w:ind w:left="0"/>
        <w:rPr>
          <w:rStyle w:val="CharacterStyle3"/>
          <w:spacing w:val="4"/>
          <w:lang w:val="es-CO"/>
        </w:rPr>
      </w:pPr>
      <w:r w:rsidRPr="009427D5">
        <w:rPr>
          <w:rStyle w:val="CharacterStyle3"/>
          <w:spacing w:val="4"/>
          <w:lang w:val="es-CO"/>
        </w:rPr>
        <w:t xml:space="preserve">Teniendo en cuenta que los saldos liberados mas no comprometidos de estos </w:t>
      </w:r>
      <w:proofErr w:type="spellStart"/>
      <w:r w:rsidRPr="009427D5">
        <w:rPr>
          <w:rStyle w:val="CharacterStyle3"/>
          <w:spacing w:val="4"/>
          <w:lang w:val="es-CO"/>
        </w:rPr>
        <w:t>CDP´s</w:t>
      </w:r>
      <w:proofErr w:type="spellEnd"/>
      <w:r w:rsidRPr="009427D5">
        <w:rPr>
          <w:rStyle w:val="CharacterStyle3"/>
          <w:spacing w:val="4"/>
          <w:lang w:val="es-CO"/>
        </w:rPr>
        <w:t xml:space="preserve"> alcanzaron un valor $ 6.859 millones</w:t>
      </w:r>
      <w:r w:rsidR="00A56AF3">
        <w:rPr>
          <w:rStyle w:val="Refdenotaalpie"/>
          <w:spacing w:val="4"/>
          <w:lang w:val="es-CO"/>
        </w:rPr>
        <w:footnoteReference w:id="46"/>
      </w:r>
      <w:r w:rsidRPr="009427D5">
        <w:rPr>
          <w:rStyle w:val="CharacterStyle3"/>
          <w:spacing w:val="4"/>
          <w:lang w:val="es-CO"/>
        </w:rPr>
        <w:t>, pertenecientes a los periodos 2010 a 2013, comprenden 0,76% de la inversión realizada durante este periodo por valor $ 902.965 millones</w:t>
      </w:r>
      <w:r w:rsidRPr="009427D5">
        <w:rPr>
          <w:rStyle w:val="Refdenotaalpie"/>
          <w:spacing w:val="4"/>
          <w:lang w:val="es-CO"/>
        </w:rPr>
        <w:footnoteReference w:id="47"/>
      </w:r>
      <w:r w:rsidRPr="009427D5">
        <w:rPr>
          <w:rStyle w:val="CharacterStyle3"/>
          <w:spacing w:val="4"/>
          <w:lang w:val="es-CO"/>
        </w:rPr>
        <w:t xml:space="preserve"> (a precios corrientes). Al respecto, es importante mencionar, que si bien es importante ejecutar los recursos eficientemente, el hecho de no ejecutarlos o no comprometerlos, cuando por diferentes circunstancias los procesos contractuales no se pueden adelantar oportunamente debido a factores exógenos; no es razón suficiente, para que se presente la situación observada. </w:t>
      </w:r>
    </w:p>
    <w:p w:rsidR="005320EB" w:rsidRPr="009427D5" w:rsidRDefault="005320EB" w:rsidP="00C8503E">
      <w:pPr>
        <w:pStyle w:val="Style6"/>
        <w:shd w:val="clear" w:color="auto" w:fill="FFFFFF" w:themeFill="background1"/>
        <w:kinsoku w:val="0"/>
        <w:autoSpaceDE/>
        <w:autoSpaceDN/>
        <w:ind w:left="0"/>
        <w:rPr>
          <w:rStyle w:val="CharacterStyle3"/>
          <w:spacing w:val="4"/>
          <w:lang w:val="es-CO"/>
        </w:rPr>
      </w:pPr>
    </w:p>
    <w:p w:rsidR="005320EB" w:rsidRPr="009427D5" w:rsidRDefault="005320EB" w:rsidP="00C8503E">
      <w:pPr>
        <w:pStyle w:val="Style6"/>
        <w:shd w:val="clear" w:color="auto" w:fill="FFFFFF" w:themeFill="background1"/>
        <w:kinsoku w:val="0"/>
        <w:autoSpaceDE/>
        <w:autoSpaceDN/>
        <w:ind w:left="0"/>
        <w:rPr>
          <w:rStyle w:val="CharacterStyle3"/>
          <w:spacing w:val="4"/>
          <w:lang w:val="es-CO"/>
        </w:rPr>
      </w:pPr>
      <w:r w:rsidRPr="009427D5">
        <w:rPr>
          <w:rStyle w:val="CharacterStyle3"/>
          <w:spacing w:val="4"/>
          <w:lang w:val="es-CO"/>
        </w:rPr>
        <w:t>Esta omisión, contradice lo establecido en el Artículo 8 de la Ley 819 de 2003, referente a que las apropiaciones puedan ejecutarse en su totalidad durante la vigencia fiscal correspondiente y genera debilidades en la planeación y ejecución presupuestal, que repercuten en la satisfacción de las necesidades de la Entidad, pues no se cuenta con los bienes y servicios oportunos para poder brindar un servicio al ciudadano eficiente y eficaz, en concordancia con el logro de los objetivos misionales e institucionales de la Entidad.</w:t>
      </w:r>
    </w:p>
    <w:p w:rsidR="005320EB" w:rsidRPr="009427D5" w:rsidRDefault="005320EB" w:rsidP="00C8503E">
      <w:pPr>
        <w:shd w:val="clear" w:color="auto" w:fill="FFFFFF" w:themeFill="background1"/>
        <w:spacing w:after="0" w:line="240" w:lineRule="auto"/>
        <w:jc w:val="both"/>
        <w:rPr>
          <w:rFonts w:ascii="Arial" w:hAnsi="Arial" w:cs="Arial"/>
          <w:b/>
          <w:bCs/>
          <w:spacing w:val="4"/>
          <w:lang w:eastAsia="es-CO"/>
        </w:rPr>
      </w:pPr>
    </w:p>
    <w:p w:rsidR="005320EB" w:rsidRPr="009427D5" w:rsidRDefault="005320EB" w:rsidP="00C8503E">
      <w:pPr>
        <w:shd w:val="clear" w:color="auto" w:fill="FFFFFF" w:themeFill="background1"/>
        <w:spacing w:after="0" w:line="240" w:lineRule="auto"/>
        <w:jc w:val="both"/>
        <w:rPr>
          <w:rFonts w:ascii="Arial" w:hAnsi="Arial" w:cs="Arial"/>
          <w:bCs/>
          <w:spacing w:val="1"/>
          <w:sz w:val="24"/>
          <w:szCs w:val="24"/>
          <w:lang w:eastAsia="es-CO"/>
        </w:rPr>
      </w:pPr>
      <w:r w:rsidRPr="009427D5">
        <w:rPr>
          <w:rFonts w:ascii="Arial" w:hAnsi="Arial" w:cs="Arial"/>
          <w:bCs/>
          <w:spacing w:val="4"/>
          <w:sz w:val="24"/>
          <w:szCs w:val="24"/>
          <w:lang w:eastAsia="es-CO"/>
        </w:rPr>
        <w:t xml:space="preserve">Hallazgo No.8 Seguimiento Grado de Cumplimiento Plan Sectorial de </w:t>
      </w:r>
      <w:r w:rsidRPr="009427D5">
        <w:rPr>
          <w:rFonts w:ascii="Arial" w:hAnsi="Arial" w:cs="Arial"/>
          <w:bCs/>
          <w:spacing w:val="1"/>
          <w:sz w:val="24"/>
          <w:szCs w:val="24"/>
          <w:lang w:eastAsia="es-CO"/>
        </w:rPr>
        <w:t>Desarrollo de la Rama Judicial 2011-2014.</w:t>
      </w:r>
    </w:p>
    <w:p w:rsidR="005320EB" w:rsidRPr="009427D5" w:rsidRDefault="005320EB" w:rsidP="00C8503E">
      <w:pPr>
        <w:widowControl w:val="0"/>
        <w:shd w:val="clear" w:color="auto" w:fill="FFFFFF" w:themeFill="background1"/>
        <w:kinsoku w:val="0"/>
        <w:spacing w:after="0" w:line="240" w:lineRule="auto"/>
        <w:jc w:val="both"/>
        <w:rPr>
          <w:rFonts w:ascii="Arial" w:hAnsi="Arial" w:cs="Arial"/>
          <w:spacing w:val="-1"/>
          <w:sz w:val="24"/>
          <w:szCs w:val="24"/>
          <w:lang w:eastAsia="es-ES"/>
        </w:rPr>
      </w:pPr>
    </w:p>
    <w:p w:rsidR="005320EB" w:rsidRPr="009427D5" w:rsidRDefault="005320EB" w:rsidP="00C8503E">
      <w:pPr>
        <w:widowControl w:val="0"/>
        <w:shd w:val="clear" w:color="auto" w:fill="FFFFFF" w:themeFill="background1"/>
        <w:kinsoku w:val="0"/>
        <w:spacing w:after="0" w:line="240" w:lineRule="auto"/>
        <w:jc w:val="both"/>
        <w:rPr>
          <w:rFonts w:ascii="Arial" w:hAnsi="Arial" w:cs="Arial"/>
          <w:sz w:val="24"/>
          <w:szCs w:val="24"/>
          <w:lang w:eastAsia="es-ES"/>
        </w:rPr>
      </w:pPr>
      <w:r w:rsidRPr="009427D5">
        <w:rPr>
          <w:rFonts w:ascii="Arial" w:hAnsi="Arial" w:cs="Arial"/>
          <w:spacing w:val="-1"/>
          <w:sz w:val="24"/>
          <w:szCs w:val="24"/>
          <w:lang w:eastAsia="es-ES"/>
        </w:rPr>
        <w:t xml:space="preserve">Se determinó que debido a las reiteradas solicitudes sobre los grados de cumplimiento del Plan Sectorial de Desarrollo de la Rama Judicial 2011-2014, durante las vigencias 2011, 2012 y 2013, </w:t>
      </w:r>
      <w:r w:rsidRPr="009427D5">
        <w:rPr>
          <w:rFonts w:ascii="Arial" w:hAnsi="Arial" w:cs="Arial"/>
          <w:spacing w:val="8"/>
          <w:sz w:val="24"/>
          <w:szCs w:val="24"/>
          <w:lang w:eastAsia="es-ES"/>
        </w:rPr>
        <w:t xml:space="preserve">y las respuestas suministradas por la Entidad, no se tiene </w:t>
      </w:r>
      <w:r w:rsidRPr="009427D5">
        <w:rPr>
          <w:rFonts w:ascii="Arial" w:hAnsi="Arial" w:cs="Arial"/>
          <w:spacing w:val="-5"/>
          <w:sz w:val="24"/>
          <w:szCs w:val="24"/>
          <w:lang w:eastAsia="es-ES"/>
        </w:rPr>
        <w:t xml:space="preserve">establecido de una forma concreta, clara y concisa, el grado de cumplimiento de la </w:t>
      </w:r>
      <w:r w:rsidRPr="009427D5">
        <w:rPr>
          <w:rFonts w:ascii="Arial" w:hAnsi="Arial" w:cs="Arial"/>
          <w:spacing w:val="-1"/>
          <w:sz w:val="24"/>
          <w:szCs w:val="24"/>
          <w:lang w:eastAsia="es-ES"/>
        </w:rPr>
        <w:t xml:space="preserve">apropiación y ejecución presupuestal de cada uno de los proyectos de inversión, </w:t>
      </w:r>
      <w:r w:rsidRPr="009427D5">
        <w:rPr>
          <w:rFonts w:ascii="Arial" w:hAnsi="Arial" w:cs="Arial"/>
          <w:sz w:val="24"/>
          <w:szCs w:val="24"/>
          <w:lang w:eastAsia="es-ES"/>
        </w:rPr>
        <w:t>puesto que los requerimientos no son inf</w:t>
      </w:r>
      <w:r w:rsidR="007E7CC5" w:rsidRPr="009427D5">
        <w:rPr>
          <w:rFonts w:ascii="Arial" w:hAnsi="Arial" w:cs="Arial"/>
          <w:sz w:val="24"/>
          <w:szCs w:val="24"/>
          <w:lang w:eastAsia="es-ES"/>
        </w:rPr>
        <w:t>ormados tal y como se solicitan</w:t>
      </w:r>
      <w:r w:rsidR="00B13E1E" w:rsidRPr="009427D5">
        <w:rPr>
          <w:rFonts w:ascii="Arial" w:hAnsi="Arial" w:cs="Arial"/>
          <w:sz w:val="24"/>
          <w:szCs w:val="24"/>
          <w:lang w:eastAsia="es-ES"/>
        </w:rPr>
        <w:t xml:space="preserve">; </w:t>
      </w:r>
      <w:r w:rsidR="007E7CC5" w:rsidRPr="009427D5">
        <w:rPr>
          <w:rFonts w:ascii="Arial" w:hAnsi="Arial" w:cs="Arial"/>
          <w:sz w:val="24"/>
          <w:szCs w:val="24"/>
          <w:lang w:eastAsia="es-ES"/>
        </w:rPr>
        <w:t xml:space="preserve">de acuerdo con lo establecido en el mismo Plan Sectorial de Desarrollo, en relación con </w:t>
      </w:r>
      <w:r w:rsidR="001038DA" w:rsidRPr="009427D5">
        <w:rPr>
          <w:rFonts w:ascii="Arial" w:hAnsi="Arial" w:cs="Arial"/>
          <w:sz w:val="24"/>
          <w:szCs w:val="24"/>
          <w:lang w:eastAsia="es-ES"/>
        </w:rPr>
        <w:t xml:space="preserve">la disposición de los recursos en el </w:t>
      </w:r>
      <w:r w:rsidR="00C9031D" w:rsidRPr="009427D5">
        <w:rPr>
          <w:rFonts w:ascii="Arial" w:hAnsi="Arial" w:cs="Arial"/>
          <w:sz w:val="24"/>
          <w:szCs w:val="24"/>
          <w:lang w:eastAsia="es-ES"/>
        </w:rPr>
        <w:t>cuatrienio</w:t>
      </w:r>
      <w:r w:rsidR="00AF54FC" w:rsidRPr="009427D5">
        <w:rPr>
          <w:rStyle w:val="Refdenotaalpie"/>
          <w:rFonts w:ascii="Arial" w:hAnsi="Arial" w:cs="Arial"/>
          <w:sz w:val="24"/>
          <w:szCs w:val="24"/>
          <w:lang w:eastAsia="es-ES"/>
        </w:rPr>
        <w:footnoteReference w:id="48"/>
      </w:r>
      <w:r w:rsidR="00A879CA" w:rsidRPr="009427D5">
        <w:rPr>
          <w:rFonts w:ascii="Arial" w:hAnsi="Arial" w:cs="Arial"/>
          <w:sz w:val="24"/>
          <w:szCs w:val="24"/>
          <w:lang w:eastAsia="es-ES"/>
        </w:rPr>
        <w:t xml:space="preserve"> y</w:t>
      </w:r>
      <w:r w:rsidR="001038DA" w:rsidRPr="009427D5">
        <w:rPr>
          <w:rFonts w:ascii="Arial" w:hAnsi="Arial" w:cs="Arial"/>
          <w:sz w:val="24"/>
          <w:szCs w:val="24"/>
          <w:lang w:eastAsia="es-ES"/>
        </w:rPr>
        <w:t xml:space="preserve"> </w:t>
      </w:r>
      <w:r w:rsidR="00B13E1E" w:rsidRPr="009427D5">
        <w:rPr>
          <w:rFonts w:ascii="Arial" w:hAnsi="Arial" w:cs="Arial"/>
          <w:sz w:val="24"/>
          <w:szCs w:val="24"/>
          <w:lang w:eastAsia="es-ES"/>
        </w:rPr>
        <w:t xml:space="preserve">el seguimiento y monitoreo </w:t>
      </w:r>
      <w:r w:rsidR="00594796" w:rsidRPr="009427D5">
        <w:rPr>
          <w:rFonts w:ascii="Arial" w:hAnsi="Arial" w:cs="Arial"/>
          <w:sz w:val="24"/>
          <w:szCs w:val="24"/>
          <w:lang w:eastAsia="es-ES"/>
        </w:rPr>
        <w:t>requerido para lograr la coordinación intersectorial para la modernización de la administración de justicia</w:t>
      </w:r>
      <w:r w:rsidR="00594796" w:rsidRPr="009427D5">
        <w:rPr>
          <w:rStyle w:val="Refdenotaalpie"/>
          <w:rFonts w:ascii="Arial" w:hAnsi="Arial" w:cs="Arial"/>
          <w:sz w:val="24"/>
          <w:szCs w:val="24"/>
          <w:lang w:eastAsia="es-ES"/>
        </w:rPr>
        <w:footnoteReference w:id="49"/>
      </w:r>
    </w:p>
    <w:p w:rsidR="009A6D31" w:rsidRDefault="009A6D31" w:rsidP="00C8503E">
      <w:pPr>
        <w:widowControl w:val="0"/>
        <w:shd w:val="clear" w:color="auto" w:fill="FFFFFF" w:themeFill="background1"/>
        <w:kinsoku w:val="0"/>
        <w:spacing w:after="0" w:line="240" w:lineRule="auto"/>
        <w:jc w:val="both"/>
        <w:rPr>
          <w:rFonts w:ascii="Arial" w:hAnsi="Arial" w:cs="Arial"/>
          <w:sz w:val="24"/>
          <w:szCs w:val="24"/>
          <w:lang w:eastAsia="es-ES"/>
        </w:rPr>
      </w:pPr>
    </w:p>
    <w:p w:rsidR="005320EB" w:rsidRPr="009427D5" w:rsidRDefault="00786A53" w:rsidP="00C8503E">
      <w:pPr>
        <w:widowControl w:val="0"/>
        <w:shd w:val="clear" w:color="auto" w:fill="FFFFFF" w:themeFill="background1"/>
        <w:kinsoku w:val="0"/>
        <w:spacing w:after="0" w:line="240" w:lineRule="auto"/>
        <w:jc w:val="both"/>
        <w:rPr>
          <w:b/>
          <w:sz w:val="24"/>
          <w:szCs w:val="24"/>
        </w:rPr>
      </w:pPr>
      <w:r>
        <w:rPr>
          <w:rFonts w:ascii="Arial" w:hAnsi="Arial" w:cs="Arial"/>
          <w:sz w:val="24"/>
          <w:szCs w:val="24"/>
          <w:lang w:eastAsia="es-ES"/>
        </w:rPr>
        <w:lastRenderedPageBreak/>
        <w:t xml:space="preserve">De acuerdo con </w:t>
      </w:r>
      <w:r w:rsidR="005320EB" w:rsidRPr="009427D5">
        <w:rPr>
          <w:rFonts w:ascii="Arial" w:hAnsi="Arial" w:cs="Arial"/>
          <w:sz w:val="24"/>
          <w:szCs w:val="24"/>
          <w:lang w:eastAsia="es-ES"/>
        </w:rPr>
        <w:t xml:space="preserve">los argumentos expuestos por la Entidad frente al hecho de que su División de Ejecución Presupuestal, seguirá </w:t>
      </w:r>
      <w:r w:rsidR="005320EB" w:rsidRPr="009427D5">
        <w:rPr>
          <w:rFonts w:ascii="Arial" w:hAnsi="Arial" w:cs="Arial"/>
          <w:sz w:val="24"/>
          <w:szCs w:val="24"/>
          <w:lang w:eastAsia="ar-SA"/>
        </w:rPr>
        <w:t xml:space="preserve">efectuando los ajustes a los  informes que se remiten, atendiendo las mejoras que SIIF Nación realice al sistema, </w:t>
      </w:r>
      <w:r w:rsidR="00077157">
        <w:rPr>
          <w:rFonts w:ascii="Arial" w:hAnsi="Arial" w:cs="Arial"/>
          <w:sz w:val="24"/>
          <w:szCs w:val="24"/>
          <w:lang w:eastAsia="ar-SA"/>
        </w:rPr>
        <w:t xml:space="preserve">relacionados con </w:t>
      </w:r>
      <w:r w:rsidR="005320EB" w:rsidRPr="009427D5">
        <w:rPr>
          <w:rFonts w:ascii="Arial" w:hAnsi="Arial" w:cs="Arial"/>
          <w:sz w:val="24"/>
          <w:szCs w:val="24"/>
          <w:lang w:eastAsia="ar-SA"/>
        </w:rPr>
        <w:t xml:space="preserve">los requerimientos específicos de los usuarios de información y las recomendaciones de los Organismos de Control; el hecho observado por el equipo auditor subsiste hasta tanto no se cuente con los ajustes necesarios para disminuir las deficiencias en la consistencia, coordinación, consolidación, organización y entrega de la información solicitada.         </w:t>
      </w:r>
    </w:p>
    <w:p w:rsidR="005320EB" w:rsidRPr="009427D5" w:rsidRDefault="005320EB" w:rsidP="005320EB">
      <w:pPr>
        <w:spacing w:after="0" w:line="240" w:lineRule="auto"/>
        <w:jc w:val="both"/>
        <w:rPr>
          <w:rFonts w:ascii="Arial" w:hAnsi="Arial" w:cs="Arial"/>
          <w:i/>
          <w:sz w:val="24"/>
          <w:szCs w:val="24"/>
        </w:rPr>
      </w:pPr>
    </w:p>
    <w:p w:rsidR="00D467D0" w:rsidRPr="009427D5" w:rsidRDefault="00586B74" w:rsidP="008617ED">
      <w:pPr>
        <w:spacing w:after="0" w:line="240" w:lineRule="auto"/>
        <w:jc w:val="both"/>
        <w:rPr>
          <w:rFonts w:ascii="Arial" w:hAnsi="Arial" w:cs="Arial"/>
          <w:i/>
          <w:sz w:val="24"/>
          <w:szCs w:val="24"/>
        </w:rPr>
      </w:pPr>
      <w:r w:rsidRPr="009427D5">
        <w:rPr>
          <w:rFonts w:ascii="Arial" w:hAnsi="Arial" w:cs="Arial"/>
          <w:i/>
          <w:sz w:val="24"/>
          <w:szCs w:val="24"/>
        </w:rPr>
        <w:t xml:space="preserve">2.2.2.7 </w:t>
      </w:r>
      <w:r w:rsidR="00D467D0" w:rsidRPr="009427D5">
        <w:rPr>
          <w:rFonts w:ascii="Arial" w:hAnsi="Arial" w:cs="Arial"/>
          <w:i/>
          <w:sz w:val="24"/>
          <w:szCs w:val="24"/>
        </w:rPr>
        <w:t>Coordinación Interinstitucional MJD</w:t>
      </w:r>
      <w:r w:rsidR="00391AA9" w:rsidRPr="009427D5">
        <w:rPr>
          <w:rFonts w:ascii="Arial" w:hAnsi="Arial" w:cs="Arial"/>
          <w:i/>
          <w:sz w:val="24"/>
          <w:szCs w:val="24"/>
        </w:rPr>
        <w:t xml:space="preserve"> - CSJ</w:t>
      </w:r>
    </w:p>
    <w:p w:rsidR="008B7215" w:rsidRPr="009427D5" w:rsidRDefault="008B7215" w:rsidP="008B7215">
      <w:pPr>
        <w:pStyle w:val="Textopredeterminado"/>
        <w:overflowPunct w:val="0"/>
        <w:jc w:val="both"/>
        <w:textAlignment w:val="baseline"/>
        <w:rPr>
          <w:rFonts w:ascii="Arial" w:eastAsiaTheme="minorHAnsi" w:hAnsi="Arial" w:cs="Arial"/>
          <w:szCs w:val="24"/>
          <w:lang w:val="es-CO" w:eastAsia="en-US"/>
        </w:rPr>
      </w:pPr>
    </w:p>
    <w:p w:rsidR="00D467D0" w:rsidRPr="009427D5" w:rsidRDefault="00D467D0" w:rsidP="008B7215">
      <w:pPr>
        <w:pStyle w:val="Textopredeterminado"/>
        <w:overflowPunct w:val="0"/>
        <w:jc w:val="both"/>
        <w:textAlignment w:val="baseline"/>
        <w:rPr>
          <w:rFonts w:ascii="Arial" w:hAnsi="Arial" w:cs="Arial"/>
          <w:szCs w:val="24"/>
          <w:lang w:val="es-CO"/>
        </w:rPr>
      </w:pPr>
      <w:r w:rsidRPr="009427D5">
        <w:rPr>
          <w:rFonts w:ascii="Arial" w:hAnsi="Arial" w:cs="Arial"/>
          <w:szCs w:val="24"/>
          <w:lang w:val="es-CO"/>
        </w:rPr>
        <w:t xml:space="preserve">Desde el punto de vista de la teoría administrativa, es </w:t>
      </w:r>
      <w:r w:rsidR="008B7215" w:rsidRPr="009427D5">
        <w:rPr>
          <w:rFonts w:ascii="Arial" w:hAnsi="Arial" w:cs="Arial"/>
          <w:szCs w:val="24"/>
          <w:lang w:val="es-CO"/>
        </w:rPr>
        <w:t>n</w:t>
      </w:r>
      <w:r w:rsidRPr="009427D5">
        <w:rPr>
          <w:rFonts w:ascii="Arial" w:hAnsi="Arial" w:cs="Arial"/>
          <w:szCs w:val="24"/>
          <w:lang w:val="es-CO"/>
        </w:rPr>
        <w:t xml:space="preserve">ecesario precisar que el concepto de “coordinación” es definido por autores como Harold </w:t>
      </w:r>
      <w:proofErr w:type="spellStart"/>
      <w:r w:rsidRPr="009427D5">
        <w:rPr>
          <w:rFonts w:ascii="Arial" w:hAnsi="Arial" w:cs="Arial"/>
          <w:szCs w:val="24"/>
          <w:lang w:val="es-CO"/>
        </w:rPr>
        <w:t>Koontz</w:t>
      </w:r>
      <w:proofErr w:type="spellEnd"/>
      <w:r w:rsidRPr="009427D5">
        <w:rPr>
          <w:rStyle w:val="Refdenotaalpie"/>
          <w:rFonts w:ascii="Arial" w:hAnsi="Arial" w:cs="Arial"/>
          <w:szCs w:val="24"/>
          <w:lang w:val="es-CO"/>
        </w:rPr>
        <w:footnoteReference w:id="50"/>
      </w:r>
      <w:r w:rsidRPr="009427D5">
        <w:rPr>
          <w:rFonts w:ascii="Arial" w:hAnsi="Arial" w:cs="Arial"/>
          <w:szCs w:val="24"/>
          <w:lang w:val="es-CO"/>
        </w:rPr>
        <w:t xml:space="preserve">, como la esencia de la administración, pues consiste en armonizar los esfuerzos individuales para alcanzar los objetivos organizacionales propuestos. Corresponde pues al gerente o directivo conciliar los diferentes esfuerzos e intereses particulares, para alcanzar dichas metas organizacionales. </w:t>
      </w:r>
      <w:r w:rsidRPr="009427D5">
        <w:rPr>
          <w:rStyle w:val="Refdenotaalpie"/>
          <w:rFonts w:ascii="Arial" w:hAnsi="Arial" w:cs="Arial"/>
          <w:szCs w:val="24"/>
          <w:lang w:val="es-CO"/>
        </w:rPr>
        <w:footnoteReference w:id="51"/>
      </w:r>
      <w:r w:rsidRPr="009427D5">
        <w:rPr>
          <w:rFonts w:ascii="Arial" w:hAnsi="Arial" w:cs="Arial"/>
          <w:szCs w:val="24"/>
          <w:lang w:val="es-CO"/>
        </w:rPr>
        <w:t xml:space="preserve"> </w:t>
      </w:r>
    </w:p>
    <w:p w:rsidR="00D467D0" w:rsidRPr="009427D5" w:rsidRDefault="00D467D0" w:rsidP="00D467D0">
      <w:pPr>
        <w:pStyle w:val="Textopredeterminado"/>
        <w:jc w:val="both"/>
        <w:rPr>
          <w:rFonts w:ascii="Arial" w:hAnsi="Arial" w:cs="Arial"/>
          <w:szCs w:val="24"/>
          <w:lang w:val="es-CO"/>
        </w:rPr>
      </w:pPr>
      <w:r w:rsidRPr="009427D5">
        <w:rPr>
          <w:rFonts w:ascii="Arial" w:hAnsi="Arial" w:cs="Arial"/>
          <w:szCs w:val="24"/>
          <w:lang w:val="es-CO"/>
        </w:rPr>
        <w:t xml:space="preserve">Así pues, a nivel de la administración del Estado colombiano, podemos afirmar que la coordinación busca armonizar los esfuerzos interinstitucionales para contribuir  con el alcance de los fines del Estado. Para efectos de este análisis, es el Ministerio de Justicia y del Derecho, como cabeza del sector, quien debe demostrar el liderazgo en la armonización de esfuerzos interinstitucionales tendientes a la ejecución de la Política Pública relacionada con el sector.  </w:t>
      </w:r>
    </w:p>
    <w:p w:rsidR="00D467D0" w:rsidRPr="009427D5" w:rsidRDefault="00D467D0" w:rsidP="00D467D0">
      <w:pPr>
        <w:pStyle w:val="Textopredeterminado"/>
        <w:jc w:val="both"/>
        <w:rPr>
          <w:rFonts w:ascii="Arial" w:hAnsi="Arial" w:cs="Arial"/>
          <w:szCs w:val="24"/>
          <w:lang w:val="es-CO"/>
        </w:rPr>
      </w:pPr>
      <w:r w:rsidRPr="009427D5">
        <w:rPr>
          <w:rFonts w:ascii="Arial" w:hAnsi="Arial" w:cs="Arial"/>
          <w:szCs w:val="24"/>
          <w:lang w:val="es-CO"/>
        </w:rPr>
        <w:t> </w:t>
      </w:r>
    </w:p>
    <w:p w:rsidR="00D467D0" w:rsidRPr="009427D5" w:rsidRDefault="00D467D0" w:rsidP="00D467D0">
      <w:pPr>
        <w:pStyle w:val="Textopredeterminado"/>
        <w:jc w:val="both"/>
        <w:rPr>
          <w:rFonts w:ascii="Arial" w:hAnsi="Arial" w:cs="Arial"/>
          <w:szCs w:val="24"/>
          <w:lang w:val="es-CO"/>
        </w:rPr>
      </w:pPr>
      <w:r w:rsidRPr="009427D5">
        <w:rPr>
          <w:rFonts w:ascii="Arial" w:hAnsi="Arial" w:cs="Arial"/>
          <w:szCs w:val="24"/>
          <w:lang w:val="es-CO"/>
        </w:rPr>
        <w:t xml:space="preserve">Para determinar el nivel de coordinación entre el Ministerio de Justicia y del Derecho y el Consejo Superior de la Judicatura, acorde </w:t>
      </w:r>
      <w:r w:rsidR="004B6E4B" w:rsidRPr="009427D5">
        <w:rPr>
          <w:rFonts w:ascii="Arial" w:hAnsi="Arial" w:cs="Arial"/>
          <w:szCs w:val="24"/>
          <w:lang w:val="es-CO"/>
        </w:rPr>
        <w:t xml:space="preserve">con el </w:t>
      </w:r>
      <w:r w:rsidRPr="009427D5">
        <w:rPr>
          <w:rFonts w:ascii="Arial" w:hAnsi="Arial" w:cs="Arial"/>
          <w:szCs w:val="24"/>
          <w:lang w:val="es-CO"/>
        </w:rPr>
        <w:t xml:space="preserve">lineamiento de Política Pública establecido, la Contraloría General de la República (CGR) solicitó </w:t>
      </w:r>
      <w:r w:rsidRPr="009427D5">
        <w:rPr>
          <w:rFonts w:ascii="Arial" w:hAnsi="Arial" w:cs="Arial"/>
          <w:szCs w:val="24"/>
          <w:lang w:val="es-CO"/>
        </w:rPr>
        <w:lastRenderedPageBreak/>
        <w:t xml:space="preserve">a dichas entidades información que evidenciara su relación interinstitucional, la cual fue complementada </w:t>
      </w:r>
      <w:r w:rsidR="004B6E4B" w:rsidRPr="009427D5">
        <w:rPr>
          <w:rFonts w:ascii="Arial" w:hAnsi="Arial" w:cs="Arial"/>
          <w:szCs w:val="24"/>
          <w:lang w:val="es-CO"/>
        </w:rPr>
        <w:t xml:space="preserve">mediante </w:t>
      </w:r>
      <w:r w:rsidRPr="009427D5">
        <w:rPr>
          <w:rFonts w:ascii="Arial" w:hAnsi="Arial" w:cs="Arial"/>
          <w:szCs w:val="24"/>
          <w:lang w:val="es-CO"/>
        </w:rPr>
        <w:t xml:space="preserve">entrevistas personalizadas. </w:t>
      </w:r>
      <w:r w:rsidRPr="009427D5">
        <w:rPr>
          <w:rStyle w:val="Refdenotaalpie"/>
          <w:rFonts w:ascii="Arial" w:hAnsi="Arial" w:cs="Arial"/>
          <w:szCs w:val="24"/>
          <w:lang w:val="es-CO"/>
        </w:rPr>
        <w:footnoteReference w:id="52"/>
      </w:r>
    </w:p>
    <w:p w:rsidR="00D467D0" w:rsidRPr="009427D5" w:rsidRDefault="00D467D0" w:rsidP="00D467D0">
      <w:pPr>
        <w:pStyle w:val="Textopredeterminado"/>
        <w:jc w:val="both"/>
        <w:rPr>
          <w:rFonts w:ascii="Arial" w:hAnsi="Arial" w:cs="Arial"/>
          <w:szCs w:val="24"/>
          <w:lang w:val="es-CO"/>
        </w:rPr>
      </w:pPr>
    </w:p>
    <w:p w:rsidR="00D467D0" w:rsidRPr="009427D5" w:rsidRDefault="00D467D0" w:rsidP="00D467D0">
      <w:pPr>
        <w:pStyle w:val="Textopredeterminado"/>
        <w:jc w:val="both"/>
        <w:rPr>
          <w:rFonts w:ascii="Arial" w:hAnsi="Arial" w:cs="Arial"/>
          <w:szCs w:val="24"/>
          <w:lang w:val="es-CO"/>
        </w:rPr>
      </w:pPr>
      <w:r w:rsidRPr="009427D5">
        <w:rPr>
          <w:rFonts w:ascii="Arial" w:hAnsi="Arial" w:cs="Arial"/>
          <w:szCs w:val="24"/>
          <w:lang w:val="es-CO"/>
        </w:rPr>
        <w:t xml:space="preserve">De la información recibida, se </w:t>
      </w:r>
      <w:r w:rsidR="004B6E4B" w:rsidRPr="009427D5">
        <w:rPr>
          <w:rFonts w:ascii="Arial" w:hAnsi="Arial" w:cs="Arial"/>
          <w:szCs w:val="24"/>
          <w:lang w:val="es-CO"/>
        </w:rPr>
        <w:t xml:space="preserve">verificaron </w:t>
      </w:r>
      <w:r w:rsidRPr="009427D5">
        <w:rPr>
          <w:rFonts w:ascii="Arial" w:hAnsi="Arial" w:cs="Arial"/>
          <w:szCs w:val="24"/>
          <w:lang w:val="es-CO"/>
        </w:rPr>
        <w:t xml:space="preserve">las siguientes acciones de coordinación interinstitucional: </w:t>
      </w:r>
    </w:p>
    <w:p w:rsidR="00D467D0" w:rsidRPr="009427D5" w:rsidRDefault="00D467D0" w:rsidP="00D467D0">
      <w:pPr>
        <w:pStyle w:val="Textopredeterminado"/>
        <w:jc w:val="both"/>
        <w:rPr>
          <w:rFonts w:ascii="Arial" w:hAnsi="Arial" w:cs="Arial"/>
          <w:i/>
          <w:szCs w:val="24"/>
          <w:lang w:val="es-CO"/>
        </w:rPr>
      </w:pPr>
    </w:p>
    <w:p w:rsidR="00D467D0" w:rsidRPr="009427D5" w:rsidRDefault="00C625F0" w:rsidP="00D467D0">
      <w:pPr>
        <w:pStyle w:val="Textopredeterminado"/>
        <w:jc w:val="both"/>
        <w:rPr>
          <w:rFonts w:ascii="Arial" w:hAnsi="Arial" w:cs="Arial"/>
          <w:i/>
          <w:szCs w:val="24"/>
          <w:lang w:val="es-CO"/>
        </w:rPr>
      </w:pPr>
      <w:r>
        <w:rPr>
          <w:rFonts w:ascii="Arial" w:hAnsi="Arial" w:cs="Arial"/>
          <w:i/>
          <w:szCs w:val="24"/>
          <w:lang w:val="es-CO"/>
        </w:rPr>
        <w:t>C</w:t>
      </w:r>
      <w:r w:rsidR="00D467D0" w:rsidRPr="009427D5">
        <w:rPr>
          <w:rFonts w:ascii="Arial" w:hAnsi="Arial" w:cs="Arial"/>
          <w:i/>
          <w:szCs w:val="24"/>
          <w:lang w:val="es-CO"/>
        </w:rPr>
        <w:t>oordinación Ministerio de Justicia- Consejo Superior de la Judicatura, en lo relacionado con la Jurisdicción Indígena</w:t>
      </w:r>
    </w:p>
    <w:p w:rsidR="00D467D0" w:rsidRPr="009427D5" w:rsidRDefault="00D467D0" w:rsidP="00D467D0">
      <w:pPr>
        <w:pStyle w:val="Textopredeterminado"/>
        <w:jc w:val="both"/>
        <w:rPr>
          <w:rFonts w:ascii="Arial" w:hAnsi="Arial" w:cs="Arial"/>
          <w:b/>
          <w:szCs w:val="24"/>
          <w:lang w:val="es-CO"/>
        </w:rPr>
      </w:pPr>
    </w:p>
    <w:p w:rsidR="00D467D0" w:rsidRPr="009427D5" w:rsidRDefault="00D467D0" w:rsidP="00D467D0">
      <w:pPr>
        <w:pStyle w:val="Textopredeterminado"/>
        <w:jc w:val="both"/>
        <w:rPr>
          <w:rFonts w:ascii="Arial" w:hAnsi="Arial" w:cs="Arial"/>
          <w:szCs w:val="24"/>
          <w:lang w:val="es-CO"/>
        </w:rPr>
      </w:pPr>
      <w:r w:rsidRPr="009427D5">
        <w:rPr>
          <w:rFonts w:ascii="Arial" w:hAnsi="Arial" w:cs="Arial"/>
          <w:szCs w:val="24"/>
          <w:lang w:val="es-CO"/>
        </w:rPr>
        <w:t>Documento Atlas Judicial de Colombia: se evidencia la inclusión dentro de la Rama Judicial las dos jurisdicciones especiales indígena y de paz.</w:t>
      </w:r>
    </w:p>
    <w:p w:rsidR="00D467D0" w:rsidRPr="009427D5" w:rsidRDefault="00D467D0" w:rsidP="00D467D0">
      <w:pPr>
        <w:pStyle w:val="Textopredeterminado"/>
        <w:jc w:val="both"/>
        <w:rPr>
          <w:rFonts w:ascii="Arial" w:hAnsi="Arial" w:cs="Arial"/>
          <w:szCs w:val="24"/>
          <w:lang w:val="es-CO"/>
        </w:rPr>
      </w:pPr>
    </w:p>
    <w:p w:rsidR="00D467D0" w:rsidRPr="009427D5" w:rsidRDefault="00D467D0" w:rsidP="00D467D0">
      <w:pPr>
        <w:spacing w:after="0" w:line="240" w:lineRule="auto"/>
        <w:jc w:val="both"/>
        <w:rPr>
          <w:rFonts w:ascii="Arial" w:hAnsi="Arial" w:cs="Arial"/>
          <w:color w:val="000000"/>
          <w:sz w:val="24"/>
          <w:szCs w:val="24"/>
        </w:rPr>
      </w:pPr>
      <w:r w:rsidRPr="009427D5">
        <w:rPr>
          <w:rFonts w:ascii="Arial" w:hAnsi="Arial" w:cs="Arial"/>
          <w:color w:val="000000"/>
          <w:sz w:val="24"/>
          <w:szCs w:val="24"/>
        </w:rPr>
        <w:t>Gaceta de la Judicatura</w:t>
      </w:r>
      <w:r w:rsidRPr="009427D5">
        <w:rPr>
          <w:rStyle w:val="Refdenotaalpie"/>
          <w:rFonts w:ascii="Arial" w:hAnsi="Arial" w:cs="Arial"/>
          <w:color w:val="000000"/>
          <w:sz w:val="24"/>
          <w:szCs w:val="24"/>
        </w:rPr>
        <w:footnoteReference w:id="53"/>
      </w:r>
      <w:r w:rsidRPr="009427D5">
        <w:rPr>
          <w:rFonts w:ascii="Arial" w:hAnsi="Arial" w:cs="Arial"/>
          <w:color w:val="000000"/>
          <w:sz w:val="24"/>
          <w:szCs w:val="24"/>
        </w:rPr>
        <w:t xml:space="preserve">. En este documento se encuentra el Acuerdo No. PSAA12-9614 de 2012,  “Por el cual se establecen los medidas de coordinación inter-jurisdiccional y de interlocución entre los Pueblos Indígenas y el Sistema Judicial Nacional”. Este documento evidencia cómo en cumplimiento del artículo 11 de la Ley 270 de 1996, se reconoce la Jurisdicción Especial Indígena como parte integrante de la Rama Judicial en Colombia. </w:t>
      </w:r>
    </w:p>
    <w:p w:rsidR="00D467D0" w:rsidRPr="009427D5" w:rsidRDefault="00D467D0" w:rsidP="00D467D0">
      <w:pPr>
        <w:spacing w:after="0" w:line="240" w:lineRule="auto"/>
        <w:jc w:val="both"/>
        <w:rPr>
          <w:rFonts w:ascii="Arial" w:hAnsi="Arial" w:cs="Arial"/>
          <w:color w:val="000000"/>
          <w:sz w:val="24"/>
          <w:szCs w:val="24"/>
        </w:rPr>
      </w:pPr>
      <w:r w:rsidRPr="009427D5">
        <w:rPr>
          <w:rFonts w:ascii="Arial" w:hAnsi="Arial" w:cs="Arial"/>
          <w:color w:val="000000"/>
          <w:sz w:val="24"/>
          <w:szCs w:val="24"/>
        </w:rPr>
        <w:t xml:space="preserve">Así mismo permite evidenciar la puesta en marcha de mecanismos y acciones de interlocución y coordinación entre el Sistema Judicial Nacional y la Jurisdicción Especial Indígena, atendiendo el enfoque diferencial y étnico que corresponde a los pueblos indígenas, de acuerdo con la jurisprudencia nacional e internacional respectiva. </w:t>
      </w:r>
    </w:p>
    <w:p w:rsidR="0018609D" w:rsidRPr="009427D5" w:rsidRDefault="0018609D" w:rsidP="00D467D0">
      <w:pPr>
        <w:spacing w:after="0" w:line="240" w:lineRule="auto"/>
        <w:jc w:val="both"/>
        <w:rPr>
          <w:rFonts w:ascii="Arial" w:hAnsi="Arial" w:cs="Arial"/>
          <w:color w:val="000000"/>
          <w:sz w:val="24"/>
          <w:szCs w:val="24"/>
        </w:rPr>
      </w:pPr>
    </w:p>
    <w:p w:rsidR="00D467D0" w:rsidRPr="009427D5" w:rsidRDefault="00D467D0" w:rsidP="00D467D0">
      <w:pPr>
        <w:spacing w:after="0" w:line="240" w:lineRule="auto"/>
        <w:jc w:val="both"/>
        <w:rPr>
          <w:rFonts w:ascii="Arial" w:hAnsi="Arial" w:cs="Arial"/>
          <w:color w:val="000000"/>
          <w:sz w:val="24"/>
          <w:szCs w:val="24"/>
        </w:rPr>
      </w:pPr>
      <w:r w:rsidRPr="009427D5">
        <w:rPr>
          <w:rFonts w:ascii="Arial" w:hAnsi="Arial" w:cs="Arial"/>
          <w:color w:val="000000"/>
          <w:sz w:val="24"/>
          <w:szCs w:val="24"/>
        </w:rPr>
        <w:t>Cabe mencionar la conformación de la  Comisión Nacional de Coordinación del Sistema Judicial Nacional y la Jurisdicción Especial Indígena, integrada por el Ministro de Justicia y del Derecho o su delegado y el Magistrado Coordinador de la Jurisdicción Especial Indígena de la Sala Administrativa del Consejo Superior de la Judicatura, entre otros miembros.</w:t>
      </w:r>
    </w:p>
    <w:p w:rsidR="00D467D0" w:rsidRPr="009427D5" w:rsidRDefault="00D467D0" w:rsidP="00D467D0">
      <w:pPr>
        <w:pStyle w:val="Textopredeterminado"/>
        <w:jc w:val="both"/>
        <w:rPr>
          <w:rFonts w:ascii="Arial" w:hAnsi="Arial" w:cs="Arial"/>
          <w:szCs w:val="24"/>
          <w:lang w:val="es-CO"/>
        </w:rPr>
      </w:pPr>
    </w:p>
    <w:p w:rsidR="00D467D0" w:rsidRPr="009427D5" w:rsidRDefault="0018609D" w:rsidP="00D467D0">
      <w:pPr>
        <w:pStyle w:val="Textopredeterminado"/>
        <w:jc w:val="both"/>
        <w:rPr>
          <w:rFonts w:ascii="Arial" w:hAnsi="Arial" w:cs="Arial"/>
          <w:i/>
          <w:szCs w:val="24"/>
          <w:lang w:val="es-CO"/>
        </w:rPr>
      </w:pPr>
      <w:r w:rsidRPr="009427D5">
        <w:rPr>
          <w:rFonts w:ascii="Arial" w:hAnsi="Arial" w:cs="Arial"/>
          <w:i/>
          <w:szCs w:val="24"/>
          <w:lang w:val="es-CO"/>
        </w:rPr>
        <w:t>C</w:t>
      </w:r>
      <w:r w:rsidR="00D467D0" w:rsidRPr="009427D5">
        <w:rPr>
          <w:rFonts w:ascii="Arial" w:hAnsi="Arial" w:cs="Arial"/>
          <w:i/>
          <w:szCs w:val="24"/>
          <w:lang w:val="es-CO"/>
        </w:rPr>
        <w:t>oordinación Ministerio de Justicia- Consejo Superior de la Judicatura, en lo relacionado con la implementación del Código de Procedimiento Administrativo y de lo Contencioso Administrativo.</w:t>
      </w:r>
    </w:p>
    <w:p w:rsidR="00D467D0" w:rsidRPr="009427D5" w:rsidRDefault="00D467D0" w:rsidP="00D467D0">
      <w:pPr>
        <w:pStyle w:val="Textopredeterminado"/>
        <w:jc w:val="both"/>
        <w:rPr>
          <w:rFonts w:ascii="Arial" w:hAnsi="Arial" w:cs="Arial"/>
          <w:b/>
          <w:szCs w:val="24"/>
          <w:lang w:val="es-CO"/>
        </w:rPr>
      </w:pPr>
    </w:p>
    <w:p w:rsidR="00D467D0" w:rsidRPr="009427D5" w:rsidRDefault="0018609D" w:rsidP="00D467D0">
      <w:pPr>
        <w:pStyle w:val="Textopredeterminado"/>
        <w:jc w:val="both"/>
        <w:rPr>
          <w:rFonts w:ascii="Arial" w:hAnsi="Arial" w:cs="Arial"/>
          <w:szCs w:val="24"/>
          <w:lang w:val="es-CO"/>
        </w:rPr>
      </w:pPr>
      <w:r w:rsidRPr="009427D5">
        <w:rPr>
          <w:rFonts w:ascii="Arial" w:hAnsi="Arial" w:cs="Arial"/>
          <w:szCs w:val="24"/>
          <w:lang w:val="es-CO"/>
        </w:rPr>
        <w:lastRenderedPageBreak/>
        <w:t xml:space="preserve">La </w:t>
      </w:r>
      <w:r w:rsidR="00D467D0" w:rsidRPr="009427D5">
        <w:rPr>
          <w:rFonts w:ascii="Arial" w:hAnsi="Arial" w:cs="Arial"/>
          <w:szCs w:val="24"/>
          <w:lang w:val="es-CO"/>
        </w:rPr>
        <w:t>Circular DEAJC 14-</w:t>
      </w:r>
      <w:r w:rsidRPr="009427D5">
        <w:rPr>
          <w:rFonts w:ascii="Arial" w:hAnsi="Arial" w:cs="Arial"/>
          <w:szCs w:val="24"/>
          <w:lang w:val="es-CO"/>
        </w:rPr>
        <w:t>37 del 7 de marzo de 2014, e</w:t>
      </w:r>
      <w:r w:rsidR="00D467D0" w:rsidRPr="009427D5">
        <w:rPr>
          <w:rFonts w:ascii="Arial" w:hAnsi="Arial" w:cs="Arial"/>
          <w:szCs w:val="24"/>
          <w:lang w:val="es-CO"/>
        </w:rPr>
        <w:t>stablece el uso de medios tecnológicos para las notificaciones, según lo establecido en la Ley 1437 de 2011</w:t>
      </w:r>
      <w:r w:rsidR="00D467D0" w:rsidRPr="009427D5">
        <w:rPr>
          <w:rFonts w:ascii="Arial" w:hAnsi="Arial" w:cs="Arial"/>
          <w:color w:val="545454"/>
          <w:szCs w:val="24"/>
          <w:lang w:val="es-CO"/>
        </w:rPr>
        <w:t xml:space="preserve"> “</w:t>
      </w:r>
      <w:r w:rsidR="00D467D0" w:rsidRPr="009427D5">
        <w:rPr>
          <w:rFonts w:ascii="Arial" w:hAnsi="Arial" w:cs="Arial"/>
          <w:szCs w:val="24"/>
          <w:lang w:val="es-CO"/>
        </w:rPr>
        <w:t xml:space="preserve">Por la cual se expide el Código de Procedimiento Administrativo y de lo Contencioso Administrativo”. </w:t>
      </w:r>
    </w:p>
    <w:p w:rsidR="00D467D0" w:rsidRPr="009427D5" w:rsidRDefault="00D467D0" w:rsidP="00D467D0">
      <w:pPr>
        <w:pStyle w:val="Textopredeterminado"/>
        <w:jc w:val="both"/>
        <w:rPr>
          <w:rFonts w:ascii="Arial" w:hAnsi="Arial" w:cs="Arial"/>
          <w:szCs w:val="24"/>
          <w:lang w:val="es-CO"/>
        </w:rPr>
      </w:pPr>
    </w:p>
    <w:p w:rsidR="00D467D0" w:rsidRPr="009427D5" w:rsidRDefault="00D467D0" w:rsidP="00D467D0">
      <w:pPr>
        <w:pStyle w:val="Textopredeterminado"/>
        <w:jc w:val="both"/>
        <w:rPr>
          <w:rFonts w:ascii="Arial" w:hAnsi="Arial" w:cs="Arial"/>
          <w:i/>
          <w:szCs w:val="24"/>
          <w:lang w:val="es-CO"/>
        </w:rPr>
      </w:pPr>
      <w:r w:rsidRPr="009427D5">
        <w:rPr>
          <w:rFonts w:ascii="Arial" w:hAnsi="Arial" w:cs="Arial"/>
          <w:i/>
          <w:szCs w:val="24"/>
          <w:lang w:val="es-CO"/>
        </w:rPr>
        <w:t>Coordinación Ministerio de Justicia- Consejo Superior de la Judicatura, en lo relacionado con la implementación del Código General del Proceso.</w:t>
      </w:r>
    </w:p>
    <w:p w:rsidR="0018609D" w:rsidRPr="009427D5" w:rsidRDefault="0018609D" w:rsidP="00D467D0">
      <w:pPr>
        <w:pStyle w:val="Textopredeterminado"/>
        <w:jc w:val="both"/>
        <w:rPr>
          <w:rFonts w:ascii="Arial" w:hAnsi="Arial" w:cs="Arial"/>
          <w:szCs w:val="24"/>
          <w:lang w:val="es-CO"/>
        </w:rPr>
      </w:pPr>
    </w:p>
    <w:p w:rsidR="00D467D0" w:rsidRPr="009427D5" w:rsidRDefault="00BC2618" w:rsidP="00D467D0">
      <w:pPr>
        <w:pStyle w:val="Textopredeterminado"/>
        <w:jc w:val="both"/>
        <w:rPr>
          <w:rFonts w:ascii="Arial" w:hAnsi="Arial" w:cs="Arial"/>
          <w:szCs w:val="24"/>
          <w:lang w:val="es-CO"/>
        </w:rPr>
      </w:pPr>
      <w:r w:rsidRPr="009427D5">
        <w:rPr>
          <w:rFonts w:ascii="Arial" w:hAnsi="Arial" w:cs="Arial"/>
          <w:szCs w:val="24"/>
          <w:lang w:val="es-CO"/>
        </w:rPr>
        <w:t xml:space="preserve">Con </w:t>
      </w:r>
      <w:r w:rsidR="00D467D0" w:rsidRPr="009427D5">
        <w:rPr>
          <w:rFonts w:ascii="Arial" w:hAnsi="Arial" w:cs="Arial"/>
          <w:szCs w:val="24"/>
          <w:lang w:val="es-CO"/>
        </w:rPr>
        <w:t>las actas  No. 2, 3, 4 y 5 del 19 de marzo, 20 y 28 de mayo y 9 de julio  de 2013, respectivamente,</w:t>
      </w:r>
      <w:r w:rsidRPr="009427D5">
        <w:rPr>
          <w:rFonts w:ascii="Arial" w:hAnsi="Arial" w:cs="Arial"/>
          <w:szCs w:val="24"/>
          <w:lang w:val="es-CO"/>
        </w:rPr>
        <w:t xml:space="preserve"> dan cuenta de las reuniones de seguimiento realizadas con la part</w:t>
      </w:r>
      <w:r w:rsidR="00D467D0" w:rsidRPr="009427D5">
        <w:rPr>
          <w:rFonts w:ascii="Arial" w:hAnsi="Arial" w:cs="Arial"/>
          <w:szCs w:val="24"/>
          <w:lang w:val="es-CO"/>
        </w:rPr>
        <w:t>icipación de integrantes de las dos entidades</w:t>
      </w:r>
      <w:r w:rsidRPr="009427D5">
        <w:rPr>
          <w:rFonts w:ascii="Arial" w:hAnsi="Arial" w:cs="Arial"/>
          <w:szCs w:val="24"/>
          <w:lang w:val="es-CO"/>
        </w:rPr>
        <w:t>.</w:t>
      </w:r>
    </w:p>
    <w:p w:rsidR="00BC2618" w:rsidRPr="009427D5" w:rsidRDefault="00BC2618" w:rsidP="00D467D0">
      <w:pPr>
        <w:pStyle w:val="Textopredeterminado"/>
        <w:jc w:val="both"/>
        <w:rPr>
          <w:rFonts w:ascii="Arial" w:hAnsi="Arial" w:cs="Arial"/>
          <w:szCs w:val="24"/>
          <w:lang w:val="es-CO"/>
        </w:rPr>
      </w:pPr>
    </w:p>
    <w:p w:rsidR="00D467D0" w:rsidRPr="009427D5" w:rsidRDefault="001A6A77" w:rsidP="00D467D0">
      <w:pPr>
        <w:pStyle w:val="Textopredeterminado"/>
        <w:jc w:val="both"/>
        <w:rPr>
          <w:rFonts w:ascii="Arial" w:hAnsi="Arial" w:cs="Arial"/>
          <w:szCs w:val="24"/>
          <w:lang w:val="es-CO"/>
        </w:rPr>
      </w:pPr>
      <w:r w:rsidRPr="009427D5">
        <w:rPr>
          <w:rFonts w:ascii="Arial" w:hAnsi="Arial" w:cs="Arial"/>
          <w:szCs w:val="24"/>
          <w:lang w:val="es-CO"/>
        </w:rPr>
        <w:t xml:space="preserve">Se pudo verificar la coordinación interinstitucional mediante las diferentes actividades administrativas (reuniones, comunicaciones escritas), en temas como SISMEG; </w:t>
      </w:r>
      <w:r w:rsidR="00D467D0" w:rsidRPr="009427D5">
        <w:rPr>
          <w:rFonts w:ascii="Arial" w:hAnsi="Arial" w:cs="Arial"/>
          <w:szCs w:val="24"/>
          <w:lang w:val="es-CO"/>
        </w:rPr>
        <w:t>Comité Interinstitucional de Justic</w:t>
      </w:r>
      <w:r w:rsidRPr="009427D5">
        <w:rPr>
          <w:rFonts w:ascii="Arial" w:hAnsi="Arial" w:cs="Arial"/>
          <w:szCs w:val="24"/>
          <w:lang w:val="es-CO"/>
        </w:rPr>
        <w:t xml:space="preserve">ia y Paz; </w:t>
      </w:r>
      <w:r w:rsidR="00D467D0" w:rsidRPr="009427D5">
        <w:rPr>
          <w:rFonts w:ascii="Arial" w:hAnsi="Arial" w:cs="Arial"/>
          <w:szCs w:val="24"/>
          <w:lang w:val="es-CO"/>
        </w:rPr>
        <w:t>J</w:t>
      </w:r>
      <w:r w:rsidRPr="009427D5">
        <w:rPr>
          <w:rFonts w:ascii="Arial" w:hAnsi="Arial" w:cs="Arial"/>
          <w:szCs w:val="24"/>
          <w:lang w:val="es-CO"/>
        </w:rPr>
        <w:t xml:space="preserve">usticia Formal y Jurisdiccional; </w:t>
      </w:r>
      <w:r w:rsidR="00D467D0" w:rsidRPr="009427D5">
        <w:rPr>
          <w:rFonts w:ascii="Arial" w:hAnsi="Arial" w:cs="Arial"/>
          <w:szCs w:val="24"/>
          <w:lang w:val="es-CO"/>
        </w:rPr>
        <w:t xml:space="preserve">implementación de la Comisión del Proceso Oral </w:t>
      </w:r>
      <w:r w:rsidRPr="009427D5">
        <w:rPr>
          <w:rFonts w:ascii="Arial" w:hAnsi="Arial" w:cs="Arial"/>
          <w:szCs w:val="24"/>
          <w:lang w:val="es-CO"/>
        </w:rPr>
        <w:t xml:space="preserve">y Justicia Pronta; </w:t>
      </w:r>
      <w:r w:rsidR="00D467D0" w:rsidRPr="009427D5">
        <w:rPr>
          <w:rFonts w:ascii="Arial" w:hAnsi="Arial" w:cs="Arial"/>
          <w:szCs w:val="24"/>
          <w:lang w:val="es-CO"/>
        </w:rPr>
        <w:t xml:space="preserve">lucha contra la impunidad en casos de violaciones a los derechos humanos e infracciones al derecho internacional humanitario.  </w:t>
      </w:r>
    </w:p>
    <w:p w:rsidR="00D467D0" w:rsidRPr="009427D5" w:rsidRDefault="00D467D0" w:rsidP="00D467D0">
      <w:pPr>
        <w:pStyle w:val="Textopredeterminado"/>
        <w:jc w:val="both"/>
        <w:rPr>
          <w:rFonts w:ascii="Arial" w:hAnsi="Arial" w:cs="Arial"/>
          <w:szCs w:val="24"/>
          <w:lang w:val="es-CO"/>
        </w:rPr>
      </w:pPr>
    </w:p>
    <w:p w:rsidR="00D467D0" w:rsidRPr="009427D5" w:rsidRDefault="00D467D0" w:rsidP="00D467D0">
      <w:pPr>
        <w:pStyle w:val="Textopredeterminado"/>
        <w:jc w:val="both"/>
        <w:rPr>
          <w:rFonts w:ascii="Arial" w:hAnsi="Arial" w:cs="Arial"/>
          <w:szCs w:val="24"/>
          <w:lang w:val="es-CO"/>
        </w:rPr>
      </w:pPr>
      <w:r w:rsidRPr="009427D5">
        <w:rPr>
          <w:rFonts w:ascii="Arial" w:hAnsi="Arial" w:cs="Arial"/>
          <w:szCs w:val="24"/>
          <w:lang w:val="es-CO"/>
        </w:rPr>
        <w:t xml:space="preserve">Teniendo en cuenta la información suministrada y lo establecido en los lineamientos de Política Pública anteriormente descritos, la CGR puede evidenciar acciones tendientes al desarrollo del concepto de “coordinación interinstitucional”, </w:t>
      </w:r>
      <w:r w:rsidR="00BC2618" w:rsidRPr="009427D5">
        <w:rPr>
          <w:rFonts w:ascii="Arial" w:hAnsi="Arial" w:cs="Arial"/>
          <w:szCs w:val="24"/>
          <w:lang w:val="es-CO"/>
        </w:rPr>
        <w:t xml:space="preserve">presentadas </w:t>
      </w:r>
      <w:r w:rsidRPr="009427D5">
        <w:rPr>
          <w:rFonts w:ascii="Arial" w:hAnsi="Arial" w:cs="Arial"/>
          <w:szCs w:val="24"/>
          <w:lang w:val="es-CO"/>
        </w:rPr>
        <w:t xml:space="preserve">en el periodo analizado.  </w:t>
      </w:r>
    </w:p>
    <w:p w:rsidR="0036031F" w:rsidRPr="009427D5" w:rsidRDefault="0036031F" w:rsidP="00D467D0">
      <w:pPr>
        <w:pStyle w:val="Textopredeterminado"/>
        <w:jc w:val="both"/>
        <w:rPr>
          <w:rFonts w:ascii="Arial" w:hAnsi="Arial" w:cs="Arial"/>
          <w:szCs w:val="24"/>
          <w:lang w:val="es-CO"/>
        </w:rPr>
      </w:pPr>
    </w:p>
    <w:p w:rsidR="00FA5345" w:rsidRPr="009427D5" w:rsidRDefault="00967A26" w:rsidP="004E2A54">
      <w:pPr>
        <w:pStyle w:val="Textopredeterminado"/>
        <w:jc w:val="both"/>
        <w:rPr>
          <w:rFonts w:ascii="Arial" w:hAnsi="Arial" w:cs="Arial"/>
          <w:i/>
          <w:szCs w:val="24"/>
          <w:lang w:val="es-CO"/>
        </w:rPr>
      </w:pPr>
      <w:r w:rsidRPr="009427D5">
        <w:rPr>
          <w:rFonts w:ascii="Arial" w:hAnsi="Arial" w:cs="Arial"/>
          <w:i/>
          <w:szCs w:val="24"/>
          <w:lang w:val="es-CO"/>
        </w:rPr>
        <w:t xml:space="preserve">2.2.2.8 </w:t>
      </w:r>
      <w:r w:rsidR="00FA5345" w:rsidRPr="009427D5">
        <w:rPr>
          <w:rFonts w:ascii="Arial" w:hAnsi="Arial" w:cs="Arial"/>
          <w:i/>
          <w:szCs w:val="24"/>
          <w:lang w:val="es-CO"/>
        </w:rPr>
        <w:t xml:space="preserve">Gestión </w:t>
      </w:r>
      <w:proofErr w:type="spellStart"/>
      <w:r w:rsidR="00FA5345" w:rsidRPr="009427D5">
        <w:rPr>
          <w:rFonts w:ascii="Arial" w:hAnsi="Arial" w:cs="Arial"/>
          <w:i/>
          <w:szCs w:val="24"/>
          <w:lang w:val="es-CO"/>
        </w:rPr>
        <w:t>Corposol</w:t>
      </w:r>
      <w:proofErr w:type="spellEnd"/>
      <w:r w:rsidR="00FA5345" w:rsidRPr="009427D5">
        <w:rPr>
          <w:rFonts w:ascii="Arial" w:hAnsi="Arial" w:cs="Arial"/>
          <w:i/>
          <w:szCs w:val="24"/>
          <w:lang w:val="es-CO"/>
        </w:rPr>
        <w:t xml:space="preserve"> – Ciudad Bolívar</w:t>
      </w:r>
    </w:p>
    <w:p w:rsidR="00FA5345" w:rsidRPr="009427D5" w:rsidRDefault="00FA5345" w:rsidP="00FA5345">
      <w:pPr>
        <w:spacing w:after="0" w:line="240" w:lineRule="auto"/>
        <w:rPr>
          <w:rFonts w:ascii="Arial" w:hAnsi="Arial" w:cs="Arial"/>
          <w:b/>
          <w:sz w:val="24"/>
          <w:szCs w:val="24"/>
        </w:rPr>
      </w:pPr>
    </w:p>
    <w:p w:rsidR="004E2A54" w:rsidRPr="009427D5" w:rsidRDefault="004E2A54" w:rsidP="00FA5345">
      <w:pPr>
        <w:spacing w:after="0" w:line="240" w:lineRule="auto"/>
        <w:rPr>
          <w:rFonts w:ascii="Arial" w:hAnsi="Arial" w:cs="Arial"/>
          <w:sz w:val="24"/>
          <w:szCs w:val="24"/>
        </w:rPr>
      </w:pPr>
      <w:r w:rsidRPr="009427D5">
        <w:rPr>
          <w:rFonts w:ascii="Arial" w:hAnsi="Arial" w:cs="Arial"/>
          <w:sz w:val="24"/>
          <w:szCs w:val="24"/>
        </w:rPr>
        <w:t>Hallazgo No. 9 Obra “</w:t>
      </w:r>
      <w:proofErr w:type="spellStart"/>
      <w:r w:rsidRPr="009427D5">
        <w:rPr>
          <w:rFonts w:ascii="Arial" w:hAnsi="Arial" w:cs="Arial"/>
          <w:sz w:val="24"/>
          <w:szCs w:val="24"/>
        </w:rPr>
        <w:t>Corposol</w:t>
      </w:r>
      <w:proofErr w:type="spellEnd"/>
      <w:r w:rsidRPr="009427D5">
        <w:rPr>
          <w:rFonts w:ascii="Arial" w:hAnsi="Arial" w:cs="Arial"/>
          <w:sz w:val="24"/>
          <w:szCs w:val="24"/>
        </w:rPr>
        <w:t>” – Ciudad Bolívar</w:t>
      </w:r>
    </w:p>
    <w:p w:rsidR="004E2A54" w:rsidRPr="009427D5" w:rsidRDefault="004E2A54" w:rsidP="00FA5345">
      <w:pPr>
        <w:spacing w:after="0" w:line="240" w:lineRule="auto"/>
        <w:jc w:val="both"/>
        <w:rPr>
          <w:rFonts w:ascii="Arial" w:hAnsi="Arial" w:cs="Arial"/>
          <w:sz w:val="24"/>
          <w:szCs w:val="24"/>
        </w:rPr>
      </w:pPr>
    </w:p>
    <w:p w:rsidR="00FA5345" w:rsidRPr="009427D5" w:rsidRDefault="00FA5345" w:rsidP="00FA5345">
      <w:pPr>
        <w:spacing w:after="0" w:line="240" w:lineRule="auto"/>
        <w:jc w:val="both"/>
        <w:rPr>
          <w:rFonts w:ascii="Arial" w:hAnsi="Arial" w:cs="Arial"/>
          <w:sz w:val="24"/>
          <w:szCs w:val="24"/>
        </w:rPr>
      </w:pPr>
      <w:r w:rsidRPr="009427D5">
        <w:rPr>
          <w:rFonts w:ascii="Arial" w:hAnsi="Arial" w:cs="Arial"/>
          <w:sz w:val="24"/>
          <w:szCs w:val="24"/>
        </w:rPr>
        <w:t xml:space="preserve">En visita realizada a la Obra </w:t>
      </w:r>
      <w:proofErr w:type="spellStart"/>
      <w:r w:rsidRPr="009427D5">
        <w:rPr>
          <w:rFonts w:ascii="Arial" w:hAnsi="Arial" w:cs="Arial"/>
          <w:sz w:val="24"/>
          <w:szCs w:val="24"/>
        </w:rPr>
        <w:t>Corposol</w:t>
      </w:r>
      <w:proofErr w:type="spellEnd"/>
      <w:r w:rsidRPr="009427D5">
        <w:rPr>
          <w:rFonts w:ascii="Arial" w:hAnsi="Arial" w:cs="Arial"/>
          <w:sz w:val="24"/>
          <w:szCs w:val="24"/>
        </w:rPr>
        <w:t xml:space="preserve"> en Ciudad Bolívar se pudo establecer que en el mes de febrero de 2014 fue inaugurada la Obra y entraron en funcionamiento dos (2) Juzgados de Pequeñas Causas y Competencias Múltiples en el Distrito Judicial de Bogotá, que fueron creados por la Sala Administrativa del Consejo Superior de la Judicatura, mediante Acuerdo No. PSAA11-8145 del 30 de Mayo de 2011, es decir casi tres años después de su creación.</w:t>
      </w:r>
    </w:p>
    <w:p w:rsidR="00FA5345" w:rsidRPr="009427D5" w:rsidRDefault="00FA5345" w:rsidP="00FA5345">
      <w:pPr>
        <w:spacing w:after="0" w:line="240" w:lineRule="auto"/>
        <w:jc w:val="both"/>
        <w:rPr>
          <w:rFonts w:ascii="Arial" w:hAnsi="Arial" w:cs="Arial"/>
          <w:sz w:val="24"/>
          <w:szCs w:val="24"/>
        </w:rPr>
      </w:pPr>
    </w:p>
    <w:p w:rsidR="00FA5345" w:rsidRPr="009427D5" w:rsidRDefault="00FA5345" w:rsidP="00FA5345">
      <w:pPr>
        <w:spacing w:after="0" w:line="240" w:lineRule="auto"/>
        <w:jc w:val="both"/>
        <w:rPr>
          <w:rFonts w:ascii="Arial" w:hAnsi="Arial" w:cs="Arial"/>
          <w:sz w:val="24"/>
          <w:szCs w:val="24"/>
        </w:rPr>
      </w:pPr>
      <w:r w:rsidRPr="009427D5">
        <w:rPr>
          <w:rFonts w:ascii="Arial" w:hAnsi="Arial" w:cs="Arial"/>
          <w:sz w:val="24"/>
          <w:szCs w:val="24"/>
        </w:rPr>
        <w:t xml:space="preserve">En las instalaciones de </w:t>
      </w:r>
      <w:proofErr w:type="spellStart"/>
      <w:r w:rsidRPr="009427D5">
        <w:rPr>
          <w:rFonts w:ascii="Arial" w:hAnsi="Arial" w:cs="Arial"/>
          <w:sz w:val="24"/>
          <w:szCs w:val="24"/>
        </w:rPr>
        <w:t>Corposol</w:t>
      </w:r>
      <w:proofErr w:type="spellEnd"/>
      <w:r w:rsidRPr="009427D5">
        <w:rPr>
          <w:rFonts w:ascii="Arial" w:hAnsi="Arial" w:cs="Arial"/>
          <w:sz w:val="24"/>
          <w:szCs w:val="24"/>
        </w:rPr>
        <w:t xml:space="preserve"> se observa la distribución y nomenclatura de los diferentes Despachos Judiciales (pequeñas causas (2), laboral (2), familia (2), penal (2), juez de paz (1), policía (1), centro de servicios (1)</w:t>
      </w:r>
      <w:r w:rsidR="00AD2B69">
        <w:rPr>
          <w:rFonts w:ascii="Arial" w:hAnsi="Arial" w:cs="Arial"/>
          <w:sz w:val="24"/>
          <w:szCs w:val="24"/>
        </w:rPr>
        <w:t>,</w:t>
      </w:r>
      <w:r w:rsidRPr="009427D5">
        <w:rPr>
          <w:rFonts w:ascii="Arial" w:hAnsi="Arial" w:cs="Arial"/>
          <w:sz w:val="24"/>
          <w:szCs w:val="24"/>
        </w:rPr>
        <w:t xml:space="preserve"> aula múltiple (1) y salas de audiencia, sin embargo, a la fecha sólo se encuentran en funcionamiento los dos Juzgados de Pequeñas Causas en Civil, ocasionando con ello una subutilización de todos los despachos anunciados que se encuentran debidamente dotados en mobiliario y tecnología, en detrimento de la prestación del servicio de justicia a una población aproximada de 500.000 personas, de acuerdo con lo </w:t>
      </w:r>
      <w:r w:rsidRPr="009427D5">
        <w:rPr>
          <w:rFonts w:ascii="Arial" w:hAnsi="Arial" w:cs="Arial"/>
          <w:sz w:val="24"/>
          <w:szCs w:val="24"/>
        </w:rPr>
        <w:lastRenderedPageBreak/>
        <w:t>establecido inicialmente por el Consejo Superior de la Judicatura en las necesidades de la comunidad para 2008</w:t>
      </w:r>
      <w:r w:rsidRPr="009427D5">
        <w:rPr>
          <w:rStyle w:val="Refdenotaalpie"/>
          <w:rFonts w:ascii="Arial" w:hAnsi="Arial" w:cs="Arial"/>
        </w:rPr>
        <w:footnoteReference w:id="54"/>
      </w:r>
      <w:r w:rsidRPr="009427D5">
        <w:rPr>
          <w:rFonts w:ascii="Arial" w:hAnsi="Arial" w:cs="Arial"/>
          <w:sz w:val="24"/>
          <w:szCs w:val="24"/>
        </w:rPr>
        <w:t>.</w:t>
      </w:r>
    </w:p>
    <w:p w:rsidR="00FA5345" w:rsidRPr="009427D5" w:rsidRDefault="00FA5345" w:rsidP="00FA5345">
      <w:pPr>
        <w:spacing w:after="0" w:line="240" w:lineRule="auto"/>
        <w:jc w:val="both"/>
        <w:rPr>
          <w:rFonts w:ascii="Arial" w:hAnsi="Arial" w:cs="Arial"/>
          <w:sz w:val="24"/>
          <w:szCs w:val="24"/>
        </w:rPr>
      </w:pPr>
    </w:p>
    <w:p w:rsidR="00FA5345" w:rsidRPr="009427D5" w:rsidRDefault="00FA5345" w:rsidP="00FA5345">
      <w:pPr>
        <w:spacing w:after="0" w:line="240" w:lineRule="auto"/>
        <w:jc w:val="both"/>
        <w:rPr>
          <w:rFonts w:ascii="Arial" w:hAnsi="Arial" w:cs="Arial"/>
          <w:sz w:val="24"/>
          <w:szCs w:val="24"/>
        </w:rPr>
      </w:pPr>
      <w:r w:rsidRPr="009427D5">
        <w:rPr>
          <w:rFonts w:ascii="Arial" w:hAnsi="Arial" w:cs="Arial"/>
          <w:sz w:val="24"/>
          <w:szCs w:val="24"/>
        </w:rPr>
        <w:t xml:space="preserve">Finalmente, después de cinco años de ejecución del proyecto, la población vulnerable, hasta ahora empieza a beneficiarse de la cobertura del servicio de justicia, contraviniendo los principios de la función administrativa de eficacia y celeridad contemplados en el artículo 209 de la Carta Política y el principio de administración de justicia, consagrado en el artículo primero de la Ley 270 de 1996. </w:t>
      </w:r>
    </w:p>
    <w:p w:rsidR="005C7387" w:rsidRDefault="005C7387" w:rsidP="00DE084B">
      <w:pPr>
        <w:spacing w:after="0" w:line="240" w:lineRule="auto"/>
        <w:jc w:val="both"/>
        <w:rPr>
          <w:rFonts w:ascii="Arial" w:hAnsi="Arial" w:cs="Arial"/>
          <w:b/>
          <w:sz w:val="24"/>
          <w:szCs w:val="24"/>
        </w:rPr>
      </w:pPr>
    </w:p>
    <w:p w:rsidR="00B2165F" w:rsidRPr="009427D5" w:rsidRDefault="00B2165F" w:rsidP="00DE084B">
      <w:pPr>
        <w:spacing w:after="0" w:line="240" w:lineRule="auto"/>
        <w:jc w:val="both"/>
        <w:rPr>
          <w:rFonts w:ascii="Arial" w:hAnsi="Arial" w:cs="Arial"/>
          <w:b/>
          <w:sz w:val="24"/>
          <w:szCs w:val="24"/>
        </w:rPr>
      </w:pPr>
      <w:r w:rsidRPr="009427D5">
        <w:rPr>
          <w:rFonts w:ascii="Arial" w:hAnsi="Arial" w:cs="Arial"/>
          <w:b/>
          <w:sz w:val="24"/>
          <w:szCs w:val="24"/>
        </w:rPr>
        <w:t>2.</w:t>
      </w:r>
      <w:r w:rsidR="006A4207" w:rsidRPr="009427D5">
        <w:rPr>
          <w:rFonts w:ascii="Arial" w:hAnsi="Arial" w:cs="Arial"/>
          <w:b/>
          <w:sz w:val="24"/>
          <w:szCs w:val="24"/>
        </w:rPr>
        <w:t>2.3</w:t>
      </w:r>
      <w:r w:rsidRPr="009427D5">
        <w:rPr>
          <w:rFonts w:ascii="Arial" w:hAnsi="Arial" w:cs="Arial"/>
          <w:b/>
          <w:sz w:val="24"/>
          <w:szCs w:val="24"/>
        </w:rPr>
        <w:t xml:space="preserve"> Pronunciamiento sobre Derechos y Fines fundamentales del Estado relacionados con la Política Pública evaluada</w:t>
      </w:r>
    </w:p>
    <w:p w:rsidR="009616AD" w:rsidRPr="009427D5" w:rsidRDefault="009616AD" w:rsidP="00DE084B">
      <w:pPr>
        <w:spacing w:after="0" w:line="240" w:lineRule="auto"/>
        <w:jc w:val="both"/>
        <w:rPr>
          <w:rFonts w:ascii="Arial" w:hAnsi="Arial" w:cs="Arial"/>
          <w:b/>
          <w:sz w:val="24"/>
          <w:szCs w:val="24"/>
        </w:rPr>
      </w:pPr>
    </w:p>
    <w:p w:rsidR="009616AD" w:rsidRPr="009427D5" w:rsidRDefault="009616AD" w:rsidP="009616AD">
      <w:pPr>
        <w:pStyle w:val="Textopredeterminado"/>
        <w:jc w:val="both"/>
        <w:rPr>
          <w:rFonts w:ascii="Arial" w:hAnsi="Arial" w:cs="Arial"/>
          <w:szCs w:val="24"/>
          <w:lang w:val="es-CO"/>
        </w:rPr>
      </w:pPr>
      <w:r w:rsidRPr="009427D5">
        <w:rPr>
          <w:rFonts w:ascii="Arial" w:hAnsi="Arial" w:cs="Arial"/>
          <w:szCs w:val="24"/>
          <w:lang w:val="es-CO"/>
        </w:rPr>
        <w:t>El Plan Sectorial de Desarrollo de la Rama Judicial 2011-2014, entre sus objetivos transversales, plantea abordar el cumplimiento de los objetivos misionales, con una perspectiva del respeto de los derechos humanos. Así, los temas sobre los que de manera principal se ha trabajado son: Acciones Constitucionales, en especial, la Acción de Tutela, los procesos que atentan contra los derechos y libertades de los niños y adolescentes, el fortalecimiento de las políticas de género, las salas de Justicia y Paz, los Jueces de Paz y la Ley de Restitución de Tierras.</w:t>
      </w:r>
    </w:p>
    <w:p w:rsidR="009616AD" w:rsidRPr="009427D5" w:rsidRDefault="009616AD" w:rsidP="009616AD">
      <w:pPr>
        <w:pStyle w:val="Textopredeterminado"/>
        <w:jc w:val="both"/>
        <w:rPr>
          <w:rFonts w:ascii="Arial" w:hAnsi="Arial" w:cs="Arial"/>
          <w:szCs w:val="24"/>
          <w:lang w:val="es-CO"/>
        </w:rPr>
      </w:pPr>
    </w:p>
    <w:p w:rsidR="009616AD" w:rsidRPr="009427D5" w:rsidRDefault="00A55CA3" w:rsidP="009616AD">
      <w:pPr>
        <w:spacing w:after="0" w:line="240" w:lineRule="auto"/>
        <w:jc w:val="both"/>
        <w:rPr>
          <w:rFonts w:ascii="Arial" w:hAnsi="Arial" w:cs="Arial"/>
          <w:i/>
          <w:sz w:val="24"/>
          <w:szCs w:val="24"/>
        </w:rPr>
      </w:pPr>
      <w:r w:rsidRPr="009427D5">
        <w:rPr>
          <w:rFonts w:ascii="Arial" w:hAnsi="Arial" w:cs="Arial"/>
          <w:i/>
          <w:sz w:val="24"/>
          <w:szCs w:val="24"/>
        </w:rPr>
        <w:t xml:space="preserve">2.2.3.1 </w:t>
      </w:r>
      <w:r w:rsidR="009616AD" w:rsidRPr="009427D5">
        <w:rPr>
          <w:rFonts w:ascii="Arial" w:hAnsi="Arial" w:cs="Arial"/>
          <w:i/>
          <w:sz w:val="24"/>
          <w:szCs w:val="24"/>
        </w:rPr>
        <w:t>Acción de Tutela</w:t>
      </w:r>
    </w:p>
    <w:p w:rsidR="009616AD" w:rsidRPr="009427D5" w:rsidRDefault="009616AD" w:rsidP="009616AD">
      <w:pPr>
        <w:spacing w:after="0" w:line="240" w:lineRule="auto"/>
        <w:jc w:val="both"/>
        <w:rPr>
          <w:rFonts w:ascii="Arial" w:hAnsi="Arial" w:cs="Arial"/>
          <w:sz w:val="24"/>
          <w:szCs w:val="24"/>
        </w:rPr>
      </w:pPr>
    </w:p>
    <w:p w:rsidR="009616AD" w:rsidRDefault="009616AD" w:rsidP="009616AD">
      <w:pPr>
        <w:pStyle w:val="Textopredeterminado"/>
        <w:jc w:val="both"/>
        <w:rPr>
          <w:rFonts w:ascii="Arial" w:hAnsi="Arial" w:cs="Arial"/>
          <w:szCs w:val="24"/>
          <w:lang w:val="es-CO"/>
        </w:rPr>
      </w:pPr>
      <w:r w:rsidRPr="009427D5">
        <w:rPr>
          <w:rFonts w:ascii="Arial" w:hAnsi="Arial" w:cs="Arial"/>
          <w:szCs w:val="24"/>
          <w:lang w:val="es-CO"/>
        </w:rPr>
        <w:t>El principal medio utilizado por la ciudadanía para garantizar e</w:t>
      </w:r>
      <w:r w:rsidR="003950EC" w:rsidRPr="009427D5">
        <w:rPr>
          <w:rFonts w:ascii="Arial" w:hAnsi="Arial" w:cs="Arial"/>
          <w:szCs w:val="24"/>
          <w:lang w:val="es-CO"/>
        </w:rPr>
        <w:t>l</w:t>
      </w:r>
      <w:r w:rsidRPr="009427D5">
        <w:rPr>
          <w:rFonts w:ascii="Arial" w:hAnsi="Arial" w:cs="Arial"/>
          <w:szCs w:val="24"/>
          <w:lang w:val="es-CO"/>
        </w:rPr>
        <w:t xml:space="preserve"> respeto a los derechos humanos es la Acción de Tutela</w:t>
      </w:r>
      <w:r w:rsidRPr="009427D5">
        <w:rPr>
          <w:rStyle w:val="Refdenotaalpie"/>
          <w:rFonts w:ascii="Arial" w:hAnsi="Arial" w:cs="Arial"/>
          <w:szCs w:val="24"/>
          <w:lang w:val="es-CO"/>
        </w:rPr>
        <w:footnoteReference w:id="55"/>
      </w:r>
      <w:r w:rsidRPr="009427D5">
        <w:rPr>
          <w:rFonts w:ascii="Arial" w:hAnsi="Arial" w:cs="Arial"/>
          <w:szCs w:val="24"/>
          <w:lang w:val="es-CO"/>
        </w:rPr>
        <w:t>. Durante el período 2011-2013</w:t>
      </w:r>
      <w:r w:rsidR="00DB5594" w:rsidRPr="009427D5">
        <w:rPr>
          <w:rFonts w:ascii="Arial" w:hAnsi="Arial" w:cs="Arial"/>
          <w:szCs w:val="24"/>
          <w:lang w:val="es-CO"/>
        </w:rPr>
        <w:t xml:space="preserve"> ingresaron </w:t>
      </w:r>
      <w:r w:rsidRPr="009427D5">
        <w:rPr>
          <w:rFonts w:ascii="Arial" w:hAnsi="Arial" w:cs="Arial"/>
          <w:szCs w:val="24"/>
          <w:lang w:val="es-CO"/>
        </w:rPr>
        <w:t xml:space="preserve">a la Rama Judicial 1.693.376 tutelas, correspondientes a 24.4% del total de ingresos durante el mismo período, </w:t>
      </w:r>
      <w:r w:rsidR="00AF2C74" w:rsidRPr="009427D5">
        <w:rPr>
          <w:rFonts w:ascii="Arial" w:hAnsi="Arial" w:cs="Arial"/>
          <w:szCs w:val="24"/>
          <w:lang w:val="es-CO"/>
        </w:rPr>
        <w:t>(</w:t>
      </w:r>
      <w:r w:rsidRPr="009427D5">
        <w:rPr>
          <w:rFonts w:ascii="Arial" w:hAnsi="Arial" w:cs="Arial"/>
          <w:szCs w:val="24"/>
          <w:lang w:val="es-CO"/>
        </w:rPr>
        <w:t xml:space="preserve">Tabla </w:t>
      </w:r>
      <w:r w:rsidR="000B27F4" w:rsidRPr="009427D5">
        <w:rPr>
          <w:rFonts w:ascii="Arial" w:hAnsi="Arial" w:cs="Arial"/>
          <w:szCs w:val="24"/>
          <w:lang w:val="es-CO"/>
        </w:rPr>
        <w:t>15</w:t>
      </w:r>
      <w:r w:rsidR="00AF2C74" w:rsidRPr="009427D5">
        <w:rPr>
          <w:rFonts w:ascii="Arial" w:hAnsi="Arial" w:cs="Arial"/>
          <w:szCs w:val="24"/>
          <w:lang w:val="es-CO"/>
        </w:rPr>
        <w:t>)</w:t>
      </w:r>
      <w:r w:rsidRPr="009427D5">
        <w:rPr>
          <w:rFonts w:ascii="Arial" w:hAnsi="Arial" w:cs="Arial"/>
          <w:szCs w:val="24"/>
          <w:lang w:val="es-CO"/>
        </w:rPr>
        <w:t xml:space="preserve">. De igual manera, se </w:t>
      </w:r>
      <w:r w:rsidR="00DB5594" w:rsidRPr="009427D5">
        <w:rPr>
          <w:rFonts w:ascii="Arial" w:hAnsi="Arial" w:cs="Arial"/>
          <w:szCs w:val="24"/>
          <w:lang w:val="es-CO"/>
        </w:rPr>
        <w:t xml:space="preserve">evidencia </w:t>
      </w:r>
      <w:r w:rsidRPr="009427D5">
        <w:rPr>
          <w:rFonts w:ascii="Arial" w:hAnsi="Arial" w:cs="Arial"/>
          <w:szCs w:val="24"/>
          <w:lang w:val="es-CO"/>
        </w:rPr>
        <w:t>el incremento que ha tenido a lo largo del período analizado, 21%, al pasar de 518.045 en 2011 a 628.030 en 2013, lo que indica que cada vez más la ciudadanía acude a este mecanismo. Vale resaltar que de acuerdo con la Rama Judicial, el uso de la Tutela, trajo como consecuencia la congestión de los despachos judiciales.</w:t>
      </w:r>
    </w:p>
    <w:p w:rsidR="004C6F3F" w:rsidRPr="009427D5" w:rsidRDefault="004C6F3F" w:rsidP="009616AD">
      <w:pPr>
        <w:pStyle w:val="Textopredeterminado"/>
        <w:jc w:val="both"/>
        <w:rPr>
          <w:rFonts w:ascii="Arial" w:hAnsi="Arial" w:cs="Arial"/>
          <w:szCs w:val="24"/>
          <w:lang w:val="es-CO"/>
        </w:rPr>
      </w:pPr>
    </w:p>
    <w:p w:rsidR="007A498F" w:rsidRDefault="007A498F" w:rsidP="00B34F58">
      <w:pPr>
        <w:pStyle w:val="Textopredeterminado"/>
        <w:jc w:val="center"/>
        <w:rPr>
          <w:rFonts w:ascii="Arial" w:hAnsi="Arial" w:cs="Arial"/>
          <w:b/>
          <w:sz w:val="20"/>
          <w:lang w:val="es-CO"/>
        </w:rPr>
      </w:pPr>
    </w:p>
    <w:p w:rsidR="000276A7" w:rsidRDefault="000276A7" w:rsidP="00B34F58">
      <w:pPr>
        <w:pStyle w:val="Textopredeterminado"/>
        <w:jc w:val="center"/>
        <w:rPr>
          <w:rFonts w:ascii="Arial" w:hAnsi="Arial" w:cs="Arial"/>
          <w:b/>
          <w:sz w:val="16"/>
          <w:szCs w:val="16"/>
          <w:lang w:val="es-CO"/>
        </w:rPr>
      </w:pPr>
    </w:p>
    <w:p w:rsidR="000276A7" w:rsidRDefault="000276A7" w:rsidP="00B34F58">
      <w:pPr>
        <w:pStyle w:val="Textopredeterminado"/>
        <w:jc w:val="center"/>
        <w:rPr>
          <w:rFonts w:ascii="Arial" w:hAnsi="Arial" w:cs="Arial"/>
          <w:b/>
          <w:sz w:val="16"/>
          <w:szCs w:val="16"/>
          <w:lang w:val="es-CO"/>
        </w:rPr>
      </w:pPr>
    </w:p>
    <w:p w:rsidR="009616AD" w:rsidRPr="0036031F" w:rsidRDefault="00B34F58" w:rsidP="00B34F58">
      <w:pPr>
        <w:pStyle w:val="Textopredeterminado"/>
        <w:jc w:val="center"/>
        <w:rPr>
          <w:rFonts w:ascii="Arial" w:hAnsi="Arial" w:cs="Arial"/>
          <w:sz w:val="16"/>
          <w:szCs w:val="16"/>
          <w:lang w:val="es-CO"/>
        </w:rPr>
      </w:pPr>
      <w:r w:rsidRPr="0036031F">
        <w:rPr>
          <w:rFonts w:ascii="Arial" w:hAnsi="Arial" w:cs="Arial"/>
          <w:b/>
          <w:sz w:val="16"/>
          <w:szCs w:val="16"/>
          <w:lang w:val="es-CO"/>
        </w:rPr>
        <w:lastRenderedPageBreak/>
        <w:t>Tabla No</w:t>
      </w:r>
      <w:r w:rsidR="00AF2C74" w:rsidRPr="0036031F">
        <w:rPr>
          <w:rFonts w:ascii="Arial" w:hAnsi="Arial" w:cs="Arial"/>
          <w:b/>
          <w:sz w:val="16"/>
          <w:szCs w:val="16"/>
          <w:lang w:val="es-CO"/>
        </w:rPr>
        <w:t xml:space="preserve"> 1</w:t>
      </w:r>
      <w:r w:rsidR="000B27F4" w:rsidRPr="0036031F">
        <w:rPr>
          <w:rFonts w:ascii="Arial" w:hAnsi="Arial" w:cs="Arial"/>
          <w:b/>
          <w:sz w:val="16"/>
          <w:szCs w:val="16"/>
          <w:lang w:val="es-CO"/>
        </w:rPr>
        <w:t>5</w:t>
      </w:r>
      <w:r w:rsidRPr="0036031F">
        <w:rPr>
          <w:rFonts w:ascii="Arial" w:hAnsi="Arial" w:cs="Arial"/>
          <w:b/>
          <w:sz w:val="16"/>
          <w:szCs w:val="16"/>
          <w:lang w:val="es-CO"/>
        </w:rPr>
        <w:t>.   Registro</w:t>
      </w:r>
      <w:r w:rsidR="007D2794" w:rsidRPr="0036031F">
        <w:rPr>
          <w:rFonts w:ascii="Arial" w:hAnsi="Arial" w:cs="Arial"/>
          <w:b/>
          <w:sz w:val="16"/>
          <w:szCs w:val="16"/>
          <w:lang w:val="es-CO"/>
        </w:rPr>
        <w:t xml:space="preserve"> Ingresos</w:t>
      </w:r>
      <w:r w:rsidRPr="0036031F">
        <w:rPr>
          <w:rFonts w:ascii="Arial" w:hAnsi="Arial" w:cs="Arial"/>
          <w:b/>
          <w:sz w:val="16"/>
          <w:szCs w:val="16"/>
          <w:lang w:val="es-CO"/>
        </w:rPr>
        <w:t xml:space="preserve"> Acciones de Tutela 2011-2013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6"/>
        <w:gridCol w:w="1496"/>
        <w:gridCol w:w="1496"/>
        <w:gridCol w:w="1497"/>
      </w:tblGrid>
      <w:tr w:rsidR="009616AD" w:rsidRPr="0036031F" w:rsidTr="00A4561B">
        <w:trPr>
          <w:jc w:val="center"/>
        </w:trPr>
        <w:tc>
          <w:tcPr>
            <w:tcW w:w="1496" w:type="dxa"/>
            <w:shd w:val="clear" w:color="auto" w:fill="auto"/>
          </w:tcPr>
          <w:p w:rsidR="009616AD" w:rsidRPr="0036031F" w:rsidRDefault="009616AD" w:rsidP="009616AD">
            <w:pPr>
              <w:pStyle w:val="Textopredeterminado"/>
              <w:jc w:val="both"/>
              <w:rPr>
                <w:rFonts w:ascii="Arial" w:hAnsi="Arial" w:cs="Arial"/>
                <w:sz w:val="16"/>
                <w:szCs w:val="16"/>
                <w:lang w:val="es-CO"/>
              </w:rPr>
            </w:pPr>
          </w:p>
        </w:tc>
        <w:tc>
          <w:tcPr>
            <w:tcW w:w="1496" w:type="dxa"/>
            <w:shd w:val="clear" w:color="auto" w:fill="auto"/>
          </w:tcPr>
          <w:p w:rsidR="009616AD" w:rsidRPr="0036031F" w:rsidRDefault="009616AD" w:rsidP="009616AD">
            <w:pPr>
              <w:pStyle w:val="Textopredeterminado"/>
              <w:jc w:val="center"/>
              <w:rPr>
                <w:rFonts w:ascii="Arial" w:hAnsi="Arial" w:cs="Arial"/>
                <w:b/>
                <w:sz w:val="16"/>
                <w:szCs w:val="16"/>
                <w:lang w:val="es-CO"/>
              </w:rPr>
            </w:pPr>
            <w:r w:rsidRPr="0036031F">
              <w:rPr>
                <w:rFonts w:ascii="Arial" w:hAnsi="Arial" w:cs="Arial"/>
                <w:b/>
                <w:sz w:val="16"/>
                <w:szCs w:val="16"/>
                <w:lang w:val="es-CO"/>
              </w:rPr>
              <w:t>2011</w:t>
            </w:r>
          </w:p>
        </w:tc>
        <w:tc>
          <w:tcPr>
            <w:tcW w:w="1496" w:type="dxa"/>
            <w:shd w:val="clear" w:color="auto" w:fill="auto"/>
          </w:tcPr>
          <w:p w:rsidR="009616AD" w:rsidRPr="0036031F" w:rsidRDefault="009616AD" w:rsidP="009616AD">
            <w:pPr>
              <w:pStyle w:val="Textopredeterminado"/>
              <w:jc w:val="center"/>
              <w:rPr>
                <w:rFonts w:ascii="Arial" w:hAnsi="Arial" w:cs="Arial"/>
                <w:b/>
                <w:sz w:val="16"/>
                <w:szCs w:val="16"/>
                <w:lang w:val="es-CO"/>
              </w:rPr>
            </w:pPr>
            <w:r w:rsidRPr="0036031F">
              <w:rPr>
                <w:rFonts w:ascii="Arial" w:hAnsi="Arial" w:cs="Arial"/>
                <w:b/>
                <w:sz w:val="16"/>
                <w:szCs w:val="16"/>
                <w:lang w:val="es-CO"/>
              </w:rPr>
              <w:t>2012</w:t>
            </w:r>
          </w:p>
        </w:tc>
        <w:tc>
          <w:tcPr>
            <w:tcW w:w="1496" w:type="dxa"/>
            <w:shd w:val="clear" w:color="auto" w:fill="auto"/>
          </w:tcPr>
          <w:p w:rsidR="009616AD" w:rsidRPr="0036031F" w:rsidRDefault="009616AD" w:rsidP="009616AD">
            <w:pPr>
              <w:pStyle w:val="Textopredeterminado"/>
              <w:jc w:val="center"/>
              <w:rPr>
                <w:rFonts w:ascii="Arial" w:hAnsi="Arial" w:cs="Arial"/>
                <w:b/>
                <w:sz w:val="16"/>
                <w:szCs w:val="16"/>
                <w:lang w:val="es-CO"/>
              </w:rPr>
            </w:pPr>
            <w:r w:rsidRPr="0036031F">
              <w:rPr>
                <w:rFonts w:ascii="Arial" w:hAnsi="Arial" w:cs="Arial"/>
                <w:b/>
                <w:sz w:val="16"/>
                <w:szCs w:val="16"/>
                <w:lang w:val="es-CO"/>
              </w:rPr>
              <w:t>2013</w:t>
            </w:r>
          </w:p>
        </w:tc>
        <w:tc>
          <w:tcPr>
            <w:tcW w:w="1497" w:type="dxa"/>
            <w:shd w:val="clear" w:color="auto" w:fill="auto"/>
          </w:tcPr>
          <w:p w:rsidR="009616AD" w:rsidRPr="0036031F" w:rsidRDefault="009616AD" w:rsidP="009616AD">
            <w:pPr>
              <w:pStyle w:val="Textopredeterminado"/>
              <w:jc w:val="center"/>
              <w:rPr>
                <w:rFonts w:ascii="Arial" w:hAnsi="Arial" w:cs="Arial"/>
                <w:b/>
                <w:sz w:val="16"/>
                <w:szCs w:val="16"/>
                <w:lang w:val="es-CO"/>
              </w:rPr>
            </w:pPr>
            <w:r w:rsidRPr="0036031F">
              <w:rPr>
                <w:rFonts w:ascii="Arial" w:hAnsi="Arial" w:cs="Arial"/>
                <w:b/>
                <w:sz w:val="16"/>
                <w:szCs w:val="16"/>
                <w:lang w:val="es-CO"/>
              </w:rPr>
              <w:t>Total</w:t>
            </w:r>
          </w:p>
        </w:tc>
      </w:tr>
      <w:tr w:rsidR="009616AD" w:rsidRPr="0036031F" w:rsidTr="00A4561B">
        <w:trPr>
          <w:jc w:val="center"/>
        </w:trPr>
        <w:tc>
          <w:tcPr>
            <w:tcW w:w="1496" w:type="dxa"/>
            <w:shd w:val="clear" w:color="auto" w:fill="auto"/>
          </w:tcPr>
          <w:p w:rsidR="009616AD" w:rsidRPr="0036031F" w:rsidRDefault="009616AD" w:rsidP="009616AD">
            <w:pPr>
              <w:pStyle w:val="Textopredeterminado"/>
              <w:jc w:val="both"/>
              <w:rPr>
                <w:rFonts w:ascii="Arial" w:hAnsi="Arial" w:cs="Arial"/>
                <w:sz w:val="16"/>
                <w:szCs w:val="16"/>
                <w:lang w:val="es-CO"/>
              </w:rPr>
            </w:pPr>
            <w:r w:rsidRPr="0036031F">
              <w:rPr>
                <w:rFonts w:ascii="Arial" w:hAnsi="Arial" w:cs="Arial"/>
                <w:sz w:val="16"/>
                <w:szCs w:val="16"/>
                <w:lang w:val="es-CO"/>
              </w:rPr>
              <w:t>Ingresos Período</w:t>
            </w:r>
          </w:p>
        </w:tc>
        <w:tc>
          <w:tcPr>
            <w:tcW w:w="1496" w:type="dxa"/>
            <w:shd w:val="clear" w:color="auto" w:fill="auto"/>
          </w:tcPr>
          <w:p w:rsidR="009616AD" w:rsidRPr="0036031F" w:rsidRDefault="009616AD" w:rsidP="009616AD">
            <w:pPr>
              <w:pStyle w:val="Textopredeterminado"/>
              <w:jc w:val="right"/>
              <w:rPr>
                <w:rFonts w:ascii="Arial" w:hAnsi="Arial" w:cs="Arial"/>
                <w:sz w:val="16"/>
                <w:szCs w:val="16"/>
                <w:lang w:val="es-CO"/>
              </w:rPr>
            </w:pPr>
            <w:r w:rsidRPr="0036031F">
              <w:rPr>
                <w:rFonts w:ascii="Arial" w:hAnsi="Arial" w:cs="Arial"/>
                <w:sz w:val="16"/>
                <w:szCs w:val="16"/>
                <w:lang w:val="es-CO"/>
              </w:rPr>
              <w:t>2.277.467</w:t>
            </w:r>
          </w:p>
        </w:tc>
        <w:tc>
          <w:tcPr>
            <w:tcW w:w="1496" w:type="dxa"/>
            <w:shd w:val="clear" w:color="auto" w:fill="auto"/>
          </w:tcPr>
          <w:p w:rsidR="009616AD" w:rsidRPr="0036031F" w:rsidRDefault="009616AD" w:rsidP="009616AD">
            <w:pPr>
              <w:pStyle w:val="Textopredeterminado"/>
              <w:jc w:val="right"/>
              <w:rPr>
                <w:rFonts w:ascii="Arial" w:hAnsi="Arial" w:cs="Arial"/>
                <w:sz w:val="16"/>
                <w:szCs w:val="16"/>
                <w:lang w:val="es-CO"/>
              </w:rPr>
            </w:pPr>
            <w:r w:rsidRPr="0036031F">
              <w:rPr>
                <w:rFonts w:ascii="Arial" w:hAnsi="Arial" w:cs="Arial"/>
                <w:sz w:val="16"/>
                <w:szCs w:val="16"/>
                <w:lang w:val="es-CO"/>
              </w:rPr>
              <w:t>2.243.689</w:t>
            </w:r>
          </w:p>
        </w:tc>
        <w:tc>
          <w:tcPr>
            <w:tcW w:w="1496" w:type="dxa"/>
            <w:shd w:val="clear" w:color="auto" w:fill="auto"/>
          </w:tcPr>
          <w:p w:rsidR="009616AD" w:rsidRPr="0036031F" w:rsidRDefault="009616AD" w:rsidP="009616AD">
            <w:pPr>
              <w:pStyle w:val="Textopredeterminado"/>
              <w:jc w:val="right"/>
              <w:rPr>
                <w:rFonts w:ascii="Arial" w:hAnsi="Arial" w:cs="Arial"/>
                <w:sz w:val="16"/>
                <w:szCs w:val="16"/>
                <w:lang w:val="es-CO"/>
              </w:rPr>
            </w:pPr>
            <w:r w:rsidRPr="0036031F">
              <w:rPr>
                <w:rFonts w:ascii="Arial" w:hAnsi="Arial" w:cs="Arial"/>
                <w:sz w:val="16"/>
                <w:szCs w:val="16"/>
                <w:lang w:val="es-CO"/>
              </w:rPr>
              <w:t>2.418.926</w:t>
            </w:r>
          </w:p>
        </w:tc>
        <w:tc>
          <w:tcPr>
            <w:tcW w:w="1497" w:type="dxa"/>
            <w:shd w:val="clear" w:color="auto" w:fill="auto"/>
          </w:tcPr>
          <w:p w:rsidR="009616AD" w:rsidRPr="0036031F" w:rsidRDefault="009616AD" w:rsidP="009616AD">
            <w:pPr>
              <w:pStyle w:val="Textopredeterminado"/>
              <w:jc w:val="right"/>
              <w:rPr>
                <w:rFonts w:ascii="Arial" w:hAnsi="Arial" w:cs="Arial"/>
                <w:sz w:val="16"/>
                <w:szCs w:val="16"/>
                <w:lang w:val="es-CO"/>
              </w:rPr>
            </w:pPr>
            <w:r w:rsidRPr="0036031F">
              <w:rPr>
                <w:rFonts w:ascii="Arial" w:hAnsi="Arial" w:cs="Arial"/>
                <w:sz w:val="16"/>
                <w:szCs w:val="16"/>
                <w:lang w:val="es-CO"/>
              </w:rPr>
              <w:t>6.940.082</w:t>
            </w:r>
          </w:p>
        </w:tc>
      </w:tr>
      <w:tr w:rsidR="009616AD" w:rsidRPr="0036031F" w:rsidTr="00A4561B">
        <w:trPr>
          <w:jc w:val="center"/>
        </w:trPr>
        <w:tc>
          <w:tcPr>
            <w:tcW w:w="1496" w:type="dxa"/>
            <w:shd w:val="clear" w:color="auto" w:fill="auto"/>
          </w:tcPr>
          <w:p w:rsidR="009616AD" w:rsidRPr="0036031F" w:rsidRDefault="009616AD" w:rsidP="009616AD">
            <w:pPr>
              <w:pStyle w:val="Textopredeterminado"/>
              <w:jc w:val="both"/>
              <w:rPr>
                <w:rFonts w:ascii="Arial" w:hAnsi="Arial" w:cs="Arial"/>
                <w:sz w:val="16"/>
                <w:szCs w:val="16"/>
                <w:lang w:val="es-CO"/>
              </w:rPr>
            </w:pPr>
            <w:r w:rsidRPr="0036031F">
              <w:rPr>
                <w:rFonts w:ascii="Arial" w:hAnsi="Arial" w:cs="Arial"/>
                <w:sz w:val="16"/>
                <w:szCs w:val="16"/>
                <w:lang w:val="es-CO"/>
              </w:rPr>
              <w:t>Tutelas</w:t>
            </w:r>
          </w:p>
        </w:tc>
        <w:tc>
          <w:tcPr>
            <w:tcW w:w="1496" w:type="dxa"/>
            <w:shd w:val="clear" w:color="auto" w:fill="auto"/>
          </w:tcPr>
          <w:p w:rsidR="009616AD" w:rsidRPr="0036031F" w:rsidRDefault="009616AD" w:rsidP="009616AD">
            <w:pPr>
              <w:pStyle w:val="Textopredeterminado"/>
              <w:jc w:val="right"/>
              <w:rPr>
                <w:rFonts w:ascii="Arial" w:hAnsi="Arial" w:cs="Arial"/>
                <w:sz w:val="16"/>
                <w:szCs w:val="16"/>
                <w:lang w:val="es-CO"/>
              </w:rPr>
            </w:pPr>
            <w:r w:rsidRPr="0036031F">
              <w:rPr>
                <w:rFonts w:ascii="Arial" w:hAnsi="Arial" w:cs="Arial"/>
                <w:sz w:val="16"/>
                <w:szCs w:val="16"/>
                <w:lang w:val="es-CO"/>
              </w:rPr>
              <w:t>518.045</w:t>
            </w:r>
          </w:p>
        </w:tc>
        <w:tc>
          <w:tcPr>
            <w:tcW w:w="1496" w:type="dxa"/>
            <w:shd w:val="clear" w:color="auto" w:fill="auto"/>
          </w:tcPr>
          <w:p w:rsidR="009616AD" w:rsidRPr="0036031F" w:rsidRDefault="009616AD" w:rsidP="009616AD">
            <w:pPr>
              <w:pStyle w:val="Textopredeterminado"/>
              <w:jc w:val="right"/>
              <w:rPr>
                <w:rFonts w:ascii="Arial" w:hAnsi="Arial" w:cs="Arial"/>
                <w:sz w:val="16"/>
                <w:szCs w:val="16"/>
                <w:lang w:val="es-CO"/>
              </w:rPr>
            </w:pPr>
            <w:r w:rsidRPr="0036031F">
              <w:rPr>
                <w:rFonts w:ascii="Arial" w:hAnsi="Arial" w:cs="Arial"/>
                <w:sz w:val="16"/>
                <w:szCs w:val="16"/>
                <w:lang w:val="es-CO"/>
              </w:rPr>
              <w:t>547.301</w:t>
            </w:r>
          </w:p>
        </w:tc>
        <w:tc>
          <w:tcPr>
            <w:tcW w:w="1496" w:type="dxa"/>
            <w:shd w:val="clear" w:color="auto" w:fill="auto"/>
          </w:tcPr>
          <w:p w:rsidR="009616AD" w:rsidRPr="0036031F" w:rsidRDefault="009616AD" w:rsidP="009616AD">
            <w:pPr>
              <w:pStyle w:val="Textopredeterminado"/>
              <w:jc w:val="right"/>
              <w:rPr>
                <w:rFonts w:ascii="Arial" w:hAnsi="Arial" w:cs="Arial"/>
                <w:sz w:val="16"/>
                <w:szCs w:val="16"/>
                <w:lang w:val="es-CO"/>
              </w:rPr>
            </w:pPr>
            <w:r w:rsidRPr="0036031F">
              <w:rPr>
                <w:rFonts w:ascii="Arial" w:hAnsi="Arial" w:cs="Arial"/>
                <w:sz w:val="16"/>
                <w:szCs w:val="16"/>
                <w:lang w:val="es-CO"/>
              </w:rPr>
              <w:t>628.030</w:t>
            </w:r>
          </w:p>
        </w:tc>
        <w:tc>
          <w:tcPr>
            <w:tcW w:w="1497" w:type="dxa"/>
            <w:shd w:val="clear" w:color="auto" w:fill="auto"/>
          </w:tcPr>
          <w:p w:rsidR="009616AD" w:rsidRPr="0036031F" w:rsidRDefault="009616AD" w:rsidP="009616AD">
            <w:pPr>
              <w:pStyle w:val="Textopredeterminado"/>
              <w:jc w:val="right"/>
              <w:rPr>
                <w:rFonts w:ascii="Arial" w:hAnsi="Arial" w:cs="Arial"/>
                <w:sz w:val="16"/>
                <w:szCs w:val="16"/>
                <w:lang w:val="es-CO"/>
              </w:rPr>
            </w:pPr>
            <w:r w:rsidRPr="0036031F">
              <w:rPr>
                <w:rFonts w:ascii="Arial" w:hAnsi="Arial" w:cs="Arial"/>
                <w:sz w:val="16"/>
                <w:szCs w:val="16"/>
                <w:lang w:val="es-CO"/>
              </w:rPr>
              <w:t>1.693.376</w:t>
            </w:r>
          </w:p>
        </w:tc>
      </w:tr>
      <w:tr w:rsidR="009616AD" w:rsidRPr="0036031F" w:rsidTr="00A4561B">
        <w:trPr>
          <w:jc w:val="center"/>
        </w:trPr>
        <w:tc>
          <w:tcPr>
            <w:tcW w:w="1496" w:type="dxa"/>
            <w:shd w:val="clear" w:color="auto" w:fill="auto"/>
          </w:tcPr>
          <w:p w:rsidR="009616AD" w:rsidRPr="0036031F" w:rsidRDefault="009616AD" w:rsidP="009616AD">
            <w:pPr>
              <w:pStyle w:val="Textopredeterminado"/>
              <w:jc w:val="both"/>
              <w:rPr>
                <w:rFonts w:ascii="Arial" w:hAnsi="Arial" w:cs="Arial"/>
                <w:b/>
                <w:sz w:val="16"/>
                <w:szCs w:val="16"/>
                <w:lang w:val="es-CO"/>
              </w:rPr>
            </w:pPr>
            <w:r w:rsidRPr="0036031F">
              <w:rPr>
                <w:rFonts w:ascii="Arial" w:hAnsi="Arial" w:cs="Arial"/>
                <w:b/>
                <w:sz w:val="16"/>
                <w:szCs w:val="16"/>
                <w:lang w:val="es-CO"/>
              </w:rPr>
              <w:t>%</w:t>
            </w:r>
          </w:p>
        </w:tc>
        <w:tc>
          <w:tcPr>
            <w:tcW w:w="1496" w:type="dxa"/>
            <w:shd w:val="clear" w:color="auto" w:fill="auto"/>
          </w:tcPr>
          <w:p w:rsidR="009616AD" w:rsidRPr="0036031F" w:rsidRDefault="009616AD" w:rsidP="009616AD">
            <w:pPr>
              <w:pStyle w:val="Textopredeterminado"/>
              <w:jc w:val="right"/>
              <w:rPr>
                <w:rFonts w:ascii="Arial" w:hAnsi="Arial" w:cs="Arial"/>
                <w:b/>
                <w:sz w:val="16"/>
                <w:szCs w:val="16"/>
                <w:lang w:val="es-CO"/>
              </w:rPr>
            </w:pPr>
            <w:r w:rsidRPr="0036031F">
              <w:rPr>
                <w:rFonts w:ascii="Arial" w:hAnsi="Arial" w:cs="Arial"/>
                <w:b/>
                <w:sz w:val="16"/>
                <w:szCs w:val="16"/>
                <w:lang w:val="es-CO"/>
              </w:rPr>
              <w:t>22.7%</w:t>
            </w:r>
          </w:p>
        </w:tc>
        <w:tc>
          <w:tcPr>
            <w:tcW w:w="1496" w:type="dxa"/>
            <w:shd w:val="clear" w:color="auto" w:fill="auto"/>
          </w:tcPr>
          <w:p w:rsidR="009616AD" w:rsidRPr="0036031F" w:rsidRDefault="009616AD" w:rsidP="009616AD">
            <w:pPr>
              <w:pStyle w:val="Textopredeterminado"/>
              <w:jc w:val="right"/>
              <w:rPr>
                <w:rFonts w:ascii="Arial" w:hAnsi="Arial" w:cs="Arial"/>
                <w:b/>
                <w:sz w:val="16"/>
                <w:szCs w:val="16"/>
                <w:lang w:val="es-CO"/>
              </w:rPr>
            </w:pPr>
            <w:r w:rsidRPr="0036031F">
              <w:rPr>
                <w:rFonts w:ascii="Arial" w:hAnsi="Arial" w:cs="Arial"/>
                <w:b/>
                <w:sz w:val="16"/>
                <w:szCs w:val="16"/>
                <w:lang w:val="es-CO"/>
              </w:rPr>
              <w:t>24.4%</w:t>
            </w:r>
          </w:p>
        </w:tc>
        <w:tc>
          <w:tcPr>
            <w:tcW w:w="1496" w:type="dxa"/>
            <w:shd w:val="clear" w:color="auto" w:fill="auto"/>
          </w:tcPr>
          <w:p w:rsidR="009616AD" w:rsidRPr="0036031F" w:rsidRDefault="009616AD" w:rsidP="009616AD">
            <w:pPr>
              <w:pStyle w:val="Textopredeterminado"/>
              <w:jc w:val="right"/>
              <w:rPr>
                <w:rFonts w:ascii="Arial" w:hAnsi="Arial" w:cs="Arial"/>
                <w:b/>
                <w:sz w:val="16"/>
                <w:szCs w:val="16"/>
                <w:lang w:val="es-CO"/>
              </w:rPr>
            </w:pPr>
            <w:r w:rsidRPr="0036031F">
              <w:rPr>
                <w:rFonts w:ascii="Arial" w:hAnsi="Arial" w:cs="Arial"/>
                <w:b/>
                <w:sz w:val="16"/>
                <w:szCs w:val="16"/>
                <w:lang w:val="es-CO"/>
              </w:rPr>
              <w:t>25.96%</w:t>
            </w:r>
          </w:p>
        </w:tc>
        <w:tc>
          <w:tcPr>
            <w:tcW w:w="1497" w:type="dxa"/>
            <w:shd w:val="clear" w:color="auto" w:fill="auto"/>
          </w:tcPr>
          <w:p w:rsidR="009616AD" w:rsidRPr="0036031F" w:rsidRDefault="009616AD" w:rsidP="009616AD">
            <w:pPr>
              <w:pStyle w:val="Textopredeterminado"/>
              <w:jc w:val="right"/>
              <w:rPr>
                <w:rFonts w:ascii="Arial" w:hAnsi="Arial" w:cs="Arial"/>
                <w:b/>
                <w:sz w:val="16"/>
                <w:szCs w:val="16"/>
                <w:lang w:val="es-CO"/>
              </w:rPr>
            </w:pPr>
            <w:r w:rsidRPr="0036031F">
              <w:rPr>
                <w:rFonts w:ascii="Arial" w:hAnsi="Arial" w:cs="Arial"/>
                <w:b/>
                <w:sz w:val="16"/>
                <w:szCs w:val="16"/>
                <w:lang w:val="es-CO"/>
              </w:rPr>
              <w:t>24.4%</w:t>
            </w:r>
          </w:p>
        </w:tc>
      </w:tr>
    </w:tbl>
    <w:p w:rsidR="00EA5292" w:rsidRPr="0036031F" w:rsidRDefault="00EA5292" w:rsidP="00EA5292">
      <w:pPr>
        <w:spacing w:line="240" w:lineRule="auto"/>
        <w:jc w:val="center"/>
        <w:rPr>
          <w:rFonts w:ascii="Arial" w:hAnsi="Arial" w:cs="Arial"/>
          <w:sz w:val="16"/>
          <w:szCs w:val="16"/>
        </w:rPr>
      </w:pPr>
      <w:r w:rsidRPr="0036031F">
        <w:rPr>
          <w:rFonts w:ascii="Arial" w:hAnsi="Arial" w:cs="Arial"/>
          <w:b/>
          <w:sz w:val="16"/>
          <w:szCs w:val="16"/>
        </w:rPr>
        <w:t>Fuente: Consejo Superior de la Judicatura. Cálculos CGR DES-DJS  Fecha de Corte: Abril de 2014</w:t>
      </w:r>
    </w:p>
    <w:p w:rsidR="009616AD" w:rsidRPr="009427D5" w:rsidRDefault="009616AD" w:rsidP="009616AD">
      <w:pPr>
        <w:spacing w:after="0" w:line="240" w:lineRule="auto"/>
        <w:jc w:val="center"/>
        <w:rPr>
          <w:rFonts w:ascii="Arial" w:hAnsi="Arial" w:cs="Arial"/>
          <w:sz w:val="24"/>
          <w:szCs w:val="24"/>
        </w:rPr>
      </w:pPr>
    </w:p>
    <w:p w:rsidR="00C65F05" w:rsidRPr="009427D5" w:rsidRDefault="009616AD" w:rsidP="009616AD">
      <w:pPr>
        <w:pStyle w:val="Textopredeterminado"/>
        <w:jc w:val="both"/>
        <w:rPr>
          <w:rFonts w:ascii="Arial" w:hAnsi="Arial" w:cs="Arial"/>
          <w:szCs w:val="24"/>
          <w:lang w:val="es-CO"/>
        </w:rPr>
      </w:pPr>
      <w:r w:rsidRPr="009427D5">
        <w:rPr>
          <w:rFonts w:ascii="Arial" w:hAnsi="Arial" w:cs="Arial"/>
          <w:szCs w:val="24"/>
          <w:lang w:val="es-CO"/>
        </w:rPr>
        <w:t xml:space="preserve">Ahora bien, en la medida en que existan violaciones recurrentes a los derechos </w:t>
      </w:r>
    </w:p>
    <w:p w:rsidR="009616AD" w:rsidRPr="009427D5" w:rsidRDefault="009616AD" w:rsidP="009616AD">
      <w:pPr>
        <w:pStyle w:val="Textopredeterminado"/>
        <w:jc w:val="both"/>
        <w:rPr>
          <w:rFonts w:ascii="Arial" w:hAnsi="Arial" w:cs="Arial"/>
          <w:szCs w:val="24"/>
          <w:lang w:val="es-CO"/>
        </w:rPr>
      </w:pPr>
      <w:proofErr w:type="gramStart"/>
      <w:r w:rsidRPr="009427D5">
        <w:rPr>
          <w:rFonts w:ascii="Arial" w:hAnsi="Arial" w:cs="Arial"/>
          <w:szCs w:val="24"/>
          <w:lang w:val="es-CO"/>
        </w:rPr>
        <w:t>fundamentales</w:t>
      </w:r>
      <w:proofErr w:type="gramEnd"/>
      <w:r w:rsidRPr="009427D5">
        <w:rPr>
          <w:rFonts w:ascii="Arial" w:hAnsi="Arial" w:cs="Arial"/>
          <w:szCs w:val="24"/>
          <w:lang w:val="es-CO"/>
        </w:rPr>
        <w:t xml:space="preserve"> por parte de las instituciones y órganos del Estado en general, seguirá creciendo la demanda de la Acción de Tutela, como se observa en los últimos años.</w:t>
      </w:r>
    </w:p>
    <w:p w:rsidR="009616AD" w:rsidRPr="009427D5" w:rsidRDefault="009616AD" w:rsidP="009616AD">
      <w:pPr>
        <w:pStyle w:val="Textopredeterminado"/>
        <w:jc w:val="both"/>
        <w:rPr>
          <w:rFonts w:ascii="Arial" w:hAnsi="Arial" w:cs="Arial"/>
          <w:szCs w:val="24"/>
          <w:lang w:val="es-CO"/>
        </w:rPr>
      </w:pPr>
    </w:p>
    <w:p w:rsidR="009616AD" w:rsidRDefault="009616AD" w:rsidP="009616AD">
      <w:pPr>
        <w:spacing w:after="0" w:line="240" w:lineRule="auto"/>
        <w:jc w:val="both"/>
        <w:rPr>
          <w:rFonts w:ascii="Arial" w:hAnsi="Arial" w:cs="Arial"/>
          <w:sz w:val="24"/>
          <w:szCs w:val="24"/>
        </w:rPr>
      </w:pPr>
      <w:r w:rsidRPr="009427D5">
        <w:rPr>
          <w:rFonts w:ascii="Arial" w:hAnsi="Arial" w:cs="Arial"/>
          <w:sz w:val="24"/>
          <w:szCs w:val="24"/>
        </w:rPr>
        <w:t>Para 2012 la Corte Constitucional recibió 424.400 expedientes de Acciones de Tutela para su eventual revisión, las cuales en su gran mayoría correspondieron a la protección del derecho fundamental de petición (43%), le siguen la protección del derecho a la salud (23%), el derecho al debido proceso (9%), al mínimo vital (6%), la protección de los derechos de la población desplazada (3%), a la seguridad social (3%), a la vida en condiciones dignas (3%), el derecho a la vida y al trabajo, (2% cada uno).</w:t>
      </w:r>
    </w:p>
    <w:p w:rsidR="0036031F" w:rsidRDefault="0036031F" w:rsidP="009616AD">
      <w:pPr>
        <w:spacing w:after="0" w:line="240" w:lineRule="auto"/>
        <w:jc w:val="both"/>
        <w:rPr>
          <w:rFonts w:ascii="Arial" w:hAnsi="Arial" w:cs="Arial"/>
          <w:sz w:val="24"/>
          <w:szCs w:val="24"/>
        </w:rPr>
      </w:pPr>
    </w:p>
    <w:p w:rsidR="009616AD" w:rsidRPr="009427D5" w:rsidRDefault="007D2794" w:rsidP="009616AD">
      <w:pPr>
        <w:spacing w:after="0" w:line="240" w:lineRule="auto"/>
        <w:jc w:val="both"/>
        <w:rPr>
          <w:rFonts w:ascii="Arial" w:hAnsi="Arial" w:cs="Arial"/>
          <w:i/>
          <w:sz w:val="24"/>
          <w:szCs w:val="24"/>
        </w:rPr>
      </w:pPr>
      <w:r w:rsidRPr="009427D5">
        <w:rPr>
          <w:rFonts w:ascii="Arial" w:hAnsi="Arial" w:cs="Arial"/>
          <w:i/>
          <w:sz w:val="24"/>
          <w:szCs w:val="24"/>
        </w:rPr>
        <w:t xml:space="preserve">2.2.3.2 </w:t>
      </w:r>
      <w:r w:rsidR="009616AD" w:rsidRPr="009427D5">
        <w:rPr>
          <w:rFonts w:ascii="Arial" w:hAnsi="Arial" w:cs="Arial"/>
          <w:i/>
          <w:sz w:val="24"/>
          <w:szCs w:val="24"/>
        </w:rPr>
        <w:t>Otras Acciones Constitucionales</w:t>
      </w:r>
    </w:p>
    <w:p w:rsidR="009616AD" w:rsidRPr="009427D5" w:rsidRDefault="009616AD" w:rsidP="009616AD">
      <w:pPr>
        <w:spacing w:after="0" w:line="240" w:lineRule="auto"/>
        <w:jc w:val="both"/>
        <w:rPr>
          <w:rFonts w:ascii="Arial" w:hAnsi="Arial" w:cs="Arial"/>
          <w:i/>
          <w:color w:val="FF0000"/>
          <w:sz w:val="24"/>
          <w:szCs w:val="24"/>
        </w:rPr>
      </w:pPr>
    </w:p>
    <w:p w:rsidR="009616AD" w:rsidRPr="009427D5" w:rsidRDefault="009616AD" w:rsidP="009616AD">
      <w:pPr>
        <w:spacing w:after="0" w:line="240" w:lineRule="auto"/>
        <w:jc w:val="both"/>
        <w:rPr>
          <w:rFonts w:ascii="Arial" w:hAnsi="Arial" w:cs="Arial"/>
          <w:color w:val="000000" w:themeColor="text1"/>
          <w:sz w:val="24"/>
          <w:szCs w:val="24"/>
        </w:rPr>
      </w:pPr>
      <w:r w:rsidRPr="009427D5">
        <w:rPr>
          <w:rFonts w:ascii="Arial" w:hAnsi="Arial" w:cs="Arial"/>
          <w:color w:val="000000" w:themeColor="text1"/>
          <w:sz w:val="24"/>
          <w:szCs w:val="24"/>
        </w:rPr>
        <w:t>Respecto a las otras  Acciones Constitucionales, dentro de las cuales se encuentra la de Grupo</w:t>
      </w:r>
      <w:r w:rsidRPr="009427D5">
        <w:rPr>
          <w:rStyle w:val="Refdenotaalpie"/>
          <w:rFonts w:ascii="Arial" w:hAnsi="Arial" w:cs="Arial"/>
          <w:color w:val="000000" w:themeColor="text1"/>
          <w:sz w:val="24"/>
          <w:szCs w:val="24"/>
        </w:rPr>
        <w:footnoteReference w:id="56"/>
      </w:r>
      <w:r w:rsidRPr="009427D5">
        <w:rPr>
          <w:rFonts w:ascii="Arial" w:hAnsi="Arial" w:cs="Arial"/>
          <w:color w:val="000000" w:themeColor="text1"/>
          <w:sz w:val="24"/>
          <w:szCs w:val="24"/>
        </w:rPr>
        <w:t>, Populares</w:t>
      </w:r>
      <w:r w:rsidRPr="009427D5">
        <w:rPr>
          <w:rStyle w:val="Refdenotaalpie"/>
          <w:rFonts w:ascii="Arial" w:hAnsi="Arial" w:cs="Arial"/>
          <w:color w:val="000000" w:themeColor="text1"/>
          <w:sz w:val="24"/>
          <w:szCs w:val="24"/>
        </w:rPr>
        <w:footnoteReference w:id="57"/>
      </w:r>
      <w:r w:rsidRPr="009427D5">
        <w:rPr>
          <w:rFonts w:ascii="Arial" w:hAnsi="Arial" w:cs="Arial"/>
          <w:color w:val="000000" w:themeColor="text1"/>
          <w:sz w:val="24"/>
          <w:szCs w:val="24"/>
        </w:rPr>
        <w:t>, de Cumplimiento</w:t>
      </w:r>
      <w:r w:rsidRPr="009427D5">
        <w:rPr>
          <w:rStyle w:val="Refdenotaalpie"/>
          <w:rFonts w:ascii="Arial" w:hAnsi="Arial" w:cs="Arial"/>
          <w:color w:val="000000" w:themeColor="text1"/>
          <w:sz w:val="24"/>
          <w:szCs w:val="24"/>
        </w:rPr>
        <w:footnoteReference w:id="58"/>
      </w:r>
      <w:r w:rsidRPr="009427D5">
        <w:rPr>
          <w:rFonts w:ascii="Arial" w:hAnsi="Arial" w:cs="Arial"/>
          <w:color w:val="000000" w:themeColor="text1"/>
          <w:sz w:val="24"/>
          <w:szCs w:val="24"/>
        </w:rPr>
        <w:t xml:space="preserve"> y Hábeas Corpus</w:t>
      </w:r>
      <w:r w:rsidRPr="009427D5">
        <w:rPr>
          <w:rStyle w:val="Refdenotaalpie"/>
          <w:rFonts w:ascii="Arial" w:hAnsi="Arial" w:cs="Arial"/>
          <w:color w:val="000000" w:themeColor="text1"/>
          <w:sz w:val="24"/>
          <w:szCs w:val="24"/>
        </w:rPr>
        <w:footnoteReference w:id="59"/>
      </w:r>
      <w:r w:rsidRPr="009427D5">
        <w:rPr>
          <w:rFonts w:ascii="Arial" w:hAnsi="Arial" w:cs="Arial"/>
          <w:color w:val="000000" w:themeColor="text1"/>
          <w:sz w:val="24"/>
          <w:szCs w:val="24"/>
        </w:rPr>
        <w:t xml:space="preserve"> que protegen derechos colectivos, el cumplimiento de las leyes y la privación de la libertad, se encontró que para las vigencias 2012 y 2013, su participación ha sido mínima con respecto al total de la Rama Judicial, Tabla </w:t>
      </w:r>
      <w:r w:rsidR="00AF2C74" w:rsidRPr="009427D5">
        <w:rPr>
          <w:rFonts w:ascii="Arial" w:hAnsi="Arial" w:cs="Arial"/>
          <w:color w:val="000000" w:themeColor="text1"/>
          <w:sz w:val="24"/>
          <w:szCs w:val="24"/>
        </w:rPr>
        <w:t>1</w:t>
      </w:r>
      <w:r w:rsidR="00B91D32" w:rsidRPr="009427D5">
        <w:rPr>
          <w:rFonts w:ascii="Arial" w:hAnsi="Arial" w:cs="Arial"/>
          <w:color w:val="000000" w:themeColor="text1"/>
          <w:sz w:val="24"/>
          <w:szCs w:val="24"/>
        </w:rPr>
        <w:t>6</w:t>
      </w:r>
      <w:r w:rsidRPr="009427D5">
        <w:rPr>
          <w:rFonts w:ascii="Arial" w:hAnsi="Arial" w:cs="Arial"/>
          <w:color w:val="000000" w:themeColor="text1"/>
          <w:sz w:val="24"/>
          <w:szCs w:val="24"/>
        </w:rPr>
        <w:t>. Vale resaltar que para 2013, las Acciones de Grupo y Populares han disminuido su demanda de justicia con respecto a 2012 en 33% y 59% respectivamente.</w:t>
      </w:r>
    </w:p>
    <w:p w:rsidR="009616AD" w:rsidRPr="009427D5" w:rsidRDefault="009616AD" w:rsidP="009616AD">
      <w:pPr>
        <w:spacing w:after="0" w:line="240" w:lineRule="auto"/>
        <w:jc w:val="both"/>
        <w:rPr>
          <w:rFonts w:ascii="Arial" w:hAnsi="Arial" w:cs="Arial"/>
          <w:color w:val="000000" w:themeColor="text1"/>
          <w:sz w:val="24"/>
          <w:szCs w:val="24"/>
        </w:rPr>
      </w:pPr>
    </w:p>
    <w:p w:rsidR="009616AD" w:rsidRPr="009427D5" w:rsidRDefault="009616AD" w:rsidP="009616AD">
      <w:pPr>
        <w:spacing w:after="0" w:line="240" w:lineRule="auto"/>
        <w:jc w:val="both"/>
        <w:rPr>
          <w:rFonts w:ascii="Arial" w:hAnsi="Arial" w:cs="Arial"/>
          <w:color w:val="000000" w:themeColor="text1"/>
          <w:sz w:val="24"/>
          <w:szCs w:val="24"/>
        </w:rPr>
      </w:pPr>
      <w:r w:rsidRPr="009427D5">
        <w:rPr>
          <w:rFonts w:ascii="Arial" w:hAnsi="Arial" w:cs="Arial"/>
          <w:color w:val="000000" w:themeColor="text1"/>
          <w:sz w:val="24"/>
          <w:szCs w:val="24"/>
        </w:rPr>
        <w:t xml:space="preserve">Es importante mencionar que las cifras reportadas por la Entidad, con respecto al total de ingresos de procesos en la Rama Judicial, en relación con la información para  tutelas y otras acciones constitucionales, no coindicen en los diferentes informes, aún con una misma fecha de corte (UDAE-SIERJU), 6 de febrero de </w:t>
      </w:r>
      <w:r w:rsidRPr="009427D5">
        <w:rPr>
          <w:rFonts w:ascii="Arial" w:hAnsi="Arial" w:cs="Arial"/>
          <w:color w:val="000000" w:themeColor="text1"/>
          <w:sz w:val="24"/>
          <w:szCs w:val="24"/>
        </w:rPr>
        <w:lastRenderedPageBreak/>
        <w:t>2013, situación preocupante, pues se cuestiona la confiabilidad de las cifras reportadas.</w:t>
      </w:r>
    </w:p>
    <w:p w:rsidR="009616AD" w:rsidRDefault="009616AD" w:rsidP="009616AD">
      <w:pPr>
        <w:spacing w:after="0" w:line="240" w:lineRule="auto"/>
        <w:jc w:val="both"/>
        <w:rPr>
          <w:rFonts w:ascii="Arial" w:hAnsi="Arial" w:cs="Arial"/>
          <w:color w:val="000000" w:themeColor="text1"/>
          <w:sz w:val="24"/>
          <w:szCs w:val="24"/>
        </w:rPr>
      </w:pPr>
    </w:p>
    <w:p w:rsidR="009616AD" w:rsidRPr="0036031F" w:rsidRDefault="007D2794" w:rsidP="007D2794">
      <w:pPr>
        <w:pStyle w:val="Textopredeterminado"/>
        <w:jc w:val="center"/>
        <w:rPr>
          <w:rFonts w:ascii="Arial" w:hAnsi="Arial" w:cs="Arial"/>
          <w:color w:val="000000" w:themeColor="text1"/>
          <w:sz w:val="16"/>
          <w:szCs w:val="16"/>
          <w:lang w:val="es-CO"/>
        </w:rPr>
      </w:pPr>
      <w:r w:rsidRPr="0036031F">
        <w:rPr>
          <w:rFonts w:ascii="Arial" w:hAnsi="Arial" w:cs="Arial"/>
          <w:b/>
          <w:sz w:val="16"/>
          <w:szCs w:val="16"/>
          <w:lang w:val="es-CO"/>
        </w:rPr>
        <w:t>Tabla No.</w:t>
      </w:r>
      <w:r w:rsidR="00B91D32" w:rsidRPr="0036031F">
        <w:rPr>
          <w:rFonts w:ascii="Arial" w:hAnsi="Arial" w:cs="Arial"/>
          <w:b/>
          <w:sz w:val="16"/>
          <w:szCs w:val="16"/>
          <w:lang w:val="es-CO"/>
        </w:rPr>
        <w:t xml:space="preserve"> 16.</w:t>
      </w:r>
      <w:r w:rsidRPr="0036031F">
        <w:rPr>
          <w:rFonts w:ascii="Arial" w:hAnsi="Arial" w:cs="Arial"/>
          <w:b/>
          <w:sz w:val="16"/>
          <w:szCs w:val="16"/>
          <w:lang w:val="es-CO"/>
        </w:rPr>
        <w:t xml:space="preserve">  Registro Otras Acciones Constitucionales 2012-2013</w:t>
      </w:r>
    </w:p>
    <w:tbl>
      <w:tblPr>
        <w:tblW w:w="8367" w:type="dxa"/>
        <w:jc w:val="center"/>
        <w:tblCellMar>
          <w:left w:w="70" w:type="dxa"/>
          <w:right w:w="70" w:type="dxa"/>
        </w:tblCellMar>
        <w:tblLook w:val="04A0" w:firstRow="1" w:lastRow="0" w:firstColumn="1" w:lastColumn="0" w:noHBand="0" w:noVBand="1"/>
      </w:tblPr>
      <w:tblGrid>
        <w:gridCol w:w="2805"/>
        <w:gridCol w:w="941"/>
        <w:gridCol w:w="997"/>
        <w:gridCol w:w="941"/>
        <w:gridCol w:w="941"/>
        <w:gridCol w:w="891"/>
        <w:gridCol w:w="851"/>
      </w:tblGrid>
      <w:tr w:rsidR="009616AD" w:rsidRPr="0036031F" w:rsidTr="00EA5292">
        <w:trPr>
          <w:trHeight w:val="258"/>
          <w:jc w:val="center"/>
        </w:trPr>
        <w:tc>
          <w:tcPr>
            <w:tcW w:w="280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 </w:t>
            </w:r>
          </w:p>
        </w:tc>
        <w:tc>
          <w:tcPr>
            <w:tcW w:w="1938" w:type="dxa"/>
            <w:gridSpan w:val="2"/>
            <w:tcBorders>
              <w:top w:val="single" w:sz="8" w:space="0" w:color="auto"/>
              <w:left w:val="nil"/>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2012</w:t>
            </w:r>
          </w:p>
        </w:tc>
        <w:tc>
          <w:tcPr>
            <w:tcW w:w="1882" w:type="dxa"/>
            <w:gridSpan w:val="2"/>
            <w:tcBorders>
              <w:top w:val="single" w:sz="8" w:space="0" w:color="auto"/>
              <w:left w:val="nil"/>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2013</w:t>
            </w:r>
          </w:p>
        </w:tc>
        <w:tc>
          <w:tcPr>
            <w:tcW w:w="1742" w:type="dxa"/>
            <w:gridSpan w:val="2"/>
            <w:tcBorders>
              <w:top w:val="single" w:sz="8" w:space="0" w:color="auto"/>
              <w:left w:val="nil"/>
              <w:bottom w:val="single" w:sz="4" w:space="0" w:color="auto"/>
              <w:right w:val="single" w:sz="8" w:space="0" w:color="000000"/>
            </w:tcBorders>
            <w:shd w:val="clear" w:color="auto" w:fill="auto"/>
            <w:noWrap/>
            <w:vAlign w:val="bottom"/>
            <w:hideMark/>
          </w:tcPr>
          <w:p w:rsidR="009616AD" w:rsidRPr="0036031F" w:rsidRDefault="009616AD" w:rsidP="009616AD">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Variaciones</w:t>
            </w:r>
          </w:p>
        </w:tc>
      </w:tr>
      <w:tr w:rsidR="009616AD" w:rsidRPr="0036031F" w:rsidTr="00EA5292">
        <w:trPr>
          <w:trHeight w:val="258"/>
          <w:jc w:val="center"/>
        </w:trPr>
        <w:tc>
          <w:tcPr>
            <w:tcW w:w="2805" w:type="dxa"/>
            <w:tcBorders>
              <w:top w:val="nil"/>
              <w:left w:val="single" w:sz="8" w:space="0" w:color="auto"/>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Tipo de Acción</w:t>
            </w:r>
          </w:p>
        </w:tc>
        <w:tc>
          <w:tcPr>
            <w:tcW w:w="941" w:type="dxa"/>
            <w:tcBorders>
              <w:top w:val="nil"/>
              <w:left w:val="nil"/>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Ingresos</w:t>
            </w:r>
          </w:p>
        </w:tc>
        <w:tc>
          <w:tcPr>
            <w:tcW w:w="997" w:type="dxa"/>
            <w:tcBorders>
              <w:top w:val="nil"/>
              <w:left w:val="nil"/>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Egresos</w:t>
            </w:r>
          </w:p>
        </w:tc>
        <w:tc>
          <w:tcPr>
            <w:tcW w:w="941" w:type="dxa"/>
            <w:tcBorders>
              <w:top w:val="nil"/>
              <w:left w:val="nil"/>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Ingresos</w:t>
            </w:r>
          </w:p>
        </w:tc>
        <w:tc>
          <w:tcPr>
            <w:tcW w:w="941" w:type="dxa"/>
            <w:tcBorders>
              <w:top w:val="nil"/>
              <w:left w:val="nil"/>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Egresos</w:t>
            </w:r>
          </w:p>
        </w:tc>
        <w:tc>
          <w:tcPr>
            <w:tcW w:w="891" w:type="dxa"/>
            <w:tcBorders>
              <w:top w:val="nil"/>
              <w:left w:val="nil"/>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Ingresos</w:t>
            </w:r>
          </w:p>
        </w:tc>
        <w:tc>
          <w:tcPr>
            <w:tcW w:w="851" w:type="dxa"/>
            <w:tcBorders>
              <w:top w:val="nil"/>
              <w:left w:val="nil"/>
              <w:bottom w:val="single" w:sz="4" w:space="0" w:color="auto"/>
              <w:right w:val="single" w:sz="8" w:space="0" w:color="auto"/>
            </w:tcBorders>
            <w:shd w:val="clear" w:color="auto" w:fill="auto"/>
            <w:noWrap/>
            <w:vAlign w:val="bottom"/>
            <w:hideMark/>
          </w:tcPr>
          <w:p w:rsidR="009616AD" w:rsidRPr="0036031F" w:rsidRDefault="009616AD" w:rsidP="009616AD">
            <w:pPr>
              <w:spacing w:after="0" w:line="240" w:lineRule="auto"/>
              <w:jc w:val="center"/>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Egresos</w:t>
            </w:r>
          </w:p>
        </w:tc>
      </w:tr>
      <w:tr w:rsidR="009616AD" w:rsidRPr="0036031F" w:rsidTr="00EA5292">
        <w:trPr>
          <w:trHeight w:val="258"/>
          <w:jc w:val="center"/>
        </w:trPr>
        <w:tc>
          <w:tcPr>
            <w:tcW w:w="2805" w:type="dxa"/>
            <w:tcBorders>
              <w:top w:val="nil"/>
              <w:left w:val="single" w:sz="8" w:space="0" w:color="auto"/>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Acciones de Grupo</w:t>
            </w:r>
          </w:p>
        </w:tc>
        <w:tc>
          <w:tcPr>
            <w:tcW w:w="941" w:type="dxa"/>
            <w:tcBorders>
              <w:top w:val="nil"/>
              <w:left w:val="nil"/>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1.062</w:t>
            </w:r>
          </w:p>
        </w:tc>
        <w:tc>
          <w:tcPr>
            <w:tcW w:w="997" w:type="dxa"/>
            <w:tcBorders>
              <w:top w:val="nil"/>
              <w:left w:val="nil"/>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1.223</w:t>
            </w:r>
          </w:p>
        </w:tc>
        <w:tc>
          <w:tcPr>
            <w:tcW w:w="941" w:type="dxa"/>
            <w:tcBorders>
              <w:top w:val="nil"/>
              <w:left w:val="nil"/>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711</w:t>
            </w:r>
          </w:p>
        </w:tc>
        <w:tc>
          <w:tcPr>
            <w:tcW w:w="941" w:type="dxa"/>
            <w:tcBorders>
              <w:top w:val="nil"/>
              <w:left w:val="nil"/>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362</w:t>
            </w:r>
          </w:p>
        </w:tc>
        <w:tc>
          <w:tcPr>
            <w:tcW w:w="891" w:type="dxa"/>
            <w:tcBorders>
              <w:top w:val="nil"/>
              <w:left w:val="nil"/>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-33%</w:t>
            </w:r>
          </w:p>
        </w:tc>
        <w:tc>
          <w:tcPr>
            <w:tcW w:w="851" w:type="dxa"/>
            <w:tcBorders>
              <w:top w:val="nil"/>
              <w:left w:val="nil"/>
              <w:bottom w:val="single" w:sz="4" w:space="0" w:color="auto"/>
              <w:right w:val="single" w:sz="8" w:space="0" w:color="auto"/>
            </w:tcBorders>
            <w:shd w:val="clear" w:color="auto" w:fill="auto"/>
            <w:noWrap/>
            <w:vAlign w:val="bottom"/>
            <w:hideMark/>
          </w:tcPr>
          <w:p w:rsidR="009616AD" w:rsidRPr="0036031F" w:rsidRDefault="009616AD" w:rsidP="009616AD">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-70%</w:t>
            </w:r>
          </w:p>
        </w:tc>
      </w:tr>
      <w:tr w:rsidR="009616AD" w:rsidRPr="0036031F" w:rsidTr="00EA5292">
        <w:trPr>
          <w:trHeight w:val="258"/>
          <w:jc w:val="center"/>
        </w:trPr>
        <w:tc>
          <w:tcPr>
            <w:tcW w:w="2805" w:type="dxa"/>
            <w:tcBorders>
              <w:top w:val="nil"/>
              <w:left w:val="single" w:sz="8" w:space="0" w:color="auto"/>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Acciones Populares</w:t>
            </w:r>
          </w:p>
        </w:tc>
        <w:tc>
          <w:tcPr>
            <w:tcW w:w="941" w:type="dxa"/>
            <w:tcBorders>
              <w:top w:val="nil"/>
              <w:left w:val="nil"/>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11.123</w:t>
            </w:r>
          </w:p>
        </w:tc>
        <w:tc>
          <w:tcPr>
            <w:tcW w:w="997" w:type="dxa"/>
            <w:tcBorders>
              <w:top w:val="nil"/>
              <w:left w:val="nil"/>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18.823</w:t>
            </w:r>
          </w:p>
        </w:tc>
        <w:tc>
          <w:tcPr>
            <w:tcW w:w="941" w:type="dxa"/>
            <w:tcBorders>
              <w:top w:val="nil"/>
              <w:left w:val="nil"/>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4.506</w:t>
            </w:r>
          </w:p>
        </w:tc>
        <w:tc>
          <w:tcPr>
            <w:tcW w:w="941" w:type="dxa"/>
            <w:tcBorders>
              <w:top w:val="nil"/>
              <w:left w:val="nil"/>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6.250</w:t>
            </w:r>
          </w:p>
        </w:tc>
        <w:tc>
          <w:tcPr>
            <w:tcW w:w="891" w:type="dxa"/>
            <w:tcBorders>
              <w:top w:val="nil"/>
              <w:left w:val="nil"/>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-59%</w:t>
            </w:r>
          </w:p>
        </w:tc>
        <w:tc>
          <w:tcPr>
            <w:tcW w:w="851" w:type="dxa"/>
            <w:tcBorders>
              <w:top w:val="nil"/>
              <w:left w:val="nil"/>
              <w:bottom w:val="single" w:sz="4" w:space="0" w:color="auto"/>
              <w:right w:val="single" w:sz="8" w:space="0" w:color="auto"/>
            </w:tcBorders>
            <w:shd w:val="clear" w:color="auto" w:fill="auto"/>
            <w:noWrap/>
            <w:vAlign w:val="bottom"/>
            <w:hideMark/>
          </w:tcPr>
          <w:p w:rsidR="009616AD" w:rsidRPr="0036031F" w:rsidRDefault="009616AD" w:rsidP="009616AD">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-67%</w:t>
            </w:r>
          </w:p>
        </w:tc>
      </w:tr>
      <w:tr w:rsidR="009616AD" w:rsidRPr="0036031F" w:rsidTr="00EA5292">
        <w:trPr>
          <w:trHeight w:val="258"/>
          <w:jc w:val="center"/>
        </w:trPr>
        <w:tc>
          <w:tcPr>
            <w:tcW w:w="2805" w:type="dxa"/>
            <w:tcBorders>
              <w:top w:val="nil"/>
              <w:left w:val="single" w:sz="8" w:space="0" w:color="auto"/>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Acción de Cumplimiento</w:t>
            </w:r>
          </w:p>
        </w:tc>
        <w:tc>
          <w:tcPr>
            <w:tcW w:w="941" w:type="dxa"/>
            <w:tcBorders>
              <w:top w:val="nil"/>
              <w:left w:val="nil"/>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1.674</w:t>
            </w:r>
          </w:p>
        </w:tc>
        <w:tc>
          <w:tcPr>
            <w:tcW w:w="997" w:type="dxa"/>
            <w:tcBorders>
              <w:top w:val="nil"/>
              <w:left w:val="nil"/>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1.694</w:t>
            </w:r>
          </w:p>
        </w:tc>
        <w:tc>
          <w:tcPr>
            <w:tcW w:w="941" w:type="dxa"/>
            <w:tcBorders>
              <w:top w:val="nil"/>
              <w:left w:val="nil"/>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1.876</w:t>
            </w:r>
          </w:p>
        </w:tc>
        <w:tc>
          <w:tcPr>
            <w:tcW w:w="941" w:type="dxa"/>
            <w:tcBorders>
              <w:top w:val="nil"/>
              <w:left w:val="nil"/>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1.019</w:t>
            </w:r>
          </w:p>
        </w:tc>
        <w:tc>
          <w:tcPr>
            <w:tcW w:w="891" w:type="dxa"/>
            <w:tcBorders>
              <w:top w:val="nil"/>
              <w:left w:val="nil"/>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12%</w:t>
            </w:r>
          </w:p>
        </w:tc>
        <w:tc>
          <w:tcPr>
            <w:tcW w:w="851" w:type="dxa"/>
            <w:tcBorders>
              <w:top w:val="nil"/>
              <w:left w:val="nil"/>
              <w:bottom w:val="single" w:sz="4" w:space="0" w:color="auto"/>
              <w:right w:val="single" w:sz="8" w:space="0" w:color="auto"/>
            </w:tcBorders>
            <w:shd w:val="clear" w:color="auto" w:fill="auto"/>
            <w:noWrap/>
            <w:vAlign w:val="bottom"/>
            <w:hideMark/>
          </w:tcPr>
          <w:p w:rsidR="009616AD" w:rsidRPr="0036031F" w:rsidRDefault="009616AD" w:rsidP="009616AD">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-40%</w:t>
            </w:r>
          </w:p>
        </w:tc>
      </w:tr>
      <w:tr w:rsidR="009616AD" w:rsidRPr="0036031F" w:rsidTr="00EA5292">
        <w:trPr>
          <w:trHeight w:val="258"/>
          <w:jc w:val="center"/>
        </w:trPr>
        <w:tc>
          <w:tcPr>
            <w:tcW w:w="2805" w:type="dxa"/>
            <w:tcBorders>
              <w:top w:val="nil"/>
              <w:left w:val="single" w:sz="8" w:space="0" w:color="auto"/>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Hábeas Corpus</w:t>
            </w:r>
          </w:p>
        </w:tc>
        <w:tc>
          <w:tcPr>
            <w:tcW w:w="941" w:type="dxa"/>
            <w:tcBorders>
              <w:top w:val="nil"/>
              <w:left w:val="nil"/>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4.704</w:t>
            </w:r>
          </w:p>
        </w:tc>
        <w:tc>
          <w:tcPr>
            <w:tcW w:w="997" w:type="dxa"/>
            <w:tcBorders>
              <w:top w:val="nil"/>
              <w:left w:val="nil"/>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4.712</w:t>
            </w:r>
          </w:p>
        </w:tc>
        <w:tc>
          <w:tcPr>
            <w:tcW w:w="941" w:type="dxa"/>
            <w:tcBorders>
              <w:top w:val="nil"/>
              <w:left w:val="nil"/>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5.042</w:t>
            </w:r>
          </w:p>
        </w:tc>
        <w:tc>
          <w:tcPr>
            <w:tcW w:w="941" w:type="dxa"/>
            <w:tcBorders>
              <w:top w:val="nil"/>
              <w:left w:val="nil"/>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5.329</w:t>
            </w:r>
          </w:p>
        </w:tc>
        <w:tc>
          <w:tcPr>
            <w:tcW w:w="891" w:type="dxa"/>
            <w:tcBorders>
              <w:top w:val="nil"/>
              <w:left w:val="nil"/>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7%</w:t>
            </w:r>
          </w:p>
        </w:tc>
        <w:tc>
          <w:tcPr>
            <w:tcW w:w="851" w:type="dxa"/>
            <w:tcBorders>
              <w:top w:val="nil"/>
              <w:left w:val="nil"/>
              <w:bottom w:val="single" w:sz="4" w:space="0" w:color="auto"/>
              <w:right w:val="single" w:sz="8" w:space="0" w:color="auto"/>
            </w:tcBorders>
            <w:shd w:val="clear" w:color="auto" w:fill="auto"/>
            <w:noWrap/>
            <w:vAlign w:val="bottom"/>
            <w:hideMark/>
          </w:tcPr>
          <w:p w:rsidR="009616AD" w:rsidRPr="0036031F" w:rsidRDefault="009616AD" w:rsidP="009616AD">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13%</w:t>
            </w:r>
          </w:p>
        </w:tc>
      </w:tr>
      <w:tr w:rsidR="009616AD" w:rsidRPr="0036031F" w:rsidTr="00EA5292">
        <w:trPr>
          <w:trHeight w:val="258"/>
          <w:jc w:val="center"/>
        </w:trPr>
        <w:tc>
          <w:tcPr>
            <w:tcW w:w="2805" w:type="dxa"/>
            <w:tcBorders>
              <w:top w:val="nil"/>
              <w:left w:val="single" w:sz="8" w:space="0" w:color="auto"/>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Otras Acciones Constitucionales</w:t>
            </w:r>
          </w:p>
        </w:tc>
        <w:tc>
          <w:tcPr>
            <w:tcW w:w="941" w:type="dxa"/>
            <w:tcBorders>
              <w:top w:val="nil"/>
              <w:left w:val="nil"/>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18.563</w:t>
            </w:r>
          </w:p>
        </w:tc>
        <w:tc>
          <w:tcPr>
            <w:tcW w:w="997" w:type="dxa"/>
            <w:tcBorders>
              <w:top w:val="nil"/>
              <w:left w:val="nil"/>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26.452</w:t>
            </w:r>
          </w:p>
        </w:tc>
        <w:tc>
          <w:tcPr>
            <w:tcW w:w="941" w:type="dxa"/>
            <w:tcBorders>
              <w:top w:val="nil"/>
              <w:left w:val="nil"/>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12.135</w:t>
            </w:r>
          </w:p>
        </w:tc>
        <w:tc>
          <w:tcPr>
            <w:tcW w:w="941" w:type="dxa"/>
            <w:tcBorders>
              <w:top w:val="nil"/>
              <w:left w:val="nil"/>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12.960</w:t>
            </w:r>
          </w:p>
        </w:tc>
        <w:tc>
          <w:tcPr>
            <w:tcW w:w="891" w:type="dxa"/>
            <w:tcBorders>
              <w:top w:val="nil"/>
              <w:left w:val="nil"/>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-35%</w:t>
            </w:r>
          </w:p>
        </w:tc>
        <w:tc>
          <w:tcPr>
            <w:tcW w:w="851" w:type="dxa"/>
            <w:tcBorders>
              <w:top w:val="nil"/>
              <w:left w:val="nil"/>
              <w:bottom w:val="single" w:sz="4" w:space="0" w:color="auto"/>
              <w:right w:val="single" w:sz="8" w:space="0" w:color="auto"/>
            </w:tcBorders>
            <w:shd w:val="clear" w:color="auto" w:fill="auto"/>
            <w:noWrap/>
            <w:vAlign w:val="bottom"/>
            <w:hideMark/>
          </w:tcPr>
          <w:p w:rsidR="009616AD" w:rsidRPr="0036031F" w:rsidRDefault="009616AD" w:rsidP="009616AD">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-51%</w:t>
            </w:r>
          </w:p>
        </w:tc>
      </w:tr>
      <w:tr w:rsidR="009616AD" w:rsidRPr="0036031F" w:rsidTr="00EA5292">
        <w:trPr>
          <w:trHeight w:val="258"/>
          <w:jc w:val="center"/>
        </w:trPr>
        <w:tc>
          <w:tcPr>
            <w:tcW w:w="2805" w:type="dxa"/>
            <w:tcBorders>
              <w:top w:val="nil"/>
              <w:left w:val="single" w:sz="8" w:space="0" w:color="auto"/>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Total Rama Judicial</w:t>
            </w:r>
          </w:p>
        </w:tc>
        <w:tc>
          <w:tcPr>
            <w:tcW w:w="941" w:type="dxa"/>
            <w:tcBorders>
              <w:top w:val="nil"/>
              <w:left w:val="nil"/>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2.919.693</w:t>
            </w:r>
          </w:p>
        </w:tc>
        <w:tc>
          <w:tcPr>
            <w:tcW w:w="997" w:type="dxa"/>
            <w:tcBorders>
              <w:top w:val="nil"/>
              <w:left w:val="nil"/>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3.148.478</w:t>
            </w:r>
          </w:p>
        </w:tc>
        <w:tc>
          <w:tcPr>
            <w:tcW w:w="941" w:type="dxa"/>
            <w:tcBorders>
              <w:top w:val="nil"/>
              <w:left w:val="nil"/>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2.418.926</w:t>
            </w:r>
          </w:p>
        </w:tc>
        <w:tc>
          <w:tcPr>
            <w:tcW w:w="941" w:type="dxa"/>
            <w:tcBorders>
              <w:top w:val="nil"/>
              <w:left w:val="nil"/>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jc w:val="right"/>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2.229.451</w:t>
            </w:r>
          </w:p>
        </w:tc>
        <w:tc>
          <w:tcPr>
            <w:tcW w:w="891" w:type="dxa"/>
            <w:tcBorders>
              <w:top w:val="nil"/>
              <w:left w:val="nil"/>
              <w:bottom w:val="single" w:sz="4" w:space="0" w:color="auto"/>
              <w:right w:val="single" w:sz="4" w:space="0" w:color="auto"/>
            </w:tcBorders>
            <w:shd w:val="clear" w:color="auto" w:fill="auto"/>
            <w:noWrap/>
            <w:vAlign w:val="bottom"/>
            <w:hideMark/>
          </w:tcPr>
          <w:p w:rsidR="009616AD" w:rsidRPr="0036031F" w:rsidRDefault="009616AD" w:rsidP="009616AD">
            <w:pPr>
              <w:spacing w:after="0" w:line="240" w:lineRule="auto"/>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 </w:t>
            </w:r>
          </w:p>
        </w:tc>
        <w:tc>
          <w:tcPr>
            <w:tcW w:w="851" w:type="dxa"/>
            <w:tcBorders>
              <w:top w:val="nil"/>
              <w:left w:val="nil"/>
              <w:bottom w:val="single" w:sz="4" w:space="0" w:color="auto"/>
              <w:right w:val="single" w:sz="8" w:space="0" w:color="auto"/>
            </w:tcBorders>
            <w:shd w:val="clear" w:color="auto" w:fill="auto"/>
            <w:noWrap/>
            <w:vAlign w:val="bottom"/>
            <w:hideMark/>
          </w:tcPr>
          <w:p w:rsidR="009616AD" w:rsidRPr="0036031F" w:rsidRDefault="009616AD" w:rsidP="009616AD">
            <w:pPr>
              <w:spacing w:after="0" w:line="240" w:lineRule="auto"/>
              <w:rPr>
                <w:rFonts w:ascii="Arial" w:eastAsia="Times New Roman" w:hAnsi="Arial" w:cs="Arial"/>
                <w:color w:val="000000"/>
                <w:sz w:val="16"/>
                <w:szCs w:val="16"/>
                <w:lang w:eastAsia="es-CO"/>
              </w:rPr>
            </w:pPr>
            <w:r w:rsidRPr="0036031F">
              <w:rPr>
                <w:rFonts w:ascii="Arial" w:eastAsia="Times New Roman" w:hAnsi="Arial" w:cs="Arial"/>
                <w:color w:val="000000"/>
                <w:sz w:val="16"/>
                <w:szCs w:val="16"/>
                <w:lang w:eastAsia="es-CO"/>
              </w:rPr>
              <w:t> </w:t>
            </w:r>
          </w:p>
        </w:tc>
      </w:tr>
      <w:tr w:rsidR="009616AD" w:rsidRPr="0036031F" w:rsidTr="00EA5292">
        <w:trPr>
          <w:trHeight w:val="271"/>
          <w:jc w:val="center"/>
        </w:trPr>
        <w:tc>
          <w:tcPr>
            <w:tcW w:w="2805" w:type="dxa"/>
            <w:tcBorders>
              <w:top w:val="nil"/>
              <w:left w:val="single" w:sz="8" w:space="0" w:color="auto"/>
              <w:bottom w:val="single" w:sz="8" w:space="0" w:color="auto"/>
              <w:right w:val="single" w:sz="4" w:space="0" w:color="auto"/>
            </w:tcBorders>
            <w:shd w:val="clear" w:color="auto" w:fill="auto"/>
            <w:noWrap/>
            <w:vAlign w:val="bottom"/>
            <w:hideMark/>
          </w:tcPr>
          <w:p w:rsidR="009616AD" w:rsidRPr="0036031F" w:rsidRDefault="009616AD" w:rsidP="009616AD">
            <w:pPr>
              <w:spacing w:after="0" w:line="240" w:lineRule="auto"/>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 de Otras Acciones Constitucionales</w:t>
            </w:r>
          </w:p>
        </w:tc>
        <w:tc>
          <w:tcPr>
            <w:tcW w:w="941" w:type="dxa"/>
            <w:tcBorders>
              <w:top w:val="nil"/>
              <w:left w:val="nil"/>
              <w:bottom w:val="single" w:sz="8" w:space="0" w:color="auto"/>
              <w:right w:val="single" w:sz="4" w:space="0" w:color="auto"/>
            </w:tcBorders>
            <w:shd w:val="clear" w:color="auto" w:fill="auto"/>
            <w:noWrap/>
            <w:vAlign w:val="bottom"/>
            <w:hideMark/>
          </w:tcPr>
          <w:p w:rsidR="009616AD" w:rsidRPr="0036031F" w:rsidRDefault="009616AD" w:rsidP="009616AD">
            <w:pPr>
              <w:spacing w:after="0" w:line="240" w:lineRule="auto"/>
              <w:jc w:val="right"/>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0,64%</w:t>
            </w:r>
          </w:p>
        </w:tc>
        <w:tc>
          <w:tcPr>
            <w:tcW w:w="997" w:type="dxa"/>
            <w:tcBorders>
              <w:top w:val="nil"/>
              <w:left w:val="nil"/>
              <w:bottom w:val="single" w:sz="8" w:space="0" w:color="auto"/>
              <w:right w:val="single" w:sz="4" w:space="0" w:color="auto"/>
            </w:tcBorders>
            <w:shd w:val="clear" w:color="auto" w:fill="auto"/>
            <w:noWrap/>
            <w:vAlign w:val="bottom"/>
            <w:hideMark/>
          </w:tcPr>
          <w:p w:rsidR="009616AD" w:rsidRPr="0036031F" w:rsidRDefault="009616AD" w:rsidP="009616AD">
            <w:pPr>
              <w:spacing w:after="0" w:line="240" w:lineRule="auto"/>
              <w:jc w:val="right"/>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0,84%</w:t>
            </w:r>
          </w:p>
        </w:tc>
        <w:tc>
          <w:tcPr>
            <w:tcW w:w="941" w:type="dxa"/>
            <w:tcBorders>
              <w:top w:val="nil"/>
              <w:left w:val="nil"/>
              <w:bottom w:val="single" w:sz="8" w:space="0" w:color="auto"/>
              <w:right w:val="single" w:sz="4" w:space="0" w:color="auto"/>
            </w:tcBorders>
            <w:shd w:val="clear" w:color="auto" w:fill="auto"/>
            <w:noWrap/>
            <w:vAlign w:val="bottom"/>
            <w:hideMark/>
          </w:tcPr>
          <w:p w:rsidR="009616AD" w:rsidRPr="0036031F" w:rsidRDefault="009616AD" w:rsidP="009616AD">
            <w:pPr>
              <w:spacing w:after="0" w:line="240" w:lineRule="auto"/>
              <w:jc w:val="right"/>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0,50%</w:t>
            </w:r>
          </w:p>
        </w:tc>
        <w:tc>
          <w:tcPr>
            <w:tcW w:w="941" w:type="dxa"/>
            <w:tcBorders>
              <w:top w:val="nil"/>
              <w:left w:val="nil"/>
              <w:bottom w:val="single" w:sz="8" w:space="0" w:color="auto"/>
              <w:right w:val="single" w:sz="4" w:space="0" w:color="auto"/>
            </w:tcBorders>
            <w:shd w:val="clear" w:color="auto" w:fill="auto"/>
            <w:noWrap/>
            <w:vAlign w:val="bottom"/>
            <w:hideMark/>
          </w:tcPr>
          <w:p w:rsidR="009616AD" w:rsidRPr="0036031F" w:rsidRDefault="009616AD" w:rsidP="009616AD">
            <w:pPr>
              <w:spacing w:after="0" w:line="240" w:lineRule="auto"/>
              <w:jc w:val="right"/>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0,58%</w:t>
            </w:r>
          </w:p>
        </w:tc>
        <w:tc>
          <w:tcPr>
            <w:tcW w:w="891" w:type="dxa"/>
            <w:tcBorders>
              <w:top w:val="nil"/>
              <w:left w:val="nil"/>
              <w:bottom w:val="single" w:sz="8" w:space="0" w:color="auto"/>
              <w:right w:val="single" w:sz="4" w:space="0" w:color="auto"/>
            </w:tcBorders>
            <w:shd w:val="clear" w:color="auto" w:fill="auto"/>
            <w:noWrap/>
            <w:vAlign w:val="bottom"/>
            <w:hideMark/>
          </w:tcPr>
          <w:p w:rsidR="009616AD" w:rsidRPr="0036031F" w:rsidRDefault="009616AD" w:rsidP="009616AD">
            <w:pPr>
              <w:spacing w:after="0" w:line="240" w:lineRule="auto"/>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 </w:t>
            </w:r>
          </w:p>
        </w:tc>
        <w:tc>
          <w:tcPr>
            <w:tcW w:w="851" w:type="dxa"/>
            <w:tcBorders>
              <w:top w:val="nil"/>
              <w:left w:val="nil"/>
              <w:bottom w:val="single" w:sz="8" w:space="0" w:color="auto"/>
              <w:right w:val="single" w:sz="8" w:space="0" w:color="auto"/>
            </w:tcBorders>
            <w:shd w:val="clear" w:color="auto" w:fill="auto"/>
            <w:noWrap/>
            <w:vAlign w:val="bottom"/>
            <w:hideMark/>
          </w:tcPr>
          <w:p w:rsidR="009616AD" w:rsidRPr="0036031F" w:rsidRDefault="009616AD" w:rsidP="009616AD">
            <w:pPr>
              <w:spacing w:after="0" w:line="240" w:lineRule="auto"/>
              <w:rPr>
                <w:rFonts w:ascii="Arial" w:eastAsia="Times New Roman" w:hAnsi="Arial" w:cs="Arial"/>
                <w:b/>
                <w:bCs/>
                <w:color w:val="000000"/>
                <w:sz w:val="16"/>
                <w:szCs w:val="16"/>
                <w:lang w:eastAsia="es-CO"/>
              </w:rPr>
            </w:pPr>
            <w:r w:rsidRPr="0036031F">
              <w:rPr>
                <w:rFonts w:ascii="Arial" w:eastAsia="Times New Roman" w:hAnsi="Arial" w:cs="Arial"/>
                <w:b/>
                <w:bCs/>
                <w:color w:val="000000"/>
                <w:sz w:val="16"/>
                <w:szCs w:val="16"/>
                <w:lang w:eastAsia="es-CO"/>
              </w:rPr>
              <w:t> </w:t>
            </w:r>
          </w:p>
        </w:tc>
      </w:tr>
    </w:tbl>
    <w:p w:rsidR="00EA5292" w:rsidRPr="0036031F" w:rsidRDefault="00EA5292" w:rsidP="00EA5292">
      <w:pPr>
        <w:spacing w:line="240" w:lineRule="auto"/>
        <w:jc w:val="center"/>
        <w:rPr>
          <w:rFonts w:ascii="Arial" w:hAnsi="Arial" w:cs="Arial"/>
          <w:sz w:val="16"/>
          <w:szCs w:val="16"/>
        </w:rPr>
      </w:pPr>
      <w:r w:rsidRPr="0036031F">
        <w:rPr>
          <w:rFonts w:ascii="Arial" w:hAnsi="Arial" w:cs="Arial"/>
          <w:b/>
          <w:sz w:val="16"/>
          <w:szCs w:val="16"/>
        </w:rPr>
        <w:t>Fuente: Consejo Superior de la Judicatura. Cálculos CGR DES-DJS  Fecha de Corte: Abril de 2014</w:t>
      </w:r>
    </w:p>
    <w:p w:rsidR="0069540C" w:rsidRDefault="0069540C" w:rsidP="009616AD">
      <w:pPr>
        <w:spacing w:after="0" w:line="240" w:lineRule="auto"/>
        <w:jc w:val="both"/>
        <w:rPr>
          <w:rFonts w:ascii="Arial" w:hAnsi="Arial" w:cs="Arial"/>
          <w:i/>
          <w:color w:val="000000" w:themeColor="text1"/>
          <w:sz w:val="24"/>
          <w:szCs w:val="24"/>
        </w:rPr>
      </w:pPr>
    </w:p>
    <w:p w:rsidR="009616AD" w:rsidRPr="009427D5" w:rsidRDefault="004144EE" w:rsidP="009616AD">
      <w:pPr>
        <w:spacing w:after="0" w:line="240" w:lineRule="auto"/>
        <w:jc w:val="both"/>
        <w:rPr>
          <w:rFonts w:ascii="Arial" w:hAnsi="Arial" w:cs="Arial"/>
          <w:i/>
          <w:color w:val="000000" w:themeColor="text1"/>
          <w:sz w:val="24"/>
          <w:szCs w:val="24"/>
        </w:rPr>
      </w:pPr>
      <w:r w:rsidRPr="009427D5">
        <w:rPr>
          <w:rFonts w:ascii="Arial" w:hAnsi="Arial" w:cs="Arial"/>
          <w:i/>
          <w:color w:val="000000" w:themeColor="text1"/>
          <w:sz w:val="24"/>
          <w:szCs w:val="24"/>
        </w:rPr>
        <w:t xml:space="preserve">2.2.3.3 </w:t>
      </w:r>
      <w:r w:rsidR="009616AD" w:rsidRPr="009427D5">
        <w:rPr>
          <w:rFonts w:ascii="Arial" w:hAnsi="Arial" w:cs="Arial"/>
          <w:i/>
          <w:color w:val="000000" w:themeColor="text1"/>
          <w:sz w:val="24"/>
          <w:szCs w:val="24"/>
        </w:rPr>
        <w:t>Medidas Constitucionales para la protección de Niños y Adolescentes</w:t>
      </w:r>
    </w:p>
    <w:p w:rsidR="009616AD" w:rsidRPr="009427D5" w:rsidRDefault="009616AD" w:rsidP="009616AD">
      <w:pPr>
        <w:spacing w:after="0" w:line="240" w:lineRule="auto"/>
        <w:jc w:val="both"/>
        <w:rPr>
          <w:rFonts w:ascii="Arial" w:hAnsi="Arial" w:cs="Arial"/>
          <w:color w:val="000000" w:themeColor="text1"/>
          <w:sz w:val="24"/>
          <w:szCs w:val="24"/>
        </w:rPr>
      </w:pPr>
    </w:p>
    <w:p w:rsidR="009616AD" w:rsidRPr="009427D5" w:rsidRDefault="009616AD" w:rsidP="009616AD">
      <w:pPr>
        <w:pStyle w:val="Textopredeterminado"/>
        <w:jc w:val="both"/>
        <w:rPr>
          <w:rFonts w:ascii="Arial" w:hAnsi="Arial" w:cs="Arial"/>
          <w:szCs w:val="24"/>
          <w:lang w:val="es-CO"/>
        </w:rPr>
      </w:pPr>
      <w:r w:rsidRPr="009427D5">
        <w:rPr>
          <w:rFonts w:ascii="Arial" w:hAnsi="Arial" w:cs="Arial"/>
          <w:szCs w:val="24"/>
          <w:lang w:val="es-CO"/>
        </w:rPr>
        <w:t>De otra parte, los procesos atendidos por los Despachos Judiciales que atentan contra los derechos y libertades sexuales de los niños y adolescentes fueron 1.628 durante 2011, de los cuales profirieron 1.606 fallos, es decir 6 fallos por día y correspondieron a :</w:t>
      </w:r>
    </w:p>
    <w:p w:rsidR="009616AD" w:rsidRPr="009427D5" w:rsidRDefault="009616AD" w:rsidP="009616AD">
      <w:pPr>
        <w:pStyle w:val="Textopredeterminado"/>
        <w:jc w:val="both"/>
        <w:rPr>
          <w:rFonts w:ascii="Arial" w:hAnsi="Arial" w:cs="Arial"/>
          <w:szCs w:val="24"/>
          <w:lang w:val="es-CO"/>
        </w:rPr>
      </w:pPr>
    </w:p>
    <w:p w:rsidR="009616AD" w:rsidRPr="009427D5" w:rsidRDefault="009616AD" w:rsidP="009616AD">
      <w:pPr>
        <w:pStyle w:val="Textopredeterminado"/>
        <w:numPr>
          <w:ilvl w:val="0"/>
          <w:numId w:val="20"/>
        </w:numPr>
        <w:overflowPunct w:val="0"/>
        <w:jc w:val="both"/>
        <w:textAlignment w:val="baseline"/>
        <w:rPr>
          <w:rFonts w:ascii="Arial" w:hAnsi="Arial" w:cs="Arial"/>
          <w:szCs w:val="24"/>
          <w:lang w:val="es-CO"/>
        </w:rPr>
      </w:pPr>
      <w:r w:rsidRPr="009427D5">
        <w:rPr>
          <w:rFonts w:ascii="Arial" w:hAnsi="Arial" w:cs="Arial"/>
          <w:szCs w:val="24"/>
          <w:lang w:val="es-CO"/>
        </w:rPr>
        <w:t>Contra la libertad, integridad y formación sexuales 49.5%</w:t>
      </w:r>
    </w:p>
    <w:p w:rsidR="009616AD" w:rsidRPr="009427D5" w:rsidRDefault="009616AD" w:rsidP="009616AD">
      <w:pPr>
        <w:pStyle w:val="Textopredeterminado"/>
        <w:numPr>
          <w:ilvl w:val="0"/>
          <w:numId w:val="20"/>
        </w:numPr>
        <w:overflowPunct w:val="0"/>
        <w:jc w:val="both"/>
        <w:textAlignment w:val="baseline"/>
        <w:rPr>
          <w:rFonts w:ascii="Arial" w:hAnsi="Arial" w:cs="Arial"/>
          <w:szCs w:val="24"/>
          <w:lang w:val="es-CO"/>
        </w:rPr>
      </w:pPr>
      <w:r w:rsidRPr="009427D5">
        <w:rPr>
          <w:rFonts w:ascii="Arial" w:hAnsi="Arial" w:cs="Arial"/>
          <w:szCs w:val="24"/>
          <w:lang w:val="es-CO"/>
        </w:rPr>
        <w:t>Violación, acceso carnal violento 47.5%</w:t>
      </w:r>
    </w:p>
    <w:p w:rsidR="009616AD" w:rsidRPr="009427D5" w:rsidRDefault="009616AD" w:rsidP="009616AD">
      <w:pPr>
        <w:pStyle w:val="Textopredeterminado"/>
        <w:numPr>
          <w:ilvl w:val="0"/>
          <w:numId w:val="20"/>
        </w:numPr>
        <w:overflowPunct w:val="0"/>
        <w:jc w:val="both"/>
        <w:textAlignment w:val="baseline"/>
        <w:rPr>
          <w:rFonts w:ascii="Arial" w:hAnsi="Arial" w:cs="Arial"/>
          <w:szCs w:val="24"/>
          <w:lang w:val="es-CO"/>
        </w:rPr>
      </w:pPr>
      <w:r w:rsidRPr="009427D5">
        <w:rPr>
          <w:rFonts w:ascii="Arial" w:hAnsi="Arial" w:cs="Arial"/>
          <w:szCs w:val="24"/>
          <w:lang w:val="es-CO"/>
        </w:rPr>
        <w:t>Proxenetismo, inducción a la prostitución  1.8%</w:t>
      </w:r>
    </w:p>
    <w:p w:rsidR="009616AD" w:rsidRPr="009427D5" w:rsidRDefault="009616AD" w:rsidP="009616AD">
      <w:pPr>
        <w:pStyle w:val="Textopredeterminado"/>
        <w:numPr>
          <w:ilvl w:val="0"/>
          <w:numId w:val="20"/>
        </w:numPr>
        <w:overflowPunct w:val="0"/>
        <w:jc w:val="both"/>
        <w:textAlignment w:val="baseline"/>
        <w:rPr>
          <w:rFonts w:ascii="Arial" w:hAnsi="Arial" w:cs="Arial"/>
          <w:szCs w:val="24"/>
          <w:lang w:val="es-CO"/>
        </w:rPr>
      </w:pPr>
      <w:r w:rsidRPr="009427D5">
        <w:rPr>
          <w:rFonts w:ascii="Arial" w:hAnsi="Arial" w:cs="Arial"/>
          <w:szCs w:val="24"/>
          <w:lang w:val="es-CO"/>
        </w:rPr>
        <w:t>Otros 1.2%</w:t>
      </w:r>
    </w:p>
    <w:p w:rsidR="002524EC" w:rsidRPr="009427D5" w:rsidRDefault="002524EC" w:rsidP="009616AD">
      <w:pPr>
        <w:spacing w:after="0" w:line="240" w:lineRule="auto"/>
        <w:jc w:val="both"/>
        <w:rPr>
          <w:rFonts w:ascii="Arial" w:hAnsi="Arial" w:cs="Arial"/>
          <w:color w:val="000000" w:themeColor="text1"/>
          <w:sz w:val="24"/>
          <w:szCs w:val="24"/>
        </w:rPr>
      </w:pPr>
    </w:p>
    <w:p w:rsidR="009616AD" w:rsidRPr="009427D5" w:rsidRDefault="009616AD" w:rsidP="009616AD">
      <w:pPr>
        <w:spacing w:after="0" w:line="240" w:lineRule="auto"/>
        <w:jc w:val="both"/>
        <w:rPr>
          <w:rFonts w:ascii="Arial" w:hAnsi="Arial" w:cs="Arial"/>
          <w:color w:val="000000" w:themeColor="text1"/>
          <w:sz w:val="24"/>
          <w:szCs w:val="24"/>
        </w:rPr>
      </w:pPr>
      <w:r w:rsidRPr="009427D5">
        <w:rPr>
          <w:rFonts w:ascii="Arial" w:hAnsi="Arial" w:cs="Arial"/>
          <w:color w:val="000000" w:themeColor="text1"/>
          <w:sz w:val="24"/>
          <w:szCs w:val="24"/>
        </w:rPr>
        <w:t>Durante 2012 se presentaron 15.979 demandas relacionadas con defensa de los derechos a la libertad, integridad y formación sexuales de los niños y adolescentes. Vale resaltar que esta misma cifra fue egresada de la administración de justicia, lo que indica que en promedio se produjeron 6 fallos por día.  Las causas de estas demandas están asociadas en 53% de los casos</w:t>
      </w:r>
      <w:r w:rsidR="002C7725" w:rsidRPr="009427D5">
        <w:rPr>
          <w:rFonts w:ascii="Arial" w:hAnsi="Arial" w:cs="Arial"/>
          <w:color w:val="000000" w:themeColor="text1"/>
          <w:sz w:val="24"/>
          <w:szCs w:val="24"/>
        </w:rPr>
        <w:t xml:space="preserve">, </w:t>
      </w:r>
      <w:r w:rsidRPr="009427D5">
        <w:rPr>
          <w:rFonts w:ascii="Arial" w:hAnsi="Arial" w:cs="Arial"/>
          <w:color w:val="000000" w:themeColor="text1"/>
          <w:sz w:val="24"/>
          <w:szCs w:val="24"/>
        </w:rPr>
        <w:t xml:space="preserve">por acceso carnal abusivo o violento, seguido con 45% con actos sexuales con menores, estímulos a la prostitución y pornografía. </w:t>
      </w:r>
    </w:p>
    <w:p w:rsidR="009616AD" w:rsidRPr="009427D5" w:rsidRDefault="009616AD" w:rsidP="009616AD">
      <w:pPr>
        <w:spacing w:after="0" w:line="240" w:lineRule="auto"/>
        <w:rPr>
          <w:rFonts w:ascii="Arial" w:hAnsi="Arial" w:cs="Arial"/>
          <w:color w:val="FF0000"/>
          <w:sz w:val="24"/>
          <w:szCs w:val="24"/>
        </w:rPr>
      </w:pPr>
    </w:p>
    <w:p w:rsidR="009616AD" w:rsidRPr="009427D5" w:rsidRDefault="004144EE" w:rsidP="009616AD">
      <w:pPr>
        <w:spacing w:after="0" w:line="240" w:lineRule="auto"/>
        <w:rPr>
          <w:rFonts w:ascii="Arial" w:hAnsi="Arial" w:cs="Arial"/>
          <w:i/>
          <w:sz w:val="24"/>
          <w:szCs w:val="24"/>
        </w:rPr>
      </w:pPr>
      <w:r w:rsidRPr="009427D5">
        <w:rPr>
          <w:rFonts w:ascii="Arial" w:hAnsi="Arial" w:cs="Arial"/>
          <w:i/>
          <w:sz w:val="24"/>
          <w:szCs w:val="24"/>
        </w:rPr>
        <w:t xml:space="preserve">2.2.3.4 </w:t>
      </w:r>
      <w:r w:rsidR="009616AD" w:rsidRPr="009427D5">
        <w:rPr>
          <w:rFonts w:ascii="Arial" w:hAnsi="Arial" w:cs="Arial"/>
          <w:i/>
          <w:sz w:val="24"/>
          <w:szCs w:val="24"/>
        </w:rPr>
        <w:t>Política de Género</w:t>
      </w:r>
    </w:p>
    <w:p w:rsidR="009616AD" w:rsidRPr="009427D5" w:rsidRDefault="009616AD" w:rsidP="009616AD">
      <w:pPr>
        <w:spacing w:after="0" w:line="240" w:lineRule="auto"/>
        <w:rPr>
          <w:rFonts w:ascii="Arial" w:hAnsi="Arial" w:cs="Arial"/>
          <w:b/>
          <w:i/>
          <w:color w:val="FF0000"/>
          <w:sz w:val="24"/>
          <w:szCs w:val="24"/>
        </w:rPr>
      </w:pPr>
    </w:p>
    <w:p w:rsidR="009616AD" w:rsidRPr="009427D5" w:rsidRDefault="009616AD" w:rsidP="009616AD">
      <w:pPr>
        <w:spacing w:after="0" w:line="240" w:lineRule="auto"/>
        <w:jc w:val="both"/>
        <w:rPr>
          <w:rFonts w:ascii="Arial" w:hAnsi="Arial" w:cs="Arial"/>
          <w:sz w:val="24"/>
          <w:szCs w:val="24"/>
        </w:rPr>
      </w:pPr>
      <w:r w:rsidRPr="009427D5">
        <w:rPr>
          <w:rFonts w:ascii="Arial" w:hAnsi="Arial" w:cs="Arial"/>
          <w:sz w:val="24"/>
          <w:szCs w:val="24"/>
        </w:rPr>
        <w:t xml:space="preserve">En relación con este tema, el Acuerdo 4552 de 2008 promueve la incorporación de la perspectiva de género en la Administración de Justicia, mediante la Comisión </w:t>
      </w:r>
      <w:r w:rsidRPr="009427D5">
        <w:rPr>
          <w:rFonts w:ascii="Arial" w:hAnsi="Arial" w:cs="Arial"/>
          <w:sz w:val="24"/>
          <w:szCs w:val="24"/>
        </w:rPr>
        <w:lastRenderedPageBreak/>
        <w:t>Nacional de Género</w:t>
      </w:r>
      <w:r w:rsidR="0096555F" w:rsidRPr="009427D5">
        <w:rPr>
          <w:rFonts w:ascii="Arial" w:hAnsi="Arial" w:cs="Arial"/>
          <w:sz w:val="24"/>
          <w:szCs w:val="24"/>
        </w:rPr>
        <w:t xml:space="preserve"> de la Rama Judicial (CNGRJ)</w:t>
      </w:r>
      <w:r w:rsidRPr="009427D5">
        <w:rPr>
          <w:rStyle w:val="Refdenotaalpie"/>
          <w:rFonts w:ascii="Arial" w:hAnsi="Arial" w:cs="Arial"/>
          <w:sz w:val="24"/>
          <w:szCs w:val="24"/>
        </w:rPr>
        <w:footnoteReference w:id="60"/>
      </w:r>
      <w:r w:rsidRPr="009427D5">
        <w:rPr>
          <w:rFonts w:ascii="Arial" w:hAnsi="Arial" w:cs="Arial"/>
          <w:sz w:val="24"/>
          <w:szCs w:val="24"/>
        </w:rPr>
        <w:t>, básicamente enfocados con procesos de capacitación. Así, durante 2011 realizaron una videoconferencia, 8 audiencias internacionales y otros eventos.</w:t>
      </w:r>
    </w:p>
    <w:p w:rsidR="009616AD" w:rsidRPr="009427D5" w:rsidRDefault="009616AD" w:rsidP="009616AD">
      <w:pPr>
        <w:spacing w:after="0" w:line="240" w:lineRule="auto"/>
        <w:jc w:val="both"/>
        <w:rPr>
          <w:rFonts w:ascii="Arial" w:hAnsi="Arial" w:cs="Arial"/>
          <w:color w:val="000000" w:themeColor="text1"/>
          <w:sz w:val="24"/>
          <w:szCs w:val="24"/>
        </w:rPr>
      </w:pPr>
      <w:r w:rsidRPr="009427D5">
        <w:rPr>
          <w:rFonts w:ascii="Arial" w:hAnsi="Arial" w:cs="Arial"/>
          <w:color w:val="000000" w:themeColor="text1"/>
          <w:sz w:val="24"/>
          <w:szCs w:val="24"/>
        </w:rPr>
        <w:t>Para la vigencia 2012, la Comisión tuvo el apoyo financiero del MSD/USAID para la realización de cinco (5) conversatorios regionales y la implementación de los criterios de calidad en la prestación del servicio de justicia con perspectiva de género en los Juzgados de Itagüí y Envigado.</w:t>
      </w:r>
    </w:p>
    <w:p w:rsidR="009616AD" w:rsidRPr="009427D5" w:rsidRDefault="009616AD" w:rsidP="009616AD">
      <w:pPr>
        <w:spacing w:after="0" w:line="240" w:lineRule="auto"/>
        <w:jc w:val="both"/>
        <w:rPr>
          <w:rFonts w:ascii="Arial" w:hAnsi="Arial" w:cs="Arial"/>
          <w:color w:val="000000" w:themeColor="text1"/>
          <w:sz w:val="24"/>
          <w:szCs w:val="24"/>
        </w:rPr>
      </w:pPr>
    </w:p>
    <w:p w:rsidR="009616AD" w:rsidRPr="009427D5" w:rsidRDefault="009616AD" w:rsidP="009616AD">
      <w:pPr>
        <w:spacing w:after="0" w:line="240" w:lineRule="auto"/>
        <w:jc w:val="both"/>
        <w:rPr>
          <w:rFonts w:ascii="Arial" w:hAnsi="Arial" w:cs="Arial"/>
          <w:color w:val="000000" w:themeColor="text1"/>
          <w:sz w:val="24"/>
          <w:szCs w:val="24"/>
        </w:rPr>
      </w:pPr>
      <w:r w:rsidRPr="009427D5">
        <w:rPr>
          <w:rFonts w:ascii="Arial" w:hAnsi="Arial" w:cs="Arial"/>
          <w:color w:val="000000" w:themeColor="text1"/>
          <w:sz w:val="24"/>
          <w:szCs w:val="24"/>
        </w:rPr>
        <w:t>La gestión realizada en materia de género se agrupa en cinco temas, así:</w:t>
      </w:r>
    </w:p>
    <w:p w:rsidR="009616AD" w:rsidRPr="009427D5" w:rsidRDefault="009616AD" w:rsidP="009616AD">
      <w:pPr>
        <w:spacing w:after="0" w:line="240" w:lineRule="auto"/>
        <w:jc w:val="both"/>
        <w:rPr>
          <w:rFonts w:ascii="Arial" w:hAnsi="Arial" w:cs="Arial"/>
          <w:color w:val="000000" w:themeColor="text1"/>
          <w:sz w:val="24"/>
          <w:szCs w:val="24"/>
        </w:rPr>
      </w:pPr>
    </w:p>
    <w:p w:rsidR="009616AD" w:rsidRPr="009427D5" w:rsidRDefault="009616AD" w:rsidP="009616AD">
      <w:pPr>
        <w:pStyle w:val="Prrafodelista"/>
        <w:numPr>
          <w:ilvl w:val="0"/>
          <w:numId w:val="18"/>
        </w:numPr>
        <w:spacing w:after="0" w:line="240" w:lineRule="auto"/>
        <w:jc w:val="both"/>
        <w:rPr>
          <w:rFonts w:ascii="Arial" w:hAnsi="Arial" w:cs="Arial"/>
          <w:color w:val="000000" w:themeColor="text1"/>
          <w:sz w:val="24"/>
          <w:szCs w:val="24"/>
        </w:rPr>
      </w:pPr>
      <w:r w:rsidRPr="009427D5">
        <w:rPr>
          <w:rFonts w:ascii="Arial" w:hAnsi="Arial" w:cs="Arial"/>
          <w:color w:val="000000" w:themeColor="text1"/>
          <w:sz w:val="24"/>
          <w:szCs w:val="24"/>
        </w:rPr>
        <w:t>Capacitaciones en equidad de género (18 a nivel nacional con 1.743 participantes).</w:t>
      </w:r>
    </w:p>
    <w:p w:rsidR="009616AD" w:rsidRPr="009427D5" w:rsidRDefault="009616AD" w:rsidP="009616AD">
      <w:pPr>
        <w:pStyle w:val="Prrafodelista"/>
        <w:numPr>
          <w:ilvl w:val="0"/>
          <w:numId w:val="18"/>
        </w:numPr>
        <w:spacing w:after="0" w:line="240" w:lineRule="auto"/>
        <w:jc w:val="both"/>
        <w:rPr>
          <w:rFonts w:ascii="Arial" w:hAnsi="Arial" w:cs="Arial"/>
          <w:color w:val="000000" w:themeColor="text1"/>
          <w:sz w:val="24"/>
          <w:szCs w:val="24"/>
        </w:rPr>
      </w:pPr>
      <w:r w:rsidRPr="009427D5">
        <w:rPr>
          <w:rFonts w:ascii="Arial" w:hAnsi="Arial" w:cs="Arial"/>
          <w:color w:val="000000" w:themeColor="text1"/>
          <w:sz w:val="24"/>
          <w:szCs w:val="24"/>
        </w:rPr>
        <w:t>Encuentros nacionales e internacionales (cátedra virtual con 9 videoconferencias internacionales). Adicionalmente, Encuentro Iberoamericano de Magistrados de Cortes Internacionales por una justicia de género.</w:t>
      </w:r>
    </w:p>
    <w:p w:rsidR="009616AD" w:rsidRPr="009427D5" w:rsidRDefault="009616AD" w:rsidP="009616AD">
      <w:pPr>
        <w:pStyle w:val="Prrafodelista"/>
        <w:numPr>
          <w:ilvl w:val="0"/>
          <w:numId w:val="18"/>
        </w:numPr>
        <w:spacing w:after="0" w:line="240" w:lineRule="auto"/>
        <w:jc w:val="both"/>
        <w:rPr>
          <w:rFonts w:ascii="Arial" w:hAnsi="Arial" w:cs="Arial"/>
          <w:color w:val="000000" w:themeColor="text1"/>
          <w:sz w:val="24"/>
          <w:szCs w:val="24"/>
        </w:rPr>
      </w:pPr>
      <w:r w:rsidRPr="009427D5">
        <w:rPr>
          <w:rFonts w:ascii="Arial" w:hAnsi="Arial" w:cs="Arial"/>
          <w:color w:val="000000" w:themeColor="text1"/>
          <w:sz w:val="24"/>
          <w:szCs w:val="24"/>
        </w:rPr>
        <w:t>Divulgación y Publicación (Entrega de 6 documentos en el evento de conmemoración del día internacional de la mujer).</w:t>
      </w:r>
    </w:p>
    <w:p w:rsidR="009616AD" w:rsidRPr="009427D5" w:rsidRDefault="009616AD" w:rsidP="009616AD">
      <w:pPr>
        <w:pStyle w:val="Prrafodelista"/>
        <w:numPr>
          <w:ilvl w:val="0"/>
          <w:numId w:val="18"/>
        </w:numPr>
        <w:spacing w:after="0" w:line="240" w:lineRule="auto"/>
        <w:jc w:val="both"/>
        <w:rPr>
          <w:rFonts w:ascii="Arial" w:hAnsi="Arial" w:cs="Arial"/>
          <w:color w:val="000000" w:themeColor="text1"/>
          <w:sz w:val="24"/>
          <w:szCs w:val="24"/>
        </w:rPr>
      </w:pPr>
      <w:r w:rsidRPr="009427D5">
        <w:rPr>
          <w:rFonts w:ascii="Arial" w:hAnsi="Arial" w:cs="Arial"/>
          <w:color w:val="000000" w:themeColor="text1"/>
          <w:sz w:val="24"/>
          <w:szCs w:val="24"/>
        </w:rPr>
        <w:t>Consolidación de Sistemas en materia de género: aportes al proceso de sistematización de la jurisprudencia para la culminación de los motores de búsqueda y de la línea base para el Observatorio de Género. Así mismo, apoyo técnico al desarrollo del piloto en juzgados de Envigado e Itagüí, validando criterios de calidad en la prestación del servicio de justicia con perspectivas de género.</w:t>
      </w:r>
    </w:p>
    <w:p w:rsidR="009616AD" w:rsidRPr="009427D5" w:rsidRDefault="009616AD" w:rsidP="009616AD">
      <w:pPr>
        <w:pStyle w:val="Prrafodelista"/>
        <w:numPr>
          <w:ilvl w:val="0"/>
          <w:numId w:val="18"/>
        </w:numPr>
        <w:spacing w:after="0" w:line="240" w:lineRule="auto"/>
        <w:jc w:val="both"/>
        <w:rPr>
          <w:rFonts w:ascii="Arial" w:hAnsi="Arial" w:cs="Arial"/>
          <w:color w:val="000000" w:themeColor="text1"/>
          <w:sz w:val="24"/>
          <w:szCs w:val="24"/>
        </w:rPr>
      </w:pPr>
      <w:r w:rsidRPr="009427D5">
        <w:rPr>
          <w:rFonts w:ascii="Arial" w:hAnsi="Arial" w:cs="Arial"/>
          <w:color w:val="000000" w:themeColor="text1"/>
          <w:sz w:val="24"/>
          <w:szCs w:val="24"/>
        </w:rPr>
        <w:t>Actualización del acuerdo marco de la CNGRJ</w:t>
      </w:r>
    </w:p>
    <w:p w:rsidR="009616AD" w:rsidRPr="009427D5" w:rsidRDefault="009616AD" w:rsidP="009616AD">
      <w:pPr>
        <w:spacing w:after="0" w:line="240" w:lineRule="auto"/>
        <w:jc w:val="both"/>
        <w:rPr>
          <w:rFonts w:ascii="Arial" w:hAnsi="Arial" w:cs="Arial"/>
          <w:sz w:val="24"/>
          <w:szCs w:val="24"/>
        </w:rPr>
      </w:pPr>
    </w:p>
    <w:p w:rsidR="009616AD" w:rsidRPr="009427D5" w:rsidRDefault="004139EE" w:rsidP="009616AD">
      <w:pPr>
        <w:spacing w:after="0" w:line="240" w:lineRule="auto"/>
        <w:jc w:val="both"/>
        <w:rPr>
          <w:rFonts w:ascii="Arial" w:hAnsi="Arial" w:cs="Arial"/>
          <w:i/>
          <w:sz w:val="24"/>
          <w:szCs w:val="24"/>
        </w:rPr>
      </w:pPr>
      <w:r w:rsidRPr="009427D5">
        <w:rPr>
          <w:rFonts w:ascii="Arial" w:hAnsi="Arial" w:cs="Arial"/>
          <w:i/>
          <w:sz w:val="24"/>
          <w:szCs w:val="24"/>
        </w:rPr>
        <w:t xml:space="preserve">2.2.3.5 </w:t>
      </w:r>
      <w:r w:rsidR="009616AD" w:rsidRPr="009427D5">
        <w:rPr>
          <w:rFonts w:ascii="Arial" w:hAnsi="Arial" w:cs="Arial"/>
          <w:i/>
          <w:sz w:val="24"/>
          <w:szCs w:val="24"/>
        </w:rPr>
        <w:t>Ley de Restitución de Tierras</w:t>
      </w:r>
    </w:p>
    <w:p w:rsidR="009616AD" w:rsidRPr="009427D5" w:rsidRDefault="009616AD" w:rsidP="009616AD">
      <w:pPr>
        <w:spacing w:after="0" w:line="240" w:lineRule="auto"/>
        <w:jc w:val="both"/>
        <w:rPr>
          <w:rFonts w:ascii="Arial" w:hAnsi="Arial" w:cs="Arial"/>
          <w:color w:val="FF0000"/>
          <w:sz w:val="24"/>
          <w:szCs w:val="24"/>
        </w:rPr>
      </w:pPr>
    </w:p>
    <w:p w:rsidR="009616AD" w:rsidRPr="009427D5" w:rsidRDefault="009616AD" w:rsidP="009616AD">
      <w:pPr>
        <w:spacing w:after="0" w:line="240" w:lineRule="auto"/>
        <w:jc w:val="both"/>
        <w:rPr>
          <w:rFonts w:ascii="Arial" w:hAnsi="Arial" w:cs="Arial"/>
          <w:sz w:val="24"/>
          <w:szCs w:val="24"/>
        </w:rPr>
      </w:pPr>
      <w:r w:rsidRPr="009427D5">
        <w:rPr>
          <w:rFonts w:ascii="Arial" w:hAnsi="Arial" w:cs="Arial"/>
          <w:sz w:val="24"/>
          <w:szCs w:val="24"/>
        </w:rPr>
        <w:t>Mediante la aplicación de la Ley 1448 de junio 10 de 2011, por la cual se dictan medidas de atención, asistencia y reparación integral a las víctimas del conflicto armado interno, para 2011, se estimó que se recibirían 300.000 casos de restitución de tierras, en un período de 10 años, de los cuales 12.500 casos se estiman para la vigencia 2012.</w:t>
      </w:r>
    </w:p>
    <w:p w:rsidR="009616AD" w:rsidRPr="009427D5" w:rsidRDefault="009616AD" w:rsidP="009616AD">
      <w:pPr>
        <w:spacing w:after="0" w:line="240" w:lineRule="auto"/>
        <w:jc w:val="both"/>
        <w:rPr>
          <w:rFonts w:ascii="Arial" w:hAnsi="Arial" w:cs="Arial"/>
          <w:sz w:val="24"/>
          <w:szCs w:val="24"/>
        </w:rPr>
      </w:pPr>
    </w:p>
    <w:p w:rsidR="009616AD" w:rsidRDefault="009616AD" w:rsidP="009616AD">
      <w:pPr>
        <w:spacing w:after="0" w:line="240" w:lineRule="auto"/>
        <w:jc w:val="both"/>
        <w:rPr>
          <w:rFonts w:ascii="Arial" w:hAnsi="Arial" w:cs="Arial"/>
          <w:sz w:val="24"/>
          <w:szCs w:val="24"/>
        </w:rPr>
      </w:pPr>
      <w:r w:rsidRPr="009427D5">
        <w:rPr>
          <w:rFonts w:ascii="Arial" w:hAnsi="Arial" w:cs="Arial"/>
          <w:sz w:val="24"/>
          <w:szCs w:val="24"/>
        </w:rPr>
        <w:t xml:space="preserve">Para atender esta demanda, el Consejo Superior de la Judicatura, durante 2011 aprobó la creación de 22 Juzgados Civiles del Circuito Especializados en Restitución de Tierras, 15 despachos de Magistrados para que en grupos de tres, integren Sala Civil en los Tribunales Superiores de los Distritos Judiciales de </w:t>
      </w:r>
      <w:r w:rsidRPr="009427D5">
        <w:rPr>
          <w:rFonts w:ascii="Arial" w:hAnsi="Arial" w:cs="Arial"/>
          <w:sz w:val="24"/>
          <w:szCs w:val="24"/>
        </w:rPr>
        <w:lastRenderedPageBreak/>
        <w:t>Bogotá, Cali, Cartagena, Cúcuta y Antioquia. Así mismo, aprobó la creación de un Juez Civil de Circuito Itinerante en el Distrito Judicial de Antioquia.</w:t>
      </w:r>
    </w:p>
    <w:p w:rsidR="002B7074" w:rsidRPr="009427D5" w:rsidRDefault="002B7074" w:rsidP="009616AD">
      <w:pPr>
        <w:spacing w:after="0" w:line="240" w:lineRule="auto"/>
        <w:jc w:val="both"/>
        <w:rPr>
          <w:rFonts w:ascii="Arial" w:hAnsi="Arial" w:cs="Arial"/>
          <w:sz w:val="24"/>
          <w:szCs w:val="24"/>
        </w:rPr>
      </w:pPr>
      <w:bookmarkStart w:id="0" w:name="_GoBack"/>
      <w:bookmarkEnd w:id="0"/>
    </w:p>
    <w:p w:rsidR="009616AD" w:rsidRPr="009427D5" w:rsidRDefault="009616AD" w:rsidP="009616AD">
      <w:pPr>
        <w:spacing w:after="0" w:line="240" w:lineRule="auto"/>
        <w:jc w:val="both"/>
        <w:rPr>
          <w:rFonts w:ascii="Arial" w:hAnsi="Arial" w:cs="Arial"/>
          <w:sz w:val="24"/>
          <w:szCs w:val="24"/>
        </w:rPr>
      </w:pPr>
      <w:r w:rsidRPr="009427D5">
        <w:rPr>
          <w:rFonts w:ascii="Arial" w:hAnsi="Arial" w:cs="Arial"/>
          <w:sz w:val="24"/>
          <w:szCs w:val="24"/>
        </w:rPr>
        <w:t>Mediante acuerdos PSAA12-9266, 9265, 9268 y 9575 la Sala Administrativa creó y puso en funcionamiento durante 2012, 23 Juzgados Civiles del Circuito, especializados en restitución y un Itinerante, conformados por 240 funcionarios judiciales en total.  Los despachos están ubicados en: Antioquia, Bolívar, Sucre, Nariño, Putumayo, Meta, Cesar, Cauca, Tolima, Magdalena, Córdoba, Chocó, Norte de Santander, Valle, Santander, Bogotá y Casanare.</w:t>
      </w:r>
    </w:p>
    <w:p w:rsidR="009616AD" w:rsidRPr="009427D5" w:rsidRDefault="009616AD" w:rsidP="009616AD">
      <w:pPr>
        <w:spacing w:after="0" w:line="240" w:lineRule="auto"/>
        <w:jc w:val="both"/>
        <w:rPr>
          <w:rFonts w:ascii="Arial" w:hAnsi="Arial" w:cs="Arial"/>
          <w:sz w:val="24"/>
          <w:szCs w:val="24"/>
        </w:rPr>
      </w:pPr>
    </w:p>
    <w:p w:rsidR="009616AD" w:rsidRPr="009427D5" w:rsidRDefault="009616AD" w:rsidP="009616AD">
      <w:pPr>
        <w:spacing w:after="0" w:line="240" w:lineRule="auto"/>
        <w:jc w:val="both"/>
        <w:rPr>
          <w:rFonts w:ascii="Arial" w:hAnsi="Arial" w:cs="Arial"/>
          <w:color w:val="FF0000"/>
          <w:sz w:val="24"/>
          <w:szCs w:val="24"/>
        </w:rPr>
      </w:pPr>
      <w:r w:rsidRPr="009427D5">
        <w:rPr>
          <w:rFonts w:ascii="Arial" w:hAnsi="Arial" w:cs="Arial"/>
          <w:sz w:val="24"/>
          <w:szCs w:val="24"/>
        </w:rPr>
        <w:t>En total, se contabilizaron 412 procesos de restitución de tierras y 3 medidas cautelares, estos procesos incluyen cerca de 1.106 solicitudes individuales de restitución de tierras. Los juzgados profirieron 7</w:t>
      </w:r>
      <w:r w:rsidR="007941C8" w:rsidRPr="009427D5">
        <w:rPr>
          <w:rFonts w:ascii="Arial" w:hAnsi="Arial" w:cs="Arial"/>
          <w:sz w:val="24"/>
          <w:szCs w:val="24"/>
        </w:rPr>
        <w:t xml:space="preserve"> s</w:t>
      </w:r>
      <w:r w:rsidRPr="009427D5">
        <w:rPr>
          <w:rFonts w:ascii="Arial" w:hAnsi="Arial" w:cs="Arial"/>
          <w:sz w:val="24"/>
          <w:szCs w:val="24"/>
        </w:rPr>
        <w:t xml:space="preserve">entencias y 1 medida cautelar, 3 en el Municipio de María La Baja (Comunidad de </w:t>
      </w:r>
      <w:proofErr w:type="spellStart"/>
      <w:r w:rsidRPr="009427D5">
        <w:rPr>
          <w:rFonts w:ascii="Arial" w:hAnsi="Arial" w:cs="Arial"/>
          <w:sz w:val="24"/>
          <w:szCs w:val="24"/>
        </w:rPr>
        <w:t>Mapuján</w:t>
      </w:r>
      <w:proofErr w:type="spellEnd"/>
      <w:r w:rsidRPr="009427D5">
        <w:rPr>
          <w:rFonts w:ascii="Arial" w:hAnsi="Arial" w:cs="Arial"/>
          <w:sz w:val="24"/>
          <w:szCs w:val="24"/>
        </w:rPr>
        <w:t xml:space="preserve">), departamento de Bolívar, 2 en Ataco (Tolima), 1 en </w:t>
      </w:r>
      <w:proofErr w:type="spellStart"/>
      <w:r w:rsidRPr="009427D5">
        <w:rPr>
          <w:rFonts w:ascii="Arial" w:hAnsi="Arial" w:cs="Arial"/>
          <w:sz w:val="24"/>
          <w:szCs w:val="24"/>
        </w:rPr>
        <w:t>Tibú</w:t>
      </w:r>
      <w:proofErr w:type="spellEnd"/>
      <w:r w:rsidRPr="009427D5">
        <w:rPr>
          <w:rFonts w:ascii="Arial" w:hAnsi="Arial" w:cs="Arial"/>
          <w:sz w:val="24"/>
          <w:szCs w:val="24"/>
        </w:rPr>
        <w:t xml:space="preserve"> (Norte de Santander) y 1 en </w:t>
      </w:r>
      <w:proofErr w:type="spellStart"/>
      <w:r w:rsidRPr="009427D5">
        <w:rPr>
          <w:rFonts w:ascii="Arial" w:hAnsi="Arial" w:cs="Arial"/>
          <w:sz w:val="24"/>
          <w:szCs w:val="24"/>
        </w:rPr>
        <w:t>Morroa</w:t>
      </w:r>
      <w:proofErr w:type="spellEnd"/>
      <w:r w:rsidRPr="009427D5">
        <w:rPr>
          <w:rFonts w:ascii="Arial" w:hAnsi="Arial" w:cs="Arial"/>
          <w:sz w:val="24"/>
          <w:szCs w:val="24"/>
        </w:rPr>
        <w:t xml:space="preserve"> (Sucre).  La medida cautelar fue sobre un territorio de comunidades afro descendientes de 46.000 hectáreas.</w:t>
      </w:r>
    </w:p>
    <w:p w:rsidR="009616AD" w:rsidRPr="009427D5" w:rsidRDefault="009616AD" w:rsidP="009616AD">
      <w:pPr>
        <w:spacing w:after="0" w:line="240" w:lineRule="auto"/>
        <w:jc w:val="both"/>
        <w:rPr>
          <w:rFonts w:ascii="Arial" w:hAnsi="Arial" w:cs="Arial"/>
          <w:color w:val="FF0000"/>
          <w:sz w:val="24"/>
          <w:szCs w:val="24"/>
        </w:rPr>
      </w:pPr>
    </w:p>
    <w:p w:rsidR="009616AD" w:rsidRPr="009427D5" w:rsidRDefault="009616AD" w:rsidP="009616AD">
      <w:pPr>
        <w:spacing w:after="0" w:line="240" w:lineRule="auto"/>
        <w:jc w:val="both"/>
        <w:rPr>
          <w:rFonts w:ascii="Arial" w:hAnsi="Arial" w:cs="Arial"/>
          <w:sz w:val="24"/>
          <w:szCs w:val="24"/>
        </w:rPr>
      </w:pPr>
      <w:r w:rsidRPr="009427D5">
        <w:rPr>
          <w:rFonts w:ascii="Arial" w:hAnsi="Arial" w:cs="Arial"/>
          <w:sz w:val="24"/>
          <w:szCs w:val="24"/>
        </w:rPr>
        <w:t>Durante 2013 se pusieron en funcionamiento 15 Juzgados Civiles del Circuito especializados en restitución de tierras, adicionales a los 39 ya existentes</w:t>
      </w:r>
      <w:r w:rsidR="00822290" w:rsidRPr="009427D5">
        <w:rPr>
          <w:rFonts w:ascii="Arial" w:hAnsi="Arial" w:cs="Arial"/>
          <w:sz w:val="24"/>
          <w:szCs w:val="24"/>
        </w:rPr>
        <w:t>, ub</w:t>
      </w:r>
      <w:r w:rsidRPr="009427D5">
        <w:rPr>
          <w:rFonts w:ascii="Arial" w:hAnsi="Arial" w:cs="Arial"/>
          <w:sz w:val="24"/>
          <w:szCs w:val="24"/>
        </w:rPr>
        <w:t xml:space="preserve">icados </w:t>
      </w:r>
      <w:r w:rsidR="002524EC" w:rsidRPr="009427D5">
        <w:rPr>
          <w:rFonts w:ascii="Arial" w:hAnsi="Arial" w:cs="Arial"/>
          <w:sz w:val="24"/>
          <w:szCs w:val="24"/>
        </w:rPr>
        <w:t>e</w:t>
      </w:r>
      <w:r w:rsidRPr="009427D5">
        <w:rPr>
          <w:rFonts w:ascii="Arial" w:hAnsi="Arial" w:cs="Arial"/>
          <w:sz w:val="24"/>
          <w:szCs w:val="24"/>
        </w:rPr>
        <w:t>n Bucaramanga, Buga, Cartagena, Cúcuta, Pasto, Montería, Santa Marta, Sincelejo, Valledupar, Villavicencio y Yopal.</w:t>
      </w:r>
    </w:p>
    <w:p w:rsidR="009616AD" w:rsidRPr="009427D5" w:rsidRDefault="009616AD" w:rsidP="009616AD">
      <w:pPr>
        <w:spacing w:after="0" w:line="240" w:lineRule="auto"/>
        <w:jc w:val="both"/>
        <w:rPr>
          <w:rFonts w:ascii="Arial" w:hAnsi="Arial" w:cs="Arial"/>
          <w:sz w:val="24"/>
          <w:szCs w:val="24"/>
        </w:rPr>
      </w:pPr>
    </w:p>
    <w:p w:rsidR="009616AD" w:rsidRPr="009427D5" w:rsidRDefault="009616AD" w:rsidP="009616AD">
      <w:pPr>
        <w:spacing w:after="0" w:line="240" w:lineRule="auto"/>
        <w:jc w:val="both"/>
        <w:rPr>
          <w:rFonts w:ascii="Arial" w:hAnsi="Arial" w:cs="Arial"/>
          <w:sz w:val="24"/>
          <w:szCs w:val="24"/>
        </w:rPr>
      </w:pPr>
      <w:r w:rsidRPr="009427D5">
        <w:rPr>
          <w:rFonts w:ascii="Arial" w:hAnsi="Arial" w:cs="Arial"/>
          <w:sz w:val="24"/>
          <w:szCs w:val="24"/>
        </w:rPr>
        <w:t xml:space="preserve">A 31 de diciembre, los jueces y magistrados especializados, profirieron un total de 350 </w:t>
      </w:r>
      <w:r w:rsidR="0001780E" w:rsidRPr="009427D5">
        <w:rPr>
          <w:rFonts w:ascii="Arial" w:hAnsi="Arial" w:cs="Arial"/>
          <w:sz w:val="24"/>
          <w:szCs w:val="24"/>
        </w:rPr>
        <w:t>s</w:t>
      </w:r>
      <w:r w:rsidRPr="009427D5">
        <w:rPr>
          <w:rFonts w:ascii="Arial" w:hAnsi="Arial" w:cs="Arial"/>
          <w:sz w:val="24"/>
          <w:szCs w:val="24"/>
        </w:rPr>
        <w:t>entencias que incorporaron alrededor de 8</w:t>
      </w:r>
      <w:r w:rsidR="00692BC3" w:rsidRPr="009427D5">
        <w:rPr>
          <w:rFonts w:ascii="Arial" w:hAnsi="Arial" w:cs="Arial"/>
          <w:sz w:val="24"/>
          <w:szCs w:val="24"/>
        </w:rPr>
        <w:t>.</w:t>
      </w:r>
      <w:r w:rsidRPr="009427D5">
        <w:rPr>
          <w:rFonts w:ascii="Arial" w:hAnsi="Arial" w:cs="Arial"/>
          <w:sz w:val="24"/>
          <w:szCs w:val="24"/>
        </w:rPr>
        <w:t>000 órdenes a diferentes entidades del Sistema Nacional de Atención y Reparación Integral a las Víctimas (SNARIV).</w:t>
      </w:r>
    </w:p>
    <w:p w:rsidR="009616AD" w:rsidRPr="009427D5" w:rsidRDefault="009616AD" w:rsidP="009616AD">
      <w:pPr>
        <w:spacing w:after="0" w:line="240" w:lineRule="auto"/>
        <w:jc w:val="both"/>
        <w:rPr>
          <w:rFonts w:ascii="Arial" w:hAnsi="Arial" w:cs="Arial"/>
          <w:sz w:val="24"/>
          <w:szCs w:val="24"/>
        </w:rPr>
      </w:pPr>
    </w:p>
    <w:p w:rsidR="009616AD" w:rsidRPr="009427D5" w:rsidRDefault="009616AD" w:rsidP="009616AD">
      <w:pPr>
        <w:spacing w:after="0" w:line="240" w:lineRule="auto"/>
        <w:jc w:val="both"/>
        <w:rPr>
          <w:rFonts w:ascii="Arial" w:hAnsi="Arial" w:cs="Arial"/>
          <w:sz w:val="24"/>
          <w:szCs w:val="24"/>
        </w:rPr>
      </w:pPr>
      <w:r w:rsidRPr="009427D5">
        <w:rPr>
          <w:rFonts w:ascii="Arial" w:hAnsi="Arial" w:cs="Arial"/>
          <w:sz w:val="24"/>
          <w:szCs w:val="24"/>
        </w:rPr>
        <w:t>Se llevó un proceso de capacitación a jueces y magistrados de restitución, con el objetivo de garantizar sistemas integrales acordes con los principios de justicia transicional. Así mismo, a los 15 módulos de formación ya existentes, se le sumaron tres (3) nuevos títulos a la colección y se efectuaron 39 talleres de capacitación.</w:t>
      </w:r>
    </w:p>
    <w:p w:rsidR="009616AD" w:rsidRPr="009427D5" w:rsidRDefault="009616AD" w:rsidP="009616AD">
      <w:pPr>
        <w:spacing w:after="0" w:line="240" w:lineRule="auto"/>
        <w:jc w:val="both"/>
        <w:rPr>
          <w:rFonts w:ascii="Arial" w:hAnsi="Arial" w:cs="Arial"/>
          <w:color w:val="FF0000"/>
          <w:sz w:val="24"/>
          <w:szCs w:val="24"/>
        </w:rPr>
      </w:pPr>
    </w:p>
    <w:p w:rsidR="009616AD" w:rsidRPr="009427D5" w:rsidRDefault="004139EE" w:rsidP="009616AD">
      <w:pPr>
        <w:spacing w:after="0" w:line="240" w:lineRule="auto"/>
        <w:jc w:val="both"/>
        <w:rPr>
          <w:rFonts w:ascii="Arial" w:hAnsi="Arial" w:cs="Arial"/>
          <w:i/>
          <w:sz w:val="24"/>
          <w:szCs w:val="24"/>
        </w:rPr>
      </w:pPr>
      <w:r w:rsidRPr="009427D5">
        <w:rPr>
          <w:rFonts w:ascii="Arial" w:hAnsi="Arial" w:cs="Arial"/>
          <w:i/>
          <w:sz w:val="24"/>
          <w:szCs w:val="24"/>
        </w:rPr>
        <w:t xml:space="preserve">2.2.3.6 </w:t>
      </w:r>
      <w:r w:rsidR="009616AD" w:rsidRPr="009427D5">
        <w:rPr>
          <w:rFonts w:ascii="Arial" w:hAnsi="Arial" w:cs="Arial"/>
          <w:i/>
          <w:sz w:val="24"/>
          <w:szCs w:val="24"/>
        </w:rPr>
        <w:t>Jurisdicción Especial Indígena</w:t>
      </w:r>
    </w:p>
    <w:p w:rsidR="009616AD" w:rsidRPr="009427D5" w:rsidRDefault="009616AD" w:rsidP="009616AD">
      <w:pPr>
        <w:spacing w:after="0" w:line="240" w:lineRule="auto"/>
        <w:jc w:val="both"/>
        <w:rPr>
          <w:rFonts w:ascii="Arial" w:hAnsi="Arial" w:cs="Arial"/>
          <w:color w:val="FF0000"/>
          <w:sz w:val="24"/>
          <w:szCs w:val="24"/>
        </w:rPr>
      </w:pPr>
    </w:p>
    <w:p w:rsidR="009616AD" w:rsidRPr="009427D5" w:rsidRDefault="009616AD" w:rsidP="009616AD">
      <w:pPr>
        <w:spacing w:after="0" w:line="240" w:lineRule="auto"/>
        <w:jc w:val="both"/>
        <w:rPr>
          <w:rFonts w:ascii="Arial" w:hAnsi="Arial" w:cs="Arial"/>
          <w:sz w:val="24"/>
          <w:szCs w:val="24"/>
        </w:rPr>
      </w:pPr>
      <w:r w:rsidRPr="009427D5">
        <w:rPr>
          <w:rFonts w:ascii="Arial" w:hAnsi="Arial" w:cs="Arial"/>
          <w:sz w:val="24"/>
          <w:szCs w:val="24"/>
        </w:rPr>
        <w:t>La Sala Administrativa como órgano encargado de la administración judicial tiene un deber constitucional de coordinación entre el Sistema de Justicia Nacional (SJN) y los sistemas jurídicos de los grupos étnicos.</w:t>
      </w:r>
    </w:p>
    <w:p w:rsidR="009616AD" w:rsidRPr="009427D5" w:rsidRDefault="009616AD" w:rsidP="009616AD">
      <w:pPr>
        <w:spacing w:after="0" w:line="240" w:lineRule="auto"/>
        <w:jc w:val="both"/>
        <w:rPr>
          <w:rFonts w:ascii="Arial" w:hAnsi="Arial" w:cs="Arial"/>
          <w:sz w:val="24"/>
          <w:szCs w:val="24"/>
        </w:rPr>
      </w:pPr>
    </w:p>
    <w:p w:rsidR="009616AD" w:rsidRPr="009427D5" w:rsidRDefault="009616AD" w:rsidP="009616AD">
      <w:pPr>
        <w:spacing w:after="0" w:line="240" w:lineRule="auto"/>
        <w:jc w:val="both"/>
        <w:rPr>
          <w:rFonts w:ascii="Arial" w:hAnsi="Arial" w:cs="Arial"/>
          <w:sz w:val="24"/>
          <w:szCs w:val="24"/>
        </w:rPr>
      </w:pPr>
      <w:r w:rsidRPr="009427D5">
        <w:rPr>
          <w:rFonts w:ascii="Arial" w:hAnsi="Arial" w:cs="Arial"/>
          <w:sz w:val="24"/>
          <w:szCs w:val="24"/>
        </w:rPr>
        <w:t xml:space="preserve">Para 2012, la Sala desarrolló su labor desde tres (3) líneas estratégicas: diagnóstico, coordinación y capacitación.  En relación con el diagnóstico se realizaron 5 Talleres Regionales de  coordinación de la Jurisdicción Especial </w:t>
      </w:r>
      <w:r w:rsidRPr="009427D5">
        <w:rPr>
          <w:rFonts w:ascii="Arial" w:hAnsi="Arial" w:cs="Arial"/>
          <w:sz w:val="24"/>
          <w:szCs w:val="24"/>
        </w:rPr>
        <w:lastRenderedPageBreak/>
        <w:t xml:space="preserve">Indígena y el SJN, que se llevaron a cabo en Cúcuta, Jardín (Antioquia), Leticia, Villavicencio y la Sierra Nevada de Santa Marta. Adicionalmente se realizaron talleres regionales de diagnóstico de restitución de territorios colectivos de comunidades indígenas. En relación con la coordinación, el Acuerdo PSAA12-9614 de 2012, estableció los medios de coordinación </w:t>
      </w:r>
      <w:proofErr w:type="spellStart"/>
      <w:r w:rsidRPr="009427D5">
        <w:rPr>
          <w:rFonts w:ascii="Arial" w:hAnsi="Arial" w:cs="Arial"/>
          <w:sz w:val="24"/>
          <w:szCs w:val="24"/>
        </w:rPr>
        <w:t>interjurisdiccional</w:t>
      </w:r>
      <w:proofErr w:type="spellEnd"/>
      <w:r w:rsidRPr="009427D5">
        <w:rPr>
          <w:rFonts w:ascii="Arial" w:hAnsi="Arial" w:cs="Arial"/>
          <w:sz w:val="24"/>
          <w:szCs w:val="24"/>
        </w:rPr>
        <w:t>.</w:t>
      </w:r>
    </w:p>
    <w:p w:rsidR="00BE2E84" w:rsidRDefault="00BE2E84" w:rsidP="009616AD">
      <w:pPr>
        <w:spacing w:after="0" w:line="240" w:lineRule="auto"/>
        <w:jc w:val="both"/>
        <w:rPr>
          <w:rFonts w:ascii="Arial" w:hAnsi="Arial" w:cs="Arial"/>
          <w:color w:val="FF0000"/>
          <w:sz w:val="24"/>
          <w:szCs w:val="24"/>
        </w:rPr>
      </w:pPr>
    </w:p>
    <w:p w:rsidR="009616AD" w:rsidRPr="009427D5" w:rsidRDefault="009616AD" w:rsidP="009616AD">
      <w:pPr>
        <w:spacing w:after="0" w:line="240" w:lineRule="auto"/>
        <w:jc w:val="both"/>
        <w:rPr>
          <w:rFonts w:ascii="Arial" w:hAnsi="Arial" w:cs="Arial"/>
          <w:i/>
          <w:sz w:val="24"/>
          <w:szCs w:val="24"/>
        </w:rPr>
      </w:pPr>
      <w:r w:rsidRPr="009427D5">
        <w:rPr>
          <w:rFonts w:ascii="Arial" w:hAnsi="Arial" w:cs="Arial"/>
          <w:color w:val="FF0000"/>
          <w:sz w:val="24"/>
          <w:szCs w:val="24"/>
        </w:rPr>
        <w:t xml:space="preserve"> </w:t>
      </w:r>
      <w:r w:rsidR="00164F2E" w:rsidRPr="009427D5">
        <w:rPr>
          <w:rFonts w:ascii="Arial" w:hAnsi="Arial" w:cs="Arial"/>
          <w:i/>
          <w:sz w:val="24"/>
          <w:szCs w:val="24"/>
        </w:rPr>
        <w:t>2.2.3.7</w:t>
      </w:r>
      <w:r w:rsidR="00531982" w:rsidRPr="009427D5">
        <w:rPr>
          <w:rFonts w:ascii="Arial" w:hAnsi="Arial" w:cs="Arial"/>
          <w:i/>
          <w:sz w:val="24"/>
          <w:szCs w:val="24"/>
        </w:rPr>
        <w:t xml:space="preserve"> </w:t>
      </w:r>
      <w:r w:rsidRPr="009427D5">
        <w:rPr>
          <w:rFonts w:ascii="Arial" w:hAnsi="Arial" w:cs="Arial"/>
          <w:i/>
          <w:sz w:val="24"/>
          <w:szCs w:val="24"/>
        </w:rPr>
        <w:t xml:space="preserve">Jurisdicción Especial </w:t>
      </w:r>
      <w:r w:rsidR="00164F2E" w:rsidRPr="009427D5">
        <w:rPr>
          <w:rFonts w:ascii="Arial" w:hAnsi="Arial" w:cs="Arial"/>
          <w:i/>
          <w:sz w:val="24"/>
          <w:szCs w:val="24"/>
        </w:rPr>
        <w:t xml:space="preserve">Jueces </w:t>
      </w:r>
      <w:r w:rsidRPr="009427D5">
        <w:rPr>
          <w:rFonts w:ascii="Arial" w:hAnsi="Arial" w:cs="Arial"/>
          <w:i/>
          <w:sz w:val="24"/>
          <w:szCs w:val="24"/>
        </w:rPr>
        <w:t>de Paz</w:t>
      </w:r>
    </w:p>
    <w:p w:rsidR="009616AD" w:rsidRPr="009427D5" w:rsidRDefault="009616AD" w:rsidP="009616AD">
      <w:pPr>
        <w:spacing w:after="0" w:line="240" w:lineRule="auto"/>
        <w:jc w:val="both"/>
        <w:rPr>
          <w:rFonts w:ascii="Arial" w:hAnsi="Arial" w:cs="Arial"/>
          <w:color w:val="FF0000"/>
          <w:sz w:val="24"/>
          <w:szCs w:val="24"/>
        </w:rPr>
      </w:pPr>
    </w:p>
    <w:p w:rsidR="009616AD" w:rsidRPr="009427D5" w:rsidRDefault="009616AD" w:rsidP="009616AD">
      <w:pPr>
        <w:spacing w:after="0" w:line="240" w:lineRule="auto"/>
        <w:jc w:val="both"/>
        <w:rPr>
          <w:rFonts w:ascii="Arial" w:hAnsi="Arial" w:cs="Arial"/>
          <w:sz w:val="24"/>
          <w:szCs w:val="24"/>
        </w:rPr>
      </w:pPr>
      <w:r w:rsidRPr="009427D5">
        <w:rPr>
          <w:rFonts w:ascii="Arial" w:hAnsi="Arial" w:cs="Arial"/>
          <w:sz w:val="24"/>
          <w:szCs w:val="24"/>
        </w:rPr>
        <w:t>La Constitución Nacional, capítulo 5 de las jurisdicciones especiales, artículo 247, dispone la creación de jueces de paz encargados de resolver en equidad conflictos individuales y comunitarios.</w:t>
      </w:r>
    </w:p>
    <w:p w:rsidR="009616AD" w:rsidRPr="009427D5" w:rsidRDefault="009616AD" w:rsidP="009616AD">
      <w:pPr>
        <w:spacing w:after="0" w:line="240" w:lineRule="auto"/>
        <w:jc w:val="both"/>
        <w:rPr>
          <w:rFonts w:ascii="Arial" w:hAnsi="Arial" w:cs="Arial"/>
          <w:sz w:val="24"/>
          <w:szCs w:val="24"/>
        </w:rPr>
      </w:pPr>
    </w:p>
    <w:p w:rsidR="009616AD" w:rsidRPr="009427D5" w:rsidRDefault="009616AD" w:rsidP="009616AD">
      <w:pPr>
        <w:spacing w:after="0" w:line="240" w:lineRule="auto"/>
        <w:jc w:val="both"/>
        <w:rPr>
          <w:rFonts w:ascii="Arial" w:hAnsi="Arial" w:cs="Arial"/>
          <w:sz w:val="24"/>
          <w:szCs w:val="24"/>
        </w:rPr>
      </w:pPr>
      <w:r w:rsidRPr="009427D5">
        <w:rPr>
          <w:rFonts w:ascii="Arial" w:hAnsi="Arial" w:cs="Arial"/>
          <w:sz w:val="24"/>
          <w:szCs w:val="24"/>
        </w:rPr>
        <w:t>La disposición constitucional se desarrolló mediante la Ley 497 de 1999 “</w:t>
      </w:r>
      <w:r w:rsidRPr="009427D5">
        <w:rPr>
          <w:rFonts w:ascii="Arial" w:hAnsi="Arial" w:cs="Arial"/>
          <w:i/>
          <w:sz w:val="24"/>
          <w:szCs w:val="24"/>
        </w:rPr>
        <w:t>Por la cual se crean los jueces de paz y se reglamenta su organización y funcionamiento</w:t>
      </w:r>
      <w:r w:rsidRPr="009427D5">
        <w:rPr>
          <w:rFonts w:ascii="Arial" w:hAnsi="Arial" w:cs="Arial"/>
          <w:sz w:val="24"/>
          <w:szCs w:val="24"/>
        </w:rPr>
        <w:t>”, la cual fue publicada el 11 de febrero de 1999 y entró a regir un año después de su promulgación, es decir, el 11 de febrero de 2000.</w:t>
      </w:r>
    </w:p>
    <w:p w:rsidR="009616AD" w:rsidRPr="009427D5" w:rsidRDefault="009616AD" w:rsidP="009616AD">
      <w:pPr>
        <w:spacing w:after="0" w:line="240" w:lineRule="auto"/>
        <w:jc w:val="both"/>
        <w:rPr>
          <w:rFonts w:ascii="Arial" w:hAnsi="Arial" w:cs="Arial"/>
          <w:sz w:val="24"/>
          <w:szCs w:val="24"/>
        </w:rPr>
      </w:pPr>
    </w:p>
    <w:p w:rsidR="009616AD" w:rsidRPr="009427D5" w:rsidRDefault="009616AD" w:rsidP="009616AD">
      <w:pPr>
        <w:spacing w:after="0" w:line="240" w:lineRule="auto"/>
        <w:jc w:val="both"/>
        <w:rPr>
          <w:rFonts w:ascii="Arial" w:hAnsi="Arial" w:cs="Arial"/>
          <w:sz w:val="24"/>
          <w:szCs w:val="24"/>
        </w:rPr>
      </w:pPr>
      <w:r w:rsidRPr="009427D5">
        <w:rPr>
          <w:rFonts w:ascii="Arial" w:hAnsi="Arial" w:cs="Arial"/>
          <w:sz w:val="24"/>
          <w:szCs w:val="24"/>
        </w:rPr>
        <w:t>El objeto de la citada ley señala: La jurisdicción de paz busca el tratamiento integral y pacífico de los conflictos comunitarios o particulares que voluntariamente se sometan a su conocimiento.</w:t>
      </w:r>
    </w:p>
    <w:p w:rsidR="00102456" w:rsidRPr="009427D5" w:rsidRDefault="00102456" w:rsidP="009616AD">
      <w:pPr>
        <w:spacing w:after="0" w:line="240" w:lineRule="auto"/>
        <w:jc w:val="both"/>
        <w:rPr>
          <w:rFonts w:ascii="Arial" w:hAnsi="Arial" w:cs="Arial"/>
          <w:sz w:val="24"/>
          <w:szCs w:val="24"/>
        </w:rPr>
      </w:pPr>
    </w:p>
    <w:p w:rsidR="009616AD" w:rsidRPr="009427D5" w:rsidRDefault="009616AD" w:rsidP="009616AD">
      <w:pPr>
        <w:spacing w:after="0" w:line="240" w:lineRule="auto"/>
        <w:jc w:val="both"/>
        <w:rPr>
          <w:rFonts w:ascii="Arial" w:hAnsi="Arial" w:cs="Arial"/>
          <w:sz w:val="24"/>
          <w:szCs w:val="24"/>
        </w:rPr>
      </w:pPr>
      <w:r w:rsidRPr="009427D5">
        <w:rPr>
          <w:rFonts w:ascii="Arial" w:hAnsi="Arial" w:cs="Arial"/>
          <w:sz w:val="24"/>
          <w:szCs w:val="24"/>
        </w:rPr>
        <w:t>De otra parte,  dispuso, que el Consejo Superior de la Judicatura deberá incluir dentro del proyecto de presupuesto de la Rama Judicial, las partidas necesarias para la financiación de justicia y paz; organizar y ejecutar el Programa General de Formación de Jueces de Paz y de Reconsideración e implementar un Programa de Seguimiento, Mejoramiento y Control de esta Jurisdicción.</w:t>
      </w:r>
    </w:p>
    <w:p w:rsidR="009616AD" w:rsidRPr="009427D5" w:rsidRDefault="009616AD" w:rsidP="009616AD">
      <w:pPr>
        <w:spacing w:after="0" w:line="240" w:lineRule="auto"/>
        <w:jc w:val="both"/>
        <w:rPr>
          <w:rFonts w:ascii="Arial" w:hAnsi="Arial" w:cs="Arial"/>
          <w:sz w:val="24"/>
          <w:szCs w:val="24"/>
        </w:rPr>
      </w:pPr>
    </w:p>
    <w:p w:rsidR="009616AD" w:rsidRPr="009427D5" w:rsidRDefault="009616AD" w:rsidP="009616AD">
      <w:pPr>
        <w:spacing w:after="0" w:line="240" w:lineRule="auto"/>
        <w:jc w:val="both"/>
        <w:rPr>
          <w:rFonts w:ascii="Arial" w:hAnsi="Arial" w:cs="Arial"/>
          <w:sz w:val="24"/>
          <w:szCs w:val="24"/>
        </w:rPr>
      </w:pPr>
      <w:r w:rsidRPr="009427D5">
        <w:rPr>
          <w:rFonts w:ascii="Arial" w:hAnsi="Arial" w:cs="Arial"/>
          <w:sz w:val="24"/>
          <w:szCs w:val="24"/>
        </w:rPr>
        <w:t>El Consejo Superior de la Judicatura, mediante el Acuerdo No. PSAA08-4977 de julio 23 de 2008 “</w:t>
      </w:r>
      <w:r w:rsidRPr="009427D5">
        <w:rPr>
          <w:rFonts w:ascii="Arial" w:hAnsi="Arial" w:cs="Arial"/>
          <w:i/>
          <w:sz w:val="24"/>
          <w:szCs w:val="24"/>
        </w:rPr>
        <w:t>Por el cual se reglamenta la Jurisdicción Especial de Paz</w:t>
      </w:r>
      <w:r w:rsidRPr="009427D5">
        <w:rPr>
          <w:rFonts w:ascii="Arial" w:hAnsi="Arial" w:cs="Arial"/>
          <w:sz w:val="24"/>
          <w:szCs w:val="24"/>
        </w:rPr>
        <w:t>”, señaló los temas de financiamiento, seguimiento y mejoramiento de la jurisdicción. El cual fue modificado y adicionado con el Acuerdo No. PSAA08-5300 del 4 de noviembre de 2008 “</w:t>
      </w:r>
      <w:r w:rsidRPr="009427D5">
        <w:rPr>
          <w:rFonts w:ascii="Arial" w:hAnsi="Arial" w:cs="Arial"/>
          <w:i/>
          <w:sz w:val="24"/>
          <w:szCs w:val="24"/>
        </w:rPr>
        <w:t>Por el cual se modifican y adicionan los Artículos Cuarto y Noveno del Acuerdo No. PSAA08 – 4977 de 2008</w:t>
      </w:r>
      <w:r w:rsidRPr="009427D5">
        <w:rPr>
          <w:rFonts w:ascii="Arial" w:hAnsi="Arial" w:cs="Arial"/>
          <w:sz w:val="24"/>
          <w:szCs w:val="24"/>
        </w:rPr>
        <w:t>” en el sentido de asignar la responsabilidad de los Consejo Seccionales de la Judicatura para “</w:t>
      </w:r>
      <w:r w:rsidRPr="009427D5">
        <w:rPr>
          <w:rFonts w:ascii="Arial" w:hAnsi="Arial" w:cs="Arial"/>
          <w:i/>
          <w:sz w:val="24"/>
          <w:szCs w:val="24"/>
        </w:rPr>
        <w:t>Coordinar con la Sala Administrativa del Consejo Superior de la Judicatura, la implementación de los Comités Interinstitucionales de la Jurisdicción de Paz Regionales y poner en funcionamiento los comités municipales, para efectos de cumplir con la labor de seguimiento, mejoramiento y control de la jurisdicción</w:t>
      </w:r>
      <w:r w:rsidRPr="009427D5">
        <w:rPr>
          <w:rFonts w:ascii="Arial" w:hAnsi="Arial" w:cs="Arial"/>
          <w:sz w:val="24"/>
          <w:szCs w:val="24"/>
        </w:rPr>
        <w:t>”.</w:t>
      </w:r>
    </w:p>
    <w:p w:rsidR="009616AD" w:rsidRPr="009427D5" w:rsidRDefault="009616AD" w:rsidP="009616AD">
      <w:pPr>
        <w:autoSpaceDE w:val="0"/>
        <w:autoSpaceDN w:val="0"/>
        <w:adjustRightInd w:val="0"/>
        <w:spacing w:after="0" w:line="240" w:lineRule="auto"/>
        <w:jc w:val="both"/>
        <w:rPr>
          <w:rFonts w:ascii="Arial" w:hAnsi="Arial" w:cs="Arial"/>
          <w:sz w:val="24"/>
          <w:szCs w:val="24"/>
        </w:rPr>
      </w:pPr>
    </w:p>
    <w:p w:rsidR="009616AD" w:rsidRDefault="009616AD" w:rsidP="009616AD">
      <w:pPr>
        <w:autoSpaceDE w:val="0"/>
        <w:autoSpaceDN w:val="0"/>
        <w:adjustRightInd w:val="0"/>
        <w:spacing w:after="0" w:line="240" w:lineRule="auto"/>
        <w:jc w:val="both"/>
        <w:rPr>
          <w:rFonts w:ascii="Arial" w:hAnsi="Arial" w:cs="Arial"/>
          <w:sz w:val="24"/>
          <w:szCs w:val="24"/>
        </w:rPr>
      </w:pPr>
      <w:r w:rsidRPr="009427D5">
        <w:rPr>
          <w:rFonts w:ascii="Arial" w:hAnsi="Arial" w:cs="Arial"/>
          <w:sz w:val="24"/>
          <w:szCs w:val="24"/>
        </w:rPr>
        <w:t>Para la vigencia 2011, la Sala Administrativa del Consejo Superior de la Judicatura, impartió directrices y precisó los alcances de las facultades conferidas a los jueces de paz por el artículo 37 de la Ley 497 de 1999, para dilucidar la controversia presentada respecto a la facultad excepcional “</w:t>
      </w:r>
      <w:r w:rsidRPr="009427D5">
        <w:rPr>
          <w:rFonts w:ascii="Arial" w:hAnsi="Arial" w:cs="Arial"/>
          <w:i/>
          <w:sz w:val="24"/>
          <w:szCs w:val="24"/>
        </w:rPr>
        <w:t xml:space="preserve">De manera </w:t>
      </w:r>
      <w:r w:rsidRPr="009427D5">
        <w:rPr>
          <w:rFonts w:ascii="Arial" w:hAnsi="Arial" w:cs="Arial"/>
          <w:i/>
          <w:sz w:val="24"/>
          <w:szCs w:val="24"/>
        </w:rPr>
        <w:lastRenderedPageBreak/>
        <w:t>excepcional, los Jueces de Paz podrán comisionar a los inspectores de policía para realizar la diligencia de entrega de bien arrendado, siempre y cuando así se hubiere pactado en conciliación u ordenado en sentencia de equidad, y con el cumplimiento pleno del debido proceso, como lo ha señalado la Corte Constitucional en la sentencia T-638 de 2010, so pena de incurrir en faltas disciplinarias o penales</w:t>
      </w:r>
      <w:r w:rsidRPr="009427D5">
        <w:rPr>
          <w:rFonts w:ascii="Arial" w:hAnsi="Arial" w:cs="Arial"/>
          <w:sz w:val="24"/>
          <w:szCs w:val="24"/>
        </w:rPr>
        <w:t>”</w:t>
      </w:r>
    </w:p>
    <w:p w:rsidR="0036031F" w:rsidRPr="009427D5" w:rsidRDefault="0036031F" w:rsidP="009616AD">
      <w:pPr>
        <w:autoSpaceDE w:val="0"/>
        <w:autoSpaceDN w:val="0"/>
        <w:adjustRightInd w:val="0"/>
        <w:spacing w:after="0" w:line="240" w:lineRule="auto"/>
        <w:jc w:val="both"/>
        <w:rPr>
          <w:rFonts w:ascii="Arial" w:hAnsi="Arial" w:cs="Arial"/>
          <w:sz w:val="24"/>
          <w:szCs w:val="24"/>
        </w:rPr>
      </w:pPr>
    </w:p>
    <w:p w:rsidR="009616AD" w:rsidRPr="009427D5" w:rsidRDefault="009616AD" w:rsidP="009616AD">
      <w:pPr>
        <w:autoSpaceDE w:val="0"/>
        <w:autoSpaceDN w:val="0"/>
        <w:adjustRightInd w:val="0"/>
        <w:spacing w:after="0" w:line="240" w:lineRule="auto"/>
        <w:jc w:val="both"/>
        <w:rPr>
          <w:rFonts w:ascii="Arial" w:hAnsi="Arial" w:cs="Arial"/>
          <w:sz w:val="24"/>
          <w:szCs w:val="24"/>
        </w:rPr>
      </w:pPr>
      <w:r w:rsidRPr="009427D5">
        <w:rPr>
          <w:rFonts w:ascii="Arial" w:hAnsi="Arial" w:cs="Arial"/>
          <w:sz w:val="24"/>
          <w:szCs w:val="24"/>
        </w:rPr>
        <w:t>El análisis de datos reportados por los jueces de paz y reconsideración para el periodo 2007 – 2011, arroja que la gestión predominante es la conciliación, que presentó un incremento de 1.8% en el año 2007 a 22.6% en el 2011. El desistimiento presentó un decrecimiento de cerca de diez puntos porcentuales entre el 2007 y el 2011 y la remisión descendió once puntos entre 2010 y 2011. Para el año 2011, los jueces de paz atendieron 2.466 procesos.</w:t>
      </w:r>
    </w:p>
    <w:p w:rsidR="009616AD" w:rsidRPr="009427D5" w:rsidRDefault="009616AD" w:rsidP="009616AD">
      <w:pPr>
        <w:autoSpaceDE w:val="0"/>
        <w:autoSpaceDN w:val="0"/>
        <w:adjustRightInd w:val="0"/>
        <w:spacing w:after="0" w:line="240" w:lineRule="auto"/>
        <w:jc w:val="both"/>
        <w:rPr>
          <w:rFonts w:ascii="Arial" w:hAnsi="Arial" w:cs="Arial"/>
          <w:sz w:val="24"/>
          <w:szCs w:val="24"/>
        </w:rPr>
      </w:pPr>
    </w:p>
    <w:p w:rsidR="009616AD" w:rsidRPr="009427D5" w:rsidRDefault="009616AD" w:rsidP="009616AD">
      <w:pPr>
        <w:autoSpaceDE w:val="0"/>
        <w:autoSpaceDN w:val="0"/>
        <w:adjustRightInd w:val="0"/>
        <w:spacing w:after="0" w:line="240" w:lineRule="auto"/>
        <w:jc w:val="both"/>
        <w:rPr>
          <w:rFonts w:ascii="Arial" w:hAnsi="Arial" w:cs="Arial"/>
          <w:b/>
          <w:sz w:val="24"/>
          <w:szCs w:val="24"/>
        </w:rPr>
      </w:pPr>
      <w:r w:rsidRPr="009427D5">
        <w:rPr>
          <w:rFonts w:ascii="Arial" w:hAnsi="Arial" w:cs="Arial"/>
          <w:sz w:val="24"/>
          <w:szCs w:val="24"/>
        </w:rPr>
        <w:t>El 20 septiembre de 2012, la Sala Administrativa del Consejo Seccional de la Judicatura de Bogotá,  implementó el Comité Interinstitucional de la Jurisdicción de Paz Regional con la participación de la</w:t>
      </w:r>
      <w:r w:rsidR="00373463" w:rsidRPr="009427D5">
        <w:rPr>
          <w:rFonts w:ascii="Arial" w:hAnsi="Arial" w:cs="Arial"/>
          <w:sz w:val="24"/>
          <w:szCs w:val="24"/>
        </w:rPr>
        <w:t xml:space="preserve"> </w:t>
      </w:r>
      <w:r w:rsidRPr="009427D5">
        <w:rPr>
          <w:rFonts w:ascii="Arial" w:hAnsi="Arial" w:cs="Arial"/>
          <w:sz w:val="24"/>
          <w:szCs w:val="24"/>
        </w:rPr>
        <w:t xml:space="preserve">Sala Administrativa del Consejo Superior de la Judicatura, la Unidad de Desarrollo y Análisis Estadístico, el Registro Nacional de Abogados, la Dirección Ejecutiva Seccional de Bogotá-Cundinamarca, Secretaría de Gobierno de la Alcaldía de Bogotá, Alcaldías Locales de Bogotá, Contraloría, Procuraduría, algunas Universidades, los jueces de Paz y de Paz de Reconsideración, los Decanos de las Facultades de Derecho de las Universidades, el Director Ejecutivo de PARTNERS Colombia (ONG), para efectos de cumplir con la labor de seguimiento, mejoramiento y control de la jurisdicción. </w:t>
      </w:r>
    </w:p>
    <w:p w:rsidR="00E735A1" w:rsidRPr="009427D5" w:rsidRDefault="00E735A1" w:rsidP="009616AD">
      <w:pPr>
        <w:autoSpaceDE w:val="0"/>
        <w:autoSpaceDN w:val="0"/>
        <w:adjustRightInd w:val="0"/>
        <w:spacing w:after="0" w:line="240" w:lineRule="auto"/>
        <w:jc w:val="both"/>
        <w:rPr>
          <w:rFonts w:ascii="Arial" w:hAnsi="Arial" w:cs="Arial"/>
          <w:sz w:val="24"/>
          <w:szCs w:val="24"/>
        </w:rPr>
      </w:pPr>
    </w:p>
    <w:p w:rsidR="009616AD" w:rsidRPr="009427D5" w:rsidRDefault="009616AD" w:rsidP="009616AD">
      <w:pPr>
        <w:autoSpaceDE w:val="0"/>
        <w:autoSpaceDN w:val="0"/>
        <w:adjustRightInd w:val="0"/>
        <w:spacing w:after="0" w:line="240" w:lineRule="auto"/>
        <w:jc w:val="both"/>
        <w:rPr>
          <w:rFonts w:ascii="Arial" w:hAnsi="Arial" w:cs="Arial"/>
          <w:sz w:val="24"/>
          <w:szCs w:val="24"/>
        </w:rPr>
      </w:pPr>
      <w:r w:rsidRPr="009427D5">
        <w:rPr>
          <w:rFonts w:ascii="Arial" w:hAnsi="Arial" w:cs="Arial"/>
          <w:sz w:val="24"/>
          <w:szCs w:val="24"/>
        </w:rPr>
        <w:t>Para la vigencia 2012, en la gestión de Jueces de Paz, continúo predominando la conciliación, que representa 93%  y sólo 3.4%  con decisión de fondo o fallo del total de casos conocidos por esta jurisdicción a nivel nacional.</w:t>
      </w:r>
    </w:p>
    <w:p w:rsidR="009616AD" w:rsidRPr="009427D5" w:rsidRDefault="009616AD" w:rsidP="009616AD">
      <w:pPr>
        <w:spacing w:after="0" w:line="240" w:lineRule="auto"/>
        <w:jc w:val="both"/>
        <w:rPr>
          <w:rFonts w:ascii="Arial" w:hAnsi="Arial" w:cs="Arial"/>
          <w:sz w:val="24"/>
          <w:szCs w:val="24"/>
        </w:rPr>
      </w:pPr>
    </w:p>
    <w:p w:rsidR="009616AD" w:rsidRPr="009427D5" w:rsidRDefault="009616AD" w:rsidP="009616AD">
      <w:pPr>
        <w:spacing w:after="0" w:line="240" w:lineRule="auto"/>
        <w:jc w:val="both"/>
        <w:rPr>
          <w:rFonts w:ascii="Arial" w:hAnsi="Arial" w:cs="Arial"/>
          <w:sz w:val="24"/>
          <w:szCs w:val="24"/>
        </w:rPr>
      </w:pPr>
      <w:r w:rsidRPr="009427D5">
        <w:rPr>
          <w:rFonts w:ascii="Arial" w:hAnsi="Arial" w:cs="Arial"/>
          <w:sz w:val="24"/>
          <w:szCs w:val="24"/>
        </w:rPr>
        <w:t>El mayor porcentaje de asuntos atendidos se refieren</w:t>
      </w:r>
      <w:r w:rsidR="00F52E1D" w:rsidRPr="009427D5">
        <w:rPr>
          <w:rFonts w:ascii="Arial" w:hAnsi="Arial" w:cs="Arial"/>
          <w:sz w:val="24"/>
          <w:szCs w:val="24"/>
        </w:rPr>
        <w:t xml:space="preserve"> a conflictos</w:t>
      </w:r>
      <w:r w:rsidRPr="009427D5">
        <w:rPr>
          <w:rFonts w:ascii="Arial" w:hAnsi="Arial" w:cs="Arial"/>
          <w:sz w:val="24"/>
          <w:szCs w:val="24"/>
        </w:rPr>
        <w:t xml:space="preserve"> entre personas que para el 2011 presentó un 24.8% y para 2012, 21%, predominando los conflictos de arrendamiento</w:t>
      </w:r>
      <w:r w:rsidR="00F52E1D" w:rsidRPr="009427D5">
        <w:rPr>
          <w:rFonts w:ascii="Arial" w:hAnsi="Arial" w:cs="Arial"/>
          <w:sz w:val="24"/>
          <w:szCs w:val="24"/>
        </w:rPr>
        <w:t>,</w:t>
      </w:r>
      <w:r w:rsidRPr="009427D5">
        <w:rPr>
          <w:rFonts w:ascii="Arial" w:hAnsi="Arial" w:cs="Arial"/>
          <w:sz w:val="24"/>
          <w:szCs w:val="24"/>
        </w:rPr>
        <w:t xml:space="preserve"> seguido de conflictos familiares, con una participación </w:t>
      </w:r>
      <w:r w:rsidRPr="009427D5">
        <w:rPr>
          <w:rFonts w:ascii="Arial" w:hAnsi="Arial" w:cs="Arial"/>
          <w:color w:val="000000" w:themeColor="text1"/>
          <w:sz w:val="24"/>
          <w:szCs w:val="24"/>
        </w:rPr>
        <w:t>de 15% y 19%,</w:t>
      </w:r>
      <w:r w:rsidRPr="009427D5">
        <w:rPr>
          <w:rFonts w:ascii="Arial" w:hAnsi="Arial" w:cs="Arial"/>
          <w:sz w:val="24"/>
          <w:szCs w:val="24"/>
        </w:rPr>
        <w:t xml:space="preserve"> respectivamente. Los asuntos comunitarios tuvieron una participación del 9.7% y 10% para cada una de las vigencias.</w:t>
      </w:r>
    </w:p>
    <w:p w:rsidR="007C3095" w:rsidRPr="009427D5" w:rsidRDefault="007C3095" w:rsidP="009616AD">
      <w:pPr>
        <w:spacing w:after="0" w:line="240" w:lineRule="auto"/>
        <w:jc w:val="both"/>
        <w:rPr>
          <w:rFonts w:ascii="Arial" w:hAnsi="Arial" w:cs="Arial"/>
          <w:sz w:val="24"/>
          <w:szCs w:val="24"/>
        </w:rPr>
      </w:pPr>
    </w:p>
    <w:p w:rsidR="00164F2E" w:rsidRPr="009427D5" w:rsidRDefault="00164F2E" w:rsidP="00164F2E">
      <w:pPr>
        <w:spacing w:after="0" w:line="240" w:lineRule="auto"/>
        <w:jc w:val="both"/>
        <w:rPr>
          <w:rFonts w:ascii="Arial" w:hAnsi="Arial" w:cs="Arial"/>
          <w:i/>
          <w:sz w:val="24"/>
          <w:szCs w:val="24"/>
        </w:rPr>
      </w:pPr>
      <w:r w:rsidRPr="009427D5">
        <w:rPr>
          <w:rFonts w:ascii="Arial" w:hAnsi="Arial" w:cs="Arial"/>
          <w:i/>
          <w:color w:val="000000" w:themeColor="text1"/>
          <w:sz w:val="24"/>
          <w:szCs w:val="24"/>
        </w:rPr>
        <w:t>2.2.3.8</w:t>
      </w:r>
      <w:r w:rsidRPr="009427D5">
        <w:rPr>
          <w:rFonts w:ascii="Arial" w:hAnsi="Arial" w:cs="Arial"/>
          <w:color w:val="000000" w:themeColor="text1"/>
          <w:sz w:val="24"/>
          <w:szCs w:val="24"/>
        </w:rPr>
        <w:t xml:space="preserve"> </w:t>
      </w:r>
      <w:r w:rsidR="004A11F4" w:rsidRPr="009427D5">
        <w:rPr>
          <w:rFonts w:ascii="Arial" w:hAnsi="Arial" w:cs="Arial"/>
          <w:color w:val="000000" w:themeColor="text1"/>
          <w:sz w:val="24"/>
          <w:szCs w:val="24"/>
        </w:rPr>
        <w:t xml:space="preserve"> </w:t>
      </w:r>
      <w:r w:rsidRPr="009427D5">
        <w:rPr>
          <w:rFonts w:ascii="Arial" w:hAnsi="Arial" w:cs="Arial"/>
          <w:i/>
          <w:sz w:val="24"/>
          <w:szCs w:val="24"/>
        </w:rPr>
        <w:t>Ley de Justicia y Paz Transicional</w:t>
      </w:r>
    </w:p>
    <w:p w:rsidR="00164F2E" w:rsidRPr="009427D5" w:rsidRDefault="00164F2E" w:rsidP="00164F2E">
      <w:pPr>
        <w:spacing w:after="0" w:line="240" w:lineRule="auto"/>
        <w:jc w:val="both"/>
        <w:rPr>
          <w:rFonts w:ascii="Arial" w:hAnsi="Arial" w:cs="Arial"/>
          <w:color w:val="FF0000"/>
          <w:sz w:val="24"/>
          <w:szCs w:val="24"/>
        </w:rPr>
      </w:pPr>
    </w:p>
    <w:p w:rsidR="00164F2E" w:rsidRPr="009427D5" w:rsidRDefault="00164F2E" w:rsidP="00164F2E">
      <w:pPr>
        <w:spacing w:after="0" w:line="240" w:lineRule="auto"/>
        <w:jc w:val="both"/>
        <w:rPr>
          <w:rFonts w:ascii="Arial" w:hAnsi="Arial" w:cs="Arial"/>
          <w:sz w:val="24"/>
          <w:szCs w:val="24"/>
        </w:rPr>
      </w:pPr>
      <w:r w:rsidRPr="009427D5">
        <w:rPr>
          <w:rFonts w:ascii="Arial" w:hAnsi="Arial" w:cs="Arial"/>
          <w:sz w:val="24"/>
          <w:szCs w:val="24"/>
        </w:rPr>
        <w:t xml:space="preserve">Con la expedición de la Ley 975 de 2005 se pretende la verdad judicial sobre los actos delictivos cometidos por los grupos armados con el propósito de que la sociedad y especialmente las víctimas, conozcan los hechos acontecidos. Para dar cumplimiento con lo establecido en la Ley, durante 2011, la Sala Administrativa, aprobó la creación de dos Salas de Justicia y Paz con función de conocimiento en los Tribunales Superiores de Medellín y Barranquilla y con </w:t>
      </w:r>
      <w:r w:rsidRPr="009427D5">
        <w:rPr>
          <w:rFonts w:ascii="Arial" w:hAnsi="Arial" w:cs="Arial"/>
          <w:sz w:val="24"/>
          <w:szCs w:val="24"/>
        </w:rPr>
        <w:lastRenderedPageBreak/>
        <w:t>función de Control de Garantías, en los Tribunales Superiores de Bogotá y Bucaramanga.</w:t>
      </w:r>
    </w:p>
    <w:p w:rsidR="00164F2E" w:rsidRPr="009427D5" w:rsidRDefault="00164F2E" w:rsidP="00164F2E">
      <w:pPr>
        <w:spacing w:after="0" w:line="240" w:lineRule="auto"/>
        <w:jc w:val="both"/>
        <w:rPr>
          <w:rFonts w:ascii="Arial" w:hAnsi="Arial" w:cs="Arial"/>
          <w:sz w:val="24"/>
          <w:szCs w:val="24"/>
        </w:rPr>
      </w:pPr>
    </w:p>
    <w:p w:rsidR="00164F2E" w:rsidRDefault="00164F2E" w:rsidP="00164F2E">
      <w:pPr>
        <w:spacing w:after="0" w:line="240" w:lineRule="auto"/>
        <w:jc w:val="both"/>
        <w:rPr>
          <w:rFonts w:ascii="Arial" w:hAnsi="Arial" w:cs="Arial"/>
          <w:sz w:val="24"/>
          <w:szCs w:val="24"/>
        </w:rPr>
      </w:pPr>
      <w:r w:rsidRPr="009427D5">
        <w:rPr>
          <w:rFonts w:ascii="Arial" w:hAnsi="Arial" w:cs="Arial"/>
          <w:sz w:val="24"/>
          <w:szCs w:val="24"/>
        </w:rPr>
        <w:t>Para 2012, la especialidad penal contó con 15 despachos de Magistrados (10 de Conocimiento y 5 de Control de Garantías),  distribuidos en Bogotá, Barranquilla, Medellín y Bucaramanga, conformaron un equipo de 15 funcionarios y 57 empleados, para un total de 72 servidores públicos.</w:t>
      </w:r>
    </w:p>
    <w:p w:rsidR="0036031F" w:rsidRPr="009427D5" w:rsidRDefault="0036031F" w:rsidP="00164F2E">
      <w:pPr>
        <w:spacing w:after="0" w:line="240" w:lineRule="auto"/>
        <w:jc w:val="both"/>
        <w:rPr>
          <w:rFonts w:ascii="Arial" w:hAnsi="Arial" w:cs="Arial"/>
          <w:sz w:val="24"/>
          <w:szCs w:val="24"/>
        </w:rPr>
      </w:pPr>
    </w:p>
    <w:p w:rsidR="00164F2E" w:rsidRPr="009427D5" w:rsidRDefault="00164F2E" w:rsidP="00164F2E">
      <w:pPr>
        <w:spacing w:after="0" w:line="240" w:lineRule="auto"/>
        <w:jc w:val="both"/>
        <w:rPr>
          <w:rFonts w:ascii="Arial" w:hAnsi="Arial" w:cs="Arial"/>
          <w:color w:val="000000" w:themeColor="text1"/>
          <w:sz w:val="24"/>
          <w:szCs w:val="24"/>
        </w:rPr>
      </w:pPr>
      <w:r w:rsidRPr="009427D5">
        <w:rPr>
          <w:rFonts w:ascii="Arial" w:hAnsi="Arial" w:cs="Arial"/>
          <w:color w:val="000000" w:themeColor="text1"/>
          <w:sz w:val="24"/>
          <w:szCs w:val="24"/>
        </w:rPr>
        <w:t>De acuerdo con la información suministrada por la Entidad, para 2013, en el caso de presentarse una eventual negociación con las FARC, conllevaría necesariamente a la ampliación de la oferta de servicios de justicia, acompañada del fortalecimiento de los recursos financieros, de capital, humanos,  tecnológicos y capacitación, mínimos para que el Estado, en cabeza del Poder Judicial, pueda garantizar la protección de los derechos de las víctimas y victimarios, inmersos en el conflicto armado, directamente relacionados con acciones de este grupo armado.</w:t>
      </w:r>
    </w:p>
    <w:p w:rsidR="00164F2E" w:rsidRPr="009427D5" w:rsidRDefault="00164F2E" w:rsidP="00164F2E">
      <w:pPr>
        <w:spacing w:after="0" w:line="240" w:lineRule="auto"/>
        <w:jc w:val="both"/>
        <w:rPr>
          <w:rFonts w:ascii="Arial" w:hAnsi="Arial" w:cs="Arial"/>
          <w:color w:val="000000" w:themeColor="text1"/>
          <w:sz w:val="24"/>
          <w:szCs w:val="24"/>
        </w:rPr>
      </w:pPr>
    </w:p>
    <w:p w:rsidR="00164F2E" w:rsidRPr="009427D5" w:rsidRDefault="00164F2E" w:rsidP="00164F2E">
      <w:pPr>
        <w:spacing w:after="0" w:line="240" w:lineRule="auto"/>
        <w:jc w:val="both"/>
        <w:rPr>
          <w:rFonts w:ascii="Arial" w:hAnsi="Arial" w:cs="Arial"/>
          <w:color w:val="000000" w:themeColor="text1"/>
          <w:sz w:val="24"/>
          <w:szCs w:val="24"/>
        </w:rPr>
      </w:pPr>
      <w:r w:rsidRPr="009427D5">
        <w:rPr>
          <w:rFonts w:ascii="Arial" w:hAnsi="Arial" w:cs="Arial"/>
          <w:color w:val="000000" w:themeColor="text1"/>
          <w:sz w:val="24"/>
          <w:szCs w:val="24"/>
        </w:rPr>
        <w:t>Para este año, la especialidad contó  con 15 despachos de Magistrados (10 de Conocimiento y 5 de Control de Garantías), igual que en 2012, en las mismas regiones y con la misma planta de personal.</w:t>
      </w:r>
    </w:p>
    <w:p w:rsidR="00164F2E" w:rsidRPr="009427D5" w:rsidRDefault="00164F2E" w:rsidP="00164F2E">
      <w:pPr>
        <w:spacing w:after="0" w:line="240" w:lineRule="auto"/>
        <w:jc w:val="both"/>
        <w:rPr>
          <w:rFonts w:ascii="Arial" w:hAnsi="Arial" w:cs="Arial"/>
          <w:color w:val="000000" w:themeColor="text1"/>
          <w:sz w:val="24"/>
          <w:szCs w:val="24"/>
        </w:rPr>
      </w:pPr>
    </w:p>
    <w:p w:rsidR="00164F2E" w:rsidRPr="009427D5" w:rsidRDefault="00164F2E" w:rsidP="00164F2E">
      <w:pPr>
        <w:spacing w:after="0" w:line="240" w:lineRule="auto"/>
        <w:jc w:val="both"/>
        <w:rPr>
          <w:rFonts w:ascii="Arial" w:hAnsi="Arial" w:cs="Arial"/>
          <w:sz w:val="24"/>
          <w:szCs w:val="24"/>
        </w:rPr>
      </w:pPr>
      <w:r w:rsidRPr="009427D5">
        <w:rPr>
          <w:rFonts w:ascii="Arial" w:hAnsi="Arial" w:cs="Arial"/>
          <w:sz w:val="24"/>
          <w:szCs w:val="24"/>
        </w:rPr>
        <w:t>El movimiento estadístico que presentaron los respectivos tribunales a diciembre de 2013 es el siguiente:</w:t>
      </w:r>
    </w:p>
    <w:p w:rsidR="00164F2E" w:rsidRPr="009427D5" w:rsidRDefault="00164F2E" w:rsidP="00164F2E">
      <w:pPr>
        <w:spacing w:after="0" w:line="240" w:lineRule="auto"/>
        <w:jc w:val="both"/>
        <w:rPr>
          <w:rFonts w:ascii="Arial" w:hAnsi="Arial" w:cs="Arial"/>
          <w:sz w:val="24"/>
          <w:szCs w:val="24"/>
        </w:rPr>
      </w:pPr>
    </w:p>
    <w:p w:rsidR="00164F2E" w:rsidRPr="009427D5" w:rsidRDefault="00164F2E" w:rsidP="00164F2E">
      <w:pPr>
        <w:pStyle w:val="Prrafodelista"/>
        <w:numPr>
          <w:ilvl w:val="0"/>
          <w:numId w:val="19"/>
        </w:numPr>
        <w:spacing w:after="0" w:line="240" w:lineRule="auto"/>
        <w:jc w:val="both"/>
        <w:rPr>
          <w:rFonts w:ascii="Arial" w:hAnsi="Arial" w:cs="Arial"/>
          <w:sz w:val="24"/>
          <w:szCs w:val="24"/>
        </w:rPr>
      </w:pPr>
      <w:r w:rsidRPr="009427D5">
        <w:rPr>
          <w:rFonts w:ascii="Arial" w:hAnsi="Arial" w:cs="Arial"/>
          <w:sz w:val="24"/>
          <w:szCs w:val="24"/>
        </w:rPr>
        <w:t>El Tribunal de Justicia y Paz de Barranquilla reporta un total de 114 postulados y se realizaron 92 audiencias.</w:t>
      </w:r>
    </w:p>
    <w:p w:rsidR="00164F2E" w:rsidRPr="009427D5" w:rsidRDefault="00164F2E" w:rsidP="00164F2E">
      <w:pPr>
        <w:pStyle w:val="Prrafodelista"/>
        <w:numPr>
          <w:ilvl w:val="0"/>
          <w:numId w:val="19"/>
        </w:numPr>
        <w:spacing w:after="0" w:line="240" w:lineRule="auto"/>
        <w:jc w:val="both"/>
        <w:rPr>
          <w:rFonts w:ascii="Arial" w:hAnsi="Arial" w:cs="Arial"/>
          <w:sz w:val="24"/>
          <w:szCs w:val="24"/>
        </w:rPr>
      </w:pPr>
      <w:r w:rsidRPr="009427D5">
        <w:rPr>
          <w:rFonts w:ascii="Arial" w:hAnsi="Arial" w:cs="Arial"/>
          <w:sz w:val="24"/>
          <w:szCs w:val="24"/>
        </w:rPr>
        <w:t>El Tribunal de Bucaramanga contó con 53 procesos y 360 postulados.</w:t>
      </w:r>
    </w:p>
    <w:p w:rsidR="00164F2E" w:rsidRPr="009427D5" w:rsidRDefault="00164F2E" w:rsidP="00164F2E">
      <w:pPr>
        <w:pStyle w:val="Prrafodelista"/>
        <w:numPr>
          <w:ilvl w:val="0"/>
          <w:numId w:val="19"/>
        </w:numPr>
        <w:spacing w:after="0" w:line="240" w:lineRule="auto"/>
        <w:jc w:val="both"/>
        <w:rPr>
          <w:rFonts w:ascii="Arial" w:hAnsi="Arial" w:cs="Arial"/>
          <w:sz w:val="24"/>
          <w:szCs w:val="24"/>
        </w:rPr>
      </w:pPr>
      <w:r w:rsidRPr="009427D5">
        <w:rPr>
          <w:rFonts w:ascii="Arial" w:hAnsi="Arial" w:cs="Arial"/>
          <w:sz w:val="24"/>
          <w:szCs w:val="24"/>
        </w:rPr>
        <w:t xml:space="preserve">El Tribunal de Medellín contó con 14 procesos de connotación nacional los cuales tienen más de 1.041 hechos </w:t>
      </w:r>
      <w:proofErr w:type="spellStart"/>
      <w:r w:rsidRPr="009427D5">
        <w:rPr>
          <w:rFonts w:ascii="Arial" w:hAnsi="Arial" w:cs="Arial"/>
          <w:sz w:val="24"/>
          <w:szCs w:val="24"/>
        </w:rPr>
        <w:t>victimizantes</w:t>
      </w:r>
      <w:proofErr w:type="spellEnd"/>
      <w:r w:rsidRPr="009427D5">
        <w:rPr>
          <w:rFonts w:ascii="Arial" w:hAnsi="Arial" w:cs="Arial"/>
          <w:sz w:val="24"/>
          <w:szCs w:val="24"/>
        </w:rPr>
        <w:t xml:space="preserve"> y más de 1.082 víctimas.</w:t>
      </w:r>
    </w:p>
    <w:p w:rsidR="00164F2E" w:rsidRPr="009427D5" w:rsidRDefault="00164F2E" w:rsidP="00164F2E">
      <w:pPr>
        <w:pStyle w:val="Prrafodelista"/>
        <w:numPr>
          <w:ilvl w:val="0"/>
          <w:numId w:val="19"/>
        </w:numPr>
        <w:spacing w:after="0" w:line="240" w:lineRule="auto"/>
        <w:jc w:val="both"/>
        <w:rPr>
          <w:rFonts w:ascii="Arial" w:hAnsi="Arial" w:cs="Arial"/>
          <w:sz w:val="24"/>
          <w:szCs w:val="24"/>
        </w:rPr>
      </w:pPr>
      <w:r w:rsidRPr="009427D5">
        <w:rPr>
          <w:rFonts w:ascii="Arial" w:hAnsi="Arial" w:cs="Arial"/>
          <w:sz w:val="24"/>
          <w:szCs w:val="24"/>
        </w:rPr>
        <w:t>Bogotá contó con 136 procesos, con 411 postulados en el área de conocimiento y con un promedio mensual de 128 audiencias por mes en un despacho de Garantías.</w:t>
      </w:r>
    </w:p>
    <w:p w:rsidR="00164F2E" w:rsidRPr="009427D5" w:rsidRDefault="00164F2E" w:rsidP="00164F2E">
      <w:pPr>
        <w:spacing w:after="0" w:line="240" w:lineRule="auto"/>
        <w:jc w:val="both"/>
        <w:rPr>
          <w:rFonts w:ascii="Arial" w:hAnsi="Arial" w:cs="Arial"/>
          <w:i/>
          <w:color w:val="FF0000"/>
          <w:sz w:val="24"/>
          <w:szCs w:val="24"/>
        </w:rPr>
      </w:pPr>
    </w:p>
    <w:p w:rsidR="00164F2E" w:rsidRPr="009427D5" w:rsidRDefault="001E4128" w:rsidP="00DE084B">
      <w:pPr>
        <w:spacing w:after="0" w:line="240" w:lineRule="auto"/>
        <w:jc w:val="both"/>
        <w:rPr>
          <w:rFonts w:ascii="Arial" w:hAnsi="Arial" w:cs="Arial"/>
          <w:i/>
          <w:sz w:val="24"/>
          <w:szCs w:val="24"/>
        </w:rPr>
      </w:pPr>
      <w:r w:rsidRPr="009427D5">
        <w:rPr>
          <w:rFonts w:ascii="Arial" w:hAnsi="Arial" w:cs="Arial"/>
          <w:i/>
          <w:sz w:val="24"/>
          <w:szCs w:val="24"/>
        </w:rPr>
        <w:t>2.2.3.9  Conclusiones Cumplimiento Derechos Humanos y Fundamentales y Fines Esenciales del Estado</w:t>
      </w:r>
    </w:p>
    <w:p w:rsidR="001E4128" w:rsidRPr="009427D5" w:rsidRDefault="001E4128" w:rsidP="00DE084B">
      <w:pPr>
        <w:spacing w:after="0" w:line="240" w:lineRule="auto"/>
        <w:jc w:val="both"/>
        <w:rPr>
          <w:rFonts w:ascii="Arial" w:hAnsi="Arial" w:cs="Arial"/>
          <w:b/>
          <w:sz w:val="24"/>
          <w:szCs w:val="24"/>
        </w:rPr>
      </w:pPr>
    </w:p>
    <w:p w:rsidR="001E4128" w:rsidRPr="009427D5" w:rsidRDefault="001E4128" w:rsidP="001E4128">
      <w:pPr>
        <w:spacing w:after="0" w:line="240" w:lineRule="auto"/>
        <w:jc w:val="both"/>
        <w:rPr>
          <w:rFonts w:ascii="Arial" w:hAnsi="Arial" w:cs="Arial"/>
          <w:sz w:val="24"/>
          <w:szCs w:val="24"/>
        </w:rPr>
      </w:pPr>
      <w:r w:rsidRPr="009427D5">
        <w:rPr>
          <w:rFonts w:ascii="Arial" w:hAnsi="Arial" w:cs="Arial"/>
          <w:sz w:val="24"/>
          <w:szCs w:val="24"/>
        </w:rPr>
        <w:t>De acuerdo con lo anteriormente expuesto, que fue verificado con entrevistas y en la página web de la Entidad, se concluye que la Rama Judicial ha implementado estrategias dirigidas a garantizar los derechos humanos y fundamentales.</w:t>
      </w:r>
    </w:p>
    <w:p w:rsidR="001E4128" w:rsidRPr="009427D5" w:rsidRDefault="001E4128" w:rsidP="001E4128">
      <w:pPr>
        <w:spacing w:after="0" w:line="240" w:lineRule="auto"/>
        <w:jc w:val="both"/>
        <w:rPr>
          <w:rFonts w:ascii="Arial" w:hAnsi="Arial" w:cs="Arial"/>
          <w:sz w:val="24"/>
          <w:szCs w:val="24"/>
        </w:rPr>
      </w:pPr>
    </w:p>
    <w:p w:rsidR="001E4128" w:rsidRPr="009427D5" w:rsidRDefault="001E4128" w:rsidP="001E4128">
      <w:pPr>
        <w:spacing w:after="0" w:line="240" w:lineRule="auto"/>
        <w:jc w:val="both"/>
        <w:rPr>
          <w:rFonts w:ascii="Arial" w:hAnsi="Arial" w:cs="Arial"/>
          <w:sz w:val="24"/>
          <w:szCs w:val="24"/>
        </w:rPr>
      </w:pPr>
      <w:r w:rsidRPr="009427D5">
        <w:rPr>
          <w:rFonts w:ascii="Arial" w:hAnsi="Arial" w:cs="Arial"/>
          <w:sz w:val="24"/>
          <w:szCs w:val="24"/>
        </w:rPr>
        <w:t xml:space="preserve">Así mismo, mediante la Administración de Justicia, con miras a garantizar la convivencia pacífica y un orden justo, todo lo expuesto en este documento es </w:t>
      </w:r>
      <w:r w:rsidRPr="009427D5">
        <w:rPr>
          <w:rFonts w:ascii="Arial" w:hAnsi="Arial" w:cs="Arial"/>
          <w:sz w:val="24"/>
          <w:szCs w:val="24"/>
        </w:rPr>
        <w:lastRenderedPageBreak/>
        <w:t>evidencia del cumplimiento de los fines esenciales del Estado</w:t>
      </w:r>
      <w:r w:rsidRPr="009427D5">
        <w:rPr>
          <w:rStyle w:val="Refdenotaalpie"/>
          <w:rFonts w:ascii="Arial" w:hAnsi="Arial" w:cs="Arial"/>
          <w:sz w:val="24"/>
          <w:szCs w:val="24"/>
        </w:rPr>
        <w:footnoteReference w:id="61"/>
      </w:r>
      <w:r w:rsidRPr="009427D5">
        <w:rPr>
          <w:rFonts w:ascii="Arial" w:hAnsi="Arial" w:cs="Arial"/>
          <w:sz w:val="24"/>
          <w:szCs w:val="24"/>
        </w:rPr>
        <w:t xml:space="preserve"> por parte de la Rama Judicial.    </w:t>
      </w:r>
    </w:p>
    <w:p w:rsidR="001E4128" w:rsidRPr="009427D5" w:rsidRDefault="001E4128" w:rsidP="00DE084B">
      <w:pPr>
        <w:spacing w:after="0" w:line="240" w:lineRule="auto"/>
        <w:jc w:val="both"/>
        <w:rPr>
          <w:rFonts w:ascii="Arial" w:hAnsi="Arial" w:cs="Arial"/>
          <w:b/>
          <w:sz w:val="24"/>
          <w:szCs w:val="24"/>
        </w:rPr>
      </w:pPr>
    </w:p>
    <w:p w:rsidR="00AC7D63" w:rsidRPr="00B458D7" w:rsidRDefault="00A86B2E" w:rsidP="00B458D7">
      <w:pPr>
        <w:spacing w:after="0" w:line="240" w:lineRule="auto"/>
        <w:jc w:val="both"/>
        <w:rPr>
          <w:rFonts w:ascii="Arial" w:hAnsi="Arial" w:cs="Arial"/>
          <w:sz w:val="24"/>
          <w:szCs w:val="24"/>
        </w:rPr>
      </w:pPr>
      <w:r w:rsidRPr="009427D5">
        <w:rPr>
          <w:rFonts w:ascii="Arial" w:hAnsi="Arial" w:cs="Arial"/>
          <w:sz w:val="24"/>
          <w:szCs w:val="24"/>
        </w:rPr>
        <w:t>Derecho fundamental que es efectivo en la medida que existe una estructura judicial para atender las demandas de los ciudadanos, mediante un Juez que con la aplicación de la constitución nacional y la normatividad propia del caso, garantiza la igualdad de las partes, analiza las pruebas y profiere una decisión de fondo e implementa estrategias con modelos de gestión, infraestructura, dotación y mobiliario, capacitación a sus funcionarios;</w:t>
      </w:r>
      <w:r w:rsidR="00B458D7">
        <w:rPr>
          <w:rFonts w:ascii="Arial" w:hAnsi="Arial" w:cs="Arial"/>
          <w:sz w:val="24"/>
          <w:szCs w:val="24"/>
        </w:rPr>
        <w:t xml:space="preserve"> para el logro de su objetivo. </w:t>
      </w:r>
    </w:p>
    <w:p w:rsidR="00AC7D63" w:rsidRPr="009427D5" w:rsidRDefault="00AC7D63" w:rsidP="00461D2D">
      <w:pPr>
        <w:spacing w:after="0" w:line="240" w:lineRule="auto"/>
        <w:jc w:val="both"/>
        <w:rPr>
          <w:rFonts w:ascii="Arial" w:hAnsi="Arial" w:cs="Arial"/>
          <w:color w:val="FF0000"/>
          <w:sz w:val="24"/>
          <w:szCs w:val="24"/>
        </w:rPr>
      </w:pPr>
    </w:p>
    <w:sectPr w:rsidR="00AC7D63" w:rsidRPr="009427D5" w:rsidSect="00475B07">
      <w:pgSz w:w="12240" w:h="15840" w:code="1"/>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A36" w:rsidRDefault="00841A36" w:rsidP="004F5C40">
      <w:pPr>
        <w:spacing w:after="0" w:line="240" w:lineRule="auto"/>
      </w:pPr>
      <w:r>
        <w:separator/>
      </w:r>
    </w:p>
  </w:endnote>
  <w:endnote w:type="continuationSeparator" w:id="0">
    <w:p w:rsidR="00841A36" w:rsidRDefault="00841A36" w:rsidP="004F5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11B" w:rsidRPr="00170E87" w:rsidRDefault="0055111B" w:rsidP="004C6A58">
    <w:pPr>
      <w:pStyle w:val="Piedepgina"/>
      <w:jc w:val="center"/>
      <w:rPr>
        <w:rFonts w:ascii="Arial" w:hAnsi="Arial" w:cs="Arial"/>
        <w:sz w:val="16"/>
        <w:szCs w:val="16"/>
      </w:rPr>
    </w:pPr>
    <w:r w:rsidRPr="00170E87">
      <w:rPr>
        <w:rFonts w:ascii="Arial" w:hAnsi="Arial" w:cs="Arial"/>
        <w:sz w:val="16"/>
        <w:szCs w:val="16"/>
      </w:rPr>
      <w:fldChar w:fldCharType="begin"/>
    </w:r>
    <w:r w:rsidRPr="00170E87">
      <w:rPr>
        <w:rFonts w:ascii="Arial" w:hAnsi="Arial" w:cs="Arial"/>
        <w:sz w:val="16"/>
        <w:szCs w:val="16"/>
      </w:rPr>
      <w:instrText xml:space="preserve"> PAGE   \* MERGEFORMAT </w:instrText>
    </w:r>
    <w:r w:rsidRPr="00170E87">
      <w:rPr>
        <w:rFonts w:ascii="Arial" w:hAnsi="Arial" w:cs="Arial"/>
        <w:sz w:val="16"/>
        <w:szCs w:val="16"/>
      </w:rPr>
      <w:fldChar w:fldCharType="separate"/>
    </w:r>
    <w:r w:rsidR="002B7074">
      <w:rPr>
        <w:rFonts w:ascii="Arial" w:hAnsi="Arial" w:cs="Arial"/>
        <w:noProof/>
        <w:sz w:val="16"/>
        <w:szCs w:val="16"/>
      </w:rPr>
      <w:t>70</w:t>
    </w:r>
    <w:r w:rsidRPr="00170E87">
      <w:rPr>
        <w:rFonts w:ascii="Arial" w:hAnsi="Arial" w:cs="Arial"/>
        <w:sz w:val="16"/>
        <w:szCs w:val="16"/>
      </w:rPr>
      <w:fldChar w:fldCharType="end"/>
    </w:r>
  </w:p>
  <w:p w:rsidR="0055111B" w:rsidRPr="007D76BE" w:rsidRDefault="0055111B" w:rsidP="004F5C40">
    <w:pPr>
      <w:pStyle w:val="Piedepgina"/>
      <w:pBdr>
        <w:top w:val="single" w:sz="4" w:space="1" w:color="auto"/>
        <w:bottom w:val="single" w:sz="4" w:space="1" w:color="auto"/>
      </w:pBdr>
      <w:tabs>
        <w:tab w:val="left" w:pos="6551"/>
      </w:tabs>
      <w:jc w:val="center"/>
      <w:rPr>
        <w:rFonts w:ascii="Arial" w:hAnsi="Arial" w:cs="Arial"/>
        <w:sz w:val="18"/>
        <w:szCs w:val="18"/>
      </w:rPr>
    </w:pPr>
    <w:r w:rsidRPr="007D76BE">
      <w:rPr>
        <w:rFonts w:ascii="Arial" w:hAnsi="Arial" w:cs="Arial"/>
        <w:sz w:val="18"/>
        <w:szCs w:val="18"/>
      </w:rPr>
      <w:t xml:space="preserve">Avenida </w:t>
    </w:r>
    <w:r>
      <w:rPr>
        <w:rFonts w:ascii="Arial" w:hAnsi="Arial" w:cs="Arial"/>
        <w:sz w:val="18"/>
        <w:szCs w:val="18"/>
      </w:rPr>
      <w:t xml:space="preserve">La Esperanza (Calle 24) No.  60-50 Pisos 4 al 10 </w:t>
    </w:r>
    <w:r w:rsidRPr="007D76BE">
      <w:rPr>
        <w:rFonts w:ascii="Arial" w:hAnsi="Arial" w:cs="Arial"/>
        <w:sz w:val="18"/>
        <w:szCs w:val="18"/>
      </w:rPr>
      <w:t>• Código Postal 111321- PBX: 6477000</w:t>
    </w:r>
    <w:r>
      <w:rPr>
        <w:rFonts w:ascii="Arial" w:hAnsi="Arial" w:cs="Arial"/>
        <w:sz w:val="18"/>
        <w:szCs w:val="18"/>
      </w:rPr>
      <w:t xml:space="preserve"> </w:t>
    </w:r>
    <w:r w:rsidRPr="007D76BE">
      <w:rPr>
        <w:rFonts w:ascii="Arial" w:hAnsi="Arial" w:cs="Arial"/>
        <w:sz w:val="18"/>
        <w:szCs w:val="18"/>
      </w:rPr>
      <w:t xml:space="preserve">• Bogotá, D.C. • Colombia • </w:t>
    </w:r>
    <w:hyperlink r:id="rId1" w:history="1">
      <w:r w:rsidRPr="00C15720">
        <w:rPr>
          <w:rStyle w:val="Hipervnculo"/>
          <w:rFonts w:ascii="Arial" w:hAnsi="Arial" w:cs="Arial"/>
          <w:sz w:val="18"/>
          <w:szCs w:val="18"/>
        </w:rPr>
        <w:t>www.contraloria.gov.co</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A36" w:rsidRDefault="00841A36" w:rsidP="004F5C40">
      <w:pPr>
        <w:spacing w:after="0" w:line="240" w:lineRule="auto"/>
      </w:pPr>
      <w:r>
        <w:separator/>
      </w:r>
    </w:p>
  </w:footnote>
  <w:footnote w:type="continuationSeparator" w:id="0">
    <w:p w:rsidR="00841A36" w:rsidRDefault="00841A36" w:rsidP="004F5C40">
      <w:pPr>
        <w:spacing w:after="0" w:line="240" w:lineRule="auto"/>
      </w:pPr>
      <w:r>
        <w:continuationSeparator/>
      </w:r>
    </w:p>
  </w:footnote>
  <w:footnote w:id="1">
    <w:p w:rsidR="0055111B" w:rsidRPr="00D00843" w:rsidRDefault="0055111B" w:rsidP="00D00843">
      <w:pPr>
        <w:pStyle w:val="Textonotapie"/>
        <w:rPr>
          <w:sz w:val="16"/>
          <w:szCs w:val="16"/>
        </w:rPr>
      </w:pPr>
      <w:r w:rsidRPr="00D00843">
        <w:rPr>
          <w:rStyle w:val="Refdenotaalpie"/>
          <w:sz w:val="16"/>
          <w:szCs w:val="16"/>
        </w:rPr>
        <w:t>[1]</w:t>
      </w:r>
      <w:r w:rsidRPr="00D00843">
        <w:rPr>
          <w:sz w:val="16"/>
          <w:szCs w:val="16"/>
        </w:rPr>
        <w:t xml:space="preserve"> Resolución Orgánica No. 7350 del 29 de noviembre de 2013</w:t>
      </w:r>
    </w:p>
  </w:footnote>
  <w:footnote w:id="2">
    <w:p w:rsidR="0055111B" w:rsidRPr="003A0861" w:rsidRDefault="0055111B" w:rsidP="003A0861">
      <w:pPr>
        <w:autoSpaceDE w:val="0"/>
        <w:autoSpaceDN w:val="0"/>
        <w:adjustRightInd w:val="0"/>
        <w:spacing w:after="0" w:line="240" w:lineRule="auto"/>
        <w:jc w:val="both"/>
        <w:rPr>
          <w:rFonts w:ascii="Arial" w:hAnsi="Arial" w:cs="Arial"/>
          <w:sz w:val="18"/>
          <w:szCs w:val="18"/>
          <w:lang w:eastAsia="es-CO"/>
        </w:rPr>
      </w:pPr>
      <w:r w:rsidRPr="003A0861">
        <w:rPr>
          <w:rStyle w:val="Refdenotaalpie"/>
          <w:rFonts w:ascii="Arial" w:hAnsi="Arial" w:cs="Arial"/>
          <w:sz w:val="18"/>
          <w:szCs w:val="18"/>
        </w:rPr>
        <w:footnoteRef/>
      </w:r>
      <w:r w:rsidRPr="003A0861">
        <w:rPr>
          <w:rFonts w:ascii="Arial" w:hAnsi="Arial" w:cs="Arial"/>
          <w:sz w:val="18"/>
          <w:szCs w:val="18"/>
        </w:rPr>
        <w:t xml:space="preserve"> Artículo 2, </w:t>
      </w:r>
      <w:r w:rsidRPr="003A0861">
        <w:rPr>
          <w:rFonts w:ascii="Arial" w:hAnsi="Arial" w:cs="Arial"/>
          <w:sz w:val="18"/>
          <w:szCs w:val="18"/>
          <w:lang w:eastAsia="es-CO"/>
        </w:rPr>
        <w:t>Ley 1450 de 2011 y en Concordancia con la Ley 152 de 1994.</w:t>
      </w:r>
    </w:p>
    <w:p w:rsidR="0055111B" w:rsidRPr="003A0861" w:rsidRDefault="0055111B" w:rsidP="003A0861">
      <w:pPr>
        <w:pStyle w:val="Textonotapie"/>
        <w:ind w:left="0" w:firstLine="0"/>
        <w:rPr>
          <w:sz w:val="18"/>
          <w:szCs w:val="18"/>
        </w:rPr>
      </w:pPr>
    </w:p>
  </w:footnote>
  <w:footnote w:id="3">
    <w:p w:rsidR="0055111B" w:rsidRPr="003A0861" w:rsidRDefault="0055111B" w:rsidP="003A0861">
      <w:pPr>
        <w:pStyle w:val="Textonotapie"/>
        <w:ind w:left="0" w:firstLine="0"/>
        <w:rPr>
          <w:sz w:val="18"/>
          <w:szCs w:val="18"/>
        </w:rPr>
      </w:pPr>
      <w:r w:rsidRPr="003A0861">
        <w:rPr>
          <w:rStyle w:val="Refdenotaalpie"/>
          <w:sz w:val="18"/>
          <w:szCs w:val="18"/>
        </w:rPr>
        <w:footnoteRef/>
      </w:r>
      <w:r w:rsidRPr="003A0861">
        <w:rPr>
          <w:sz w:val="18"/>
          <w:szCs w:val="18"/>
        </w:rPr>
        <w:t xml:space="preserve"> Informe CSJ al Congreso año 2013.</w:t>
      </w:r>
    </w:p>
  </w:footnote>
  <w:footnote w:id="4">
    <w:p w:rsidR="0055111B" w:rsidRPr="003A0861" w:rsidRDefault="0055111B" w:rsidP="003A0861">
      <w:pPr>
        <w:pStyle w:val="Textonotapie"/>
        <w:ind w:left="0" w:firstLine="0"/>
        <w:rPr>
          <w:sz w:val="18"/>
          <w:szCs w:val="18"/>
        </w:rPr>
      </w:pPr>
      <w:r w:rsidRPr="003A0861">
        <w:rPr>
          <w:rStyle w:val="Refdenotaalpie"/>
          <w:sz w:val="18"/>
          <w:szCs w:val="18"/>
        </w:rPr>
        <w:footnoteRef/>
      </w:r>
      <w:r w:rsidRPr="003A0861">
        <w:rPr>
          <w:sz w:val="18"/>
          <w:szCs w:val="18"/>
        </w:rPr>
        <w:t xml:space="preserve"> Proyecto de Ley 155 de 2013 Senado, 053 de 2013 Cámara de Representantes. Con corte 16 de mayo de 2014, pendiente de aprobar conciliaciones, tomado de </w:t>
      </w:r>
      <w:hyperlink r:id="rId1" w:history="1">
        <w:r w:rsidRPr="003A0861">
          <w:rPr>
            <w:rStyle w:val="Hipervnculo"/>
            <w:sz w:val="18"/>
            <w:szCs w:val="18"/>
          </w:rPr>
          <w:t>www.senado.gov.co/az-legislativo/proyecto</w:t>
        </w:r>
      </w:hyperlink>
      <w:r w:rsidRPr="003A0861">
        <w:rPr>
          <w:sz w:val="18"/>
          <w:szCs w:val="18"/>
        </w:rPr>
        <w:t xml:space="preserve"> de ley.</w:t>
      </w:r>
    </w:p>
  </w:footnote>
  <w:footnote w:id="5">
    <w:p w:rsidR="0055111B" w:rsidRPr="003A0861" w:rsidRDefault="0055111B" w:rsidP="003A0861">
      <w:pPr>
        <w:pStyle w:val="Textonotapie"/>
        <w:ind w:left="0" w:firstLine="0"/>
        <w:rPr>
          <w:sz w:val="18"/>
          <w:szCs w:val="18"/>
        </w:rPr>
      </w:pPr>
      <w:r w:rsidRPr="003A0861">
        <w:rPr>
          <w:rStyle w:val="Refdenotaalpie"/>
          <w:sz w:val="18"/>
          <w:szCs w:val="18"/>
        </w:rPr>
        <w:footnoteRef/>
      </w:r>
      <w:r w:rsidRPr="003A0861">
        <w:rPr>
          <w:sz w:val="18"/>
          <w:szCs w:val="18"/>
        </w:rPr>
        <w:t xml:space="preserve"> Información reportada por el DANE en la página web </w:t>
      </w:r>
      <w:hyperlink r:id="rId2" w:history="1">
        <w:r w:rsidRPr="003A0861">
          <w:rPr>
            <w:rStyle w:val="Hipervnculo"/>
            <w:sz w:val="18"/>
            <w:szCs w:val="18"/>
          </w:rPr>
          <w:t>www.dane.gov.co</w:t>
        </w:r>
      </w:hyperlink>
      <w:r w:rsidRPr="003A0861">
        <w:rPr>
          <w:sz w:val="18"/>
          <w:szCs w:val="18"/>
        </w:rPr>
        <w:t>, mayo 8 de 2014.</w:t>
      </w:r>
    </w:p>
  </w:footnote>
  <w:footnote w:id="6">
    <w:p w:rsidR="0055111B" w:rsidRPr="003A0861" w:rsidRDefault="0055111B" w:rsidP="003A0861">
      <w:pPr>
        <w:pStyle w:val="Textonotapie"/>
        <w:ind w:left="0" w:firstLine="0"/>
        <w:rPr>
          <w:sz w:val="18"/>
          <w:szCs w:val="18"/>
        </w:rPr>
      </w:pPr>
      <w:r w:rsidRPr="003A0861">
        <w:rPr>
          <w:rStyle w:val="Refdenotaalpie"/>
          <w:sz w:val="18"/>
          <w:szCs w:val="18"/>
        </w:rPr>
        <w:footnoteRef/>
      </w:r>
      <w:r w:rsidRPr="003A0861">
        <w:rPr>
          <w:sz w:val="18"/>
          <w:szCs w:val="18"/>
        </w:rPr>
        <w:t xml:space="preserve"> Sin incluir el presupuesto dirigido al pago de la Deuda Pública.</w:t>
      </w:r>
    </w:p>
  </w:footnote>
  <w:footnote w:id="7">
    <w:p w:rsidR="0055111B" w:rsidRPr="003A0861" w:rsidRDefault="0055111B" w:rsidP="003A0861">
      <w:pPr>
        <w:pStyle w:val="Textonotapie"/>
        <w:ind w:left="0" w:firstLine="0"/>
        <w:rPr>
          <w:sz w:val="18"/>
          <w:szCs w:val="18"/>
        </w:rPr>
      </w:pPr>
      <w:r w:rsidRPr="003A0861">
        <w:rPr>
          <w:rStyle w:val="Refdenotaalpie"/>
          <w:sz w:val="18"/>
          <w:szCs w:val="18"/>
        </w:rPr>
        <w:footnoteRef/>
      </w:r>
      <w:r w:rsidRPr="003A0861">
        <w:rPr>
          <w:sz w:val="18"/>
          <w:szCs w:val="18"/>
        </w:rPr>
        <w:t xml:space="preserve"> Las más importantes son las establecidas en el Decreto 4040 de 2004.</w:t>
      </w:r>
    </w:p>
  </w:footnote>
  <w:footnote w:id="8">
    <w:p w:rsidR="0055111B" w:rsidRPr="003A0861" w:rsidRDefault="0055111B" w:rsidP="003A0861">
      <w:pPr>
        <w:pStyle w:val="Textonotapie"/>
        <w:ind w:left="0" w:firstLine="0"/>
        <w:rPr>
          <w:sz w:val="18"/>
          <w:szCs w:val="18"/>
        </w:rPr>
      </w:pPr>
      <w:r w:rsidRPr="003A0861">
        <w:rPr>
          <w:rStyle w:val="Refdenotaalpie"/>
          <w:sz w:val="18"/>
          <w:szCs w:val="18"/>
        </w:rPr>
        <w:footnoteRef/>
      </w:r>
      <w:r w:rsidRPr="003A0861">
        <w:rPr>
          <w:sz w:val="18"/>
          <w:szCs w:val="18"/>
        </w:rPr>
        <w:t xml:space="preserve"> Ver Informe al Congreso de la República 2012-2013. Sala Administrativa del Consejo Superior de la Judicatura. Documento Ejecutivo. Pág. 2-4.</w:t>
      </w:r>
    </w:p>
  </w:footnote>
  <w:footnote w:id="9">
    <w:p w:rsidR="0055111B" w:rsidRPr="003A0861" w:rsidRDefault="0055111B" w:rsidP="003A0861">
      <w:pPr>
        <w:pStyle w:val="Textonotapie"/>
        <w:ind w:left="0" w:firstLine="0"/>
        <w:rPr>
          <w:sz w:val="18"/>
          <w:szCs w:val="18"/>
        </w:rPr>
      </w:pPr>
      <w:r w:rsidRPr="003A0861">
        <w:rPr>
          <w:rStyle w:val="Refdenotaalpie"/>
          <w:sz w:val="18"/>
          <w:szCs w:val="18"/>
        </w:rPr>
        <w:footnoteRef/>
      </w:r>
      <w:r w:rsidRPr="003A0861">
        <w:rPr>
          <w:sz w:val="18"/>
          <w:szCs w:val="18"/>
        </w:rPr>
        <w:t xml:space="preserve"> El indicador se calcula con la siguiente fórmula: RDJC = [Resultado Disminución de Inventarios de Procesos 2011-2013 / Meta Disminución de Inventarios de Procesos 2011-2013] / [Presupuesto Comprometido Rama Judicial 2011-2013 / Presupuesto Apropiado Rama Judicial 2011-2013]. Cuando el indicador es mayor a uno, muestra eficacia y eficiencia en el cumplimiento de las metas de descongestión judicial del Plan Nacional de Desarrollo, pues se obtuvo un resultado mayor a la meta esperada con los recursos disponibles o se obtuvo un resultado igual a la meta con recursos menores a los disponibles.</w:t>
      </w:r>
    </w:p>
  </w:footnote>
  <w:footnote w:id="10">
    <w:p w:rsidR="0055111B" w:rsidRPr="003A68DB" w:rsidRDefault="0055111B" w:rsidP="003A0861">
      <w:pPr>
        <w:pStyle w:val="Textonotapie"/>
        <w:ind w:left="0" w:firstLine="0"/>
        <w:rPr>
          <w:sz w:val="18"/>
          <w:szCs w:val="18"/>
        </w:rPr>
      </w:pPr>
      <w:r w:rsidRPr="003A68DB">
        <w:rPr>
          <w:rStyle w:val="Refdenotaalpie"/>
          <w:sz w:val="18"/>
          <w:szCs w:val="18"/>
        </w:rPr>
        <w:footnoteRef/>
      </w:r>
      <w:r w:rsidRPr="003A68DB">
        <w:rPr>
          <w:sz w:val="18"/>
          <w:szCs w:val="18"/>
        </w:rPr>
        <w:t xml:space="preserve"> Según información suministrada por la Entidad en el Oficio DEAJPL14-222 del 4 de Marzo de 2014. De acuerdo con el DANE, a Diciembre de 2013 existían 1.122 Municipios en el país.</w:t>
      </w:r>
    </w:p>
  </w:footnote>
  <w:footnote w:id="11">
    <w:p w:rsidR="0055111B" w:rsidRPr="003A68DB" w:rsidRDefault="0055111B" w:rsidP="003A0861">
      <w:pPr>
        <w:pStyle w:val="Textonotapie"/>
        <w:ind w:left="0" w:firstLine="0"/>
        <w:rPr>
          <w:sz w:val="18"/>
          <w:szCs w:val="18"/>
        </w:rPr>
      </w:pPr>
      <w:r w:rsidRPr="003A68DB">
        <w:rPr>
          <w:rStyle w:val="Refdenotaalpie"/>
          <w:sz w:val="18"/>
          <w:szCs w:val="18"/>
        </w:rPr>
        <w:footnoteRef/>
      </w:r>
      <w:r w:rsidRPr="003A68DB">
        <w:rPr>
          <w:sz w:val="18"/>
          <w:szCs w:val="18"/>
        </w:rPr>
        <w:t xml:space="preserve"> Presupuesto General de la Nación (PGN), sin incluir el pago de la deuda pública.</w:t>
      </w:r>
    </w:p>
  </w:footnote>
  <w:footnote w:id="12">
    <w:p w:rsidR="0055111B" w:rsidRPr="003A68DB" w:rsidRDefault="0055111B" w:rsidP="003A0861">
      <w:pPr>
        <w:pStyle w:val="Textonotapie"/>
        <w:ind w:left="0" w:firstLine="0"/>
        <w:rPr>
          <w:sz w:val="18"/>
          <w:szCs w:val="18"/>
        </w:rPr>
      </w:pPr>
      <w:r w:rsidRPr="003A68DB">
        <w:rPr>
          <w:rStyle w:val="Refdenotaalpie"/>
          <w:sz w:val="18"/>
          <w:szCs w:val="18"/>
        </w:rPr>
        <w:footnoteRef/>
      </w:r>
      <w:r w:rsidRPr="003A68DB">
        <w:rPr>
          <w:sz w:val="18"/>
          <w:szCs w:val="18"/>
        </w:rPr>
        <w:t xml:space="preserve"> No obstante, debe señalarse la existencia de un alto déficit de recursos para cubrir las necesidades de la Rama Judicial, el cual en 2013 llegó a 43% del presupuesto asignado.</w:t>
      </w:r>
    </w:p>
  </w:footnote>
  <w:footnote w:id="13">
    <w:p w:rsidR="0055111B" w:rsidRPr="003A68DB" w:rsidRDefault="0055111B" w:rsidP="003A0861">
      <w:pPr>
        <w:pStyle w:val="Textonotapie"/>
        <w:ind w:left="0" w:firstLine="0"/>
        <w:rPr>
          <w:sz w:val="18"/>
          <w:szCs w:val="18"/>
        </w:rPr>
      </w:pPr>
      <w:r w:rsidRPr="003A68DB">
        <w:rPr>
          <w:rStyle w:val="Refdenotaalpie"/>
          <w:sz w:val="18"/>
          <w:szCs w:val="18"/>
        </w:rPr>
        <w:footnoteRef/>
      </w:r>
      <w:r w:rsidRPr="003A68DB">
        <w:rPr>
          <w:sz w:val="18"/>
          <w:szCs w:val="18"/>
        </w:rPr>
        <w:t xml:space="preserve"> Ver el documento: Clavijo, S. (2011). </w:t>
      </w:r>
      <w:r w:rsidRPr="003A68DB">
        <w:rPr>
          <w:i/>
          <w:sz w:val="18"/>
          <w:szCs w:val="18"/>
        </w:rPr>
        <w:t>Costos y Eficiencia de la Rama Judicial en Colombia</w:t>
      </w:r>
      <w:r w:rsidRPr="003A68DB">
        <w:rPr>
          <w:sz w:val="18"/>
          <w:szCs w:val="18"/>
        </w:rPr>
        <w:t>. Bogotá: ANIF. Con base en cifras del Centro de Estudios de la Justicia de las Américas (CEJA). Pág. 25.</w:t>
      </w:r>
    </w:p>
  </w:footnote>
  <w:footnote w:id="14">
    <w:p w:rsidR="0055111B" w:rsidRPr="003A0861" w:rsidRDefault="0055111B" w:rsidP="003A0861">
      <w:pPr>
        <w:pStyle w:val="Textonotapie"/>
        <w:ind w:left="0" w:firstLine="0"/>
        <w:rPr>
          <w:sz w:val="18"/>
          <w:szCs w:val="18"/>
        </w:rPr>
      </w:pPr>
      <w:r w:rsidRPr="003A68DB">
        <w:rPr>
          <w:rStyle w:val="Refdenotaalpie"/>
          <w:sz w:val="18"/>
          <w:szCs w:val="18"/>
        </w:rPr>
        <w:footnoteRef/>
      </w:r>
      <w:r w:rsidRPr="003A68DB">
        <w:rPr>
          <w:sz w:val="18"/>
          <w:szCs w:val="18"/>
        </w:rPr>
        <w:t xml:space="preserve"> Esta cifra incluye los Jueces que laboran en los Despachos de Descongestión. Teniendo en cuenta solo los Jueces que laboran en los Despachos Permanentes, dicho indicador pasa de 10,2 en 2010 a 10,3 en 2013, dato que también se encuentra en nivel medio para América Latina.</w:t>
      </w:r>
    </w:p>
  </w:footnote>
  <w:footnote w:id="15">
    <w:p w:rsidR="0055111B" w:rsidRPr="003A0861" w:rsidRDefault="0055111B" w:rsidP="003A0861">
      <w:pPr>
        <w:pStyle w:val="Textonotapie"/>
        <w:ind w:left="0" w:firstLine="0"/>
        <w:rPr>
          <w:sz w:val="18"/>
          <w:szCs w:val="18"/>
        </w:rPr>
      </w:pPr>
      <w:r w:rsidRPr="003A0861">
        <w:rPr>
          <w:rStyle w:val="Refdenotaalpie"/>
          <w:sz w:val="18"/>
          <w:szCs w:val="18"/>
        </w:rPr>
        <w:footnoteRef/>
      </w:r>
      <w:r w:rsidRPr="003A0861">
        <w:rPr>
          <w:sz w:val="18"/>
          <w:szCs w:val="18"/>
        </w:rPr>
        <w:t xml:space="preserve"> Ibíd. Pág. 32.</w:t>
      </w:r>
    </w:p>
  </w:footnote>
  <w:footnote w:id="16">
    <w:p w:rsidR="0055111B" w:rsidRPr="003A0861" w:rsidRDefault="0055111B" w:rsidP="003A0861">
      <w:pPr>
        <w:pStyle w:val="Textonotapie"/>
        <w:ind w:left="0" w:firstLine="0"/>
        <w:rPr>
          <w:sz w:val="18"/>
          <w:szCs w:val="18"/>
        </w:rPr>
      </w:pPr>
      <w:r w:rsidRPr="003A0861">
        <w:rPr>
          <w:rStyle w:val="Refdenotaalpie"/>
          <w:sz w:val="18"/>
          <w:szCs w:val="18"/>
        </w:rPr>
        <w:footnoteRef/>
      </w:r>
      <w:r w:rsidRPr="003A0861">
        <w:rPr>
          <w:sz w:val="18"/>
          <w:szCs w:val="18"/>
        </w:rPr>
        <w:t xml:space="preserve"> Ibíd. Pág. 35.</w:t>
      </w:r>
    </w:p>
  </w:footnote>
  <w:footnote w:id="17">
    <w:p w:rsidR="0055111B" w:rsidRPr="003A0861" w:rsidRDefault="0055111B" w:rsidP="003A0861">
      <w:pPr>
        <w:pStyle w:val="Textonotapie"/>
        <w:ind w:left="0" w:firstLine="0"/>
        <w:rPr>
          <w:sz w:val="18"/>
          <w:szCs w:val="18"/>
        </w:rPr>
      </w:pPr>
      <w:r w:rsidRPr="003A0861">
        <w:rPr>
          <w:rStyle w:val="Refdenotaalpie"/>
          <w:sz w:val="18"/>
          <w:szCs w:val="18"/>
        </w:rPr>
        <w:footnoteRef/>
      </w:r>
      <w:r w:rsidRPr="003A0861">
        <w:rPr>
          <w:sz w:val="18"/>
          <w:szCs w:val="18"/>
        </w:rPr>
        <w:t xml:space="preserve"> Los ingresos efectivos se calculan como los ingresos totales de cada uno de los despachos judiciales menos los ingresos por concepto de reingresos, otros reingresos y descongestión. Los ingresos efectivos registrados 2010 y 2013 corresponden a los siguientes tipos: por reparto (65,4%), por solicitudes de audiencia (15,3%), por resolución de acusación (2,7%), por preacuerdos (0,6%) y por otros tipos (16%).</w:t>
      </w:r>
    </w:p>
  </w:footnote>
  <w:footnote w:id="18">
    <w:p w:rsidR="0055111B" w:rsidRPr="003A0861" w:rsidRDefault="0055111B" w:rsidP="003A0861">
      <w:pPr>
        <w:pStyle w:val="Textonotapie"/>
        <w:ind w:left="0" w:firstLine="0"/>
        <w:rPr>
          <w:sz w:val="18"/>
          <w:szCs w:val="18"/>
        </w:rPr>
      </w:pPr>
      <w:r w:rsidRPr="003A0861">
        <w:rPr>
          <w:rStyle w:val="Refdenotaalpie"/>
          <w:sz w:val="18"/>
          <w:szCs w:val="18"/>
        </w:rPr>
        <w:footnoteRef/>
      </w:r>
      <w:r w:rsidRPr="003A0861">
        <w:rPr>
          <w:sz w:val="18"/>
          <w:szCs w:val="18"/>
        </w:rPr>
        <w:t xml:space="preserve"> Los egresos efectivos son iguales a los egresos totales de cada uno de los despachos judiciales menos los egresos remitidos a despachos de descongestión, remitidos a otros despachos, rechazados o retirados, autos de desistimiento, autos desiertos o desistidos y por Art.9 de la Ley 1395 de 2010. Los egresos efectivos obtenidos entre 2010 y 2013, se componen por los siguientes tipos: por sentencia (40,4%), por auto (24,7%), por desistimiento tácito (9,3%), por cumplimiento de pena (1,7%) y por otros tipos (24%). </w:t>
      </w:r>
    </w:p>
  </w:footnote>
  <w:footnote w:id="19">
    <w:p w:rsidR="0055111B" w:rsidRPr="003A0861" w:rsidRDefault="0055111B" w:rsidP="003A0861">
      <w:pPr>
        <w:pStyle w:val="Textonotapie"/>
        <w:ind w:left="0" w:firstLine="0"/>
        <w:rPr>
          <w:sz w:val="18"/>
          <w:szCs w:val="18"/>
        </w:rPr>
      </w:pPr>
      <w:r w:rsidRPr="003A0861">
        <w:rPr>
          <w:rStyle w:val="Refdenotaalpie"/>
          <w:sz w:val="18"/>
          <w:szCs w:val="18"/>
        </w:rPr>
        <w:footnoteRef/>
      </w:r>
      <w:r w:rsidRPr="003A0861">
        <w:rPr>
          <w:sz w:val="18"/>
          <w:szCs w:val="18"/>
        </w:rPr>
        <w:t xml:space="preserve"> Este índice es igual a los egresos efectivos sobre los ingresos efectivos.</w:t>
      </w:r>
    </w:p>
  </w:footnote>
  <w:footnote w:id="20">
    <w:p w:rsidR="0055111B" w:rsidRPr="003A0861" w:rsidRDefault="0055111B" w:rsidP="003A0861">
      <w:pPr>
        <w:pStyle w:val="Textonotapie"/>
        <w:ind w:left="0" w:firstLine="0"/>
        <w:rPr>
          <w:sz w:val="18"/>
          <w:szCs w:val="18"/>
        </w:rPr>
      </w:pPr>
      <w:r w:rsidRPr="003A0861">
        <w:rPr>
          <w:rStyle w:val="Refdenotaalpie"/>
          <w:sz w:val="18"/>
          <w:szCs w:val="18"/>
        </w:rPr>
        <w:footnoteRef/>
      </w:r>
      <w:r w:rsidRPr="003A0861">
        <w:rPr>
          <w:sz w:val="18"/>
          <w:szCs w:val="18"/>
        </w:rPr>
        <w:t xml:space="preserve"> Dicho índice se calcula como: egresos efectivos / (inventario inicial + ingresos efectivos).</w:t>
      </w:r>
    </w:p>
  </w:footnote>
  <w:footnote w:id="21">
    <w:p w:rsidR="0055111B" w:rsidRPr="003A0861" w:rsidRDefault="0055111B" w:rsidP="003A0861">
      <w:pPr>
        <w:pStyle w:val="Textonotapie"/>
        <w:ind w:left="0" w:firstLine="0"/>
        <w:rPr>
          <w:sz w:val="18"/>
          <w:szCs w:val="18"/>
        </w:rPr>
      </w:pPr>
      <w:r w:rsidRPr="003A0861">
        <w:rPr>
          <w:rStyle w:val="Refdenotaalpie"/>
          <w:sz w:val="18"/>
          <w:szCs w:val="18"/>
        </w:rPr>
        <w:footnoteRef/>
      </w:r>
      <w:r w:rsidRPr="003A0861">
        <w:rPr>
          <w:sz w:val="18"/>
          <w:szCs w:val="18"/>
        </w:rPr>
        <w:t xml:space="preserve"> Este índice es igual a uno menos el índice de evacuación total efectivo.</w:t>
      </w:r>
    </w:p>
  </w:footnote>
  <w:footnote w:id="22">
    <w:p w:rsidR="0055111B" w:rsidRPr="003A0861" w:rsidRDefault="0055111B" w:rsidP="003A0861">
      <w:pPr>
        <w:pStyle w:val="Textonotapie"/>
        <w:ind w:left="0" w:firstLine="0"/>
        <w:rPr>
          <w:sz w:val="18"/>
          <w:szCs w:val="18"/>
        </w:rPr>
      </w:pPr>
      <w:r w:rsidRPr="003A0861">
        <w:rPr>
          <w:rStyle w:val="Refdenotaalpie"/>
          <w:sz w:val="18"/>
          <w:szCs w:val="18"/>
        </w:rPr>
        <w:footnoteRef/>
      </w:r>
      <w:r w:rsidRPr="003A0861">
        <w:rPr>
          <w:sz w:val="18"/>
          <w:szCs w:val="18"/>
        </w:rPr>
        <w:t xml:space="preserve"> Según el Sistema Nacional de Gestión y Evaluación de Resultados (SINERGIA) del DNP, la meta vigente para el Plan Nacional de Desarrollo, es de 1.765.000 procesos al final del año 2014.</w:t>
      </w:r>
    </w:p>
  </w:footnote>
  <w:footnote w:id="23">
    <w:p w:rsidR="0055111B" w:rsidRPr="000209DD" w:rsidRDefault="0055111B" w:rsidP="003A0861">
      <w:pPr>
        <w:pStyle w:val="Textonotapie"/>
        <w:ind w:left="0" w:firstLine="0"/>
        <w:rPr>
          <w:sz w:val="18"/>
          <w:szCs w:val="18"/>
        </w:rPr>
      </w:pPr>
      <w:r w:rsidRPr="000209DD">
        <w:rPr>
          <w:rStyle w:val="Refdenotaalpie"/>
          <w:sz w:val="18"/>
          <w:szCs w:val="18"/>
        </w:rPr>
        <w:footnoteRef/>
      </w:r>
      <w:r w:rsidRPr="000209DD">
        <w:rPr>
          <w:sz w:val="18"/>
          <w:szCs w:val="18"/>
        </w:rPr>
        <w:t xml:space="preserve"> De acuerdo con la información de la Entidad, esto ha obedecido en buena medida, a la aplicación de figuras como el desistimiento tácito y la exclusión  de inventarios señaladas en la legislación vigente, así como a la disminución de procesos que se quedan sin trámite durante el período. También vale resaltar que en 2010, el 45% de inventario de procesos estaba pendiente de la actuación de alguna de las partes para poder continuar su trámite procesal y el 55% dependía del impulso por parte del Despacho Judicial. En 2013 esta situación cambió, registrando unos porcentajes de 74% y 26% respectivamente.</w:t>
      </w:r>
    </w:p>
  </w:footnote>
  <w:footnote w:id="24">
    <w:p w:rsidR="0055111B" w:rsidRPr="000209DD" w:rsidRDefault="0055111B" w:rsidP="003A0861">
      <w:pPr>
        <w:pStyle w:val="Textonotapie"/>
        <w:ind w:left="0" w:firstLine="0"/>
        <w:rPr>
          <w:sz w:val="18"/>
          <w:szCs w:val="18"/>
        </w:rPr>
      </w:pPr>
      <w:r w:rsidRPr="000209DD">
        <w:rPr>
          <w:rStyle w:val="Refdenotaalpie"/>
          <w:sz w:val="18"/>
          <w:szCs w:val="18"/>
        </w:rPr>
        <w:footnoteRef/>
      </w:r>
      <w:r w:rsidRPr="000209DD">
        <w:rPr>
          <w:sz w:val="18"/>
          <w:szCs w:val="18"/>
        </w:rPr>
        <w:t xml:space="preserve"> Los inventarios finales de procesos sin trámite, son iguales a los inventarios iniciales sin trámite, más los procesos sin trámite durante la vigencia, menos los procesos reactivados.</w:t>
      </w:r>
    </w:p>
  </w:footnote>
  <w:footnote w:id="25">
    <w:p w:rsidR="0055111B" w:rsidRPr="003A0861" w:rsidRDefault="0055111B" w:rsidP="003A0861">
      <w:pPr>
        <w:pStyle w:val="Textonotapie"/>
        <w:ind w:left="0" w:firstLine="0"/>
        <w:rPr>
          <w:sz w:val="18"/>
          <w:szCs w:val="18"/>
        </w:rPr>
      </w:pPr>
      <w:r w:rsidRPr="000209DD">
        <w:rPr>
          <w:rStyle w:val="Refdenotaalpie"/>
          <w:sz w:val="18"/>
          <w:szCs w:val="18"/>
        </w:rPr>
        <w:footnoteRef/>
      </w:r>
      <w:r w:rsidRPr="000209DD">
        <w:rPr>
          <w:sz w:val="18"/>
          <w:szCs w:val="18"/>
        </w:rPr>
        <w:t xml:space="preserve"> Estos inventarios son iguales a los inventarios iniciales con trámite, más los ingresos y procesos reactivados en la vigencia, menos los egresos, procesos sin trámite y acumulados durante la vigencia. Según la Entidad, la reactivación de procesos ha permitido el paso de procesos sin trámite a inventario con trámite.</w:t>
      </w:r>
    </w:p>
  </w:footnote>
  <w:footnote w:id="26">
    <w:p w:rsidR="0055111B" w:rsidRPr="003A0861" w:rsidRDefault="0055111B" w:rsidP="003A0861">
      <w:pPr>
        <w:pStyle w:val="Textonotapie"/>
        <w:ind w:left="0" w:firstLine="0"/>
        <w:rPr>
          <w:sz w:val="18"/>
          <w:szCs w:val="18"/>
        </w:rPr>
      </w:pPr>
      <w:r w:rsidRPr="003A0861">
        <w:rPr>
          <w:rStyle w:val="Refdenotaalpie"/>
          <w:sz w:val="18"/>
          <w:szCs w:val="18"/>
        </w:rPr>
        <w:footnoteRef/>
      </w:r>
      <w:r w:rsidRPr="003A0861">
        <w:rPr>
          <w:sz w:val="18"/>
          <w:szCs w:val="18"/>
        </w:rPr>
        <w:t xml:space="preserve"> Los gastos de personal ejecutados por la Rama Judicial, aumentaron de 1,48 billones en la vigencia 2010 a 2,23 billones en 2013 (50,6%).</w:t>
      </w:r>
    </w:p>
  </w:footnote>
  <w:footnote w:id="27">
    <w:p w:rsidR="0055111B" w:rsidRPr="003A0861" w:rsidRDefault="0055111B" w:rsidP="003A0861">
      <w:pPr>
        <w:pStyle w:val="Textonotapie"/>
        <w:ind w:left="0" w:firstLine="0"/>
        <w:rPr>
          <w:sz w:val="18"/>
          <w:szCs w:val="18"/>
        </w:rPr>
      </w:pPr>
      <w:r w:rsidRPr="003A0861">
        <w:rPr>
          <w:rStyle w:val="Refdenotaalpie"/>
          <w:sz w:val="18"/>
          <w:szCs w:val="18"/>
        </w:rPr>
        <w:footnoteRef/>
      </w:r>
      <w:r w:rsidRPr="003A0861">
        <w:rPr>
          <w:sz w:val="18"/>
          <w:szCs w:val="18"/>
        </w:rPr>
        <w:t xml:space="preserve"> Este indicador es igual a: ( inventario inicial de procesos + ingresos totales ) / número de personal juzgador</w:t>
      </w:r>
    </w:p>
  </w:footnote>
  <w:footnote w:id="28">
    <w:p w:rsidR="0055111B" w:rsidRPr="003A0861" w:rsidRDefault="0055111B" w:rsidP="003A0861">
      <w:pPr>
        <w:pStyle w:val="Textonotapie"/>
        <w:ind w:left="0" w:firstLine="0"/>
        <w:rPr>
          <w:sz w:val="18"/>
          <w:szCs w:val="18"/>
        </w:rPr>
      </w:pPr>
      <w:r w:rsidRPr="003A0861">
        <w:rPr>
          <w:rStyle w:val="Refdenotaalpie"/>
          <w:sz w:val="18"/>
          <w:szCs w:val="18"/>
        </w:rPr>
        <w:footnoteRef/>
      </w:r>
      <w:r w:rsidRPr="003A0861">
        <w:rPr>
          <w:sz w:val="18"/>
          <w:szCs w:val="18"/>
        </w:rPr>
        <w:t xml:space="preserve"> Es igual a los egresos totales sobre el número de personal juzgador.</w:t>
      </w:r>
    </w:p>
  </w:footnote>
  <w:footnote w:id="29">
    <w:p w:rsidR="0055111B" w:rsidRPr="003A0861" w:rsidRDefault="0055111B" w:rsidP="003A0861">
      <w:pPr>
        <w:pStyle w:val="Textonotapie"/>
        <w:ind w:left="0" w:firstLine="0"/>
        <w:rPr>
          <w:sz w:val="18"/>
          <w:szCs w:val="18"/>
        </w:rPr>
      </w:pPr>
      <w:r w:rsidRPr="003A0861">
        <w:rPr>
          <w:rStyle w:val="Refdenotaalpie"/>
          <w:sz w:val="18"/>
          <w:szCs w:val="18"/>
        </w:rPr>
        <w:footnoteRef/>
      </w:r>
      <w:r w:rsidRPr="003A0861">
        <w:rPr>
          <w:sz w:val="18"/>
          <w:szCs w:val="18"/>
        </w:rPr>
        <w:t xml:space="preserve"> Se calcula como los egresos efectivos sobre el número de personal juzgador.</w:t>
      </w:r>
    </w:p>
  </w:footnote>
  <w:footnote w:id="30">
    <w:p w:rsidR="0055111B" w:rsidRPr="003A0861" w:rsidRDefault="0055111B" w:rsidP="003A0861">
      <w:pPr>
        <w:pStyle w:val="Textonotapie"/>
        <w:ind w:left="0" w:firstLine="0"/>
        <w:rPr>
          <w:sz w:val="18"/>
          <w:szCs w:val="18"/>
        </w:rPr>
      </w:pPr>
      <w:r w:rsidRPr="003A0861">
        <w:rPr>
          <w:rStyle w:val="Refdenotaalpie"/>
          <w:sz w:val="18"/>
          <w:szCs w:val="18"/>
        </w:rPr>
        <w:footnoteRef/>
      </w:r>
      <w:r w:rsidRPr="003A0861">
        <w:rPr>
          <w:sz w:val="18"/>
          <w:szCs w:val="18"/>
        </w:rPr>
        <w:t xml:space="preserve"> Debe señalarse que algunos Consejos Seccionales tienen jurisdicción sobre varios departamentos, así: Bogotá-Cundinamarca incluye Amazonas; Bolívar incluye San Andrés y Providencia; Boyacá incluye Casanare; Meta incluye Guaviare, Guainía, Vichada y Vaupés; Nariño incluye Putumayo y Norte de Santander incluye Arauca.</w:t>
      </w:r>
    </w:p>
  </w:footnote>
  <w:footnote w:id="31">
    <w:p w:rsidR="0055111B" w:rsidRPr="003A0861" w:rsidRDefault="0055111B" w:rsidP="003A0861">
      <w:pPr>
        <w:pStyle w:val="Textonotapie"/>
        <w:ind w:left="0" w:firstLine="0"/>
        <w:rPr>
          <w:sz w:val="18"/>
          <w:szCs w:val="18"/>
        </w:rPr>
      </w:pPr>
      <w:r w:rsidRPr="003A0861">
        <w:rPr>
          <w:rStyle w:val="Refdenotaalpie"/>
          <w:sz w:val="18"/>
          <w:szCs w:val="18"/>
        </w:rPr>
        <w:footnoteRef/>
      </w:r>
      <w:r w:rsidRPr="003A0861">
        <w:rPr>
          <w:sz w:val="18"/>
          <w:szCs w:val="18"/>
        </w:rPr>
        <w:t xml:space="preserve"> Para simplificar el análisis del documento, se tratará de forma unificada la información sobre estos dos Consejos Seccionales, durante el periodo 2010-2013. No obstante, debe señalarse que el Consejo Seccional de Bogotá fue creado mediante el Acuerdo PSAA11-7689 del 1 de Febrero de 2011.</w:t>
      </w:r>
    </w:p>
  </w:footnote>
  <w:footnote w:id="32">
    <w:p w:rsidR="0055111B" w:rsidRPr="003A0861" w:rsidRDefault="0055111B" w:rsidP="003A0861">
      <w:pPr>
        <w:pStyle w:val="Textonotapie"/>
        <w:ind w:left="0" w:firstLine="0"/>
        <w:rPr>
          <w:sz w:val="18"/>
          <w:szCs w:val="18"/>
        </w:rPr>
      </w:pPr>
      <w:r w:rsidRPr="003A0861">
        <w:rPr>
          <w:rStyle w:val="Refdenotaalpie"/>
          <w:sz w:val="18"/>
          <w:szCs w:val="18"/>
        </w:rPr>
        <w:footnoteRef/>
      </w:r>
      <w:r w:rsidRPr="003A0861">
        <w:rPr>
          <w:sz w:val="18"/>
          <w:szCs w:val="18"/>
        </w:rPr>
        <w:t xml:space="preserve"> Esta especialidad registró en promedio un 51% de los inventarios iniciales de procesos de la Rama Judicial y su índice de congestión efectivo promedio fue de 60%.</w:t>
      </w:r>
    </w:p>
  </w:footnote>
  <w:footnote w:id="33">
    <w:p w:rsidR="0055111B" w:rsidRPr="003A0861" w:rsidRDefault="0055111B" w:rsidP="003A0861">
      <w:pPr>
        <w:pStyle w:val="Textonotapie"/>
        <w:ind w:left="0" w:firstLine="0"/>
        <w:rPr>
          <w:sz w:val="18"/>
          <w:szCs w:val="18"/>
        </w:rPr>
      </w:pPr>
      <w:r w:rsidRPr="003A0861">
        <w:rPr>
          <w:rStyle w:val="Refdenotaalpie"/>
          <w:sz w:val="18"/>
          <w:szCs w:val="18"/>
        </w:rPr>
        <w:footnoteRef/>
      </w:r>
      <w:r w:rsidRPr="003A0861">
        <w:rPr>
          <w:sz w:val="18"/>
          <w:szCs w:val="18"/>
        </w:rPr>
        <w:t xml:space="preserve"> Dichas especialidades tuvieron en promedio el 16% y 7% de los inventarios iniciales de procesos de la Rama, mientras que sus índices de congestión efectivos fueron en promedio 41% y 48%.</w:t>
      </w:r>
    </w:p>
  </w:footnote>
  <w:footnote w:id="34">
    <w:p w:rsidR="0055111B" w:rsidRPr="003A0861" w:rsidRDefault="0055111B" w:rsidP="003A0861">
      <w:pPr>
        <w:pStyle w:val="Textonotapie"/>
        <w:ind w:left="0" w:firstLine="0"/>
        <w:rPr>
          <w:sz w:val="18"/>
          <w:szCs w:val="18"/>
        </w:rPr>
      </w:pPr>
      <w:r w:rsidRPr="003A0861">
        <w:rPr>
          <w:rStyle w:val="Refdenotaalpie"/>
          <w:sz w:val="18"/>
          <w:szCs w:val="18"/>
        </w:rPr>
        <w:footnoteRef/>
      </w:r>
      <w:r w:rsidRPr="003A0861">
        <w:rPr>
          <w:sz w:val="18"/>
          <w:szCs w:val="18"/>
        </w:rPr>
        <w:t xml:space="preserve"> Estas especialidades registraron en promedio un 5,7% y 1,4% de estos inventarios.</w:t>
      </w:r>
    </w:p>
  </w:footnote>
  <w:footnote w:id="35">
    <w:p w:rsidR="0055111B" w:rsidRPr="00140000" w:rsidRDefault="0055111B">
      <w:pPr>
        <w:pStyle w:val="Textonotapie"/>
        <w:rPr>
          <w:sz w:val="16"/>
          <w:szCs w:val="16"/>
        </w:rPr>
      </w:pPr>
      <w:r w:rsidRPr="00140000">
        <w:rPr>
          <w:rStyle w:val="Refdenotaalpie"/>
          <w:sz w:val="16"/>
          <w:szCs w:val="16"/>
        </w:rPr>
        <w:footnoteRef/>
      </w:r>
      <w:r w:rsidRPr="00140000">
        <w:rPr>
          <w:sz w:val="16"/>
          <w:szCs w:val="16"/>
        </w:rPr>
        <w:t xml:space="preserve"> Espec</w:t>
      </w:r>
      <w:r>
        <w:rPr>
          <w:sz w:val="16"/>
          <w:szCs w:val="16"/>
        </w:rPr>
        <w:t>íficamente en la Rama Judicial, no incluye la labor investigativa a cargo de la Fiscalía General de la Nación.</w:t>
      </w:r>
    </w:p>
  </w:footnote>
  <w:footnote w:id="36">
    <w:p w:rsidR="0055111B" w:rsidRPr="003A0861" w:rsidRDefault="0055111B" w:rsidP="003A0861">
      <w:pPr>
        <w:pStyle w:val="Textonotapie"/>
        <w:ind w:left="0" w:firstLine="0"/>
        <w:rPr>
          <w:sz w:val="18"/>
          <w:szCs w:val="18"/>
        </w:rPr>
      </w:pPr>
      <w:r w:rsidRPr="003A0861">
        <w:rPr>
          <w:rStyle w:val="Refdenotaalpie"/>
          <w:sz w:val="18"/>
          <w:szCs w:val="18"/>
        </w:rPr>
        <w:footnoteRef/>
      </w:r>
      <w:r w:rsidRPr="003A0861">
        <w:rPr>
          <w:sz w:val="18"/>
          <w:szCs w:val="18"/>
        </w:rPr>
        <w:t xml:space="preserve"> Entre los proyectos cuyas metas tienen este inconveniente, sobresalen: a) rehabilitación del Palacio de Justicia Pedro Elías Serrano de Cali, b) adquisición, construcción y mejoramiento de la Sede Anexa del Palacio de Justicia en Bogotá D.C., c) mejoramiento y mantenimiento de la infraestructura propia del sector, entre otros.</w:t>
      </w:r>
    </w:p>
  </w:footnote>
  <w:footnote w:id="37">
    <w:p w:rsidR="0055111B" w:rsidRPr="003A0861" w:rsidRDefault="0055111B" w:rsidP="003A0861">
      <w:pPr>
        <w:pStyle w:val="Textonotapie"/>
        <w:ind w:left="0" w:firstLine="0"/>
        <w:rPr>
          <w:sz w:val="18"/>
          <w:szCs w:val="18"/>
        </w:rPr>
      </w:pPr>
      <w:r w:rsidRPr="003A0861">
        <w:rPr>
          <w:rStyle w:val="Refdenotaalpie"/>
          <w:sz w:val="18"/>
          <w:szCs w:val="18"/>
        </w:rPr>
        <w:footnoteRef/>
      </w:r>
      <w:r w:rsidRPr="003A0861">
        <w:rPr>
          <w:sz w:val="18"/>
          <w:szCs w:val="18"/>
        </w:rPr>
        <w:t xml:space="preserve"> Contenida en el Oficio UDAEOF14-293 del 13 de Febrero de 2014. Puntos 2 y 3.</w:t>
      </w:r>
    </w:p>
  </w:footnote>
  <w:footnote w:id="38">
    <w:p w:rsidR="0055111B" w:rsidRPr="003A0861" w:rsidRDefault="0055111B" w:rsidP="003A0861">
      <w:pPr>
        <w:pStyle w:val="Textonotapie"/>
        <w:ind w:left="0" w:firstLine="0"/>
        <w:rPr>
          <w:sz w:val="18"/>
          <w:szCs w:val="18"/>
        </w:rPr>
      </w:pPr>
      <w:r w:rsidRPr="003A0861">
        <w:rPr>
          <w:rStyle w:val="Refdenotaalpie"/>
          <w:sz w:val="18"/>
          <w:szCs w:val="18"/>
        </w:rPr>
        <w:footnoteRef/>
      </w:r>
      <w:r w:rsidRPr="003A0861">
        <w:rPr>
          <w:sz w:val="18"/>
          <w:szCs w:val="18"/>
        </w:rPr>
        <w:t xml:space="preserve"> El cual establece: </w:t>
      </w:r>
      <w:r w:rsidRPr="003A0861">
        <w:rPr>
          <w:i/>
          <w:sz w:val="18"/>
          <w:szCs w:val="18"/>
        </w:rPr>
        <w:t>“Este Sistema tendrá como base fundamental el diseño de indicadores que permitan, como mínimo medir variables de eficiencia, de resultado y de impacto que faciliten el seguimiento por parte de los ciudadanos y de los organismos de control, los cuales estarán a disposición de los usuarios o destinatarios y serán publicados de manera permanente en las páginas electrónicas de cada una de las entidades cuando cuenten con ellas”</w:t>
      </w:r>
    </w:p>
    <w:p w:rsidR="0055111B" w:rsidRPr="003A0861" w:rsidRDefault="0055111B" w:rsidP="003A0861">
      <w:pPr>
        <w:pStyle w:val="Textonotapie"/>
        <w:ind w:left="0" w:firstLine="0"/>
        <w:rPr>
          <w:sz w:val="18"/>
          <w:szCs w:val="18"/>
        </w:rPr>
      </w:pPr>
    </w:p>
  </w:footnote>
  <w:footnote w:id="39">
    <w:p w:rsidR="0055111B" w:rsidRPr="003A0861" w:rsidRDefault="0055111B" w:rsidP="003A0861">
      <w:pPr>
        <w:pStyle w:val="Textonotapie"/>
        <w:ind w:left="0" w:firstLine="0"/>
        <w:rPr>
          <w:sz w:val="18"/>
          <w:szCs w:val="18"/>
        </w:rPr>
      </w:pPr>
      <w:r w:rsidRPr="003A0861">
        <w:rPr>
          <w:rStyle w:val="Refdenotaalpie"/>
          <w:sz w:val="18"/>
          <w:szCs w:val="18"/>
        </w:rPr>
        <w:footnoteRef/>
      </w:r>
      <w:r w:rsidRPr="003A0861">
        <w:rPr>
          <w:sz w:val="18"/>
          <w:szCs w:val="18"/>
        </w:rPr>
        <w:t xml:space="preserve"> Ibíd.</w:t>
      </w:r>
    </w:p>
  </w:footnote>
  <w:footnote w:id="40">
    <w:p w:rsidR="0055111B" w:rsidRPr="003A0861" w:rsidRDefault="0055111B" w:rsidP="003A0861">
      <w:pPr>
        <w:pStyle w:val="Textonotapie"/>
        <w:ind w:left="0" w:firstLine="0"/>
        <w:rPr>
          <w:sz w:val="18"/>
          <w:szCs w:val="18"/>
        </w:rPr>
      </w:pPr>
      <w:r w:rsidRPr="003A0861">
        <w:rPr>
          <w:rStyle w:val="Refdenotaalpie"/>
          <w:sz w:val="18"/>
          <w:szCs w:val="18"/>
        </w:rPr>
        <w:footnoteRef/>
      </w:r>
      <w:r w:rsidRPr="003A0861">
        <w:rPr>
          <w:sz w:val="18"/>
          <w:szCs w:val="18"/>
        </w:rPr>
        <w:t xml:space="preserve"> Contenido en Oficio UDAEOF14-293 del 13 de Febrero de 2014. Punto 9.</w:t>
      </w:r>
    </w:p>
  </w:footnote>
  <w:footnote w:id="41">
    <w:p w:rsidR="0055111B" w:rsidRPr="003A0861" w:rsidRDefault="0055111B" w:rsidP="003A0861">
      <w:pPr>
        <w:pStyle w:val="Textonotapie"/>
        <w:ind w:left="0" w:firstLine="0"/>
        <w:rPr>
          <w:sz w:val="18"/>
          <w:szCs w:val="18"/>
        </w:rPr>
      </w:pPr>
      <w:r w:rsidRPr="003A0861">
        <w:rPr>
          <w:rStyle w:val="Refdenotaalpie"/>
          <w:sz w:val="18"/>
          <w:szCs w:val="18"/>
        </w:rPr>
        <w:footnoteRef/>
      </w:r>
      <w:r w:rsidRPr="003A0861">
        <w:rPr>
          <w:sz w:val="18"/>
          <w:szCs w:val="18"/>
        </w:rPr>
        <w:t xml:space="preserve"> Los tiempos calculados en número de días, fueron: civil (625), familia (433), laboral (631), penal (758), menores (555) y disciplinario (625)</w:t>
      </w:r>
    </w:p>
  </w:footnote>
  <w:footnote w:id="42">
    <w:p w:rsidR="0055111B" w:rsidRPr="003A0861" w:rsidRDefault="0055111B" w:rsidP="003A0861">
      <w:pPr>
        <w:pStyle w:val="Textonotapie"/>
        <w:ind w:left="0" w:firstLine="0"/>
        <w:rPr>
          <w:sz w:val="18"/>
          <w:szCs w:val="18"/>
        </w:rPr>
      </w:pPr>
      <w:r w:rsidRPr="003A0861">
        <w:rPr>
          <w:rStyle w:val="Refdenotaalpie"/>
          <w:sz w:val="18"/>
          <w:szCs w:val="18"/>
        </w:rPr>
        <w:footnoteRef/>
      </w:r>
      <w:r w:rsidRPr="003A0861">
        <w:rPr>
          <w:sz w:val="18"/>
          <w:szCs w:val="18"/>
        </w:rPr>
        <w:t xml:space="preserve"> Ibíd.</w:t>
      </w:r>
    </w:p>
  </w:footnote>
  <w:footnote w:id="43">
    <w:p w:rsidR="0055111B" w:rsidRPr="003A0861" w:rsidRDefault="0055111B" w:rsidP="003A0861">
      <w:pPr>
        <w:pStyle w:val="Textonotapie"/>
        <w:ind w:left="0" w:firstLine="0"/>
        <w:rPr>
          <w:sz w:val="18"/>
          <w:szCs w:val="18"/>
        </w:rPr>
      </w:pPr>
      <w:r w:rsidRPr="003A0861">
        <w:rPr>
          <w:rStyle w:val="Refdenotaalpie"/>
          <w:sz w:val="18"/>
          <w:szCs w:val="18"/>
        </w:rPr>
        <w:footnoteRef/>
      </w:r>
      <w:r w:rsidRPr="003A0861">
        <w:rPr>
          <w:sz w:val="18"/>
          <w:szCs w:val="18"/>
        </w:rPr>
        <w:t xml:space="preserve"> Las autoridades administrativas deben coordinar sus actuaciones para el adecuado cumplimiento de los fines del Estado.</w:t>
      </w:r>
    </w:p>
  </w:footnote>
  <w:footnote w:id="44">
    <w:p w:rsidR="0055111B" w:rsidRPr="003A0861" w:rsidRDefault="0055111B" w:rsidP="003A0861">
      <w:pPr>
        <w:autoSpaceDE w:val="0"/>
        <w:autoSpaceDN w:val="0"/>
        <w:adjustRightInd w:val="0"/>
        <w:spacing w:after="0" w:line="240" w:lineRule="auto"/>
        <w:jc w:val="both"/>
        <w:rPr>
          <w:rFonts w:ascii="Arial" w:hAnsi="Arial" w:cs="Arial"/>
          <w:i/>
          <w:iCs/>
          <w:sz w:val="18"/>
          <w:szCs w:val="18"/>
        </w:rPr>
      </w:pPr>
      <w:r w:rsidRPr="003A0861">
        <w:rPr>
          <w:rStyle w:val="Refdenotaalpie"/>
          <w:rFonts w:ascii="Arial" w:hAnsi="Arial" w:cs="Arial"/>
          <w:sz w:val="18"/>
          <w:szCs w:val="18"/>
        </w:rPr>
        <w:footnoteRef/>
      </w:r>
      <w:r w:rsidRPr="003A0861">
        <w:rPr>
          <w:rFonts w:ascii="Arial" w:hAnsi="Arial" w:cs="Arial"/>
          <w:sz w:val="18"/>
          <w:szCs w:val="18"/>
        </w:rPr>
        <w:t xml:space="preserve"> </w:t>
      </w:r>
      <w:r w:rsidRPr="003A0861">
        <w:rPr>
          <w:rFonts w:ascii="Arial" w:hAnsi="Arial" w:cs="Arial"/>
          <w:i/>
          <w:iCs/>
          <w:sz w:val="18"/>
          <w:szCs w:val="18"/>
        </w:rPr>
        <w:t xml:space="preserve">El principio de </w:t>
      </w:r>
      <w:r w:rsidRPr="003A0861">
        <w:rPr>
          <w:rFonts w:ascii="Arial" w:hAnsi="Arial" w:cs="Arial"/>
          <w:b/>
          <w:bCs/>
          <w:i/>
          <w:iCs/>
          <w:sz w:val="18"/>
          <w:szCs w:val="18"/>
        </w:rPr>
        <w:t xml:space="preserve">planeación </w:t>
      </w:r>
      <w:r w:rsidRPr="003A0861">
        <w:rPr>
          <w:rFonts w:ascii="Arial" w:hAnsi="Arial" w:cs="Arial"/>
          <w:i/>
          <w:iCs/>
          <w:sz w:val="18"/>
          <w:szCs w:val="18"/>
        </w:rPr>
        <w:t>es una manifestación del principio de economía, consagrado en el artículo 25 de la Ley 80 de 1993, como se desprende de lo dispuesto en los numerales 6, 7 y 12 a 14 de esta disposición, como señaló la Procuraduría General de la Nación en la cartilla “Recomendaciones para la Elaboración de Estudios Previos”.</w:t>
      </w:r>
    </w:p>
    <w:p w:rsidR="0055111B" w:rsidRPr="003A0861" w:rsidRDefault="0055111B" w:rsidP="003A0861">
      <w:pPr>
        <w:pStyle w:val="Textonotapie"/>
        <w:ind w:left="0" w:firstLine="0"/>
        <w:rPr>
          <w:sz w:val="18"/>
          <w:szCs w:val="18"/>
        </w:rPr>
      </w:pPr>
    </w:p>
    <w:p w:rsidR="0055111B" w:rsidRPr="003A0861" w:rsidRDefault="0055111B" w:rsidP="003A0861">
      <w:pPr>
        <w:pStyle w:val="Textonotapie"/>
        <w:ind w:left="0" w:firstLine="0"/>
        <w:rPr>
          <w:sz w:val="18"/>
          <w:szCs w:val="18"/>
        </w:rPr>
      </w:pPr>
    </w:p>
  </w:footnote>
  <w:footnote w:id="45">
    <w:p w:rsidR="0055111B" w:rsidRPr="003A0861" w:rsidRDefault="0055111B" w:rsidP="003A0861">
      <w:pPr>
        <w:pStyle w:val="Textonotapie"/>
        <w:ind w:left="0" w:firstLine="0"/>
        <w:rPr>
          <w:sz w:val="18"/>
          <w:szCs w:val="18"/>
        </w:rPr>
      </w:pPr>
      <w:r w:rsidRPr="003A0861">
        <w:rPr>
          <w:rStyle w:val="Refdenotaalpie"/>
          <w:sz w:val="18"/>
          <w:szCs w:val="18"/>
        </w:rPr>
        <w:footnoteRef/>
      </w:r>
      <w:r w:rsidRPr="003A0861">
        <w:rPr>
          <w:sz w:val="18"/>
          <w:szCs w:val="18"/>
        </w:rPr>
        <w:t xml:space="preserve"> Fuente: Oficio DEAJPL 14-157 del 13/02/2014 (CD gastos específicos vigencias 2010-2013).</w:t>
      </w:r>
    </w:p>
  </w:footnote>
  <w:footnote w:id="46">
    <w:p w:rsidR="0055111B" w:rsidRPr="00A56AF3" w:rsidRDefault="0055111B">
      <w:pPr>
        <w:pStyle w:val="Textonotapie"/>
        <w:rPr>
          <w:sz w:val="18"/>
          <w:szCs w:val="18"/>
        </w:rPr>
      </w:pPr>
      <w:r w:rsidRPr="00A56AF3">
        <w:rPr>
          <w:rStyle w:val="Refdenotaalpie"/>
          <w:sz w:val="18"/>
          <w:szCs w:val="18"/>
        </w:rPr>
        <w:footnoteRef/>
      </w:r>
      <w:r w:rsidRPr="00A56AF3">
        <w:rPr>
          <w:sz w:val="18"/>
          <w:szCs w:val="18"/>
        </w:rPr>
        <w:t xml:space="preserve"> Fuente: Oficio DEAJPL14-438 del 13 de mayo de 2014 del CSJ.</w:t>
      </w:r>
    </w:p>
  </w:footnote>
  <w:footnote w:id="47">
    <w:p w:rsidR="0055111B" w:rsidRPr="003A0861" w:rsidRDefault="0055111B" w:rsidP="003A0861">
      <w:pPr>
        <w:pStyle w:val="Textonotapie"/>
        <w:ind w:left="0" w:firstLine="0"/>
        <w:rPr>
          <w:sz w:val="18"/>
          <w:szCs w:val="18"/>
        </w:rPr>
      </w:pPr>
      <w:r w:rsidRPr="003A0861">
        <w:rPr>
          <w:rStyle w:val="Refdenotaalpie"/>
          <w:sz w:val="18"/>
          <w:szCs w:val="18"/>
        </w:rPr>
        <w:footnoteRef/>
      </w:r>
      <w:r w:rsidRPr="003A0861">
        <w:rPr>
          <w:sz w:val="18"/>
          <w:szCs w:val="18"/>
        </w:rPr>
        <w:t xml:space="preserve"> Fuente: Oficio DEAJPL 14-157 del 13/02/2014 (CD gastos específicos vigencias 2010-2013).</w:t>
      </w:r>
    </w:p>
  </w:footnote>
  <w:footnote w:id="48">
    <w:p w:rsidR="0055111B" w:rsidRPr="003A0861" w:rsidRDefault="0055111B" w:rsidP="003A0861">
      <w:pPr>
        <w:pStyle w:val="Textonotapie"/>
        <w:ind w:left="0" w:firstLine="0"/>
        <w:rPr>
          <w:sz w:val="18"/>
          <w:szCs w:val="18"/>
        </w:rPr>
      </w:pPr>
      <w:r w:rsidRPr="003A0861">
        <w:rPr>
          <w:rStyle w:val="Refdenotaalpie"/>
          <w:sz w:val="18"/>
          <w:szCs w:val="18"/>
        </w:rPr>
        <w:footnoteRef/>
      </w:r>
      <w:r w:rsidRPr="003A0861">
        <w:rPr>
          <w:sz w:val="18"/>
          <w:szCs w:val="18"/>
        </w:rPr>
        <w:t xml:space="preserve"> Plan Sectorial de Desarrollo de la Rama Judicial 2011-2014, pág. 91.</w:t>
      </w:r>
    </w:p>
  </w:footnote>
  <w:footnote w:id="49">
    <w:p w:rsidR="0055111B" w:rsidRPr="003A0861" w:rsidRDefault="0055111B" w:rsidP="003A0861">
      <w:pPr>
        <w:pStyle w:val="Textonotapie"/>
        <w:ind w:left="0" w:firstLine="0"/>
        <w:rPr>
          <w:sz w:val="18"/>
          <w:szCs w:val="18"/>
        </w:rPr>
      </w:pPr>
      <w:r w:rsidRPr="003A0861">
        <w:rPr>
          <w:rStyle w:val="Refdenotaalpie"/>
          <w:sz w:val="18"/>
          <w:szCs w:val="18"/>
        </w:rPr>
        <w:footnoteRef/>
      </w:r>
      <w:r w:rsidRPr="003A0861">
        <w:rPr>
          <w:sz w:val="18"/>
          <w:szCs w:val="18"/>
        </w:rPr>
        <w:t xml:space="preserve"> Ibídem, donde se establece que </w:t>
      </w:r>
      <w:r w:rsidRPr="003A0861">
        <w:rPr>
          <w:i/>
          <w:sz w:val="18"/>
          <w:szCs w:val="18"/>
        </w:rPr>
        <w:t>“</w:t>
      </w:r>
      <w:proofErr w:type="spellStart"/>
      <w:r w:rsidRPr="003A0861">
        <w:rPr>
          <w:i/>
          <w:sz w:val="18"/>
          <w:szCs w:val="18"/>
        </w:rPr>
        <w:t>Intersectorialidad</w:t>
      </w:r>
      <w:proofErr w:type="spellEnd"/>
      <w:r w:rsidRPr="003A0861">
        <w:rPr>
          <w:i/>
          <w:sz w:val="18"/>
          <w:szCs w:val="18"/>
        </w:rPr>
        <w:t xml:space="preserve"> para la construcción de información, monitoreo y seguimiento de las políticas de Estado”, </w:t>
      </w:r>
      <w:r w:rsidRPr="003A0861">
        <w:rPr>
          <w:sz w:val="18"/>
          <w:szCs w:val="18"/>
        </w:rPr>
        <w:t>pág. 69.</w:t>
      </w:r>
    </w:p>
  </w:footnote>
  <w:footnote w:id="50">
    <w:p w:rsidR="0055111B" w:rsidRPr="003A0861" w:rsidRDefault="0055111B" w:rsidP="003A0861">
      <w:pPr>
        <w:pStyle w:val="Textonotapie"/>
        <w:ind w:left="0" w:firstLine="0"/>
        <w:rPr>
          <w:sz w:val="18"/>
          <w:szCs w:val="18"/>
          <w:lang w:val="es-ES"/>
        </w:rPr>
      </w:pPr>
      <w:r w:rsidRPr="003A0861">
        <w:rPr>
          <w:rStyle w:val="Refdenotaalpie"/>
          <w:sz w:val="18"/>
          <w:szCs w:val="18"/>
        </w:rPr>
        <w:footnoteRef/>
      </w:r>
      <w:r w:rsidRPr="003A0861">
        <w:rPr>
          <w:sz w:val="18"/>
          <w:szCs w:val="18"/>
          <w:lang w:val="es-ES"/>
        </w:rPr>
        <w:t xml:space="preserve"> Cfr. KOONTZ, Harold. Administración. Una perspectiva Global. Bogotá, Mc-Graw Hill. </w:t>
      </w:r>
    </w:p>
  </w:footnote>
  <w:footnote w:id="51">
    <w:p w:rsidR="0055111B" w:rsidRPr="003A0861" w:rsidRDefault="0055111B" w:rsidP="003A0861">
      <w:pPr>
        <w:pStyle w:val="Textonotapie"/>
        <w:ind w:left="0" w:firstLine="0"/>
        <w:rPr>
          <w:sz w:val="18"/>
          <w:szCs w:val="18"/>
          <w:lang w:val="es-ES"/>
        </w:rPr>
      </w:pPr>
      <w:r w:rsidRPr="003A0861">
        <w:rPr>
          <w:rStyle w:val="Refdenotaalpie"/>
          <w:sz w:val="18"/>
          <w:szCs w:val="18"/>
        </w:rPr>
        <w:footnoteRef/>
      </w:r>
      <w:r w:rsidRPr="003A0861">
        <w:rPr>
          <w:sz w:val="18"/>
          <w:szCs w:val="18"/>
          <w:lang w:val="es-ES"/>
        </w:rPr>
        <w:t xml:space="preserve"> El substantivo ‘coordinación’ y el infinitivo ‘</w:t>
      </w:r>
      <w:r w:rsidRPr="003A0861">
        <w:rPr>
          <w:b/>
          <w:bCs/>
          <w:i/>
          <w:iCs/>
          <w:sz w:val="18"/>
          <w:szCs w:val="18"/>
          <w:lang w:val="es-ES"/>
        </w:rPr>
        <w:t>coordinar’</w:t>
      </w:r>
      <w:r w:rsidRPr="003A0861">
        <w:rPr>
          <w:sz w:val="18"/>
          <w:szCs w:val="18"/>
          <w:lang w:val="es-ES"/>
        </w:rPr>
        <w:t> se derivan de los términos latinos ‘</w:t>
      </w:r>
      <w:r w:rsidRPr="003A0861">
        <w:rPr>
          <w:i/>
          <w:iCs/>
          <w:sz w:val="18"/>
          <w:szCs w:val="18"/>
          <w:lang w:val="es-ES"/>
        </w:rPr>
        <w:t>cum</w:t>
      </w:r>
      <w:r w:rsidRPr="003A0861">
        <w:rPr>
          <w:sz w:val="18"/>
          <w:szCs w:val="18"/>
          <w:lang w:val="es-ES"/>
        </w:rPr>
        <w:t>’ (con, conjuntamente) y ‘</w:t>
      </w:r>
      <w:r w:rsidRPr="003A0861">
        <w:rPr>
          <w:i/>
          <w:iCs/>
          <w:sz w:val="18"/>
          <w:szCs w:val="18"/>
          <w:lang w:val="es-ES"/>
        </w:rPr>
        <w:t>ordinare</w:t>
      </w:r>
      <w:r w:rsidRPr="003A0861">
        <w:rPr>
          <w:sz w:val="18"/>
          <w:szCs w:val="18"/>
          <w:lang w:val="es-ES"/>
        </w:rPr>
        <w:t>’ (regular, poner en una línea, ordenar), y tienen el significado de una actividad reguladora, o de ordenación sobre varios elementos, indica que se busca que distintas actividades sigan un mismo ordenamiento, se orienten a los mismos objetivos, o se eviten conflictos entre ellas.</w:t>
      </w:r>
    </w:p>
    <w:p w:rsidR="0055111B" w:rsidRPr="003A0861" w:rsidRDefault="0055111B" w:rsidP="003A0861">
      <w:pPr>
        <w:pStyle w:val="Textonotapie"/>
        <w:ind w:left="0" w:firstLine="0"/>
        <w:rPr>
          <w:sz w:val="18"/>
          <w:szCs w:val="18"/>
          <w:lang w:val="es-ES"/>
        </w:rPr>
      </w:pPr>
      <w:r w:rsidRPr="003A0861">
        <w:rPr>
          <w:sz w:val="18"/>
          <w:szCs w:val="18"/>
          <w:lang w:val="es-ES"/>
        </w:rPr>
        <w:t xml:space="preserve">El concepto de “coordinación” es pues inherente a la administración pues permite el esfuerzo mancomunado para alcanzar objetivos comunes. Para autores como Henri Fayol (1841-1925) que desarrollaron la Teoría Clásica de la administración, el concepto de coordinación implica los siguientes aspectos: jerarquía organizacional, reglas y procedimientos claros, y oportunidad y precisión en la comunicación para la toma de decisiones. Lo anterior debe permitir integrar los esfuerzos particulares, propios de la división de funciones en el trabajo, con la finalidad de alcanzar conjuntamente las metas propuestas.  </w:t>
      </w:r>
    </w:p>
    <w:p w:rsidR="0055111B" w:rsidRPr="003A0861" w:rsidRDefault="0055111B" w:rsidP="003A0861">
      <w:pPr>
        <w:pStyle w:val="Textonotapie"/>
        <w:ind w:left="0" w:firstLine="0"/>
        <w:rPr>
          <w:sz w:val="18"/>
          <w:szCs w:val="18"/>
          <w:lang w:val="es-ES"/>
        </w:rPr>
      </w:pPr>
      <w:r w:rsidRPr="003A0861">
        <w:rPr>
          <w:sz w:val="18"/>
          <w:szCs w:val="18"/>
          <w:lang w:val="es-ES"/>
        </w:rPr>
        <w:t>De otra parte, precisamos que en nuestra legislación colombiana se habla del “Principio de Coordinación”, referido a que las diferentes instancias y entidades del gobierno nacional, departamental y municipal, trabajen armónicamente cuando sus competencias sean concurrentes; lo anterior con el objeto de que las acciones y proyectos emprendidos, se complementen, sean razonables y conducentes para  lograr los fines de la acción estatal.  Cfr. Constitución Política de Colombia, artículo 288 y Sentencia C-149 de 2010.</w:t>
      </w:r>
    </w:p>
  </w:footnote>
  <w:footnote w:id="52">
    <w:p w:rsidR="0055111B" w:rsidRPr="003A0861" w:rsidRDefault="0055111B" w:rsidP="003A0861">
      <w:pPr>
        <w:pStyle w:val="Textopredeterminado"/>
        <w:jc w:val="both"/>
        <w:rPr>
          <w:rFonts w:ascii="Arial" w:hAnsi="Arial" w:cs="Arial"/>
          <w:sz w:val="18"/>
          <w:szCs w:val="18"/>
          <w:lang w:val="es-ES"/>
        </w:rPr>
      </w:pPr>
      <w:r w:rsidRPr="003A0861">
        <w:rPr>
          <w:rStyle w:val="Refdenotaalpie"/>
          <w:rFonts w:ascii="Arial" w:hAnsi="Arial" w:cs="Arial"/>
          <w:sz w:val="18"/>
          <w:szCs w:val="18"/>
        </w:rPr>
        <w:footnoteRef/>
      </w:r>
      <w:r w:rsidRPr="00A306D2">
        <w:rPr>
          <w:rFonts w:ascii="Arial" w:hAnsi="Arial" w:cs="Arial"/>
          <w:sz w:val="18"/>
          <w:szCs w:val="18"/>
          <w:lang w:val="es-CO"/>
        </w:rPr>
        <w:t xml:space="preserve"> </w:t>
      </w:r>
      <w:r w:rsidRPr="003A0861">
        <w:rPr>
          <w:rFonts w:ascii="Arial" w:hAnsi="Arial" w:cs="Arial"/>
          <w:sz w:val="18"/>
          <w:szCs w:val="18"/>
          <w:lang w:val="es-ES"/>
        </w:rPr>
        <w:t xml:space="preserve">El Ministerio de Justicia y del Derecho entregó a la CGR copia del documento “Todos construyendo desde posibilidades” el cual explica cómo la Oficina de Planeación del Ministerio ha implementado el “Sistema Integrado de Planeación y  Gestión”, con la finalidad de desarrollar y aplicar metodologías para la construcción participativa de la visión y el cumplimiento de la misión institucional y facilitar la función de dirección y liderazgo del Ministerio, como cabeza del sector. Se incluye en dicho documento la Política de Calidad del Ministerio, la cual incluye como uno de sus objetivos, la coordinación y fortalecimiento de las relaciones con el sector y las diferentes ramas del poder público, entre otros aspectos.  Ministerio de Justicia, Planeación Institucional, 2013. </w:t>
      </w:r>
    </w:p>
  </w:footnote>
  <w:footnote w:id="53">
    <w:p w:rsidR="0055111B" w:rsidRPr="003A0861" w:rsidRDefault="0055111B" w:rsidP="003A0861">
      <w:pPr>
        <w:pStyle w:val="Textonotapie"/>
        <w:ind w:left="0" w:firstLine="0"/>
        <w:rPr>
          <w:sz w:val="18"/>
          <w:szCs w:val="18"/>
          <w:lang w:val="es-ES"/>
        </w:rPr>
      </w:pPr>
      <w:r w:rsidRPr="003A0861">
        <w:rPr>
          <w:sz w:val="18"/>
          <w:szCs w:val="18"/>
          <w:lang w:val="es-ES"/>
        </w:rPr>
        <w:footnoteRef/>
      </w:r>
      <w:r w:rsidRPr="003A0861">
        <w:rPr>
          <w:sz w:val="18"/>
          <w:szCs w:val="18"/>
          <w:lang w:val="es-ES"/>
        </w:rPr>
        <w:t xml:space="preserve"> Cfr. REPUBLICA DE COLOMBIA. CONSEJO SUPERIOR DE LA JUDICATURA. Gaceta Judicial. Sala administrativa. Año XIX- Vol. XIX - Ordinaria No.131 – Julio 19 de 2012. Páginas 4-9.</w:t>
      </w:r>
    </w:p>
  </w:footnote>
  <w:footnote w:id="54">
    <w:p w:rsidR="0055111B" w:rsidRPr="003A0861" w:rsidRDefault="0055111B" w:rsidP="003A0861">
      <w:pPr>
        <w:pStyle w:val="Textonotapie"/>
        <w:ind w:left="0" w:firstLine="0"/>
        <w:rPr>
          <w:sz w:val="18"/>
          <w:szCs w:val="18"/>
        </w:rPr>
      </w:pPr>
      <w:r w:rsidRPr="003A0861">
        <w:rPr>
          <w:rStyle w:val="Refdenotaalpie"/>
          <w:sz w:val="18"/>
          <w:szCs w:val="18"/>
        </w:rPr>
        <w:footnoteRef/>
      </w:r>
      <w:r w:rsidRPr="003A0861">
        <w:rPr>
          <w:sz w:val="18"/>
          <w:szCs w:val="18"/>
        </w:rPr>
        <w:t xml:space="preserve"> Informe de Auditoría Rama Judicial – Consejo Superior de la Judicatura. Vigencias 2007-2011, pág. 18 y 19.  CGR, Bogotá, diciembre de 2011.</w:t>
      </w:r>
    </w:p>
  </w:footnote>
  <w:footnote w:id="55">
    <w:p w:rsidR="0055111B" w:rsidRPr="003A0861" w:rsidRDefault="0055111B" w:rsidP="003A0861">
      <w:pPr>
        <w:pStyle w:val="Textonotapie"/>
        <w:ind w:left="0" w:firstLine="0"/>
        <w:rPr>
          <w:sz w:val="18"/>
          <w:szCs w:val="18"/>
        </w:rPr>
      </w:pPr>
      <w:r w:rsidRPr="003A0861">
        <w:rPr>
          <w:rStyle w:val="Refdenotaalpie"/>
          <w:sz w:val="18"/>
          <w:szCs w:val="18"/>
        </w:rPr>
        <w:footnoteRef/>
      </w:r>
      <w:r w:rsidRPr="003A0861">
        <w:rPr>
          <w:sz w:val="18"/>
          <w:szCs w:val="18"/>
        </w:rPr>
        <w:t xml:space="preserve"> Los ciudadanos pueden solicitar la protección de sus derechos fundamentales ante cualquier Juez de la República. Consagrada en el artículo 86 de la Constitución Política y reglamentada por los Decretos 2591 de 1991, 306 de 1992 y 1382 de 2000. Procedimiento preferente y sumario que garantiza la protección inmediata de los derechos constitucionales fundamentales, cuando quiera que estos resulten vulnerados o amenazados por la acción u omisión de cualquier autoridad pública.</w:t>
      </w:r>
    </w:p>
  </w:footnote>
  <w:footnote w:id="56">
    <w:p w:rsidR="0055111B" w:rsidRPr="003A0861" w:rsidRDefault="0055111B" w:rsidP="003A0861">
      <w:pPr>
        <w:pStyle w:val="Textonotapie"/>
        <w:ind w:left="0" w:firstLine="0"/>
        <w:rPr>
          <w:sz w:val="18"/>
          <w:szCs w:val="18"/>
        </w:rPr>
      </w:pPr>
      <w:r w:rsidRPr="003A0861">
        <w:rPr>
          <w:rStyle w:val="Refdenotaalpie"/>
          <w:sz w:val="18"/>
          <w:szCs w:val="18"/>
        </w:rPr>
        <w:footnoteRef/>
      </w:r>
      <w:r w:rsidRPr="003A0861">
        <w:rPr>
          <w:sz w:val="18"/>
          <w:szCs w:val="18"/>
        </w:rPr>
        <w:t xml:space="preserve"> Las que se ejercen exclusivamente para obtener el reconocimiento y pago de indemnización de los perjuicios interpuestos por un número plural o un conjunto de personas que reúnen condiciones uniformes respecto de una misma causa que originó perjuicios individuales para dichas personas, artículo 3 de la Ley 472 de 1998, que desarrollo el artículo 88 de la Constitución Política.</w:t>
      </w:r>
    </w:p>
  </w:footnote>
  <w:footnote w:id="57">
    <w:p w:rsidR="0055111B" w:rsidRPr="003A0861" w:rsidRDefault="0055111B" w:rsidP="003A0861">
      <w:pPr>
        <w:spacing w:after="0" w:line="240" w:lineRule="auto"/>
        <w:jc w:val="both"/>
        <w:rPr>
          <w:rFonts w:ascii="Arial" w:hAnsi="Arial" w:cs="Arial"/>
          <w:sz w:val="18"/>
          <w:szCs w:val="18"/>
        </w:rPr>
      </w:pPr>
      <w:r w:rsidRPr="003A0861">
        <w:rPr>
          <w:rStyle w:val="Refdenotaalpie"/>
          <w:rFonts w:ascii="Arial" w:hAnsi="Arial" w:cs="Arial"/>
          <w:sz w:val="18"/>
          <w:szCs w:val="18"/>
        </w:rPr>
        <w:footnoteRef/>
      </w:r>
      <w:r w:rsidRPr="003A0861">
        <w:rPr>
          <w:rFonts w:ascii="Arial" w:hAnsi="Arial" w:cs="Arial"/>
          <w:sz w:val="18"/>
          <w:szCs w:val="18"/>
        </w:rPr>
        <w:t xml:space="preserve"> Protege </w:t>
      </w:r>
      <w:r w:rsidRPr="003A0861">
        <w:rPr>
          <w:rFonts w:ascii="Arial" w:hAnsi="Arial" w:cs="Arial"/>
          <w:color w:val="000000" w:themeColor="text1"/>
          <w:sz w:val="18"/>
          <w:szCs w:val="18"/>
        </w:rPr>
        <w:t xml:space="preserve">derechos e intereses colectivos, relacionados con el patrimonio, el espacio, la seguridad y </w:t>
      </w:r>
      <w:proofErr w:type="gramStart"/>
      <w:r w:rsidRPr="003A0861">
        <w:rPr>
          <w:rFonts w:ascii="Arial" w:hAnsi="Arial" w:cs="Arial"/>
          <w:color w:val="000000" w:themeColor="text1"/>
          <w:sz w:val="18"/>
          <w:szCs w:val="18"/>
        </w:rPr>
        <w:t>salubridad públicas</w:t>
      </w:r>
      <w:proofErr w:type="gramEnd"/>
      <w:r w:rsidRPr="003A0861">
        <w:rPr>
          <w:rFonts w:ascii="Arial" w:hAnsi="Arial" w:cs="Arial"/>
          <w:color w:val="000000" w:themeColor="text1"/>
          <w:sz w:val="18"/>
          <w:szCs w:val="18"/>
        </w:rPr>
        <w:t xml:space="preserve">, la moral administrativa, el ambiente, la libre competencia económica. Artículo 88 de la Constitución Política, desarrollado mediante la Ley 472 de 1998. </w:t>
      </w:r>
    </w:p>
  </w:footnote>
  <w:footnote w:id="58">
    <w:p w:rsidR="0055111B" w:rsidRPr="003A0861" w:rsidRDefault="0055111B" w:rsidP="003A0861">
      <w:pPr>
        <w:spacing w:after="0" w:line="240" w:lineRule="auto"/>
        <w:jc w:val="both"/>
        <w:rPr>
          <w:rFonts w:ascii="Arial" w:hAnsi="Arial" w:cs="Arial"/>
          <w:sz w:val="18"/>
          <w:szCs w:val="18"/>
        </w:rPr>
      </w:pPr>
      <w:r w:rsidRPr="003A0861">
        <w:rPr>
          <w:rStyle w:val="Refdenotaalpie"/>
          <w:rFonts w:ascii="Arial" w:hAnsi="Arial" w:cs="Arial"/>
          <w:sz w:val="18"/>
          <w:szCs w:val="18"/>
        </w:rPr>
        <w:footnoteRef/>
      </w:r>
      <w:r w:rsidRPr="003A0861">
        <w:rPr>
          <w:rFonts w:ascii="Arial" w:hAnsi="Arial" w:cs="Arial"/>
          <w:sz w:val="18"/>
          <w:szCs w:val="18"/>
        </w:rPr>
        <w:t xml:space="preserve"> </w:t>
      </w:r>
      <w:r w:rsidRPr="003A0861">
        <w:rPr>
          <w:rFonts w:ascii="Arial" w:hAnsi="Arial" w:cs="Arial"/>
          <w:color w:val="000000" w:themeColor="text1"/>
          <w:sz w:val="18"/>
          <w:szCs w:val="18"/>
        </w:rPr>
        <w:t>Mediante el cual se acude ante la autoridad judicial para hacer efectivo el cumplimiento de una ley o un acto administrativo, desarrollado mediante la Ley 393 de 1997, artículo 87 de la Constitución Política.</w:t>
      </w:r>
    </w:p>
  </w:footnote>
  <w:footnote w:id="59">
    <w:p w:rsidR="0055111B" w:rsidRPr="003A0861" w:rsidRDefault="0055111B" w:rsidP="003A0861">
      <w:pPr>
        <w:pStyle w:val="Textonotapie"/>
        <w:ind w:left="0" w:firstLine="0"/>
        <w:rPr>
          <w:sz w:val="18"/>
          <w:szCs w:val="18"/>
        </w:rPr>
      </w:pPr>
      <w:r w:rsidRPr="003A0861">
        <w:rPr>
          <w:rStyle w:val="Refdenotaalpie"/>
          <w:sz w:val="18"/>
          <w:szCs w:val="18"/>
        </w:rPr>
        <w:footnoteRef/>
      </w:r>
      <w:r w:rsidRPr="003A0861">
        <w:rPr>
          <w:sz w:val="18"/>
          <w:szCs w:val="18"/>
        </w:rPr>
        <w:t xml:space="preserve"> Protege la libertad personal, cuando alguien es capturado con violación de las garantías constitucionales o legales, o se prolongue ilegalmente la privación de su libertad, es decir la protección de su derecho a mantenerse libre, artículo 30 de la Constitución Política, reglamentada por la Lay 1095 de 2006.</w:t>
      </w:r>
    </w:p>
  </w:footnote>
  <w:footnote w:id="60">
    <w:p w:rsidR="0055111B" w:rsidRPr="003A0861" w:rsidRDefault="0055111B" w:rsidP="003A0861">
      <w:pPr>
        <w:pStyle w:val="Textonotapie"/>
        <w:ind w:left="0" w:firstLine="0"/>
        <w:rPr>
          <w:sz w:val="18"/>
          <w:szCs w:val="18"/>
        </w:rPr>
      </w:pPr>
      <w:r w:rsidRPr="003A0861">
        <w:rPr>
          <w:rStyle w:val="Refdenotaalpie"/>
          <w:sz w:val="18"/>
          <w:szCs w:val="18"/>
        </w:rPr>
        <w:footnoteRef/>
      </w:r>
      <w:r w:rsidRPr="003A0861">
        <w:rPr>
          <w:sz w:val="18"/>
          <w:szCs w:val="18"/>
        </w:rPr>
        <w:t xml:space="preserve"> Integrada por un Magistrado de la Corte Constitucional, del Consejo de Estado, de la Corte Suprema de Justicia, de la Sala Jurisdiccional Disciplinaria y de la Sala Administrativa del Consejo Superior de la Judicatura.</w:t>
      </w:r>
    </w:p>
  </w:footnote>
  <w:footnote w:id="61">
    <w:p w:rsidR="0055111B" w:rsidRPr="003A0861" w:rsidRDefault="0055111B" w:rsidP="003A0861">
      <w:pPr>
        <w:spacing w:after="0" w:line="240" w:lineRule="auto"/>
        <w:jc w:val="both"/>
        <w:rPr>
          <w:rFonts w:ascii="Arial" w:hAnsi="Arial" w:cs="Arial"/>
          <w:i/>
          <w:sz w:val="18"/>
          <w:szCs w:val="18"/>
        </w:rPr>
      </w:pPr>
      <w:r w:rsidRPr="003A0861">
        <w:rPr>
          <w:rStyle w:val="Refdenotaalpie"/>
          <w:rFonts w:ascii="Arial" w:hAnsi="Arial" w:cs="Arial"/>
          <w:sz w:val="18"/>
          <w:szCs w:val="18"/>
        </w:rPr>
        <w:footnoteRef/>
      </w:r>
      <w:r w:rsidRPr="003A0861">
        <w:rPr>
          <w:rFonts w:ascii="Arial" w:hAnsi="Arial" w:cs="Arial"/>
          <w:sz w:val="18"/>
          <w:szCs w:val="18"/>
        </w:rPr>
        <w:t xml:space="preserve"> De acuerdo con el artículo segundo de la Constitución Política, son fines esenciales del Estado: </w:t>
      </w:r>
      <w:r w:rsidRPr="003A0861">
        <w:rPr>
          <w:rFonts w:ascii="Arial" w:hAnsi="Arial" w:cs="Arial"/>
          <w:i/>
          <w:sz w:val="18"/>
          <w:szCs w:val="18"/>
        </w:rPr>
        <w:t>“servir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rsidR="0055111B" w:rsidRPr="003A0861" w:rsidRDefault="0055111B" w:rsidP="003A0861">
      <w:pPr>
        <w:pStyle w:val="Textonotapie"/>
        <w:ind w:left="0" w:firstLine="0"/>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11B" w:rsidRDefault="0055111B" w:rsidP="00475B07">
    <w:pPr>
      <w:pStyle w:val="Encabezado"/>
    </w:pPr>
    <w:r w:rsidRPr="00A306D2">
      <w:rPr>
        <w:noProof/>
        <w:lang w:val="es-CO" w:eastAsia="es-CO"/>
      </w:rPr>
      <w:drawing>
        <wp:anchor distT="0" distB="0" distL="114300" distR="114300" simplePos="0" relativeHeight="251659264" behindDoc="0" locked="0" layoutInCell="1" allowOverlap="1" wp14:anchorId="17484C6D" wp14:editId="4BA8A96B">
          <wp:simplePos x="0" y="0"/>
          <wp:positionH relativeFrom="margin">
            <wp:posOffset>1375410</wp:posOffset>
          </wp:positionH>
          <wp:positionV relativeFrom="paragraph">
            <wp:posOffset>-61595</wp:posOffset>
          </wp:positionV>
          <wp:extent cx="1240790" cy="736600"/>
          <wp:effectExtent l="0" t="0" r="0" b="6350"/>
          <wp:wrapSquare wrapText="bothSides"/>
          <wp:docPr id="19" name="Imagen 19" descr="Logo_Derechos_Hum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Derechos_Human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79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06D2">
      <w:rPr>
        <w:rFonts w:eastAsia="Calibri"/>
        <w:noProof/>
        <w:lang w:val="es-CO" w:eastAsia="es-CO"/>
      </w:rPr>
      <w:drawing>
        <wp:anchor distT="0" distB="0" distL="114300" distR="114300" simplePos="0" relativeHeight="251660288" behindDoc="0" locked="0" layoutInCell="1" allowOverlap="1" wp14:anchorId="20785413" wp14:editId="433E2D73">
          <wp:simplePos x="0" y="0"/>
          <wp:positionH relativeFrom="column">
            <wp:posOffset>-239395</wp:posOffset>
          </wp:positionH>
          <wp:positionV relativeFrom="paragraph">
            <wp:posOffset>-174625</wp:posOffset>
          </wp:positionV>
          <wp:extent cx="867410" cy="856615"/>
          <wp:effectExtent l="0" t="0" r="8890" b="635"/>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GR_nuevo_lazo_vertical_b_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7410" cy="856615"/>
                  </a:xfrm>
                  <a:prstGeom prst="rect">
                    <a:avLst/>
                  </a:prstGeom>
                </pic:spPr>
              </pic:pic>
            </a:graphicData>
          </a:graphic>
          <wp14:sizeRelH relativeFrom="page">
            <wp14:pctWidth>0</wp14:pctWidth>
          </wp14:sizeRelH>
          <wp14:sizeRelV relativeFrom="page">
            <wp14:pctHeight>0</wp14:pctHeight>
          </wp14:sizeRelV>
        </wp:anchor>
      </w:drawing>
    </w:r>
    <w:r w:rsidRPr="00A306D2">
      <w:rPr>
        <w:rFonts w:eastAsia="Calibri"/>
        <w:noProof/>
        <w:lang w:val="es-CO" w:eastAsia="es-CO"/>
      </w:rPr>
      <w:drawing>
        <wp:anchor distT="0" distB="0" distL="114300" distR="114300" simplePos="0" relativeHeight="251661312" behindDoc="0" locked="0" layoutInCell="1" allowOverlap="1" wp14:anchorId="436278BB" wp14:editId="33BE839D">
          <wp:simplePos x="0" y="0"/>
          <wp:positionH relativeFrom="column">
            <wp:posOffset>685165</wp:posOffset>
          </wp:positionH>
          <wp:positionV relativeFrom="paragraph">
            <wp:posOffset>-62230</wp:posOffset>
          </wp:positionV>
          <wp:extent cx="690245" cy="739775"/>
          <wp:effectExtent l="0" t="0" r="0" b="3175"/>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GR_90a_b_n.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90245" cy="739775"/>
                  </a:xfrm>
                  <a:prstGeom prst="rect">
                    <a:avLst/>
                  </a:prstGeom>
                </pic:spPr>
              </pic:pic>
            </a:graphicData>
          </a:graphic>
          <wp14:sizeRelH relativeFrom="page">
            <wp14:pctWidth>0</wp14:pctWidth>
          </wp14:sizeRelH>
          <wp14:sizeRelV relativeFrom="page">
            <wp14:pctHeight>0</wp14:pctHeight>
          </wp14:sizeRelV>
        </wp:anchor>
      </w:drawing>
    </w:r>
  </w:p>
  <w:p w:rsidR="0055111B" w:rsidRPr="00475B07" w:rsidRDefault="0055111B">
    <w:pPr>
      <w:pStyle w:val="Encabezado"/>
      <w:rPr>
        <w:lang w:val="es-C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0339"/>
    <w:multiLevelType w:val="multilevel"/>
    <w:tmpl w:val="87402C70"/>
    <w:lvl w:ilvl="0">
      <w:start w:val="2"/>
      <w:numFmt w:val="decimal"/>
      <w:lvlText w:val="%1"/>
      <w:lvlJc w:val="left"/>
      <w:pPr>
        <w:ind w:left="525" w:hanging="525"/>
      </w:pPr>
      <w:rPr>
        <w:rFonts w:hint="default"/>
      </w:rPr>
    </w:lvl>
    <w:lvl w:ilvl="1">
      <w:start w:val="2"/>
      <w:numFmt w:val="decimal"/>
      <w:lvlText w:val="%1.%2"/>
      <w:lvlJc w:val="left"/>
      <w:pPr>
        <w:ind w:left="555" w:hanging="525"/>
      </w:pPr>
      <w:rPr>
        <w:rFonts w:hint="default"/>
      </w:rPr>
    </w:lvl>
    <w:lvl w:ilvl="2">
      <w:start w:val="2"/>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040" w:hanging="1800"/>
      </w:pPr>
      <w:rPr>
        <w:rFonts w:hint="default"/>
      </w:rPr>
    </w:lvl>
  </w:abstractNum>
  <w:abstractNum w:abstractNumId="1">
    <w:nsid w:val="05BB1263"/>
    <w:multiLevelType w:val="multilevel"/>
    <w:tmpl w:val="4DA0639E"/>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9830C1F"/>
    <w:multiLevelType w:val="hybridMultilevel"/>
    <w:tmpl w:val="325091F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B71310F"/>
    <w:multiLevelType w:val="multilevel"/>
    <w:tmpl w:val="74C89A3C"/>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E64498F"/>
    <w:multiLevelType w:val="multilevel"/>
    <w:tmpl w:val="608C668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F487C52"/>
    <w:multiLevelType w:val="multilevel"/>
    <w:tmpl w:val="3C92FF40"/>
    <w:lvl w:ilvl="0">
      <w:start w:val="2"/>
      <w:numFmt w:val="decimal"/>
      <w:lvlText w:val="%1"/>
      <w:lvlJc w:val="left"/>
      <w:pPr>
        <w:ind w:left="915" w:hanging="915"/>
      </w:pPr>
      <w:rPr>
        <w:rFonts w:hint="default"/>
        <w:b w:val="0"/>
      </w:rPr>
    </w:lvl>
    <w:lvl w:ilvl="1">
      <w:start w:val="2"/>
      <w:numFmt w:val="decimal"/>
      <w:lvlText w:val="%1.%2"/>
      <w:lvlJc w:val="left"/>
      <w:pPr>
        <w:ind w:left="915" w:hanging="915"/>
      </w:pPr>
      <w:rPr>
        <w:rFonts w:hint="default"/>
        <w:b w:val="0"/>
      </w:rPr>
    </w:lvl>
    <w:lvl w:ilvl="2">
      <w:start w:val="1"/>
      <w:numFmt w:val="decimal"/>
      <w:lvlText w:val="%1.%2.%3"/>
      <w:lvlJc w:val="left"/>
      <w:pPr>
        <w:ind w:left="915" w:hanging="915"/>
      </w:pPr>
      <w:rPr>
        <w:rFonts w:hint="default"/>
        <w:b w:val="0"/>
      </w:rPr>
    </w:lvl>
    <w:lvl w:ilvl="3">
      <w:start w:val="3"/>
      <w:numFmt w:val="decimal"/>
      <w:lvlText w:val="%1.%2.%3.%4"/>
      <w:lvlJc w:val="left"/>
      <w:pPr>
        <w:ind w:left="1080" w:hanging="1080"/>
      </w:pPr>
      <w:rPr>
        <w:rFonts w:hint="default"/>
        <w:b w:val="0"/>
      </w:rPr>
    </w:lvl>
    <w:lvl w:ilvl="4">
      <w:start w:val="3"/>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nsid w:val="0F706A76"/>
    <w:multiLevelType w:val="multilevel"/>
    <w:tmpl w:val="E8FA40A6"/>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FB841E6"/>
    <w:multiLevelType w:val="multilevel"/>
    <w:tmpl w:val="975AE73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D7B1F8F"/>
    <w:multiLevelType w:val="hybridMultilevel"/>
    <w:tmpl w:val="DF207D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1560046"/>
    <w:multiLevelType w:val="hybridMultilevel"/>
    <w:tmpl w:val="11A68FD0"/>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2C617B3"/>
    <w:multiLevelType w:val="hybridMultilevel"/>
    <w:tmpl w:val="0D68A170"/>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2FF244B"/>
    <w:multiLevelType w:val="multilevel"/>
    <w:tmpl w:val="2DEE86D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3D410B9"/>
    <w:multiLevelType w:val="multilevel"/>
    <w:tmpl w:val="C608D93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nsid w:val="358742D9"/>
    <w:multiLevelType w:val="multilevel"/>
    <w:tmpl w:val="99FAB274"/>
    <w:lvl w:ilvl="0">
      <w:start w:val="2"/>
      <w:numFmt w:val="decimal"/>
      <w:lvlText w:val="%1"/>
      <w:lvlJc w:val="left"/>
      <w:pPr>
        <w:ind w:left="915" w:hanging="915"/>
      </w:pPr>
      <w:rPr>
        <w:rFonts w:hint="default"/>
      </w:rPr>
    </w:lvl>
    <w:lvl w:ilvl="1">
      <w:start w:val="2"/>
      <w:numFmt w:val="decimal"/>
      <w:lvlText w:val="%1.%2"/>
      <w:lvlJc w:val="left"/>
      <w:pPr>
        <w:ind w:left="915" w:hanging="915"/>
      </w:pPr>
      <w:rPr>
        <w:rFonts w:hint="default"/>
      </w:rPr>
    </w:lvl>
    <w:lvl w:ilvl="2">
      <w:start w:val="2"/>
      <w:numFmt w:val="decimal"/>
      <w:lvlText w:val="%1.%2.%3"/>
      <w:lvlJc w:val="left"/>
      <w:pPr>
        <w:ind w:left="915" w:hanging="915"/>
      </w:pPr>
      <w:rPr>
        <w:rFonts w:hint="default"/>
      </w:rPr>
    </w:lvl>
    <w:lvl w:ilvl="3">
      <w:start w:val="1"/>
      <w:numFmt w:val="decimal"/>
      <w:lvlText w:val="%1.%2.%3.%4"/>
      <w:lvlJc w:val="left"/>
      <w:pPr>
        <w:ind w:left="1080" w:hanging="1080"/>
      </w:pPr>
      <w:rPr>
        <w:rFonts w:hint="default"/>
      </w:rPr>
    </w:lvl>
    <w:lvl w:ilvl="4">
      <w:start w:val="2"/>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69E0E92"/>
    <w:multiLevelType w:val="multilevel"/>
    <w:tmpl w:val="3B86EE84"/>
    <w:lvl w:ilvl="0">
      <w:start w:val="1"/>
      <w:numFmt w:val="decimal"/>
      <w:lvlText w:val="%1."/>
      <w:lvlJc w:val="left"/>
      <w:pPr>
        <w:ind w:left="1080" w:hanging="720"/>
      </w:pPr>
      <w:rPr>
        <w:rFonts w:asciiTheme="minorHAnsi" w:eastAsiaTheme="minorHAnsi" w:hAnsiTheme="minorHAnsi"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3A477A00"/>
    <w:multiLevelType w:val="hybridMultilevel"/>
    <w:tmpl w:val="32A8A2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3C8F67E6"/>
    <w:multiLevelType w:val="multilevel"/>
    <w:tmpl w:val="43BE5BBA"/>
    <w:lvl w:ilvl="0">
      <w:start w:val="2"/>
      <w:numFmt w:val="decimal"/>
      <w:lvlText w:val="%1"/>
      <w:lvlJc w:val="left"/>
      <w:pPr>
        <w:ind w:left="1110" w:hanging="1110"/>
      </w:pPr>
      <w:rPr>
        <w:rFonts w:hint="default"/>
        <w:b w:val="0"/>
      </w:rPr>
    </w:lvl>
    <w:lvl w:ilvl="1">
      <w:start w:val="2"/>
      <w:numFmt w:val="decimal"/>
      <w:lvlText w:val="%1.%2"/>
      <w:lvlJc w:val="left"/>
      <w:pPr>
        <w:ind w:left="1110" w:hanging="1110"/>
      </w:pPr>
      <w:rPr>
        <w:rFonts w:hint="default"/>
        <w:b w:val="0"/>
      </w:rPr>
    </w:lvl>
    <w:lvl w:ilvl="2">
      <w:start w:val="1"/>
      <w:numFmt w:val="decimal"/>
      <w:lvlText w:val="%1.%2.%3"/>
      <w:lvlJc w:val="left"/>
      <w:pPr>
        <w:ind w:left="1110" w:hanging="1110"/>
      </w:pPr>
      <w:rPr>
        <w:rFonts w:hint="default"/>
        <w:b w:val="0"/>
      </w:rPr>
    </w:lvl>
    <w:lvl w:ilvl="3">
      <w:start w:val="3"/>
      <w:numFmt w:val="decimal"/>
      <w:lvlText w:val="%1.%2.%3.%4"/>
      <w:lvlJc w:val="left"/>
      <w:pPr>
        <w:ind w:left="1110" w:hanging="1110"/>
      </w:pPr>
      <w:rPr>
        <w:rFonts w:hint="default"/>
        <w:b w:val="0"/>
      </w:rPr>
    </w:lvl>
    <w:lvl w:ilvl="4">
      <w:start w:val="1"/>
      <w:numFmt w:val="decimal"/>
      <w:lvlText w:val="%1.%2.%3.%4.%5"/>
      <w:lvlJc w:val="left"/>
      <w:pPr>
        <w:ind w:left="1110" w:hanging="1110"/>
      </w:pPr>
      <w:rPr>
        <w:rFonts w:hint="default"/>
        <w:b w:val="0"/>
      </w:rPr>
    </w:lvl>
    <w:lvl w:ilvl="5">
      <w:start w:val="2"/>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7">
    <w:nsid w:val="409A1C69"/>
    <w:multiLevelType w:val="multilevel"/>
    <w:tmpl w:val="1F6EFEE0"/>
    <w:lvl w:ilvl="0">
      <w:start w:val="2"/>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24A4D7A"/>
    <w:multiLevelType w:val="hybridMultilevel"/>
    <w:tmpl w:val="27485B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B8209C5"/>
    <w:multiLevelType w:val="multilevel"/>
    <w:tmpl w:val="E09090AC"/>
    <w:lvl w:ilvl="0">
      <w:start w:val="2"/>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C7B4046"/>
    <w:multiLevelType w:val="multilevel"/>
    <w:tmpl w:val="009CBFBA"/>
    <w:lvl w:ilvl="0">
      <w:start w:val="2"/>
      <w:numFmt w:val="decimal"/>
      <w:lvlText w:val="%1"/>
      <w:lvlJc w:val="left"/>
      <w:pPr>
        <w:ind w:left="525" w:hanging="525"/>
      </w:pPr>
      <w:rPr>
        <w:rFonts w:hint="default"/>
      </w:rPr>
    </w:lvl>
    <w:lvl w:ilvl="1">
      <w:start w:val="2"/>
      <w:numFmt w:val="decimal"/>
      <w:lvlText w:val="%1.%2"/>
      <w:lvlJc w:val="left"/>
      <w:pPr>
        <w:ind w:left="705" w:hanging="52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1">
    <w:nsid w:val="4F954167"/>
    <w:multiLevelType w:val="multilevel"/>
    <w:tmpl w:val="FBFCBA2C"/>
    <w:lvl w:ilvl="0">
      <w:start w:val="1"/>
      <w:numFmt w:val="decimal"/>
      <w:lvlText w:val="%1."/>
      <w:lvlJc w:val="left"/>
      <w:pPr>
        <w:ind w:left="720" w:hanging="360"/>
      </w:pPr>
      <w:rPr>
        <w:rFonts w:hint="default"/>
      </w:rPr>
    </w:lvl>
    <w:lvl w:ilvl="1">
      <w:start w:val="2"/>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51F025C1"/>
    <w:multiLevelType w:val="multilevel"/>
    <w:tmpl w:val="90D6CD36"/>
    <w:lvl w:ilvl="0">
      <w:start w:val="1"/>
      <w:numFmt w:val="decimal"/>
      <w:lvlText w:val="%1."/>
      <w:lvlJc w:val="left"/>
      <w:pPr>
        <w:ind w:left="360" w:hanging="360"/>
      </w:pPr>
      <w:rPr>
        <w:rFonts w:hint="default"/>
        <w:b/>
      </w:rPr>
    </w:lvl>
    <w:lvl w:ilvl="1">
      <w:start w:val="1"/>
      <w:numFmt w:val="decimal"/>
      <w:isLgl/>
      <w:lvlText w:val="%1.%2."/>
      <w:lvlJc w:val="left"/>
      <w:pPr>
        <w:ind w:left="370" w:hanging="720"/>
      </w:pPr>
      <w:rPr>
        <w:rFonts w:hint="default"/>
        <w:b w:val="0"/>
      </w:rPr>
    </w:lvl>
    <w:lvl w:ilvl="2">
      <w:start w:val="1"/>
      <w:numFmt w:val="decimal"/>
      <w:isLgl/>
      <w:lvlText w:val="%1.%2.%3."/>
      <w:lvlJc w:val="left"/>
      <w:pPr>
        <w:ind w:left="370" w:hanging="720"/>
      </w:pPr>
      <w:rPr>
        <w:rFonts w:hint="default"/>
      </w:rPr>
    </w:lvl>
    <w:lvl w:ilvl="3">
      <w:start w:val="1"/>
      <w:numFmt w:val="decimal"/>
      <w:isLgl/>
      <w:lvlText w:val="%1.%2.%3.%4."/>
      <w:lvlJc w:val="left"/>
      <w:pPr>
        <w:ind w:left="730" w:hanging="1080"/>
      </w:pPr>
      <w:rPr>
        <w:rFonts w:hint="default"/>
      </w:rPr>
    </w:lvl>
    <w:lvl w:ilvl="4">
      <w:start w:val="1"/>
      <w:numFmt w:val="decimal"/>
      <w:isLgl/>
      <w:lvlText w:val="%1.%2.%3.%4.%5."/>
      <w:lvlJc w:val="left"/>
      <w:pPr>
        <w:ind w:left="730" w:hanging="1080"/>
      </w:pPr>
      <w:rPr>
        <w:rFonts w:hint="default"/>
      </w:rPr>
    </w:lvl>
    <w:lvl w:ilvl="5">
      <w:start w:val="1"/>
      <w:numFmt w:val="decimal"/>
      <w:isLgl/>
      <w:lvlText w:val="%1.%2.%3.%4.%5.%6."/>
      <w:lvlJc w:val="left"/>
      <w:pPr>
        <w:ind w:left="1090" w:hanging="1440"/>
      </w:pPr>
      <w:rPr>
        <w:rFonts w:hint="default"/>
      </w:rPr>
    </w:lvl>
    <w:lvl w:ilvl="6">
      <w:start w:val="1"/>
      <w:numFmt w:val="decimal"/>
      <w:isLgl/>
      <w:lvlText w:val="%1.%2.%3.%4.%5.%6.%7."/>
      <w:lvlJc w:val="left"/>
      <w:pPr>
        <w:ind w:left="1090" w:hanging="1440"/>
      </w:pPr>
      <w:rPr>
        <w:rFonts w:hint="default"/>
      </w:rPr>
    </w:lvl>
    <w:lvl w:ilvl="7">
      <w:start w:val="1"/>
      <w:numFmt w:val="decimal"/>
      <w:isLgl/>
      <w:lvlText w:val="%1.%2.%3.%4.%5.%6.%7.%8."/>
      <w:lvlJc w:val="left"/>
      <w:pPr>
        <w:ind w:left="1450" w:hanging="1800"/>
      </w:pPr>
      <w:rPr>
        <w:rFonts w:hint="default"/>
      </w:rPr>
    </w:lvl>
    <w:lvl w:ilvl="8">
      <w:start w:val="1"/>
      <w:numFmt w:val="decimal"/>
      <w:isLgl/>
      <w:lvlText w:val="%1.%2.%3.%4.%5.%6.%7.%8.%9."/>
      <w:lvlJc w:val="left"/>
      <w:pPr>
        <w:ind w:left="1810" w:hanging="2160"/>
      </w:pPr>
      <w:rPr>
        <w:rFonts w:hint="default"/>
      </w:rPr>
    </w:lvl>
  </w:abstractNum>
  <w:abstractNum w:abstractNumId="23">
    <w:nsid w:val="52C8785F"/>
    <w:multiLevelType w:val="hybridMultilevel"/>
    <w:tmpl w:val="7F2A01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561318E"/>
    <w:multiLevelType w:val="multilevel"/>
    <w:tmpl w:val="854C399E"/>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6FC43FC"/>
    <w:multiLevelType w:val="multilevel"/>
    <w:tmpl w:val="9C945FBC"/>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82435F1"/>
    <w:multiLevelType w:val="multilevel"/>
    <w:tmpl w:val="5CD4B0E6"/>
    <w:lvl w:ilvl="0">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68682A2B"/>
    <w:multiLevelType w:val="hybridMultilevel"/>
    <w:tmpl w:val="49BC2A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B3B7703"/>
    <w:multiLevelType w:val="hybridMultilevel"/>
    <w:tmpl w:val="0B10C906"/>
    <w:lvl w:ilvl="0" w:tplc="0E46EDCA">
      <w:numFmt w:val="bullet"/>
      <w:lvlText w:val="-"/>
      <w:lvlJc w:val="left"/>
      <w:pPr>
        <w:ind w:left="720" w:hanging="360"/>
      </w:pPr>
      <w:rPr>
        <w:rFonts w:ascii="Arial" w:eastAsiaTheme="minorHAns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9">
    <w:nsid w:val="6C7E5B7F"/>
    <w:multiLevelType w:val="hybridMultilevel"/>
    <w:tmpl w:val="B616FD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7EB400E"/>
    <w:multiLevelType w:val="multilevel"/>
    <w:tmpl w:val="922298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78F93F7B"/>
    <w:multiLevelType w:val="hybridMultilevel"/>
    <w:tmpl w:val="0CCA18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7BE43797"/>
    <w:multiLevelType w:val="multilevel"/>
    <w:tmpl w:val="9B64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D3832DC"/>
    <w:multiLevelType w:val="hybridMultilevel"/>
    <w:tmpl w:val="358228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10"/>
  </w:num>
  <w:num w:numId="3">
    <w:abstractNumId w:val="22"/>
  </w:num>
  <w:num w:numId="4">
    <w:abstractNumId w:val="27"/>
  </w:num>
  <w:num w:numId="5">
    <w:abstractNumId w:val="4"/>
  </w:num>
  <w:num w:numId="6">
    <w:abstractNumId w:val="14"/>
  </w:num>
  <w:num w:numId="7">
    <w:abstractNumId w:val="19"/>
  </w:num>
  <w:num w:numId="8">
    <w:abstractNumId w:val="17"/>
  </w:num>
  <w:num w:numId="9">
    <w:abstractNumId w:val="26"/>
  </w:num>
  <w:num w:numId="10">
    <w:abstractNumId w:val="7"/>
  </w:num>
  <w:num w:numId="11">
    <w:abstractNumId w:val="25"/>
  </w:num>
  <w:num w:numId="12">
    <w:abstractNumId w:val="21"/>
  </w:num>
  <w:num w:numId="13">
    <w:abstractNumId w:val="32"/>
  </w:num>
  <w:num w:numId="14">
    <w:abstractNumId w:val="18"/>
  </w:num>
  <w:num w:numId="15">
    <w:abstractNumId w:val="9"/>
  </w:num>
  <w:num w:numId="16">
    <w:abstractNumId w:val="33"/>
  </w:num>
  <w:num w:numId="17">
    <w:abstractNumId w:val="2"/>
  </w:num>
  <w:num w:numId="18">
    <w:abstractNumId w:val="29"/>
  </w:num>
  <w:num w:numId="19">
    <w:abstractNumId w:val="15"/>
  </w:num>
  <w:num w:numId="20">
    <w:abstractNumId w:val="8"/>
  </w:num>
  <w:num w:numId="21">
    <w:abstractNumId w:val="20"/>
  </w:num>
  <w:num w:numId="22">
    <w:abstractNumId w:val="6"/>
  </w:num>
  <w:num w:numId="23">
    <w:abstractNumId w:val="3"/>
  </w:num>
  <w:num w:numId="24">
    <w:abstractNumId w:val="23"/>
  </w:num>
  <w:num w:numId="25">
    <w:abstractNumId w:val="11"/>
  </w:num>
  <w:num w:numId="26">
    <w:abstractNumId w:val="28"/>
  </w:num>
  <w:num w:numId="27">
    <w:abstractNumId w:val="30"/>
  </w:num>
  <w:num w:numId="28">
    <w:abstractNumId w:val="1"/>
  </w:num>
  <w:num w:numId="29">
    <w:abstractNumId w:val="13"/>
  </w:num>
  <w:num w:numId="30">
    <w:abstractNumId w:val="24"/>
  </w:num>
  <w:num w:numId="31">
    <w:abstractNumId w:val="0"/>
  </w:num>
  <w:num w:numId="32">
    <w:abstractNumId w:val="5"/>
  </w:num>
  <w:num w:numId="33">
    <w:abstractNumId w:val="16"/>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CAF"/>
    <w:rsid w:val="000037D9"/>
    <w:rsid w:val="000104D6"/>
    <w:rsid w:val="00014DD7"/>
    <w:rsid w:val="000172B0"/>
    <w:rsid w:val="0001764B"/>
    <w:rsid w:val="0001780E"/>
    <w:rsid w:val="00020575"/>
    <w:rsid w:val="000209DD"/>
    <w:rsid w:val="00021F03"/>
    <w:rsid w:val="0002323E"/>
    <w:rsid w:val="000246F3"/>
    <w:rsid w:val="00024B5E"/>
    <w:rsid w:val="00027581"/>
    <w:rsid w:val="000276A7"/>
    <w:rsid w:val="00027C39"/>
    <w:rsid w:val="00027EB4"/>
    <w:rsid w:val="00033104"/>
    <w:rsid w:val="00033B63"/>
    <w:rsid w:val="00034B32"/>
    <w:rsid w:val="000369E7"/>
    <w:rsid w:val="00041458"/>
    <w:rsid w:val="00041BF0"/>
    <w:rsid w:val="000431ED"/>
    <w:rsid w:val="00045F4E"/>
    <w:rsid w:val="00047ADB"/>
    <w:rsid w:val="00047F86"/>
    <w:rsid w:val="00051235"/>
    <w:rsid w:val="00054D74"/>
    <w:rsid w:val="0005605D"/>
    <w:rsid w:val="00056E9B"/>
    <w:rsid w:val="0006036C"/>
    <w:rsid w:val="000665D4"/>
    <w:rsid w:val="000669CE"/>
    <w:rsid w:val="00070E9C"/>
    <w:rsid w:val="00072011"/>
    <w:rsid w:val="00072836"/>
    <w:rsid w:val="000738DE"/>
    <w:rsid w:val="00074710"/>
    <w:rsid w:val="00077157"/>
    <w:rsid w:val="0007732A"/>
    <w:rsid w:val="00077BB7"/>
    <w:rsid w:val="0008289A"/>
    <w:rsid w:val="0008445B"/>
    <w:rsid w:val="00084B18"/>
    <w:rsid w:val="00093032"/>
    <w:rsid w:val="00093E3B"/>
    <w:rsid w:val="000940E2"/>
    <w:rsid w:val="00094AEB"/>
    <w:rsid w:val="000A1814"/>
    <w:rsid w:val="000A2366"/>
    <w:rsid w:val="000A33F5"/>
    <w:rsid w:val="000A7B7D"/>
    <w:rsid w:val="000B27F4"/>
    <w:rsid w:val="000B35EA"/>
    <w:rsid w:val="000C13BB"/>
    <w:rsid w:val="000C1510"/>
    <w:rsid w:val="000C2ED2"/>
    <w:rsid w:val="000C6076"/>
    <w:rsid w:val="000C6E1D"/>
    <w:rsid w:val="000C77CD"/>
    <w:rsid w:val="000D0B26"/>
    <w:rsid w:val="000D1E5C"/>
    <w:rsid w:val="000D616A"/>
    <w:rsid w:val="000E1271"/>
    <w:rsid w:val="000E1C54"/>
    <w:rsid w:val="000E39C3"/>
    <w:rsid w:val="000E6DC5"/>
    <w:rsid w:val="000E6F53"/>
    <w:rsid w:val="000E70C5"/>
    <w:rsid w:val="000F0515"/>
    <w:rsid w:val="000F2A8D"/>
    <w:rsid w:val="000F6D76"/>
    <w:rsid w:val="001000AB"/>
    <w:rsid w:val="00102456"/>
    <w:rsid w:val="001038DA"/>
    <w:rsid w:val="00104158"/>
    <w:rsid w:val="001060F7"/>
    <w:rsid w:val="001072D7"/>
    <w:rsid w:val="001079C2"/>
    <w:rsid w:val="001107E6"/>
    <w:rsid w:val="0011556B"/>
    <w:rsid w:val="00117BE5"/>
    <w:rsid w:val="001216FA"/>
    <w:rsid w:val="00125140"/>
    <w:rsid w:val="00125830"/>
    <w:rsid w:val="00126822"/>
    <w:rsid w:val="001278B5"/>
    <w:rsid w:val="00130511"/>
    <w:rsid w:val="00130FF6"/>
    <w:rsid w:val="001347AD"/>
    <w:rsid w:val="00135457"/>
    <w:rsid w:val="00136003"/>
    <w:rsid w:val="00136F11"/>
    <w:rsid w:val="00140000"/>
    <w:rsid w:val="001414A7"/>
    <w:rsid w:val="00141522"/>
    <w:rsid w:val="00141E1D"/>
    <w:rsid w:val="001423DB"/>
    <w:rsid w:val="00144330"/>
    <w:rsid w:val="00147D11"/>
    <w:rsid w:val="001507A3"/>
    <w:rsid w:val="001513AC"/>
    <w:rsid w:val="00151833"/>
    <w:rsid w:val="00151FDD"/>
    <w:rsid w:val="00154650"/>
    <w:rsid w:val="001552CE"/>
    <w:rsid w:val="00156E32"/>
    <w:rsid w:val="001605CA"/>
    <w:rsid w:val="00161D46"/>
    <w:rsid w:val="00162E0E"/>
    <w:rsid w:val="00163557"/>
    <w:rsid w:val="00164F2E"/>
    <w:rsid w:val="0016526E"/>
    <w:rsid w:val="00165413"/>
    <w:rsid w:val="001675B6"/>
    <w:rsid w:val="00170E87"/>
    <w:rsid w:val="00171AF2"/>
    <w:rsid w:val="00174204"/>
    <w:rsid w:val="00176691"/>
    <w:rsid w:val="00177A7B"/>
    <w:rsid w:val="00177C52"/>
    <w:rsid w:val="00180FD9"/>
    <w:rsid w:val="00184048"/>
    <w:rsid w:val="001851D1"/>
    <w:rsid w:val="0018609D"/>
    <w:rsid w:val="00187440"/>
    <w:rsid w:val="00187DF2"/>
    <w:rsid w:val="00191229"/>
    <w:rsid w:val="00191B4E"/>
    <w:rsid w:val="00192AD4"/>
    <w:rsid w:val="001937E4"/>
    <w:rsid w:val="00196D1C"/>
    <w:rsid w:val="001A083D"/>
    <w:rsid w:val="001A2D9C"/>
    <w:rsid w:val="001A6A77"/>
    <w:rsid w:val="001A6B00"/>
    <w:rsid w:val="001A70A0"/>
    <w:rsid w:val="001A71E3"/>
    <w:rsid w:val="001B04D2"/>
    <w:rsid w:val="001B118A"/>
    <w:rsid w:val="001B11AE"/>
    <w:rsid w:val="001B5977"/>
    <w:rsid w:val="001B7EB4"/>
    <w:rsid w:val="001C2757"/>
    <w:rsid w:val="001C4211"/>
    <w:rsid w:val="001D0017"/>
    <w:rsid w:val="001D182A"/>
    <w:rsid w:val="001D2D9C"/>
    <w:rsid w:val="001D38DC"/>
    <w:rsid w:val="001E019F"/>
    <w:rsid w:val="001E0758"/>
    <w:rsid w:val="001E2ABA"/>
    <w:rsid w:val="001E3678"/>
    <w:rsid w:val="001E4128"/>
    <w:rsid w:val="001F139B"/>
    <w:rsid w:val="001F1790"/>
    <w:rsid w:val="001F208B"/>
    <w:rsid w:val="001F433B"/>
    <w:rsid w:val="00200E22"/>
    <w:rsid w:val="00200E6A"/>
    <w:rsid w:val="00202B40"/>
    <w:rsid w:val="002031C3"/>
    <w:rsid w:val="002039EA"/>
    <w:rsid w:val="00206351"/>
    <w:rsid w:val="00210BF2"/>
    <w:rsid w:val="002141C7"/>
    <w:rsid w:val="002228E2"/>
    <w:rsid w:val="0022465E"/>
    <w:rsid w:val="00225160"/>
    <w:rsid w:val="0022556F"/>
    <w:rsid w:val="00225D39"/>
    <w:rsid w:val="00226203"/>
    <w:rsid w:val="00227CFB"/>
    <w:rsid w:val="00233483"/>
    <w:rsid w:val="00234F5A"/>
    <w:rsid w:val="00234F63"/>
    <w:rsid w:val="00235863"/>
    <w:rsid w:val="0024027F"/>
    <w:rsid w:val="002403D0"/>
    <w:rsid w:val="00241EB0"/>
    <w:rsid w:val="002429D7"/>
    <w:rsid w:val="00243052"/>
    <w:rsid w:val="00245E3A"/>
    <w:rsid w:val="002524EC"/>
    <w:rsid w:val="0025561F"/>
    <w:rsid w:val="0025742A"/>
    <w:rsid w:val="00260EE2"/>
    <w:rsid w:val="00264235"/>
    <w:rsid w:val="00266965"/>
    <w:rsid w:val="00273056"/>
    <w:rsid w:val="002739A2"/>
    <w:rsid w:val="002740C7"/>
    <w:rsid w:val="002746C5"/>
    <w:rsid w:val="00277839"/>
    <w:rsid w:val="00283A5E"/>
    <w:rsid w:val="00284F6B"/>
    <w:rsid w:val="00285573"/>
    <w:rsid w:val="00285DC0"/>
    <w:rsid w:val="00294F39"/>
    <w:rsid w:val="002A107D"/>
    <w:rsid w:val="002A1D64"/>
    <w:rsid w:val="002A2AFF"/>
    <w:rsid w:val="002A52B9"/>
    <w:rsid w:val="002A64C8"/>
    <w:rsid w:val="002B1BA8"/>
    <w:rsid w:val="002B7074"/>
    <w:rsid w:val="002B7DAF"/>
    <w:rsid w:val="002C1978"/>
    <w:rsid w:val="002C7725"/>
    <w:rsid w:val="002C788E"/>
    <w:rsid w:val="002D1512"/>
    <w:rsid w:val="002E057F"/>
    <w:rsid w:val="002E0F69"/>
    <w:rsid w:val="002E340B"/>
    <w:rsid w:val="002E5B07"/>
    <w:rsid w:val="002E7203"/>
    <w:rsid w:val="002E7CAE"/>
    <w:rsid w:val="002F21ED"/>
    <w:rsid w:val="002F3A9A"/>
    <w:rsid w:val="002F3ACD"/>
    <w:rsid w:val="002F46D0"/>
    <w:rsid w:val="002F4D9E"/>
    <w:rsid w:val="002F5AB3"/>
    <w:rsid w:val="002F60B3"/>
    <w:rsid w:val="002F7326"/>
    <w:rsid w:val="00300A6B"/>
    <w:rsid w:val="00301265"/>
    <w:rsid w:val="00306521"/>
    <w:rsid w:val="0031017E"/>
    <w:rsid w:val="00313F6F"/>
    <w:rsid w:val="00320328"/>
    <w:rsid w:val="003205CA"/>
    <w:rsid w:val="003224CF"/>
    <w:rsid w:val="00322FB5"/>
    <w:rsid w:val="00332C06"/>
    <w:rsid w:val="00332E71"/>
    <w:rsid w:val="00332F18"/>
    <w:rsid w:val="003344D7"/>
    <w:rsid w:val="00334675"/>
    <w:rsid w:val="0033654D"/>
    <w:rsid w:val="00337586"/>
    <w:rsid w:val="003379A3"/>
    <w:rsid w:val="00337B97"/>
    <w:rsid w:val="00340741"/>
    <w:rsid w:val="00341843"/>
    <w:rsid w:val="0035139F"/>
    <w:rsid w:val="003515AA"/>
    <w:rsid w:val="00353F16"/>
    <w:rsid w:val="00355840"/>
    <w:rsid w:val="0036031F"/>
    <w:rsid w:val="003620E7"/>
    <w:rsid w:val="00362AAC"/>
    <w:rsid w:val="0036535C"/>
    <w:rsid w:val="00370430"/>
    <w:rsid w:val="00373463"/>
    <w:rsid w:val="00374253"/>
    <w:rsid w:val="00374FAB"/>
    <w:rsid w:val="00377799"/>
    <w:rsid w:val="00380420"/>
    <w:rsid w:val="00382399"/>
    <w:rsid w:val="0038249F"/>
    <w:rsid w:val="003866C5"/>
    <w:rsid w:val="003904A5"/>
    <w:rsid w:val="003913C7"/>
    <w:rsid w:val="00391AA9"/>
    <w:rsid w:val="00392520"/>
    <w:rsid w:val="003950EC"/>
    <w:rsid w:val="00396046"/>
    <w:rsid w:val="003A0861"/>
    <w:rsid w:val="003A0D80"/>
    <w:rsid w:val="003A3329"/>
    <w:rsid w:val="003A68DB"/>
    <w:rsid w:val="003A7160"/>
    <w:rsid w:val="003A751C"/>
    <w:rsid w:val="003B304F"/>
    <w:rsid w:val="003B3DE9"/>
    <w:rsid w:val="003B6892"/>
    <w:rsid w:val="003B7F2B"/>
    <w:rsid w:val="003C0E9A"/>
    <w:rsid w:val="003C3254"/>
    <w:rsid w:val="003C4B29"/>
    <w:rsid w:val="003C6029"/>
    <w:rsid w:val="003D1B24"/>
    <w:rsid w:val="003D39DC"/>
    <w:rsid w:val="003D3BCA"/>
    <w:rsid w:val="003D5573"/>
    <w:rsid w:val="003E1224"/>
    <w:rsid w:val="003E27BB"/>
    <w:rsid w:val="003E28E1"/>
    <w:rsid w:val="003E4EC1"/>
    <w:rsid w:val="003E51EA"/>
    <w:rsid w:val="003E766B"/>
    <w:rsid w:val="003F0E99"/>
    <w:rsid w:val="003F1633"/>
    <w:rsid w:val="003F37C4"/>
    <w:rsid w:val="003F4C14"/>
    <w:rsid w:val="003F6253"/>
    <w:rsid w:val="0040430C"/>
    <w:rsid w:val="00404E71"/>
    <w:rsid w:val="00407159"/>
    <w:rsid w:val="00407373"/>
    <w:rsid w:val="00410349"/>
    <w:rsid w:val="00412672"/>
    <w:rsid w:val="004139EE"/>
    <w:rsid w:val="004144EE"/>
    <w:rsid w:val="0041479E"/>
    <w:rsid w:val="00417122"/>
    <w:rsid w:val="00422B37"/>
    <w:rsid w:val="00424F2A"/>
    <w:rsid w:val="004254F2"/>
    <w:rsid w:val="004274F7"/>
    <w:rsid w:val="00430641"/>
    <w:rsid w:val="004407D4"/>
    <w:rsid w:val="00441420"/>
    <w:rsid w:val="0044335B"/>
    <w:rsid w:val="0044367A"/>
    <w:rsid w:val="00446F9D"/>
    <w:rsid w:val="00450647"/>
    <w:rsid w:val="004514B6"/>
    <w:rsid w:val="004528B7"/>
    <w:rsid w:val="00452BCD"/>
    <w:rsid w:val="00454D61"/>
    <w:rsid w:val="00455424"/>
    <w:rsid w:val="00455AD2"/>
    <w:rsid w:val="00455C89"/>
    <w:rsid w:val="00456BF6"/>
    <w:rsid w:val="004571A0"/>
    <w:rsid w:val="00461D2D"/>
    <w:rsid w:val="0046236A"/>
    <w:rsid w:val="004654FF"/>
    <w:rsid w:val="0046732E"/>
    <w:rsid w:val="0047045D"/>
    <w:rsid w:val="00472673"/>
    <w:rsid w:val="004726DC"/>
    <w:rsid w:val="00475B07"/>
    <w:rsid w:val="00475BDC"/>
    <w:rsid w:val="00476BDC"/>
    <w:rsid w:val="004775E3"/>
    <w:rsid w:val="004803C8"/>
    <w:rsid w:val="004817BE"/>
    <w:rsid w:val="00483051"/>
    <w:rsid w:val="00485F14"/>
    <w:rsid w:val="0048632B"/>
    <w:rsid w:val="00497130"/>
    <w:rsid w:val="004A11F4"/>
    <w:rsid w:val="004A369C"/>
    <w:rsid w:val="004A7069"/>
    <w:rsid w:val="004A7262"/>
    <w:rsid w:val="004B1A9B"/>
    <w:rsid w:val="004B1BC6"/>
    <w:rsid w:val="004B47D6"/>
    <w:rsid w:val="004B5465"/>
    <w:rsid w:val="004B599E"/>
    <w:rsid w:val="004B5F55"/>
    <w:rsid w:val="004B6CDC"/>
    <w:rsid w:val="004B6E4B"/>
    <w:rsid w:val="004C07E8"/>
    <w:rsid w:val="004C2FBE"/>
    <w:rsid w:val="004C42CA"/>
    <w:rsid w:val="004C5432"/>
    <w:rsid w:val="004C5C25"/>
    <w:rsid w:val="004C5DB1"/>
    <w:rsid w:val="004C6A58"/>
    <w:rsid w:val="004C6F3F"/>
    <w:rsid w:val="004C7868"/>
    <w:rsid w:val="004D0074"/>
    <w:rsid w:val="004D1213"/>
    <w:rsid w:val="004D455B"/>
    <w:rsid w:val="004D46ED"/>
    <w:rsid w:val="004D5095"/>
    <w:rsid w:val="004D521A"/>
    <w:rsid w:val="004D5D61"/>
    <w:rsid w:val="004E2A54"/>
    <w:rsid w:val="004E478F"/>
    <w:rsid w:val="004E5CAD"/>
    <w:rsid w:val="004E74B6"/>
    <w:rsid w:val="004F2368"/>
    <w:rsid w:val="004F3385"/>
    <w:rsid w:val="004F5C40"/>
    <w:rsid w:val="004F60FB"/>
    <w:rsid w:val="00500A3E"/>
    <w:rsid w:val="00500F8B"/>
    <w:rsid w:val="0050485F"/>
    <w:rsid w:val="005113DE"/>
    <w:rsid w:val="00513F18"/>
    <w:rsid w:val="00515EA7"/>
    <w:rsid w:val="005245ED"/>
    <w:rsid w:val="00530504"/>
    <w:rsid w:val="00530D97"/>
    <w:rsid w:val="00531377"/>
    <w:rsid w:val="00531982"/>
    <w:rsid w:val="005320EB"/>
    <w:rsid w:val="005325C7"/>
    <w:rsid w:val="0053288A"/>
    <w:rsid w:val="00536BE2"/>
    <w:rsid w:val="00536E74"/>
    <w:rsid w:val="0054004E"/>
    <w:rsid w:val="005413C1"/>
    <w:rsid w:val="00541D38"/>
    <w:rsid w:val="00542DC0"/>
    <w:rsid w:val="00543170"/>
    <w:rsid w:val="005433D8"/>
    <w:rsid w:val="005437E9"/>
    <w:rsid w:val="005445FE"/>
    <w:rsid w:val="00545063"/>
    <w:rsid w:val="0055111B"/>
    <w:rsid w:val="005519A0"/>
    <w:rsid w:val="005545C3"/>
    <w:rsid w:val="0055479A"/>
    <w:rsid w:val="00554E1D"/>
    <w:rsid w:val="00556521"/>
    <w:rsid w:val="00556C56"/>
    <w:rsid w:val="00560C2F"/>
    <w:rsid w:val="00561FF7"/>
    <w:rsid w:val="00564B5B"/>
    <w:rsid w:val="00565963"/>
    <w:rsid w:val="00565D04"/>
    <w:rsid w:val="00567162"/>
    <w:rsid w:val="0056724A"/>
    <w:rsid w:val="005709A2"/>
    <w:rsid w:val="00574C49"/>
    <w:rsid w:val="005800CB"/>
    <w:rsid w:val="005802DC"/>
    <w:rsid w:val="005825DE"/>
    <w:rsid w:val="005836F2"/>
    <w:rsid w:val="00585998"/>
    <w:rsid w:val="00586B74"/>
    <w:rsid w:val="005879A2"/>
    <w:rsid w:val="00590E99"/>
    <w:rsid w:val="00591B78"/>
    <w:rsid w:val="00591BD4"/>
    <w:rsid w:val="00594796"/>
    <w:rsid w:val="00596C8D"/>
    <w:rsid w:val="005A0836"/>
    <w:rsid w:val="005A09D8"/>
    <w:rsid w:val="005A1B75"/>
    <w:rsid w:val="005A4C06"/>
    <w:rsid w:val="005A5971"/>
    <w:rsid w:val="005A666E"/>
    <w:rsid w:val="005A6A0A"/>
    <w:rsid w:val="005B0CB9"/>
    <w:rsid w:val="005B36ED"/>
    <w:rsid w:val="005B7F39"/>
    <w:rsid w:val="005C00B5"/>
    <w:rsid w:val="005C388B"/>
    <w:rsid w:val="005C424A"/>
    <w:rsid w:val="005C7387"/>
    <w:rsid w:val="005D2848"/>
    <w:rsid w:val="005D30A1"/>
    <w:rsid w:val="005D3411"/>
    <w:rsid w:val="005D4199"/>
    <w:rsid w:val="005D626F"/>
    <w:rsid w:val="005D739D"/>
    <w:rsid w:val="005E447A"/>
    <w:rsid w:val="005E5312"/>
    <w:rsid w:val="005E6E6C"/>
    <w:rsid w:val="005F4598"/>
    <w:rsid w:val="006007AB"/>
    <w:rsid w:val="00601636"/>
    <w:rsid w:val="00602528"/>
    <w:rsid w:val="006038EA"/>
    <w:rsid w:val="0060439B"/>
    <w:rsid w:val="00610124"/>
    <w:rsid w:val="00610AA0"/>
    <w:rsid w:val="0061147C"/>
    <w:rsid w:val="00612282"/>
    <w:rsid w:val="00614721"/>
    <w:rsid w:val="006169AB"/>
    <w:rsid w:val="00616BDF"/>
    <w:rsid w:val="006206D5"/>
    <w:rsid w:val="00622850"/>
    <w:rsid w:val="0062419A"/>
    <w:rsid w:val="00624C4D"/>
    <w:rsid w:val="00630835"/>
    <w:rsid w:val="006316F7"/>
    <w:rsid w:val="006401F4"/>
    <w:rsid w:val="00643448"/>
    <w:rsid w:val="00643B6C"/>
    <w:rsid w:val="00645E1C"/>
    <w:rsid w:val="0065233D"/>
    <w:rsid w:val="006564A4"/>
    <w:rsid w:val="006631BD"/>
    <w:rsid w:val="00666C6B"/>
    <w:rsid w:val="00670B9F"/>
    <w:rsid w:val="00674E77"/>
    <w:rsid w:val="00675FBB"/>
    <w:rsid w:val="00684A31"/>
    <w:rsid w:val="00685797"/>
    <w:rsid w:val="00686C85"/>
    <w:rsid w:val="00687E01"/>
    <w:rsid w:val="00692BC3"/>
    <w:rsid w:val="0069421A"/>
    <w:rsid w:val="0069540C"/>
    <w:rsid w:val="0069559A"/>
    <w:rsid w:val="00695816"/>
    <w:rsid w:val="006A00DC"/>
    <w:rsid w:val="006A250D"/>
    <w:rsid w:val="006A4207"/>
    <w:rsid w:val="006B1C91"/>
    <w:rsid w:val="006B2F19"/>
    <w:rsid w:val="006B3972"/>
    <w:rsid w:val="006B484D"/>
    <w:rsid w:val="006B4B1B"/>
    <w:rsid w:val="006B6CB6"/>
    <w:rsid w:val="006C041A"/>
    <w:rsid w:val="006C0726"/>
    <w:rsid w:val="006C2298"/>
    <w:rsid w:val="006C40C7"/>
    <w:rsid w:val="006C660E"/>
    <w:rsid w:val="006D72AE"/>
    <w:rsid w:val="006E3464"/>
    <w:rsid w:val="006E3843"/>
    <w:rsid w:val="006E4FC2"/>
    <w:rsid w:val="006E5153"/>
    <w:rsid w:val="006E53DF"/>
    <w:rsid w:val="006E5C6C"/>
    <w:rsid w:val="006E5E02"/>
    <w:rsid w:val="006E5E2B"/>
    <w:rsid w:val="006F2A83"/>
    <w:rsid w:val="006F51F2"/>
    <w:rsid w:val="006F799F"/>
    <w:rsid w:val="00700B54"/>
    <w:rsid w:val="00704D22"/>
    <w:rsid w:val="00710314"/>
    <w:rsid w:val="007127E2"/>
    <w:rsid w:val="00712AC1"/>
    <w:rsid w:val="00714A35"/>
    <w:rsid w:val="00716307"/>
    <w:rsid w:val="00720225"/>
    <w:rsid w:val="0072379B"/>
    <w:rsid w:val="00726D12"/>
    <w:rsid w:val="00731989"/>
    <w:rsid w:val="00732919"/>
    <w:rsid w:val="00733F91"/>
    <w:rsid w:val="00735402"/>
    <w:rsid w:val="0074228B"/>
    <w:rsid w:val="00743AAF"/>
    <w:rsid w:val="00743DDD"/>
    <w:rsid w:val="00744668"/>
    <w:rsid w:val="007529F4"/>
    <w:rsid w:val="00754427"/>
    <w:rsid w:val="007552F8"/>
    <w:rsid w:val="00760093"/>
    <w:rsid w:val="00762528"/>
    <w:rsid w:val="007628F9"/>
    <w:rsid w:val="00763311"/>
    <w:rsid w:val="007644BD"/>
    <w:rsid w:val="00766862"/>
    <w:rsid w:val="00770B4E"/>
    <w:rsid w:val="00771289"/>
    <w:rsid w:val="00772C11"/>
    <w:rsid w:val="00772F38"/>
    <w:rsid w:val="00776977"/>
    <w:rsid w:val="0078189F"/>
    <w:rsid w:val="0078422C"/>
    <w:rsid w:val="00786A53"/>
    <w:rsid w:val="00787957"/>
    <w:rsid w:val="00793813"/>
    <w:rsid w:val="007941C8"/>
    <w:rsid w:val="007A0AFA"/>
    <w:rsid w:val="007A14A7"/>
    <w:rsid w:val="007A18A9"/>
    <w:rsid w:val="007A3514"/>
    <w:rsid w:val="007A3776"/>
    <w:rsid w:val="007A498F"/>
    <w:rsid w:val="007A576A"/>
    <w:rsid w:val="007A599F"/>
    <w:rsid w:val="007B10B4"/>
    <w:rsid w:val="007B74C0"/>
    <w:rsid w:val="007B7E2B"/>
    <w:rsid w:val="007C3095"/>
    <w:rsid w:val="007C330C"/>
    <w:rsid w:val="007C38A3"/>
    <w:rsid w:val="007C57FD"/>
    <w:rsid w:val="007D2794"/>
    <w:rsid w:val="007E1AD4"/>
    <w:rsid w:val="007E20C6"/>
    <w:rsid w:val="007E23C0"/>
    <w:rsid w:val="007E6543"/>
    <w:rsid w:val="007E6D83"/>
    <w:rsid w:val="007E7CC5"/>
    <w:rsid w:val="007F1B9A"/>
    <w:rsid w:val="007F57B1"/>
    <w:rsid w:val="007F61D1"/>
    <w:rsid w:val="007F7F98"/>
    <w:rsid w:val="008024E2"/>
    <w:rsid w:val="00803FE3"/>
    <w:rsid w:val="00805DFF"/>
    <w:rsid w:val="0080638F"/>
    <w:rsid w:val="0081034C"/>
    <w:rsid w:val="00814101"/>
    <w:rsid w:val="00815166"/>
    <w:rsid w:val="0081545F"/>
    <w:rsid w:val="0081682C"/>
    <w:rsid w:val="00816933"/>
    <w:rsid w:val="00817C46"/>
    <w:rsid w:val="00822290"/>
    <w:rsid w:val="008239D5"/>
    <w:rsid w:val="008323D7"/>
    <w:rsid w:val="008347DD"/>
    <w:rsid w:val="00834E0E"/>
    <w:rsid w:val="00837112"/>
    <w:rsid w:val="00840748"/>
    <w:rsid w:val="00840B5E"/>
    <w:rsid w:val="00841A36"/>
    <w:rsid w:val="0084336D"/>
    <w:rsid w:val="008448A2"/>
    <w:rsid w:val="0084575C"/>
    <w:rsid w:val="00845F48"/>
    <w:rsid w:val="00850E4C"/>
    <w:rsid w:val="00850E8F"/>
    <w:rsid w:val="00855A33"/>
    <w:rsid w:val="008617ED"/>
    <w:rsid w:val="00865ADD"/>
    <w:rsid w:val="008662BC"/>
    <w:rsid w:val="00866B2E"/>
    <w:rsid w:val="00873913"/>
    <w:rsid w:val="00873C55"/>
    <w:rsid w:val="00876E24"/>
    <w:rsid w:val="008823B4"/>
    <w:rsid w:val="00884581"/>
    <w:rsid w:val="008845D1"/>
    <w:rsid w:val="008852C4"/>
    <w:rsid w:val="00887CED"/>
    <w:rsid w:val="00890165"/>
    <w:rsid w:val="008902B7"/>
    <w:rsid w:val="00891B15"/>
    <w:rsid w:val="00892CA1"/>
    <w:rsid w:val="00893AF3"/>
    <w:rsid w:val="00895CD7"/>
    <w:rsid w:val="0089650A"/>
    <w:rsid w:val="008974A9"/>
    <w:rsid w:val="008A059D"/>
    <w:rsid w:val="008A2EC6"/>
    <w:rsid w:val="008A544F"/>
    <w:rsid w:val="008A7170"/>
    <w:rsid w:val="008A7EB2"/>
    <w:rsid w:val="008B533F"/>
    <w:rsid w:val="008B7215"/>
    <w:rsid w:val="008C2FAE"/>
    <w:rsid w:val="008C3BB9"/>
    <w:rsid w:val="008C3C66"/>
    <w:rsid w:val="008C449D"/>
    <w:rsid w:val="008C5AF8"/>
    <w:rsid w:val="008C79C5"/>
    <w:rsid w:val="008D0009"/>
    <w:rsid w:val="008D0AE9"/>
    <w:rsid w:val="008D37A5"/>
    <w:rsid w:val="008D49CF"/>
    <w:rsid w:val="008D4F9B"/>
    <w:rsid w:val="008E62B0"/>
    <w:rsid w:val="008F4DC2"/>
    <w:rsid w:val="00903A90"/>
    <w:rsid w:val="00907213"/>
    <w:rsid w:val="0091044B"/>
    <w:rsid w:val="009125E6"/>
    <w:rsid w:val="009126E4"/>
    <w:rsid w:val="0091349A"/>
    <w:rsid w:val="00922C63"/>
    <w:rsid w:val="0092377F"/>
    <w:rsid w:val="00923808"/>
    <w:rsid w:val="0092393F"/>
    <w:rsid w:val="00924DFD"/>
    <w:rsid w:val="009268FB"/>
    <w:rsid w:val="00927971"/>
    <w:rsid w:val="009342F5"/>
    <w:rsid w:val="00937DE0"/>
    <w:rsid w:val="009427D5"/>
    <w:rsid w:val="00942BBE"/>
    <w:rsid w:val="00942F43"/>
    <w:rsid w:val="0094316F"/>
    <w:rsid w:val="00943515"/>
    <w:rsid w:val="00945540"/>
    <w:rsid w:val="0094603D"/>
    <w:rsid w:val="0094770F"/>
    <w:rsid w:val="0095139C"/>
    <w:rsid w:val="00952ED3"/>
    <w:rsid w:val="00957593"/>
    <w:rsid w:val="009616AD"/>
    <w:rsid w:val="00964F3A"/>
    <w:rsid w:val="0096555F"/>
    <w:rsid w:val="0096583C"/>
    <w:rsid w:val="00965C9B"/>
    <w:rsid w:val="009662CE"/>
    <w:rsid w:val="00966703"/>
    <w:rsid w:val="00967A26"/>
    <w:rsid w:val="00967DFA"/>
    <w:rsid w:val="00970315"/>
    <w:rsid w:val="0097060A"/>
    <w:rsid w:val="00970692"/>
    <w:rsid w:val="00971484"/>
    <w:rsid w:val="009715D9"/>
    <w:rsid w:val="009716B4"/>
    <w:rsid w:val="0097389E"/>
    <w:rsid w:val="00974363"/>
    <w:rsid w:val="0097494C"/>
    <w:rsid w:val="00974B69"/>
    <w:rsid w:val="0097524D"/>
    <w:rsid w:val="009757F4"/>
    <w:rsid w:val="00975833"/>
    <w:rsid w:val="00976AAD"/>
    <w:rsid w:val="00980B9F"/>
    <w:rsid w:val="00984C5D"/>
    <w:rsid w:val="00985195"/>
    <w:rsid w:val="00985260"/>
    <w:rsid w:val="00986971"/>
    <w:rsid w:val="009965B7"/>
    <w:rsid w:val="0099781E"/>
    <w:rsid w:val="009A49A9"/>
    <w:rsid w:val="009A5BE4"/>
    <w:rsid w:val="009A5D71"/>
    <w:rsid w:val="009A6D31"/>
    <w:rsid w:val="009A7ABA"/>
    <w:rsid w:val="009B227B"/>
    <w:rsid w:val="009B3B5A"/>
    <w:rsid w:val="009B6544"/>
    <w:rsid w:val="009B6A12"/>
    <w:rsid w:val="009B726C"/>
    <w:rsid w:val="009B7BFA"/>
    <w:rsid w:val="009C2C93"/>
    <w:rsid w:val="009C326D"/>
    <w:rsid w:val="009C3C1A"/>
    <w:rsid w:val="009C474F"/>
    <w:rsid w:val="009C51E1"/>
    <w:rsid w:val="009C5C79"/>
    <w:rsid w:val="009C5CFA"/>
    <w:rsid w:val="009D0100"/>
    <w:rsid w:val="009D034C"/>
    <w:rsid w:val="009D0F32"/>
    <w:rsid w:val="009D2B09"/>
    <w:rsid w:val="009D6BBF"/>
    <w:rsid w:val="009D6D13"/>
    <w:rsid w:val="009E0119"/>
    <w:rsid w:val="009E0DE1"/>
    <w:rsid w:val="009E395F"/>
    <w:rsid w:val="009E3F22"/>
    <w:rsid w:val="009E503F"/>
    <w:rsid w:val="009E6A29"/>
    <w:rsid w:val="009F0040"/>
    <w:rsid w:val="009F0E9E"/>
    <w:rsid w:val="009F3799"/>
    <w:rsid w:val="009F3F05"/>
    <w:rsid w:val="009F5910"/>
    <w:rsid w:val="009F7664"/>
    <w:rsid w:val="009F7955"/>
    <w:rsid w:val="00A004F6"/>
    <w:rsid w:val="00A06007"/>
    <w:rsid w:val="00A14DA3"/>
    <w:rsid w:val="00A158FA"/>
    <w:rsid w:val="00A1648A"/>
    <w:rsid w:val="00A16836"/>
    <w:rsid w:val="00A202C4"/>
    <w:rsid w:val="00A216FE"/>
    <w:rsid w:val="00A24D1D"/>
    <w:rsid w:val="00A25C58"/>
    <w:rsid w:val="00A2632A"/>
    <w:rsid w:val="00A270B7"/>
    <w:rsid w:val="00A27C4C"/>
    <w:rsid w:val="00A306D2"/>
    <w:rsid w:val="00A31A8F"/>
    <w:rsid w:val="00A32B2C"/>
    <w:rsid w:val="00A357D7"/>
    <w:rsid w:val="00A4268C"/>
    <w:rsid w:val="00A42CA0"/>
    <w:rsid w:val="00A43102"/>
    <w:rsid w:val="00A44518"/>
    <w:rsid w:val="00A45571"/>
    <w:rsid w:val="00A4561B"/>
    <w:rsid w:val="00A45F3C"/>
    <w:rsid w:val="00A47E07"/>
    <w:rsid w:val="00A500AE"/>
    <w:rsid w:val="00A54EF3"/>
    <w:rsid w:val="00A55CA3"/>
    <w:rsid w:val="00A56AF3"/>
    <w:rsid w:val="00A60346"/>
    <w:rsid w:val="00A60EEE"/>
    <w:rsid w:val="00A64563"/>
    <w:rsid w:val="00A66DC2"/>
    <w:rsid w:val="00A67039"/>
    <w:rsid w:val="00A67273"/>
    <w:rsid w:val="00A67D44"/>
    <w:rsid w:val="00A7155B"/>
    <w:rsid w:val="00A73C76"/>
    <w:rsid w:val="00A7606D"/>
    <w:rsid w:val="00A766AD"/>
    <w:rsid w:val="00A77879"/>
    <w:rsid w:val="00A81119"/>
    <w:rsid w:val="00A82197"/>
    <w:rsid w:val="00A86B2E"/>
    <w:rsid w:val="00A86C05"/>
    <w:rsid w:val="00A86C0E"/>
    <w:rsid w:val="00A87319"/>
    <w:rsid w:val="00A879CA"/>
    <w:rsid w:val="00A902B7"/>
    <w:rsid w:val="00A93BB0"/>
    <w:rsid w:val="00A9453D"/>
    <w:rsid w:val="00A948E4"/>
    <w:rsid w:val="00A95B93"/>
    <w:rsid w:val="00A96525"/>
    <w:rsid w:val="00AA0798"/>
    <w:rsid w:val="00AA381C"/>
    <w:rsid w:val="00AA414E"/>
    <w:rsid w:val="00AA4FEE"/>
    <w:rsid w:val="00AA7A37"/>
    <w:rsid w:val="00AB074F"/>
    <w:rsid w:val="00AB3174"/>
    <w:rsid w:val="00AC1A39"/>
    <w:rsid w:val="00AC5EB9"/>
    <w:rsid w:val="00AC62D8"/>
    <w:rsid w:val="00AC71BF"/>
    <w:rsid w:val="00AC7D63"/>
    <w:rsid w:val="00AD12B5"/>
    <w:rsid w:val="00AD2B14"/>
    <w:rsid w:val="00AD2B69"/>
    <w:rsid w:val="00AE0620"/>
    <w:rsid w:val="00AE4612"/>
    <w:rsid w:val="00AF146E"/>
    <w:rsid w:val="00AF1514"/>
    <w:rsid w:val="00AF2C74"/>
    <w:rsid w:val="00AF516F"/>
    <w:rsid w:val="00AF54FC"/>
    <w:rsid w:val="00AF75D8"/>
    <w:rsid w:val="00B003D0"/>
    <w:rsid w:val="00B00479"/>
    <w:rsid w:val="00B023F9"/>
    <w:rsid w:val="00B02D2E"/>
    <w:rsid w:val="00B12155"/>
    <w:rsid w:val="00B12726"/>
    <w:rsid w:val="00B1372C"/>
    <w:rsid w:val="00B137B6"/>
    <w:rsid w:val="00B13E1E"/>
    <w:rsid w:val="00B14033"/>
    <w:rsid w:val="00B16267"/>
    <w:rsid w:val="00B17C92"/>
    <w:rsid w:val="00B213CA"/>
    <w:rsid w:val="00B2165F"/>
    <w:rsid w:val="00B21A02"/>
    <w:rsid w:val="00B25C97"/>
    <w:rsid w:val="00B31F26"/>
    <w:rsid w:val="00B34F58"/>
    <w:rsid w:val="00B36FC8"/>
    <w:rsid w:val="00B37358"/>
    <w:rsid w:val="00B42AE6"/>
    <w:rsid w:val="00B458D7"/>
    <w:rsid w:val="00B4590C"/>
    <w:rsid w:val="00B45FE7"/>
    <w:rsid w:val="00B469D1"/>
    <w:rsid w:val="00B509A2"/>
    <w:rsid w:val="00B529CE"/>
    <w:rsid w:val="00B5381A"/>
    <w:rsid w:val="00B549D1"/>
    <w:rsid w:val="00B56145"/>
    <w:rsid w:val="00B616EE"/>
    <w:rsid w:val="00B61725"/>
    <w:rsid w:val="00B61F90"/>
    <w:rsid w:val="00B660FA"/>
    <w:rsid w:val="00B71DC2"/>
    <w:rsid w:val="00B751E0"/>
    <w:rsid w:val="00B768BE"/>
    <w:rsid w:val="00B807F4"/>
    <w:rsid w:val="00B8095B"/>
    <w:rsid w:val="00B87864"/>
    <w:rsid w:val="00B91D32"/>
    <w:rsid w:val="00B938DC"/>
    <w:rsid w:val="00BA1B75"/>
    <w:rsid w:val="00BA386C"/>
    <w:rsid w:val="00BA3A34"/>
    <w:rsid w:val="00BA4F4D"/>
    <w:rsid w:val="00BA68C7"/>
    <w:rsid w:val="00BB164E"/>
    <w:rsid w:val="00BB16B1"/>
    <w:rsid w:val="00BB1B91"/>
    <w:rsid w:val="00BB3463"/>
    <w:rsid w:val="00BB3EBD"/>
    <w:rsid w:val="00BC0C1C"/>
    <w:rsid w:val="00BC1D1F"/>
    <w:rsid w:val="00BC2618"/>
    <w:rsid w:val="00BC4785"/>
    <w:rsid w:val="00BC6BC9"/>
    <w:rsid w:val="00BC7DAE"/>
    <w:rsid w:val="00BD15F2"/>
    <w:rsid w:val="00BD338C"/>
    <w:rsid w:val="00BD3D6A"/>
    <w:rsid w:val="00BD5120"/>
    <w:rsid w:val="00BE1146"/>
    <w:rsid w:val="00BE2E84"/>
    <w:rsid w:val="00BE558B"/>
    <w:rsid w:val="00BE56D9"/>
    <w:rsid w:val="00BE665D"/>
    <w:rsid w:val="00BF46AC"/>
    <w:rsid w:val="00BF6DF7"/>
    <w:rsid w:val="00C01023"/>
    <w:rsid w:val="00C01386"/>
    <w:rsid w:val="00C018C1"/>
    <w:rsid w:val="00C02D79"/>
    <w:rsid w:val="00C05632"/>
    <w:rsid w:val="00C0749A"/>
    <w:rsid w:val="00C11947"/>
    <w:rsid w:val="00C13C97"/>
    <w:rsid w:val="00C21486"/>
    <w:rsid w:val="00C218F8"/>
    <w:rsid w:val="00C228F1"/>
    <w:rsid w:val="00C23AAC"/>
    <w:rsid w:val="00C2522F"/>
    <w:rsid w:val="00C26554"/>
    <w:rsid w:val="00C27D46"/>
    <w:rsid w:val="00C27E80"/>
    <w:rsid w:val="00C30341"/>
    <w:rsid w:val="00C32D9C"/>
    <w:rsid w:val="00C339D5"/>
    <w:rsid w:val="00C33B57"/>
    <w:rsid w:val="00C40083"/>
    <w:rsid w:val="00C4395C"/>
    <w:rsid w:val="00C4526F"/>
    <w:rsid w:val="00C503DA"/>
    <w:rsid w:val="00C51B38"/>
    <w:rsid w:val="00C55348"/>
    <w:rsid w:val="00C6118F"/>
    <w:rsid w:val="00C625F0"/>
    <w:rsid w:val="00C642B4"/>
    <w:rsid w:val="00C65F05"/>
    <w:rsid w:val="00C66454"/>
    <w:rsid w:val="00C67DBC"/>
    <w:rsid w:val="00C72093"/>
    <w:rsid w:val="00C7253F"/>
    <w:rsid w:val="00C8503E"/>
    <w:rsid w:val="00C86CC2"/>
    <w:rsid w:val="00C871AF"/>
    <w:rsid w:val="00C8787D"/>
    <w:rsid w:val="00C87E49"/>
    <w:rsid w:val="00C9031D"/>
    <w:rsid w:val="00C90C61"/>
    <w:rsid w:val="00C92454"/>
    <w:rsid w:val="00C92AC1"/>
    <w:rsid w:val="00C94E11"/>
    <w:rsid w:val="00CA04BA"/>
    <w:rsid w:val="00CA2756"/>
    <w:rsid w:val="00CA7776"/>
    <w:rsid w:val="00CB0CAF"/>
    <w:rsid w:val="00CB1F51"/>
    <w:rsid w:val="00CB3290"/>
    <w:rsid w:val="00CB468D"/>
    <w:rsid w:val="00CB4A47"/>
    <w:rsid w:val="00CB6D96"/>
    <w:rsid w:val="00CB6E2E"/>
    <w:rsid w:val="00CC073E"/>
    <w:rsid w:val="00CC180F"/>
    <w:rsid w:val="00CC46D6"/>
    <w:rsid w:val="00CC4B06"/>
    <w:rsid w:val="00CC677D"/>
    <w:rsid w:val="00CD1D9B"/>
    <w:rsid w:val="00CD3959"/>
    <w:rsid w:val="00CD3B84"/>
    <w:rsid w:val="00CD409A"/>
    <w:rsid w:val="00CD612F"/>
    <w:rsid w:val="00CD64C0"/>
    <w:rsid w:val="00CD6E34"/>
    <w:rsid w:val="00CE231E"/>
    <w:rsid w:val="00CE4A61"/>
    <w:rsid w:val="00CE4C19"/>
    <w:rsid w:val="00CE68F3"/>
    <w:rsid w:val="00CE6E1E"/>
    <w:rsid w:val="00CF1D78"/>
    <w:rsid w:val="00CF2FB4"/>
    <w:rsid w:val="00CF4F53"/>
    <w:rsid w:val="00CF5074"/>
    <w:rsid w:val="00D00843"/>
    <w:rsid w:val="00D01DF6"/>
    <w:rsid w:val="00D02DCC"/>
    <w:rsid w:val="00D03FF2"/>
    <w:rsid w:val="00D05B96"/>
    <w:rsid w:val="00D06BE1"/>
    <w:rsid w:val="00D10B6B"/>
    <w:rsid w:val="00D16126"/>
    <w:rsid w:val="00D17E0E"/>
    <w:rsid w:val="00D20F4A"/>
    <w:rsid w:val="00D220D2"/>
    <w:rsid w:val="00D22F2A"/>
    <w:rsid w:val="00D235A5"/>
    <w:rsid w:val="00D25484"/>
    <w:rsid w:val="00D26F95"/>
    <w:rsid w:val="00D27E66"/>
    <w:rsid w:val="00D306AE"/>
    <w:rsid w:val="00D31283"/>
    <w:rsid w:val="00D32F22"/>
    <w:rsid w:val="00D35DC4"/>
    <w:rsid w:val="00D37080"/>
    <w:rsid w:val="00D42EFE"/>
    <w:rsid w:val="00D44651"/>
    <w:rsid w:val="00D4484C"/>
    <w:rsid w:val="00D45534"/>
    <w:rsid w:val="00D45C06"/>
    <w:rsid w:val="00D4676E"/>
    <w:rsid w:val="00D467D0"/>
    <w:rsid w:val="00D52229"/>
    <w:rsid w:val="00D52C0D"/>
    <w:rsid w:val="00D562F2"/>
    <w:rsid w:val="00D615A3"/>
    <w:rsid w:val="00D61624"/>
    <w:rsid w:val="00D62DE8"/>
    <w:rsid w:val="00D64CFE"/>
    <w:rsid w:val="00D7060E"/>
    <w:rsid w:val="00D7270F"/>
    <w:rsid w:val="00D73037"/>
    <w:rsid w:val="00D73198"/>
    <w:rsid w:val="00D83260"/>
    <w:rsid w:val="00D83341"/>
    <w:rsid w:val="00D838AE"/>
    <w:rsid w:val="00D847C2"/>
    <w:rsid w:val="00D8724B"/>
    <w:rsid w:val="00D91F12"/>
    <w:rsid w:val="00D92E7C"/>
    <w:rsid w:val="00D95699"/>
    <w:rsid w:val="00D95FD8"/>
    <w:rsid w:val="00D97485"/>
    <w:rsid w:val="00DA2104"/>
    <w:rsid w:val="00DA6398"/>
    <w:rsid w:val="00DB1A36"/>
    <w:rsid w:val="00DB25F5"/>
    <w:rsid w:val="00DB5594"/>
    <w:rsid w:val="00DB5F86"/>
    <w:rsid w:val="00DB7012"/>
    <w:rsid w:val="00DB7BB9"/>
    <w:rsid w:val="00DC0A9E"/>
    <w:rsid w:val="00DC1683"/>
    <w:rsid w:val="00DC5404"/>
    <w:rsid w:val="00DC65B2"/>
    <w:rsid w:val="00DD2383"/>
    <w:rsid w:val="00DD36A5"/>
    <w:rsid w:val="00DD4385"/>
    <w:rsid w:val="00DD4CA4"/>
    <w:rsid w:val="00DE084B"/>
    <w:rsid w:val="00DE0BE9"/>
    <w:rsid w:val="00DE1E8D"/>
    <w:rsid w:val="00DE4139"/>
    <w:rsid w:val="00DE7A65"/>
    <w:rsid w:val="00DF0432"/>
    <w:rsid w:val="00DF1819"/>
    <w:rsid w:val="00DF2A7A"/>
    <w:rsid w:val="00DF54C4"/>
    <w:rsid w:val="00DF770C"/>
    <w:rsid w:val="00DF7917"/>
    <w:rsid w:val="00E00633"/>
    <w:rsid w:val="00E029F2"/>
    <w:rsid w:val="00E02D04"/>
    <w:rsid w:val="00E02F8F"/>
    <w:rsid w:val="00E07798"/>
    <w:rsid w:val="00E11D7A"/>
    <w:rsid w:val="00E12A62"/>
    <w:rsid w:val="00E12CC8"/>
    <w:rsid w:val="00E13526"/>
    <w:rsid w:val="00E14006"/>
    <w:rsid w:val="00E1569E"/>
    <w:rsid w:val="00E16609"/>
    <w:rsid w:val="00E17C88"/>
    <w:rsid w:val="00E20DD3"/>
    <w:rsid w:val="00E21D04"/>
    <w:rsid w:val="00E2723F"/>
    <w:rsid w:val="00E272A2"/>
    <w:rsid w:val="00E30805"/>
    <w:rsid w:val="00E3493E"/>
    <w:rsid w:val="00E36FBB"/>
    <w:rsid w:val="00E44A6F"/>
    <w:rsid w:val="00E47F01"/>
    <w:rsid w:val="00E519FF"/>
    <w:rsid w:val="00E51C41"/>
    <w:rsid w:val="00E5319D"/>
    <w:rsid w:val="00E56B52"/>
    <w:rsid w:val="00E57366"/>
    <w:rsid w:val="00E57F5F"/>
    <w:rsid w:val="00E619C0"/>
    <w:rsid w:val="00E64376"/>
    <w:rsid w:val="00E70D38"/>
    <w:rsid w:val="00E7119A"/>
    <w:rsid w:val="00E73370"/>
    <w:rsid w:val="00E735A1"/>
    <w:rsid w:val="00E757E3"/>
    <w:rsid w:val="00E7714D"/>
    <w:rsid w:val="00E814EB"/>
    <w:rsid w:val="00E81DC0"/>
    <w:rsid w:val="00E82E7F"/>
    <w:rsid w:val="00E85E62"/>
    <w:rsid w:val="00E85EB4"/>
    <w:rsid w:val="00E86260"/>
    <w:rsid w:val="00E86ACB"/>
    <w:rsid w:val="00E86B02"/>
    <w:rsid w:val="00E87360"/>
    <w:rsid w:val="00E87B73"/>
    <w:rsid w:val="00E87ED8"/>
    <w:rsid w:val="00E9090F"/>
    <w:rsid w:val="00E910DB"/>
    <w:rsid w:val="00E91450"/>
    <w:rsid w:val="00EA1B87"/>
    <w:rsid w:val="00EA1EB0"/>
    <w:rsid w:val="00EA47D8"/>
    <w:rsid w:val="00EA4953"/>
    <w:rsid w:val="00EA4BEC"/>
    <w:rsid w:val="00EA5292"/>
    <w:rsid w:val="00EA70C3"/>
    <w:rsid w:val="00EA7183"/>
    <w:rsid w:val="00EB1363"/>
    <w:rsid w:val="00EB1CD9"/>
    <w:rsid w:val="00EB4B91"/>
    <w:rsid w:val="00EB611A"/>
    <w:rsid w:val="00EB684F"/>
    <w:rsid w:val="00EB7789"/>
    <w:rsid w:val="00EC2316"/>
    <w:rsid w:val="00EC40E5"/>
    <w:rsid w:val="00EC4B81"/>
    <w:rsid w:val="00EC5811"/>
    <w:rsid w:val="00EC7A72"/>
    <w:rsid w:val="00EC7FFE"/>
    <w:rsid w:val="00ED19B1"/>
    <w:rsid w:val="00ED1A69"/>
    <w:rsid w:val="00ED2C8D"/>
    <w:rsid w:val="00ED4621"/>
    <w:rsid w:val="00ED59B0"/>
    <w:rsid w:val="00EE04B1"/>
    <w:rsid w:val="00EE0C3D"/>
    <w:rsid w:val="00EE29F7"/>
    <w:rsid w:val="00EE2E04"/>
    <w:rsid w:val="00EE3220"/>
    <w:rsid w:val="00EE3CF8"/>
    <w:rsid w:val="00EE55FC"/>
    <w:rsid w:val="00EE74B6"/>
    <w:rsid w:val="00EE7A13"/>
    <w:rsid w:val="00EF4BD8"/>
    <w:rsid w:val="00EF4FD5"/>
    <w:rsid w:val="00EF5374"/>
    <w:rsid w:val="00EF6DE3"/>
    <w:rsid w:val="00EF7535"/>
    <w:rsid w:val="00F051A5"/>
    <w:rsid w:val="00F0571F"/>
    <w:rsid w:val="00F057F0"/>
    <w:rsid w:val="00F102BA"/>
    <w:rsid w:val="00F10AB5"/>
    <w:rsid w:val="00F12529"/>
    <w:rsid w:val="00F22028"/>
    <w:rsid w:val="00F229EC"/>
    <w:rsid w:val="00F3174A"/>
    <w:rsid w:val="00F34444"/>
    <w:rsid w:val="00F379BE"/>
    <w:rsid w:val="00F40FC9"/>
    <w:rsid w:val="00F41691"/>
    <w:rsid w:val="00F4363B"/>
    <w:rsid w:val="00F43845"/>
    <w:rsid w:val="00F43928"/>
    <w:rsid w:val="00F462EF"/>
    <w:rsid w:val="00F4719E"/>
    <w:rsid w:val="00F471A1"/>
    <w:rsid w:val="00F50DD2"/>
    <w:rsid w:val="00F52609"/>
    <w:rsid w:val="00F5268D"/>
    <w:rsid w:val="00F52E1D"/>
    <w:rsid w:val="00F53C9E"/>
    <w:rsid w:val="00F5564F"/>
    <w:rsid w:val="00F55A4F"/>
    <w:rsid w:val="00F56482"/>
    <w:rsid w:val="00F625C9"/>
    <w:rsid w:val="00F625D6"/>
    <w:rsid w:val="00F62EE3"/>
    <w:rsid w:val="00F63686"/>
    <w:rsid w:val="00F67DCA"/>
    <w:rsid w:val="00F70D71"/>
    <w:rsid w:val="00F70F0C"/>
    <w:rsid w:val="00F73879"/>
    <w:rsid w:val="00F75140"/>
    <w:rsid w:val="00F80F9F"/>
    <w:rsid w:val="00F82758"/>
    <w:rsid w:val="00F82B9E"/>
    <w:rsid w:val="00F855CE"/>
    <w:rsid w:val="00F868F3"/>
    <w:rsid w:val="00F91962"/>
    <w:rsid w:val="00F95F27"/>
    <w:rsid w:val="00F9617E"/>
    <w:rsid w:val="00F96FB0"/>
    <w:rsid w:val="00FA2293"/>
    <w:rsid w:val="00FA4218"/>
    <w:rsid w:val="00FA4656"/>
    <w:rsid w:val="00FA5345"/>
    <w:rsid w:val="00FA76AB"/>
    <w:rsid w:val="00FB4171"/>
    <w:rsid w:val="00FB49E0"/>
    <w:rsid w:val="00FB5EB6"/>
    <w:rsid w:val="00FB721A"/>
    <w:rsid w:val="00FC1D67"/>
    <w:rsid w:val="00FC3BFE"/>
    <w:rsid w:val="00FC4DE1"/>
    <w:rsid w:val="00FC79BF"/>
    <w:rsid w:val="00FD1A4B"/>
    <w:rsid w:val="00FD1F61"/>
    <w:rsid w:val="00FD55D2"/>
    <w:rsid w:val="00FD618E"/>
    <w:rsid w:val="00FD7A41"/>
    <w:rsid w:val="00FE03A3"/>
    <w:rsid w:val="00FE23D9"/>
    <w:rsid w:val="00FE4FDB"/>
    <w:rsid w:val="00FE620C"/>
    <w:rsid w:val="00FF0C75"/>
    <w:rsid w:val="00FF62F3"/>
    <w:rsid w:val="00FF6439"/>
    <w:rsid w:val="00FF677C"/>
    <w:rsid w:val="00FF72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next w:val="Normal"/>
    <w:link w:val="Ttulo4Car"/>
    <w:uiPriority w:val="9"/>
    <w:unhideWhenUsed/>
    <w:qFormat/>
    <w:rsid w:val="003913C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qFormat/>
    <w:rsid w:val="00461D2D"/>
    <w:pPr>
      <w:spacing w:before="240" w:after="60" w:line="240" w:lineRule="auto"/>
      <w:outlineLvl w:val="4"/>
    </w:pPr>
    <w:rPr>
      <w:rFonts w:ascii="Times New Roman" w:eastAsia="Times New Roman" w:hAnsi="Times New Roman" w:cs="Times New Roman"/>
      <w:b/>
      <w:bCs/>
      <w:i/>
      <w:iCs/>
      <w:sz w:val="26"/>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D409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5Car">
    <w:name w:val="Título 5 Car"/>
    <w:basedOn w:val="Fuentedeprrafopredeter"/>
    <w:link w:val="Ttulo5"/>
    <w:rsid w:val="00461D2D"/>
    <w:rPr>
      <w:rFonts w:ascii="Times New Roman" w:eastAsia="Times New Roman" w:hAnsi="Times New Roman" w:cs="Times New Roman"/>
      <w:b/>
      <w:bCs/>
      <w:i/>
      <w:iCs/>
      <w:sz w:val="26"/>
      <w:szCs w:val="26"/>
      <w:lang w:val="x-none" w:eastAsia="x-none"/>
    </w:rPr>
  </w:style>
  <w:style w:type="paragraph" w:customStyle="1" w:styleId="a">
    <w:basedOn w:val="Normal"/>
    <w:next w:val="Ttulo"/>
    <w:qFormat/>
    <w:rsid w:val="00461D2D"/>
    <w:pPr>
      <w:spacing w:after="0" w:line="240" w:lineRule="auto"/>
      <w:jc w:val="center"/>
    </w:pPr>
    <w:rPr>
      <w:rFonts w:ascii="Arial" w:eastAsia="Times New Roman" w:hAnsi="Arial" w:cs="Arial"/>
      <w:b/>
      <w:bCs/>
      <w:sz w:val="20"/>
      <w:szCs w:val="20"/>
      <w:lang w:val="es-ES" w:eastAsia="es-ES"/>
    </w:rPr>
  </w:style>
  <w:style w:type="paragraph" w:styleId="Encabezado">
    <w:name w:val="header"/>
    <w:basedOn w:val="Normal"/>
    <w:link w:val="EncabezadoCar1"/>
    <w:rsid w:val="00461D2D"/>
    <w:pPr>
      <w:tabs>
        <w:tab w:val="center" w:pos="4252"/>
        <w:tab w:val="right" w:pos="8504"/>
      </w:tabs>
      <w:spacing w:after="0" w:line="240" w:lineRule="auto"/>
    </w:pPr>
    <w:rPr>
      <w:rFonts w:ascii="Times New Roman" w:eastAsia="Times New Roman" w:hAnsi="Times New Roman" w:cs="Times New Roman"/>
      <w:sz w:val="24"/>
      <w:szCs w:val="24"/>
      <w:lang w:val="x-none" w:eastAsia="x-none"/>
    </w:rPr>
  </w:style>
  <w:style w:type="character" w:customStyle="1" w:styleId="EncabezadoCar">
    <w:name w:val="Encabezado Car"/>
    <w:basedOn w:val="Fuentedeprrafopredeter"/>
    <w:uiPriority w:val="99"/>
    <w:semiHidden/>
    <w:rsid w:val="00461D2D"/>
  </w:style>
  <w:style w:type="paragraph" w:styleId="TDC3">
    <w:name w:val="toc 3"/>
    <w:basedOn w:val="Normal"/>
    <w:next w:val="Normal"/>
    <w:autoRedefine/>
    <w:semiHidden/>
    <w:rsid w:val="00461D2D"/>
    <w:pPr>
      <w:tabs>
        <w:tab w:val="right" w:leader="dot" w:pos="8830"/>
      </w:tabs>
      <w:spacing w:after="0" w:line="240" w:lineRule="auto"/>
    </w:pPr>
    <w:rPr>
      <w:rFonts w:ascii="Arial" w:eastAsia="Times New Roman" w:hAnsi="Arial" w:cs="Times New Roman"/>
      <w:b/>
      <w:bCs/>
      <w:noProof/>
      <w:sz w:val="24"/>
      <w:szCs w:val="24"/>
      <w:lang w:val="es-ES" w:eastAsia="es-ES"/>
    </w:rPr>
  </w:style>
  <w:style w:type="character" w:customStyle="1" w:styleId="EncabezadoCar1">
    <w:name w:val="Encabezado Car1"/>
    <w:link w:val="Encabezado"/>
    <w:rsid w:val="00461D2D"/>
    <w:rPr>
      <w:rFonts w:ascii="Times New Roman" w:eastAsia="Times New Roman" w:hAnsi="Times New Roman" w:cs="Times New Roman"/>
      <w:sz w:val="24"/>
      <w:szCs w:val="24"/>
      <w:lang w:val="x-none" w:eastAsia="x-none"/>
    </w:rPr>
  </w:style>
  <w:style w:type="paragraph" w:styleId="Ttulo">
    <w:name w:val="Title"/>
    <w:basedOn w:val="Normal"/>
    <w:next w:val="Normal"/>
    <w:link w:val="TtuloCar"/>
    <w:uiPriority w:val="10"/>
    <w:qFormat/>
    <w:rsid w:val="00461D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1D2D"/>
    <w:rPr>
      <w:rFonts w:asciiTheme="majorHAnsi" w:eastAsiaTheme="majorEastAsia" w:hAnsiTheme="majorHAnsi" w:cstheme="majorBidi"/>
      <w:spacing w:val="-10"/>
      <w:kern w:val="28"/>
      <w:sz w:val="56"/>
      <w:szCs w:val="56"/>
    </w:rPr>
  </w:style>
  <w:style w:type="paragraph" w:styleId="Piedepgina">
    <w:name w:val="footer"/>
    <w:basedOn w:val="Normal"/>
    <w:link w:val="PiedepginaCar"/>
    <w:uiPriority w:val="99"/>
    <w:unhideWhenUsed/>
    <w:rsid w:val="004F5C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5C40"/>
  </w:style>
  <w:style w:type="character" w:styleId="Hipervnculo">
    <w:name w:val="Hyperlink"/>
    <w:uiPriority w:val="99"/>
    <w:rsid w:val="004F5C40"/>
    <w:rPr>
      <w:color w:val="0000FF"/>
      <w:spacing w:val="0"/>
      <w:sz w:val="24"/>
      <w:u w:val="single"/>
    </w:rPr>
  </w:style>
  <w:style w:type="character" w:styleId="Nmerodepgina">
    <w:name w:val="page number"/>
    <w:basedOn w:val="Fuentedeprrafopredeter"/>
    <w:rsid w:val="004F5C40"/>
  </w:style>
  <w:style w:type="paragraph" w:styleId="Textoindependiente">
    <w:name w:val="Body Text"/>
    <w:aliases w:val="contents,body text,bt,body tesx,Inicio"/>
    <w:basedOn w:val="Normal"/>
    <w:link w:val="TextoindependienteCar"/>
    <w:rsid w:val="004F5C40"/>
    <w:pPr>
      <w:autoSpaceDE w:val="0"/>
      <w:autoSpaceDN w:val="0"/>
      <w:adjustRightInd w:val="0"/>
      <w:spacing w:after="0" w:line="240" w:lineRule="auto"/>
    </w:pPr>
    <w:rPr>
      <w:rFonts w:ascii="Arial" w:eastAsia="Times New Roman" w:hAnsi="Arial" w:cs="Times New Roman"/>
      <w:sz w:val="23"/>
      <w:szCs w:val="23"/>
      <w:lang w:val="x-none" w:eastAsia="x-none"/>
    </w:rPr>
  </w:style>
  <w:style w:type="character" w:customStyle="1" w:styleId="TextoindependienteCar">
    <w:name w:val="Texto independiente Car"/>
    <w:aliases w:val="contents Car,body text Car,bt Car,body tesx Car,Inicio Car"/>
    <w:basedOn w:val="Fuentedeprrafopredeter"/>
    <w:link w:val="Textoindependiente"/>
    <w:rsid w:val="004F5C40"/>
    <w:rPr>
      <w:rFonts w:ascii="Arial" w:eastAsia="Times New Roman" w:hAnsi="Arial" w:cs="Times New Roman"/>
      <w:sz w:val="23"/>
      <w:szCs w:val="23"/>
      <w:lang w:val="x-none" w:eastAsia="x-none"/>
    </w:rPr>
  </w:style>
  <w:style w:type="paragraph" w:customStyle="1" w:styleId="297">
    <w:name w:val="297"/>
    <w:basedOn w:val="Normal"/>
    <w:rsid w:val="005519A0"/>
    <w:pPr>
      <w:widowControl w:val="0"/>
      <w:autoSpaceDE w:val="0"/>
      <w:autoSpaceDN w:val="0"/>
      <w:adjustRightInd w:val="0"/>
      <w:spacing w:after="0" w:line="240" w:lineRule="auto"/>
    </w:pPr>
    <w:rPr>
      <w:rFonts w:ascii="Arial" w:eastAsia="Times New Roman" w:hAnsi="Arial" w:cs="Arial"/>
      <w:b/>
      <w:bCs/>
      <w:i/>
      <w:iCs/>
      <w:sz w:val="24"/>
      <w:szCs w:val="24"/>
      <w:lang w:val="es-ES" w:eastAsia="es-ES"/>
    </w:rPr>
  </w:style>
  <w:style w:type="paragraph" w:customStyle="1" w:styleId="296">
    <w:name w:val="296"/>
    <w:basedOn w:val="Normal"/>
    <w:rsid w:val="005519A0"/>
    <w:pPr>
      <w:widowControl w:val="0"/>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customStyle="1" w:styleId="299">
    <w:name w:val="299"/>
    <w:basedOn w:val="Normal"/>
    <w:rsid w:val="005519A0"/>
    <w:pPr>
      <w:keepLines/>
      <w:widowControl w:val="0"/>
      <w:autoSpaceDE w:val="0"/>
      <w:autoSpaceDN w:val="0"/>
      <w:adjustRightInd w:val="0"/>
      <w:spacing w:after="0" w:line="240" w:lineRule="auto"/>
      <w:jc w:val="both"/>
    </w:pPr>
    <w:rPr>
      <w:rFonts w:ascii="Arial" w:eastAsia="Times New Roman" w:hAnsi="Arial" w:cs="Arial"/>
      <w:sz w:val="24"/>
      <w:szCs w:val="24"/>
      <w:lang w:val="es-ES" w:eastAsia="es-ES"/>
    </w:rPr>
  </w:style>
  <w:style w:type="paragraph" w:customStyle="1" w:styleId="Textopredeterminado">
    <w:name w:val="Texto predeterminado"/>
    <w:basedOn w:val="Normal"/>
    <w:rsid w:val="00CD6E34"/>
    <w:pPr>
      <w:autoSpaceDE w:val="0"/>
      <w:autoSpaceDN w:val="0"/>
      <w:adjustRightInd w:val="0"/>
      <w:spacing w:after="0" w:line="240" w:lineRule="auto"/>
    </w:pPr>
    <w:rPr>
      <w:rFonts w:ascii="Times New Roman" w:eastAsia="Times New Roman" w:hAnsi="Times New Roman" w:cs="Times New Roman"/>
      <w:sz w:val="24"/>
      <w:szCs w:val="20"/>
      <w:lang w:val="en-US" w:eastAsia="es-ES"/>
    </w:rPr>
  </w:style>
  <w:style w:type="paragraph" w:styleId="Textoindependiente2">
    <w:name w:val="Body Text 2"/>
    <w:basedOn w:val="Normal"/>
    <w:link w:val="Textoindependiente2Car"/>
    <w:rsid w:val="00CD6E34"/>
    <w:pPr>
      <w:spacing w:after="120" w:line="480" w:lineRule="auto"/>
    </w:pPr>
    <w:rPr>
      <w:rFonts w:ascii="Times New Roman" w:eastAsia="Times New Roman" w:hAnsi="Times New Roman" w:cs="Times New Roman"/>
      <w:sz w:val="24"/>
      <w:szCs w:val="24"/>
      <w:lang w:val="x-none" w:eastAsia="x-none"/>
    </w:rPr>
  </w:style>
  <w:style w:type="character" w:customStyle="1" w:styleId="Textoindependiente2Car">
    <w:name w:val="Texto independiente 2 Car"/>
    <w:basedOn w:val="Fuentedeprrafopredeter"/>
    <w:link w:val="Textoindependiente2"/>
    <w:rsid w:val="00CD6E34"/>
    <w:rPr>
      <w:rFonts w:ascii="Times New Roman" w:eastAsia="Times New Roman" w:hAnsi="Times New Roman" w:cs="Times New Roman"/>
      <w:sz w:val="24"/>
      <w:szCs w:val="24"/>
      <w:lang w:val="x-none" w:eastAsia="x-none"/>
    </w:rPr>
  </w:style>
  <w:style w:type="paragraph" w:customStyle="1" w:styleId="320">
    <w:name w:val="320"/>
    <w:basedOn w:val="Normal"/>
    <w:rsid w:val="00CD6E34"/>
    <w:pPr>
      <w:widowControl w:val="0"/>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BA3A34"/>
    <w:pPr>
      <w:ind w:left="720"/>
      <w:contextualSpacing/>
    </w:pPr>
  </w:style>
  <w:style w:type="paragraph" w:styleId="Textodeglobo">
    <w:name w:val="Balloon Text"/>
    <w:basedOn w:val="Normal"/>
    <w:link w:val="TextodegloboCar"/>
    <w:uiPriority w:val="99"/>
    <w:semiHidden/>
    <w:unhideWhenUsed/>
    <w:rsid w:val="0041034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10349"/>
    <w:rPr>
      <w:rFonts w:ascii="Segoe UI" w:hAnsi="Segoe UI" w:cs="Segoe UI"/>
      <w:sz w:val="18"/>
      <w:szCs w:val="18"/>
    </w:rPr>
  </w:style>
  <w:style w:type="paragraph" w:customStyle="1" w:styleId="Carta">
    <w:name w:val="Carta"/>
    <w:uiPriority w:val="99"/>
    <w:rsid w:val="00DF1819"/>
    <w:pPr>
      <w:suppressAutoHyphens/>
      <w:spacing w:after="0" w:line="240" w:lineRule="auto"/>
      <w:jc w:val="both"/>
    </w:pPr>
    <w:rPr>
      <w:rFonts w:ascii="Times New Roman" w:eastAsia="Times New Roman" w:hAnsi="Times New Roman" w:cs="Times New Roman"/>
      <w:sz w:val="24"/>
      <w:szCs w:val="20"/>
      <w:lang w:val="es-ES_tradnl" w:eastAsia="es-ES"/>
    </w:rPr>
  </w:style>
  <w:style w:type="paragraph" w:styleId="Textonotapie">
    <w:name w:val="footnote text"/>
    <w:aliases w:val="Texto tablas,texto de nota al pie,Footnote Text Char Char Char Char Char,Footnote Text Cha,Footnote Text Char Char Char Char,Footnote reference,FA Fu,Footnote Text Char Char Char,FA Fußnotentext,FA Fuﬂnotentext,Footnote Text Char Char,Car"/>
    <w:basedOn w:val="Normal"/>
    <w:link w:val="TextonotapieCar"/>
    <w:uiPriority w:val="99"/>
    <w:unhideWhenUsed/>
    <w:rsid w:val="00027581"/>
    <w:pPr>
      <w:spacing w:after="0" w:line="240" w:lineRule="auto"/>
      <w:ind w:left="284" w:hanging="284"/>
      <w:jc w:val="both"/>
    </w:pPr>
    <w:rPr>
      <w:rFonts w:ascii="Arial" w:hAnsi="Arial" w:cs="Arial"/>
      <w:sz w:val="20"/>
      <w:szCs w:val="20"/>
      <w:lang w:eastAsia="es-CO"/>
    </w:rPr>
  </w:style>
  <w:style w:type="character" w:customStyle="1" w:styleId="TextonotapieCar">
    <w:name w:val="Texto nota pie Car"/>
    <w:aliases w:val="Texto tablas Car1,texto de nota al pie Car1,Footnote Text Char Char Char Char Char Car1,Footnote Text Cha Car1,Footnote Text Char Char Char Char Car,Footnote reference Car,FA Fu Car1,Footnote Text Char Char Char Car,Car Car1"/>
    <w:basedOn w:val="Fuentedeprrafopredeter"/>
    <w:link w:val="Textonotapie"/>
    <w:uiPriority w:val="99"/>
    <w:rsid w:val="00027581"/>
    <w:rPr>
      <w:rFonts w:ascii="Arial" w:hAnsi="Arial" w:cs="Arial"/>
      <w:sz w:val="20"/>
      <w:szCs w:val="20"/>
      <w:lang w:eastAsia="es-CO"/>
    </w:rPr>
  </w:style>
  <w:style w:type="character" w:styleId="Refdenotaalpie">
    <w:name w:val="footnote reference"/>
    <w:aliases w:val="Texto de nota al pie,referencia nota al pie,Texto tablas Car,texto de nota al pie Car,Texto nota al pie,Appel note de bas de page,Footnote Text Char Char Char Char Char Car,Footnote Text Cha Car,FA Fu Car,Car Car"/>
    <w:basedOn w:val="Fuentedeprrafopredeter"/>
    <w:uiPriority w:val="99"/>
    <w:unhideWhenUsed/>
    <w:rsid w:val="00027581"/>
    <w:rPr>
      <w:vertAlign w:val="superscript"/>
    </w:rPr>
  </w:style>
  <w:style w:type="character" w:customStyle="1" w:styleId="Ttulo4Car">
    <w:name w:val="Título 4 Car"/>
    <w:basedOn w:val="Fuentedeprrafopredeter"/>
    <w:link w:val="Ttulo4"/>
    <w:uiPriority w:val="9"/>
    <w:rsid w:val="003913C7"/>
    <w:rPr>
      <w:rFonts w:asciiTheme="majorHAnsi" w:eastAsiaTheme="majorEastAsia" w:hAnsiTheme="majorHAnsi" w:cstheme="majorBidi"/>
      <w:i/>
      <w:iCs/>
      <w:color w:val="2E74B5" w:themeColor="accent1" w:themeShade="BF"/>
    </w:rPr>
  </w:style>
  <w:style w:type="paragraph" w:customStyle="1" w:styleId="top">
    <w:name w:val="top"/>
    <w:basedOn w:val="Normal"/>
    <w:rsid w:val="003913C7"/>
    <w:pPr>
      <w:spacing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59"/>
    <w:rsid w:val="00391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8617ED"/>
  </w:style>
  <w:style w:type="character" w:styleId="Textoennegrita">
    <w:name w:val="Strong"/>
    <w:basedOn w:val="Fuentedeprrafopredeter"/>
    <w:uiPriority w:val="22"/>
    <w:qFormat/>
    <w:rsid w:val="008617ED"/>
    <w:rPr>
      <w:b/>
      <w:bCs/>
    </w:rPr>
  </w:style>
  <w:style w:type="character" w:customStyle="1" w:styleId="CharacterStyle3">
    <w:name w:val="Character Style 3"/>
    <w:uiPriority w:val="99"/>
    <w:rsid w:val="004C5432"/>
    <w:rPr>
      <w:rFonts w:ascii="Arial" w:hAnsi="Arial" w:cs="Arial"/>
      <w:sz w:val="24"/>
      <w:szCs w:val="24"/>
    </w:rPr>
  </w:style>
  <w:style w:type="paragraph" w:customStyle="1" w:styleId="Style6">
    <w:name w:val="Style 6"/>
    <w:basedOn w:val="Normal"/>
    <w:uiPriority w:val="99"/>
    <w:rsid w:val="004C5432"/>
    <w:pPr>
      <w:widowControl w:val="0"/>
      <w:autoSpaceDE w:val="0"/>
      <w:autoSpaceDN w:val="0"/>
      <w:spacing w:after="0" w:line="240" w:lineRule="auto"/>
      <w:ind w:left="432"/>
      <w:jc w:val="both"/>
    </w:pPr>
    <w:rPr>
      <w:rFonts w:ascii="Arial" w:eastAsia="Times New Roman" w:hAnsi="Arial" w:cs="Arial"/>
      <w:sz w:val="24"/>
      <w:szCs w:val="24"/>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next w:val="Normal"/>
    <w:link w:val="Ttulo4Car"/>
    <w:uiPriority w:val="9"/>
    <w:unhideWhenUsed/>
    <w:qFormat/>
    <w:rsid w:val="003913C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qFormat/>
    <w:rsid w:val="00461D2D"/>
    <w:pPr>
      <w:spacing w:before="240" w:after="60" w:line="240" w:lineRule="auto"/>
      <w:outlineLvl w:val="4"/>
    </w:pPr>
    <w:rPr>
      <w:rFonts w:ascii="Times New Roman" w:eastAsia="Times New Roman" w:hAnsi="Times New Roman" w:cs="Times New Roman"/>
      <w:b/>
      <w:bCs/>
      <w:i/>
      <w:iCs/>
      <w:sz w:val="26"/>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D409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5Car">
    <w:name w:val="Título 5 Car"/>
    <w:basedOn w:val="Fuentedeprrafopredeter"/>
    <w:link w:val="Ttulo5"/>
    <w:rsid w:val="00461D2D"/>
    <w:rPr>
      <w:rFonts w:ascii="Times New Roman" w:eastAsia="Times New Roman" w:hAnsi="Times New Roman" w:cs="Times New Roman"/>
      <w:b/>
      <w:bCs/>
      <w:i/>
      <w:iCs/>
      <w:sz w:val="26"/>
      <w:szCs w:val="26"/>
      <w:lang w:val="x-none" w:eastAsia="x-none"/>
    </w:rPr>
  </w:style>
  <w:style w:type="paragraph" w:customStyle="1" w:styleId="a">
    <w:basedOn w:val="Normal"/>
    <w:next w:val="Ttulo"/>
    <w:qFormat/>
    <w:rsid w:val="00461D2D"/>
    <w:pPr>
      <w:spacing w:after="0" w:line="240" w:lineRule="auto"/>
      <w:jc w:val="center"/>
    </w:pPr>
    <w:rPr>
      <w:rFonts w:ascii="Arial" w:eastAsia="Times New Roman" w:hAnsi="Arial" w:cs="Arial"/>
      <w:b/>
      <w:bCs/>
      <w:sz w:val="20"/>
      <w:szCs w:val="20"/>
      <w:lang w:val="es-ES" w:eastAsia="es-ES"/>
    </w:rPr>
  </w:style>
  <w:style w:type="paragraph" w:styleId="Encabezado">
    <w:name w:val="header"/>
    <w:basedOn w:val="Normal"/>
    <w:link w:val="EncabezadoCar1"/>
    <w:rsid w:val="00461D2D"/>
    <w:pPr>
      <w:tabs>
        <w:tab w:val="center" w:pos="4252"/>
        <w:tab w:val="right" w:pos="8504"/>
      </w:tabs>
      <w:spacing w:after="0" w:line="240" w:lineRule="auto"/>
    </w:pPr>
    <w:rPr>
      <w:rFonts w:ascii="Times New Roman" w:eastAsia="Times New Roman" w:hAnsi="Times New Roman" w:cs="Times New Roman"/>
      <w:sz w:val="24"/>
      <w:szCs w:val="24"/>
      <w:lang w:val="x-none" w:eastAsia="x-none"/>
    </w:rPr>
  </w:style>
  <w:style w:type="character" w:customStyle="1" w:styleId="EncabezadoCar">
    <w:name w:val="Encabezado Car"/>
    <w:basedOn w:val="Fuentedeprrafopredeter"/>
    <w:uiPriority w:val="99"/>
    <w:semiHidden/>
    <w:rsid w:val="00461D2D"/>
  </w:style>
  <w:style w:type="paragraph" w:styleId="TDC3">
    <w:name w:val="toc 3"/>
    <w:basedOn w:val="Normal"/>
    <w:next w:val="Normal"/>
    <w:autoRedefine/>
    <w:semiHidden/>
    <w:rsid w:val="00461D2D"/>
    <w:pPr>
      <w:tabs>
        <w:tab w:val="right" w:leader="dot" w:pos="8830"/>
      </w:tabs>
      <w:spacing w:after="0" w:line="240" w:lineRule="auto"/>
    </w:pPr>
    <w:rPr>
      <w:rFonts w:ascii="Arial" w:eastAsia="Times New Roman" w:hAnsi="Arial" w:cs="Times New Roman"/>
      <w:b/>
      <w:bCs/>
      <w:noProof/>
      <w:sz w:val="24"/>
      <w:szCs w:val="24"/>
      <w:lang w:val="es-ES" w:eastAsia="es-ES"/>
    </w:rPr>
  </w:style>
  <w:style w:type="character" w:customStyle="1" w:styleId="EncabezadoCar1">
    <w:name w:val="Encabezado Car1"/>
    <w:link w:val="Encabezado"/>
    <w:rsid w:val="00461D2D"/>
    <w:rPr>
      <w:rFonts w:ascii="Times New Roman" w:eastAsia="Times New Roman" w:hAnsi="Times New Roman" w:cs="Times New Roman"/>
      <w:sz w:val="24"/>
      <w:szCs w:val="24"/>
      <w:lang w:val="x-none" w:eastAsia="x-none"/>
    </w:rPr>
  </w:style>
  <w:style w:type="paragraph" w:styleId="Ttulo">
    <w:name w:val="Title"/>
    <w:basedOn w:val="Normal"/>
    <w:next w:val="Normal"/>
    <w:link w:val="TtuloCar"/>
    <w:uiPriority w:val="10"/>
    <w:qFormat/>
    <w:rsid w:val="00461D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1D2D"/>
    <w:rPr>
      <w:rFonts w:asciiTheme="majorHAnsi" w:eastAsiaTheme="majorEastAsia" w:hAnsiTheme="majorHAnsi" w:cstheme="majorBidi"/>
      <w:spacing w:val="-10"/>
      <w:kern w:val="28"/>
      <w:sz w:val="56"/>
      <w:szCs w:val="56"/>
    </w:rPr>
  </w:style>
  <w:style w:type="paragraph" w:styleId="Piedepgina">
    <w:name w:val="footer"/>
    <w:basedOn w:val="Normal"/>
    <w:link w:val="PiedepginaCar"/>
    <w:uiPriority w:val="99"/>
    <w:unhideWhenUsed/>
    <w:rsid w:val="004F5C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5C40"/>
  </w:style>
  <w:style w:type="character" w:styleId="Hipervnculo">
    <w:name w:val="Hyperlink"/>
    <w:uiPriority w:val="99"/>
    <w:rsid w:val="004F5C40"/>
    <w:rPr>
      <w:color w:val="0000FF"/>
      <w:spacing w:val="0"/>
      <w:sz w:val="24"/>
      <w:u w:val="single"/>
    </w:rPr>
  </w:style>
  <w:style w:type="character" w:styleId="Nmerodepgina">
    <w:name w:val="page number"/>
    <w:basedOn w:val="Fuentedeprrafopredeter"/>
    <w:rsid w:val="004F5C40"/>
  </w:style>
  <w:style w:type="paragraph" w:styleId="Textoindependiente">
    <w:name w:val="Body Text"/>
    <w:aliases w:val="contents,body text,bt,body tesx,Inicio"/>
    <w:basedOn w:val="Normal"/>
    <w:link w:val="TextoindependienteCar"/>
    <w:rsid w:val="004F5C40"/>
    <w:pPr>
      <w:autoSpaceDE w:val="0"/>
      <w:autoSpaceDN w:val="0"/>
      <w:adjustRightInd w:val="0"/>
      <w:spacing w:after="0" w:line="240" w:lineRule="auto"/>
    </w:pPr>
    <w:rPr>
      <w:rFonts w:ascii="Arial" w:eastAsia="Times New Roman" w:hAnsi="Arial" w:cs="Times New Roman"/>
      <w:sz w:val="23"/>
      <w:szCs w:val="23"/>
      <w:lang w:val="x-none" w:eastAsia="x-none"/>
    </w:rPr>
  </w:style>
  <w:style w:type="character" w:customStyle="1" w:styleId="TextoindependienteCar">
    <w:name w:val="Texto independiente Car"/>
    <w:aliases w:val="contents Car,body text Car,bt Car,body tesx Car,Inicio Car"/>
    <w:basedOn w:val="Fuentedeprrafopredeter"/>
    <w:link w:val="Textoindependiente"/>
    <w:rsid w:val="004F5C40"/>
    <w:rPr>
      <w:rFonts w:ascii="Arial" w:eastAsia="Times New Roman" w:hAnsi="Arial" w:cs="Times New Roman"/>
      <w:sz w:val="23"/>
      <w:szCs w:val="23"/>
      <w:lang w:val="x-none" w:eastAsia="x-none"/>
    </w:rPr>
  </w:style>
  <w:style w:type="paragraph" w:customStyle="1" w:styleId="297">
    <w:name w:val="297"/>
    <w:basedOn w:val="Normal"/>
    <w:rsid w:val="005519A0"/>
    <w:pPr>
      <w:widowControl w:val="0"/>
      <w:autoSpaceDE w:val="0"/>
      <w:autoSpaceDN w:val="0"/>
      <w:adjustRightInd w:val="0"/>
      <w:spacing w:after="0" w:line="240" w:lineRule="auto"/>
    </w:pPr>
    <w:rPr>
      <w:rFonts w:ascii="Arial" w:eastAsia="Times New Roman" w:hAnsi="Arial" w:cs="Arial"/>
      <w:b/>
      <w:bCs/>
      <w:i/>
      <w:iCs/>
      <w:sz w:val="24"/>
      <w:szCs w:val="24"/>
      <w:lang w:val="es-ES" w:eastAsia="es-ES"/>
    </w:rPr>
  </w:style>
  <w:style w:type="paragraph" w:customStyle="1" w:styleId="296">
    <w:name w:val="296"/>
    <w:basedOn w:val="Normal"/>
    <w:rsid w:val="005519A0"/>
    <w:pPr>
      <w:widowControl w:val="0"/>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customStyle="1" w:styleId="299">
    <w:name w:val="299"/>
    <w:basedOn w:val="Normal"/>
    <w:rsid w:val="005519A0"/>
    <w:pPr>
      <w:keepLines/>
      <w:widowControl w:val="0"/>
      <w:autoSpaceDE w:val="0"/>
      <w:autoSpaceDN w:val="0"/>
      <w:adjustRightInd w:val="0"/>
      <w:spacing w:after="0" w:line="240" w:lineRule="auto"/>
      <w:jc w:val="both"/>
    </w:pPr>
    <w:rPr>
      <w:rFonts w:ascii="Arial" w:eastAsia="Times New Roman" w:hAnsi="Arial" w:cs="Arial"/>
      <w:sz w:val="24"/>
      <w:szCs w:val="24"/>
      <w:lang w:val="es-ES" w:eastAsia="es-ES"/>
    </w:rPr>
  </w:style>
  <w:style w:type="paragraph" w:customStyle="1" w:styleId="Textopredeterminado">
    <w:name w:val="Texto predeterminado"/>
    <w:basedOn w:val="Normal"/>
    <w:rsid w:val="00CD6E34"/>
    <w:pPr>
      <w:autoSpaceDE w:val="0"/>
      <w:autoSpaceDN w:val="0"/>
      <w:adjustRightInd w:val="0"/>
      <w:spacing w:after="0" w:line="240" w:lineRule="auto"/>
    </w:pPr>
    <w:rPr>
      <w:rFonts w:ascii="Times New Roman" w:eastAsia="Times New Roman" w:hAnsi="Times New Roman" w:cs="Times New Roman"/>
      <w:sz w:val="24"/>
      <w:szCs w:val="20"/>
      <w:lang w:val="en-US" w:eastAsia="es-ES"/>
    </w:rPr>
  </w:style>
  <w:style w:type="paragraph" w:styleId="Textoindependiente2">
    <w:name w:val="Body Text 2"/>
    <w:basedOn w:val="Normal"/>
    <w:link w:val="Textoindependiente2Car"/>
    <w:rsid w:val="00CD6E34"/>
    <w:pPr>
      <w:spacing w:after="120" w:line="480" w:lineRule="auto"/>
    </w:pPr>
    <w:rPr>
      <w:rFonts w:ascii="Times New Roman" w:eastAsia="Times New Roman" w:hAnsi="Times New Roman" w:cs="Times New Roman"/>
      <w:sz w:val="24"/>
      <w:szCs w:val="24"/>
      <w:lang w:val="x-none" w:eastAsia="x-none"/>
    </w:rPr>
  </w:style>
  <w:style w:type="character" w:customStyle="1" w:styleId="Textoindependiente2Car">
    <w:name w:val="Texto independiente 2 Car"/>
    <w:basedOn w:val="Fuentedeprrafopredeter"/>
    <w:link w:val="Textoindependiente2"/>
    <w:rsid w:val="00CD6E34"/>
    <w:rPr>
      <w:rFonts w:ascii="Times New Roman" w:eastAsia="Times New Roman" w:hAnsi="Times New Roman" w:cs="Times New Roman"/>
      <w:sz w:val="24"/>
      <w:szCs w:val="24"/>
      <w:lang w:val="x-none" w:eastAsia="x-none"/>
    </w:rPr>
  </w:style>
  <w:style w:type="paragraph" w:customStyle="1" w:styleId="320">
    <w:name w:val="320"/>
    <w:basedOn w:val="Normal"/>
    <w:rsid w:val="00CD6E34"/>
    <w:pPr>
      <w:widowControl w:val="0"/>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BA3A34"/>
    <w:pPr>
      <w:ind w:left="720"/>
      <w:contextualSpacing/>
    </w:pPr>
  </w:style>
  <w:style w:type="paragraph" w:styleId="Textodeglobo">
    <w:name w:val="Balloon Text"/>
    <w:basedOn w:val="Normal"/>
    <w:link w:val="TextodegloboCar"/>
    <w:uiPriority w:val="99"/>
    <w:semiHidden/>
    <w:unhideWhenUsed/>
    <w:rsid w:val="0041034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10349"/>
    <w:rPr>
      <w:rFonts w:ascii="Segoe UI" w:hAnsi="Segoe UI" w:cs="Segoe UI"/>
      <w:sz w:val="18"/>
      <w:szCs w:val="18"/>
    </w:rPr>
  </w:style>
  <w:style w:type="paragraph" w:customStyle="1" w:styleId="Carta">
    <w:name w:val="Carta"/>
    <w:uiPriority w:val="99"/>
    <w:rsid w:val="00DF1819"/>
    <w:pPr>
      <w:suppressAutoHyphens/>
      <w:spacing w:after="0" w:line="240" w:lineRule="auto"/>
      <w:jc w:val="both"/>
    </w:pPr>
    <w:rPr>
      <w:rFonts w:ascii="Times New Roman" w:eastAsia="Times New Roman" w:hAnsi="Times New Roman" w:cs="Times New Roman"/>
      <w:sz w:val="24"/>
      <w:szCs w:val="20"/>
      <w:lang w:val="es-ES_tradnl" w:eastAsia="es-ES"/>
    </w:rPr>
  </w:style>
  <w:style w:type="paragraph" w:styleId="Textonotapie">
    <w:name w:val="footnote text"/>
    <w:aliases w:val="Texto tablas,texto de nota al pie,Footnote Text Char Char Char Char Char,Footnote Text Cha,Footnote Text Char Char Char Char,Footnote reference,FA Fu,Footnote Text Char Char Char,FA Fußnotentext,FA Fuﬂnotentext,Footnote Text Char Char,Car"/>
    <w:basedOn w:val="Normal"/>
    <w:link w:val="TextonotapieCar"/>
    <w:uiPriority w:val="99"/>
    <w:unhideWhenUsed/>
    <w:rsid w:val="00027581"/>
    <w:pPr>
      <w:spacing w:after="0" w:line="240" w:lineRule="auto"/>
      <w:ind w:left="284" w:hanging="284"/>
      <w:jc w:val="both"/>
    </w:pPr>
    <w:rPr>
      <w:rFonts w:ascii="Arial" w:hAnsi="Arial" w:cs="Arial"/>
      <w:sz w:val="20"/>
      <w:szCs w:val="20"/>
      <w:lang w:eastAsia="es-CO"/>
    </w:rPr>
  </w:style>
  <w:style w:type="character" w:customStyle="1" w:styleId="TextonotapieCar">
    <w:name w:val="Texto nota pie Car"/>
    <w:aliases w:val="Texto tablas Car1,texto de nota al pie Car1,Footnote Text Char Char Char Char Char Car1,Footnote Text Cha Car1,Footnote Text Char Char Char Char Car,Footnote reference Car,FA Fu Car1,Footnote Text Char Char Char Car,Car Car1"/>
    <w:basedOn w:val="Fuentedeprrafopredeter"/>
    <w:link w:val="Textonotapie"/>
    <w:uiPriority w:val="99"/>
    <w:rsid w:val="00027581"/>
    <w:rPr>
      <w:rFonts w:ascii="Arial" w:hAnsi="Arial" w:cs="Arial"/>
      <w:sz w:val="20"/>
      <w:szCs w:val="20"/>
      <w:lang w:eastAsia="es-CO"/>
    </w:rPr>
  </w:style>
  <w:style w:type="character" w:styleId="Refdenotaalpie">
    <w:name w:val="footnote reference"/>
    <w:aliases w:val="Texto de nota al pie,referencia nota al pie,Texto tablas Car,texto de nota al pie Car,Texto nota al pie,Appel note de bas de page,Footnote Text Char Char Char Char Char Car,Footnote Text Cha Car,FA Fu Car,Car Car"/>
    <w:basedOn w:val="Fuentedeprrafopredeter"/>
    <w:uiPriority w:val="99"/>
    <w:unhideWhenUsed/>
    <w:rsid w:val="00027581"/>
    <w:rPr>
      <w:vertAlign w:val="superscript"/>
    </w:rPr>
  </w:style>
  <w:style w:type="character" w:customStyle="1" w:styleId="Ttulo4Car">
    <w:name w:val="Título 4 Car"/>
    <w:basedOn w:val="Fuentedeprrafopredeter"/>
    <w:link w:val="Ttulo4"/>
    <w:uiPriority w:val="9"/>
    <w:rsid w:val="003913C7"/>
    <w:rPr>
      <w:rFonts w:asciiTheme="majorHAnsi" w:eastAsiaTheme="majorEastAsia" w:hAnsiTheme="majorHAnsi" w:cstheme="majorBidi"/>
      <w:i/>
      <w:iCs/>
      <w:color w:val="2E74B5" w:themeColor="accent1" w:themeShade="BF"/>
    </w:rPr>
  </w:style>
  <w:style w:type="paragraph" w:customStyle="1" w:styleId="top">
    <w:name w:val="top"/>
    <w:basedOn w:val="Normal"/>
    <w:rsid w:val="003913C7"/>
    <w:pPr>
      <w:spacing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59"/>
    <w:rsid w:val="00391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8617ED"/>
  </w:style>
  <w:style w:type="character" w:styleId="Textoennegrita">
    <w:name w:val="Strong"/>
    <w:basedOn w:val="Fuentedeprrafopredeter"/>
    <w:uiPriority w:val="22"/>
    <w:qFormat/>
    <w:rsid w:val="008617ED"/>
    <w:rPr>
      <w:b/>
      <w:bCs/>
    </w:rPr>
  </w:style>
  <w:style w:type="character" w:customStyle="1" w:styleId="CharacterStyle3">
    <w:name w:val="Character Style 3"/>
    <w:uiPriority w:val="99"/>
    <w:rsid w:val="004C5432"/>
    <w:rPr>
      <w:rFonts w:ascii="Arial" w:hAnsi="Arial" w:cs="Arial"/>
      <w:sz w:val="24"/>
      <w:szCs w:val="24"/>
    </w:rPr>
  </w:style>
  <w:style w:type="paragraph" w:customStyle="1" w:styleId="Style6">
    <w:name w:val="Style 6"/>
    <w:basedOn w:val="Normal"/>
    <w:uiPriority w:val="99"/>
    <w:rsid w:val="004C5432"/>
    <w:pPr>
      <w:widowControl w:val="0"/>
      <w:autoSpaceDE w:val="0"/>
      <w:autoSpaceDN w:val="0"/>
      <w:spacing w:after="0" w:line="240" w:lineRule="auto"/>
      <w:ind w:left="432"/>
      <w:jc w:val="both"/>
    </w:pPr>
    <w:rPr>
      <w:rFonts w:ascii="Arial" w:eastAsia="Times New Roman" w:hAnsi="Arial" w:cs="Arial"/>
      <w:sz w:val="24"/>
      <w:szCs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68630">
      <w:bodyDiv w:val="1"/>
      <w:marLeft w:val="0"/>
      <w:marRight w:val="0"/>
      <w:marTop w:val="0"/>
      <w:marBottom w:val="0"/>
      <w:divBdr>
        <w:top w:val="none" w:sz="0" w:space="0" w:color="auto"/>
        <w:left w:val="none" w:sz="0" w:space="0" w:color="auto"/>
        <w:bottom w:val="none" w:sz="0" w:space="0" w:color="auto"/>
        <w:right w:val="none" w:sz="0" w:space="0" w:color="auto"/>
      </w:divBdr>
    </w:div>
    <w:div w:id="365175573">
      <w:bodyDiv w:val="1"/>
      <w:marLeft w:val="0"/>
      <w:marRight w:val="0"/>
      <w:marTop w:val="0"/>
      <w:marBottom w:val="0"/>
      <w:divBdr>
        <w:top w:val="none" w:sz="0" w:space="0" w:color="auto"/>
        <w:left w:val="none" w:sz="0" w:space="0" w:color="auto"/>
        <w:bottom w:val="none" w:sz="0" w:space="0" w:color="auto"/>
        <w:right w:val="none" w:sz="0" w:space="0" w:color="auto"/>
      </w:divBdr>
    </w:div>
    <w:div w:id="575822196">
      <w:bodyDiv w:val="1"/>
      <w:marLeft w:val="0"/>
      <w:marRight w:val="0"/>
      <w:marTop w:val="0"/>
      <w:marBottom w:val="0"/>
      <w:divBdr>
        <w:top w:val="none" w:sz="0" w:space="0" w:color="auto"/>
        <w:left w:val="none" w:sz="0" w:space="0" w:color="auto"/>
        <w:bottom w:val="none" w:sz="0" w:space="0" w:color="auto"/>
        <w:right w:val="none" w:sz="0" w:space="0" w:color="auto"/>
      </w:divBdr>
    </w:div>
    <w:div w:id="675618945">
      <w:bodyDiv w:val="1"/>
      <w:marLeft w:val="0"/>
      <w:marRight w:val="0"/>
      <w:marTop w:val="0"/>
      <w:marBottom w:val="0"/>
      <w:divBdr>
        <w:top w:val="none" w:sz="0" w:space="0" w:color="auto"/>
        <w:left w:val="none" w:sz="0" w:space="0" w:color="auto"/>
        <w:bottom w:val="none" w:sz="0" w:space="0" w:color="auto"/>
        <w:right w:val="none" w:sz="0" w:space="0" w:color="auto"/>
      </w:divBdr>
    </w:div>
    <w:div w:id="860051208">
      <w:bodyDiv w:val="1"/>
      <w:marLeft w:val="0"/>
      <w:marRight w:val="0"/>
      <w:marTop w:val="0"/>
      <w:marBottom w:val="0"/>
      <w:divBdr>
        <w:top w:val="none" w:sz="0" w:space="0" w:color="auto"/>
        <w:left w:val="none" w:sz="0" w:space="0" w:color="auto"/>
        <w:bottom w:val="none" w:sz="0" w:space="0" w:color="auto"/>
        <w:right w:val="none" w:sz="0" w:space="0" w:color="auto"/>
      </w:divBdr>
    </w:div>
    <w:div w:id="1228221787">
      <w:bodyDiv w:val="1"/>
      <w:marLeft w:val="0"/>
      <w:marRight w:val="0"/>
      <w:marTop w:val="0"/>
      <w:marBottom w:val="0"/>
      <w:divBdr>
        <w:top w:val="none" w:sz="0" w:space="0" w:color="auto"/>
        <w:left w:val="none" w:sz="0" w:space="0" w:color="auto"/>
        <w:bottom w:val="none" w:sz="0" w:space="0" w:color="auto"/>
        <w:right w:val="none" w:sz="0" w:space="0" w:color="auto"/>
      </w:divBdr>
    </w:div>
    <w:div w:id="1233080249">
      <w:bodyDiv w:val="1"/>
      <w:marLeft w:val="0"/>
      <w:marRight w:val="0"/>
      <w:marTop w:val="0"/>
      <w:marBottom w:val="0"/>
      <w:divBdr>
        <w:top w:val="none" w:sz="0" w:space="0" w:color="auto"/>
        <w:left w:val="none" w:sz="0" w:space="0" w:color="auto"/>
        <w:bottom w:val="none" w:sz="0" w:space="0" w:color="auto"/>
        <w:right w:val="none" w:sz="0" w:space="0" w:color="auto"/>
      </w:divBdr>
    </w:div>
    <w:div w:id="1884907325">
      <w:bodyDiv w:val="1"/>
      <w:marLeft w:val="0"/>
      <w:marRight w:val="0"/>
      <w:marTop w:val="0"/>
      <w:marBottom w:val="0"/>
      <w:divBdr>
        <w:top w:val="none" w:sz="0" w:space="0" w:color="auto"/>
        <w:left w:val="none" w:sz="0" w:space="0" w:color="auto"/>
        <w:bottom w:val="none" w:sz="0" w:space="0" w:color="auto"/>
        <w:right w:val="none" w:sz="0" w:space="0" w:color="auto"/>
      </w:divBdr>
    </w:div>
    <w:div w:id="1958365281">
      <w:bodyDiv w:val="1"/>
      <w:marLeft w:val="0"/>
      <w:marRight w:val="0"/>
      <w:marTop w:val="0"/>
      <w:marBottom w:val="0"/>
      <w:divBdr>
        <w:top w:val="none" w:sz="0" w:space="0" w:color="auto"/>
        <w:left w:val="none" w:sz="0" w:space="0" w:color="auto"/>
        <w:bottom w:val="none" w:sz="0" w:space="0" w:color="auto"/>
        <w:right w:val="none" w:sz="0" w:space="0" w:color="auto"/>
      </w:divBdr>
    </w:div>
    <w:div w:id="19689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image" Target="media/image5.emf"/><Relationship Id="rId26" Type="http://schemas.openxmlformats.org/officeDocument/2006/relationships/image" Target="media/image14.emf"/><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image" Target="media/image4.emf"/><Relationship Id="rId25" Type="http://schemas.openxmlformats.org/officeDocument/2006/relationships/image" Target="media/image13.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2.png"/><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hyperlink" Target="mailto:cgr@contraloria.gov.co" TargetMode="External"/><Relationship Id="rId14" Type="http://schemas.openxmlformats.org/officeDocument/2006/relationships/chart" Target="charts/chart3.xml"/><Relationship Id="rId22" Type="http://schemas.openxmlformats.org/officeDocument/2006/relationships/header" Target="header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ntraloria.gov.c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dane.gov.co" TargetMode="External"/><Relationship Id="rId1" Type="http://schemas.openxmlformats.org/officeDocument/2006/relationships/hyperlink" Target="http://www.senado.gov.co/az-legislativo/proyect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1.jpeg"/><Relationship Id="rId2" Type="http://schemas.openxmlformats.org/officeDocument/2006/relationships/image" Target="media/image10.jpeg"/><Relationship Id="rId1" Type="http://schemas.openxmlformats.org/officeDocument/2006/relationships/image" Target="media/image9.jpeg"/></Relationships>
</file>

<file path=word/charts/_rels/chart1.xml.rels><?xml version="1.0" encoding="UTF-8" standalone="yes"?>
<Relationships xmlns="http://schemas.openxmlformats.org/package/2006/relationships"><Relationship Id="rId2" Type="http://schemas.openxmlformats.org/officeDocument/2006/relationships/oleObject" Target="file:///C:\Users\ljbacca\Desktop\Copia%20de%20indicadores%20gestion%20rama%20judicial%202010-2013%20(31%20Marzo).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ljbacca\Desktop\Copia%20de%20indicadores%20gestion%20rama%20judicial%202010-2013%20(31%20Marzo).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ljbacca\Desktop\Copia%20de%20indicadores%20gestion%20rama%20judicial%202010-2013%20(31%20Marzo).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ljbacca\Desktop\Copia%20de%20indicadores%20gestion%20rama%20judicial%202010-2013%20(31%20Marzo).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523143934289245"/>
          <c:y val="3.2233141240923954E-2"/>
          <c:w val="0.74679582716944537"/>
          <c:h val="0.72355049190677057"/>
        </c:manualLayout>
      </c:layout>
      <c:lineChart>
        <c:grouping val="standard"/>
        <c:varyColors val="0"/>
        <c:ser>
          <c:idx val="0"/>
          <c:order val="0"/>
          <c:tx>
            <c:strRef>
              <c:f>'Graficas Espec'!$A$30</c:f>
              <c:strCache>
                <c:ptCount val="1"/>
                <c:pt idx="0">
                  <c:v>Admin.</c:v>
                </c:pt>
              </c:strCache>
            </c:strRef>
          </c:tx>
          <c:spPr>
            <a:ln w="28575" cap="rnd">
              <a:solidFill>
                <a:schemeClr val="accent1"/>
              </a:solidFill>
              <a:round/>
            </a:ln>
            <a:effectLst/>
          </c:spPr>
          <c:marker>
            <c:symbol val="x"/>
            <c:size val="7"/>
            <c:spPr>
              <a:noFill/>
              <a:ln w="9525">
                <a:solidFill>
                  <a:schemeClr val="accent1"/>
                </a:solidFill>
              </a:ln>
              <a:effectLst/>
            </c:spPr>
          </c:marker>
          <c:cat>
            <c:numRef>
              <c:f>'Graficas Espec'!$B$29:$E$29</c:f>
              <c:numCache>
                <c:formatCode>General</c:formatCode>
                <c:ptCount val="4"/>
                <c:pt idx="0">
                  <c:v>2010</c:v>
                </c:pt>
                <c:pt idx="1">
                  <c:v>2011</c:v>
                </c:pt>
                <c:pt idx="2">
                  <c:v>2012</c:v>
                </c:pt>
                <c:pt idx="3">
                  <c:v>2013</c:v>
                </c:pt>
              </c:numCache>
            </c:numRef>
          </c:cat>
          <c:val>
            <c:numRef>
              <c:f>'Graficas Espec'!$B$30:$E$30</c:f>
              <c:numCache>
                <c:formatCode>#,##0</c:formatCode>
                <c:ptCount val="4"/>
                <c:pt idx="0">
                  <c:v>1010.1850220264317</c:v>
                </c:pt>
                <c:pt idx="1">
                  <c:v>876.07500000000005</c:v>
                </c:pt>
                <c:pt idx="2">
                  <c:v>866.43181818181813</c:v>
                </c:pt>
                <c:pt idx="3">
                  <c:v>741.62215477996961</c:v>
                </c:pt>
              </c:numCache>
            </c:numRef>
          </c:val>
          <c:smooth val="0"/>
        </c:ser>
        <c:ser>
          <c:idx val="1"/>
          <c:order val="1"/>
          <c:tx>
            <c:strRef>
              <c:f>'Graficas Espec'!$A$31</c:f>
              <c:strCache>
                <c:ptCount val="1"/>
                <c:pt idx="0">
                  <c:v>Civil</c:v>
                </c:pt>
              </c:strCache>
            </c:strRef>
          </c:tx>
          <c:spPr>
            <a:ln w="28575" cap="rnd">
              <a:solidFill>
                <a:schemeClr val="accent2"/>
              </a:solidFill>
              <a:round/>
            </a:ln>
            <a:effectLst/>
          </c:spPr>
          <c:marker>
            <c:symbol val="triangle"/>
            <c:size val="7"/>
            <c:spPr>
              <a:solidFill>
                <a:schemeClr val="accent2"/>
              </a:solidFill>
              <a:ln w="9525">
                <a:solidFill>
                  <a:schemeClr val="accent2"/>
                </a:solidFill>
              </a:ln>
              <a:effectLst/>
            </c:spPr>
          </c:marker>
          <c:cat>
            <c:numRef>
              <c:f>'Graficas Espec'!$B$29:$E$29</c:f>
              <c:numCache>
                <c:formatCode>General</c:formatCode>
                <c:ptCount val="4"/>
                <c:pt idx="0">
                  <c:v>2010</c:v>
                </c:pt>
                <c:pt idx="1">
                  <c:v>2011</c:v>
                </c:pt>
                <c:pt idx="2">
                  <c:v>2012</c:v>
                </c:pt>
                <c:pt idx="3">
                  <c:v>2013</c:v>
                </c:pt>
              </c:numCache>
            </c:numRef>
          </c:cat>
          <c:val>
            <c:numRef>
              <c:f>'Graficas Espec'!$B$31:$E$31</c:f>
              <c:numCache>
                <c:formatCode>#,##0</c:formatCode>
                <c:ptCount val="4"/>
                <c:pt idx="0">
                  <c:v>2622.5648148148148</c:v>
                </c:pt>
                <c:pt idx="1">
                  <c:v>1922.015332197615</c:v>
                </c:pt>
                <c:pt idx="2">
                  <c:v>1768.6436041834272</c:v>
                </c:pt>
                <c:pt idx="3">
                  <c:v>1598.3817891373801</c:v>
                </c:pt>
              </c:numCache>
            </c:numRef>
          </c:val>
          <c:smooth val="0"/>
        </c:ser>
        <c:ser>
          <c:idx val="2"/>
          <c:order val="2"/>
          <c:tx>
            <c:strRef>
              <c:f>'Graficas Espec'!$A$32</c:f>
              <c:strCache>
                <c:ptCount val="1"/>
                <c:pt idx="0">
                  <c:v>Disc.</c:v>
                </c:pt>
              </c:strCache>
            </c:strRef>
          </c:tx>
          <c:spPr>
            <a:ln w="28575" cap="rnd">
              <a:solidFill>
                <a:schemeClr val="accent3"/>
              </a:solidFill>
              <a:round/>
            </a:ln>
            <a:effectLst/>
          </c:spPr>
          <c:marker>
            <c:symbol val="star"/>
            <c:size val="7"/>
            <c:spPr>
              <a:noFill/>
              <a:ln w="9525">
                <a:solidFill>
                  <a:schemeClr val="accent3"/>
                </a:solidFill>
              </a:ln>
              <a:effectLst/>
            </c:spPr>
          </c:marker>
          <c:cat>
            <c:numRef>
              <c:f>'Graficas Espec'!$B$29:$E$29</c:f>
              <c:numCache>
                <c:formatCode>General</c:formatCode>
                <c:ptCount val="4"/>
                <c:pt idx="0">
                  <c:v>2010</c:v>
                </c:pt>
                <c:pt idx="1">
                  <c:v>2011</c:v>
                </c:pt>
                <c:pt idx="2">
                  <c:v>2012</c:v>
                </c:pt>
                <c:pt idx="3">
                  <c:v>2013</c:v>
                </c:pt>
              </c:numCache>
            </c:numRef>
          </c:cat>
          <c:val>
            <c:numRef>
              <c:f>'Graficas Espec'!$B$32:$E$32</c:f>
              <c:numCache>
                <c:formatCode>#,##0</c:formatCode>
                <c:ptCount val="4"/>
                <c:pt idx="0">
                  <c:v>1028.0579710144928</c:v>
                </c:pt>
                <c:pt idx="1">
                  <c:v>1165.9848484848485</c:v>
                </c:pt>
                <c:pt idx="2">
                  <c:v>947.40740740740739</c:v>
                </c:pt>
                <c:pt idx="3">
                  <c:v>1084.3456790123457</c:v>
                </c:pt>
              </c:numCache>
            </c:numRef>
          </c:val>
          <c:smooth val="0"/>
        </c:ser>
        <c:ser>
          <c:idx val="3"/>
          <c:order val="3"/>
          <c:tx>
            <c:strRef>
              <c:f>'Graficas Espec'!$A$33</c:f>
              <c:strCache>
                <c:ptCount val="1"/>
                <c:pt idx="0">
                  <c:v>Familia</c:v>
                </c:pt>
              </c:strCache>
            </c:strRef>
          </c:tx>
          <c:spPr>
            <a:ln w="28575" cap="rnd">
              <a:solidFill>
                <a:schemeClr val="accent4"/>
              </a:solidFill>
              <a:round/>
            </a:ln>
            <a:effectLst/>
          </c:spPr>
          <c:marker>
            <c:symbol val="plus"/>
            <c:size val="7"/>
            <c:spPr>
              <a:noFill/>
              <a:ln w="9525">
                <a:solidFill>
                  <a:schemeClr val="accent4"/>
                </a:solidFill>
              </a:ln>
              <a:effectLst/>
            </c:spPr>
          </c:marker>
          <c:cat>
            <c:numRef>
              <c:f>'Graficas Espec'!$B$29:$E$29</c:f>
              <c:numCache>
                <c:formatCode>General</c:formatCode>
                <c:ptCount val="4"/>
                <c:pt idx="0">
                  <c:v>2010</c:v>
                </c:pt>
                <c:pt idx="1">
                  <c:v>2011</c:v>
                </c:pt>
                <c:pt idx="2">
                  <c:v>2012</c:v>
                </c:pt>
                <c:pt idx="3">
                  <c:v>2013</c:v>
                </c:pt>
              </c:numCache>
            </c:numRef>
          </c:cat>
          <c:val>
            <c:numRef>
              <c:f>'Graficas Espec'!$B$33:$E$33</c:f>
              <c:numCache>
                <c:formatCode>#,##0</c:formatCode>
                <c:ptCount val="4"/>
                <c:pt idx="0">
                  <c:v>920.05472636815921</c:v>
                </c:pt>
                <c:pt idx="1">
                  <c:v>811.36635944700458</c:v>
                </c:pt>
                <c:pt idx="2">
                  <c:v>757.31662870159448</c:v>
                </c:pt>
                <c:pt idx="3">
                  <c:v>795.08486238532112</c:v>
                </c:pt>
              </c:numCache>
            </c:numRef>
          </c:val>
          <c:smooth val="0"/>
        </c:ser>
        <c:ser>
          <c:idx val="4"/>
          <c:order val="4"/>
          <c:tx>
            <c:strRef>
              <c:f>'Graficas Espec'!$A$34</c:f>
              <c:strCache>
                <c:ptCount val="1"/>
                <c:pt idx="0">
                  <c:v>Laboral</c:v>
                </c:pt>
              </c:strCache>
            </c:strRef>
          </c:tx>
          <c:spPr>
            <a:ln w="28575" cap="rnd">
              <a:solidFill>
                <a:schemeClr val="accent5"/>
              </a:solidFill>
              <a:round/>
            </a:ln>
            <a:effectLst/>
          </c:spPr>
          <c:marker>
            <c:symbol val="circle"/>
            <c:size val="7"/>
            <c:spPr>
              <a:solidFill>
                <a:schemeClr val="accent5"/>
              </a:solidFill>
              <a:ln w="9525">
                <a:solidFill>
                  <a:schemeClr val="accent5"/>
                </a:solidFill>
              </a:ln>
              <a:effectLst/>
            </c:spPr>
          </c:marker>
          <c:cat>
            <c:numRef>
              <c:f>'Graficas Espec'!$B$29:$E$29</c:f>
              <c:numCache>
                <c:formatCode>General</c:formatCode>
                <c:ptCount val="4"/>
                <c:pt idx="0">
                  <c:v>2010</c:v>
                </c:pt>
                <c:pt idx="1">
                  <c:v>2011</c:v>
                </c:pt>
                <c:pt idx="2">
                  <c:v>2012</c:v>
                </c:pt>
                <c:pt idx="3">
                  <c:v>2013</c:v>
                </c:pt>
              </c:numCache>
            </c:numRef>
          </c:cat>
          <c:val>
            <c:numRef>
              <c:f>'Graficas Espec'!$B$34:$E$34</c:f>
              <c:numCache>
                <c:formatCode>#,##0</c:formatCode>
                <c:ptCount val="4"/>
                <c:pt idx="0">
                  <c:v>972.23413566739612</c:v>
                </c:pt>
                <c:pt idx="1">
                  <c:v>805.0257648953301</c:v>
                </c:pt>
                <c:pt idx="2">
                  <c:v>887.84482758620686</c:v>
                </c:pt>
                <c:pt idx="3">
                  <c:v>816.80034129692831</c:v>
                </c:pt>
              </c:numCache>
            </c:numRef>
          </c:val>
          <c:smooth val="0"/>
        </c:ser>
        <c:ser>
          <c:idx val="5"/>
          <c:order val="5"/>
          <c:tx>
            <c:strRef>
              <c:f>'Graficas Espec'!$A$35</c:f>
              <c:strCache>
                <c:ptCount val="1"/>
                <c:pt idx="0">
                  <c:v>Penal</c:v>
                </c:pt>
              </c:strCache>
            </c:strRef>
          </c:tx>
          <c:spPr>
            <a:ln w="28575" cap="rnd">
              <a:solidFill>
                <a:schemeClr val="accent6"/>
              </a:solidFill>
              <a:round/>
            </a:ln>
            <a:effectLst/>
          </c:spPr>
          <c:marker>
            <c:symbol val="square"/>
            <c:size val="7"/>
            <c:spPr>
              <a:solidFill>
                <a:schemeClr val="accent6"/>
              </a:solidFill>
              <a:ln w="9525">
                <a:solidFill>
                  <a:schemeClr val="accent6"/>
                </a:solidFill>
              </a:ln>
              <a:effectLst/>
            </c:spPr>
          </c:marker>
          <c:cat>
            <c:numRef>
              <c:f>'Graficas Espec'!$B$29:$E$29</c:f>
              <c:numCache>
                <c:formatCode>General</c:formatCode>
                <c:ptCount val="4"/>
                <c:pt idx="0">
                  <c:v>2010</c:v>
                </c:pt>
                <c:pt idx="1">
                  <c:v>2011</c:v>
                </c:pt>
                <c:pt idx="2">
                  <c:v>2012</c:v>
                </c:pt>
                <c:pt idx="3">
                  <c:v>2013</c:v>
                </c:pt>
              </c:numCache>
            </c:numRef>
          </c:cat>
          <c:val>
            <c:numRef>
              <c:f>'Graficas Espec'!$B$35:$E$35</c:f>
              <c:numCache>
                <c:formatCode>#,##0</c:formatCode>
                <c:ptCount val="4"/>
                <c:pt idx="0">
                  <c:v>761.39610389610391</c:v>
                </c:pt>
                <c:pt idx="1">
                  <c:v>757.77112232030265</c:v>
                </c:pt>
                <c:pt idx="2">
                  <c:v>754.61628624305979</c:v>
                </c:pt>
                <c:pt idx="3">
                  <c:v>847.2694763729246</c:v>
                </c:pt>
              </c:numCache>
            </c:numRef>
          </c:val>
          <c:smooth val="0"/>
        </c:ser>
        <c:ser>
          <c:idx val="6"/>
          <c:order val="6"/>
          <c:tx>
            <c:strRef>
              <c:f>'Graficas Espec'!$A$36</c:f>
              <c:strCache>
                <c:ptCount val="1"/>
                <c:pt idx="0">
                  <c:v>Promisc.</c:v>
                </c:pt>
              </c:strCache>
            </c:strRef>
          </c:tx>
          <c:spPr>
            <a:ln w="28575" cap="rnd">
              <a:solidFill>
                <a:schemeClr val="accent1">
                  <a:lumMod val="60000"/>
                </a:schemeClr>
              </a:solidFill>
              <a:round/>
            </a:ln>
            <a:effectLst/>
          </c:spPr>
          <c:marker>
            <c:symbol val="diamond"/>
            <c:size val="7"/>
            <c:spPr>
              <a:solidFill>
                <a:schemeClr val="accent1">
                  <a:lumMod val="60000"/>
                </a:schemeClr>
              </a:solidFill>
              <a:ln w="9525">
                <a:solidFill>
                  <a:schemeClr val="accent1">
                    <a:lumMod val="60000"/>
                  </a:schemeClr>
                </a:solidFill>
              </a:ln>
              <a:effectLst/>
            </c:spPr>
          </c:marker>
          <c:cat>
            <c:numRef>
              <c:f>'Graficas Espec'!$B$29:$E$29</c:f>
              <c:numCache>
                <c:formatCode>General</c:formatCode>
                <c:ptCount val="4"/>
                <c:pt idx="0">
                  <c:v>2010</c:v>
                </c:pt>
                <c:pt idx="1">
                  <c:v>2011</c:v>
                </c:pt>
                <c:pt idx="2">
                  <c:v>2012</c:v>
                </c:pt>
                <c:pt idx="3">
                  <c:v>2013</c:v>
                </c:pt>
              </c:numCache>
            </c:numRef>
          </c:cat>
          <c:val>
            <c:numRef>
              <c:f>'Graficas Espec'!$B$36:$E$36</c:f>
              <c:numCache>
                <c:formatCode>#,##0</c:formatCode>
                <c:ptCount val="4"/>
                <c:pt idx="0">
                  <c:v>472.31497975708504</c:v>
                </c:pt>
                <c:pt idx="1">
                  <c:v>396.40431868950111</c:v>
                </c:pt>
                <c:pt idx="2">
                  <c:v>380.85653104925052</c:v>
                </c:pt>
                <c:pt idx="3">
                  <c:v>412.67596566523605</c:v>
                </c:pt>
              </c:numCache>
            </c:numRef>
          </c:val>
          <c:smooth val="0"/>
        </c:ser>
        <c:dLbls>
          <c:showLegendKey val="0"/>
          <c:showVal val="0"/>
          <c:showCatName val="0"/>
          <c:showSerName val="0"/>
          <c:showPercent val="0"/>
          <c:showBubbleSize val="0"/>
        </c:dLbls>
        <c:marker val="1"/>
        <c:smooth val="0"/>
        <c:axId val="36509184"/>
        <c:axId val="122975744"/>
      </c:lineChart>
      <c:catAx>
        <c:axId val="36509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s-CO"/>
          </a:p>
        </c:txPr>
        <c:crossAx val="122975744"/>
        <c:crosses val="autoZero"/>
        <c:auto val="1"/>
        <c:lblAlgn val="ctr"/>
        <c:lblOffset val="100"/>
        <c:noMultiLvlLbl val="0"/>
      </c:catAx>
      <c:valAx>
        <c:axId val="122975744"/>
        <c:scaling>
          <c:orientation val="minMax"/>
        </c:scaling>
        <c:delete val="0"/>
        <c:axPos val="l"/>
        <c:majorGridlines>
          <c:spPr>
            <a:ln w="3175" cap="flat" cmpd="sng" algn="ctr">
              <a:solidFill>
                <a:schemeClr val="tx1">
                  <a:lumMod val="50000"/>
                  <a:lumOff val="50000"/>
                </a:schemeClr>
              </a:solidFill>
              <a:round/>
            </a:ln>
            <a:effectLst/>
          </c:spPr>
        </c:majorGridlines>
        <c:numFmt formatCode="#,##0" sourceLinked="1"/>
        <c:majorTickMark val="none"/>
        <c:minorTickMark val="none"/>
        <c:tickLblPos val="nextTo"/>
        <c:spPr>
          <a:noFill/>
          <a:ln>
            <a:solidFill>
              <a:schemeClr val="tx1">
                <a:lumMod val="65000"/>
                <a:lumOff val="35000"/>
              </a:schemeClr>
            </a:solid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s-CO"/>
          </a:p>
        </c:txPr>
        <c:crossAx val="36509184"/>
        <c:crosses val="autoZero"/>
        <c:crossBetween val="between"/>
      </c:valAx>
      <c:spPr>
        <a:solidFill>
          <a:schemeClr val="bg1">
            <a:lumMod val="85000"/>
          </a:schemeClr>
        </a:solidFill>
        <a:ln>
          <a:noFill/>
        </a:ln>
        <a:effectLst/>
      </c:spPr>
    </c:plotArea>
    <c:legend>
      <c:legendPos val="b"/>
      <c:layout>
        <c:manualLayout>
          <c:xMode val="edge"/>
          <c:yMode val="edge"/>
          <c:x val="3.0105763566411432E-2"/>
          <c:y val="0.84889925237234376"/>
          <c:w val="0.94368680256229454"/>
          <c:h val="0.12521080142064706"/>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3175" cap="flat" cmpd="sng" algn="ctr">
      <a:solidFill>
        <a:schemeClr val="tx1">
          <a:lumMod val="50000"/>
          <a:lumOff val="50000"/>
        </a:schemeClr>
      </a:solidFill>
      <a:round/>
    </a:ln>
    <a:effectLst/>
  </c:spPr>
  <c:txPr>
    <a:bodyPr/>
    <a:lstStyle/>
    <a:p>
      <a:pPr>
        <a:defRPr sz="1100" b="1"/>
      </a:pPr>
      <a:endParaRPr lang="es-CO"/>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162581995597115"/>
          <c:y val="4.0784724313832357E-2"/>
          <c:w val="0.74679582716944537"/>
          <c:h val="0.72355049190677057"/>
        </c:manualLayout>
      </c:layout>
      <c:lineChart>
        <c:grouping val="standard"/>
        <c:varyColors val="0"/>
        <c:ser>
          <c:idx val="0"/>
          <c:order val="0"/>
          <c:tx>
            <c:strRef>
              <c:f>'Graficas Espec'!$A$51</c:f>
              <c:strCache>
                <c:ptCount val="1"/>
                <c:pt idx="0">
                  <c:v>Admin.</c:v>
                </c:pt>
              </c:strCache>
            </c:strRef>
          </c:tx>
          <c:spPr>
            <a:ln w="28575" cap="rnd">
              <a:solidFill>
                <a:schemeClr val="accent1"/>
              </a:solidFill>
              <a:round/>
            </a:ln>
            <a:effectLst/>
          </c:spPr>
          <c:marker>
            <c:symbol val="x"/>
            <c:size val="7"/>
            <c:spPr>
              <a:noFill/>
              <a:ln w="9525">
                <a:solidFill>
                  <a:schemeClr val="accent1"/>
                </a:solidFill>
              </a:ln>
              <a:effectLst/>
            </c:spPr>
          </c:marker>
          <c:cat>
            <c:numRef>
              <c:f>'Graficas Espec'!$B$50:$E$50</c:f>
              <c:numCache>
                <c:formatCode>General</c:formatCode>
                <c:ptCount val="4"/>
                <c:pt idx="0">
                  <c:v>2010</c:v>
                </c:pt>
                <c:pt idx="1">
                  <c:v>2011</c:v>
                </c:pt>
                <c:pt idx="2">
                  <c:v>2012</c:v>
                </c:pt>
                <c:pt idx="3">
                  <c:v>2013</c:v>
                </c:pt>
              </c:numCache>
            </c:numRef>
          </c:cat>
          <c:val>
            <c:numRef>
              <c:f>'Graficas Espec'!$B$51:$E$51</c:f>
              <c:numCache>
                <c:formatCode>#,##0</c:formatCode>
                <c:ptCount val="4"/>
                <c:pt idx="0">
                  <c:v>384.59911894273125</c:v>
                </c:pt>
                <c:pt idx="1">
                  <c:v>347.25666666666666</c:v>
                </c:pt>
                <c:pt idx="2">
                  <c:v>322.71212121212119</c:v>
                </c:pt>
                <c:pt idx="3">
                  <c:v>325</c:v>
                </c:pt>
              </c:numCache>
            </c:numRef>
          </c:val>
          <c:smooth val="0"/>
        </c:ser>
        <c:ser>
          <c:idx val="1"/>
          <c:order val="1"/>
          <c:tx>
            <c:strRef>
              <c:f>'Graficas Espec'!$A$52</c:f>
              <c:strCache>
                <c:ptCount val="1"/>
                <c:pt idx="0">
                  <c:v>Civil</c:v>
                </c:pt>
              </c:strCache>
            </c:strRef>
          </c:tx>
          <c:spPr>
            <a:ln w="28575" cap="rnd">
              <a:solidFill>
                <a:schemeClr val="accent2"/>
              </a:solidFill>
              <a:round/>
            </a:ln>
            <a:effectLst/>
          </c:spPr>
          <c:marker>
            <c:symbol val="triangle"/>
            <c:size val="7"/>
            <c:spPr>
              <a:solidFill>
                <a:schemeClr val="accent2"/>
              </a:solidFill>
              <a:ln w="9525">
                <a:solidFill>
                  <a:schemeClr val="accent2"/>
                </a:solidFill>
              </a:ln>
              <a:effectLst/>
            </c:spPr>
          </c:marker>
          <c:cat>
            <c:numRef>
              <c:f>'Graficas Espec'!$B$50:$E$50</c:f>
              <c:numCache>
                <c:formatCode>General</c:formatCode>
                <c:ptCount val="4"/>
                <c:pt idx="0">
                  <c:v>2010</c:v>
                </c:pt>
                <c:pt idx="1">
                  <c:v>2011</c:v>
                </c:pt>
                <c:pt idx="2">
                  <c:v>2012</c:v>
                </c:pt>
                <c:pt idx="3">
                  <c:v>2013</c:v>
                </c:pt>
              </c:numCache>
            </c:numRef>
          </c:cat>
          <c:val>
            <c:numRef>
              <c:f>'Graficas Espec'!$B$52:$E$52</c:f>
              <c:numCache>
                <c:formatCode>#,##0</c:formatCode>
                <c:ptCount val="4"/>
                <c:pt idx="0">
                  <c:v>838.51041666666663</c:v>
                </c:pt>
                <c:pt idx="1">
                  <c:v>598.36371379897787</c:v>
                </c:pt>
                <c:pt idx="2">
                  <c:v>641.57361222847953</c:v>
                </c:pt>
                <c:pt idx="3">
                  <c:v>690.74440894568693</c:v>
                </c:pt>
              </c:numCache>
            </c:numRef>
          </c:val>
          <c:smooth val="0"/>
        </c:ser>
        <c:ser>
          <c:idx val="2"/>
          <c:order val="2"/>
          <c:tx>
            <c:strRef>
              <c:f>'Graficas Espec'!$A$53</c:f>
              <c:strCache>
                <c:ptCount val="1"/>
                <c:pt idx="0">
                  <c:v>Disc.</c:v>
                </c:pt>
              </c:strCache>
            </c:strRef>
          </c:tx>
          <c:spPr>
            <a:ln w="28575" cap="rnd">
              <a:solidFill>
                <a:schemeClr val="accent3"/>
              </a:solidFill>
              <a:round/>
            </a:ln>
            <a:effectLst/>
          </c:spPr>
          <c:marker>
            <c:symbol val="star"/>
            <c:size val="7"/>
            <c:spPr>
              <a:noFill/>
              <a:ln w="9525">
                <a:solidFill>
                  <a:schemeClr val="accent3"/>
                </a:solidFill>
              </a:ln>
              <a:effectLst/>
            </c:spPr>
          </c:marker>
          <c:cat>
            <c:numRef>
              <c:f>'Graficas Espec'!$B$50:$E$50</c:f>
              <c:numCache>
                <c:formatCode>General</c:formatCode>
                <c:ptCount val="4"/>
                <c:pt idx="0">
                  <c:v>2010</c:v>
                </c:pt>
                <c:pt idx="1">
                  <c:v>2011</c:v>
                </c:pt>
                <c:pt idx="2">
                  <c:v>2012</c:v>
                </c:pt>
                <c:pt idx="3">
                  <c:v>2013</c:v>
                </c:pt>
              </c:numCache>
            </c:numRef>
          </c:cat>
          <c:val>
            <c:numRef>
              <c:f>'Graficas Espec'!$B$53:$E$53</c:f>
              <c:numCache>
                <c:formatCode>#,##0</c:formatCode>
                <c:ptCount val="4"/>
                <c:pt idx="0">
                  <c:v>462.91304347826087</c:v>
                </c:pt>
                <c:pt idx="1">
                  <c:v>584.62121212121212</c:v>
                </c:pt>
                <c:pt idx="2">
                  <c:v>392.82716049382714</c:v>
                </c:pt>
                <c:pt idx="3">
                  <c:v>506.24691358024694</c:v>
                </c:pt>
              </c:numCache>
            </c:numRef>
          </c:val>
          <c:smooth val="0"/>
        </c:ser>
        <c:ser>
          <c:idx val="3"/>
          <c:order val="3"/>
          <c:tx>
            <c:strRef>
              <c:f>'Graficas Espec'!$A$54</c:f>
              <c:strCache>
                <c:ptCount val="1"/>
                <c:pt idx="0">
                  <c:v>Familia</c:v>
                </c:pt>
              </c:strCache>
            </c:strRef>
          </c:tx>
          <c:spPr>
            <a:ln w="28575" cap="rnd">
              <a:solidFill>
                <a:schemeClr val="accent4"/>
              </a:solidFill>
              <a:round/>
            </a:ln>
            <a:effectLst/>
          </c:spPr>
          <c:marker>
            <c:symbol val="plus"/>
            <c:size val="7"/>
            <c:spPr>
              <a:noFill/>
              <a:ln w="9525">
                <a:solidFill>
                  <a:schemeClr val="accent4"/>
                </a:solidFill>
              </a:ln>
              <a:effectLst/>
            </c:spPr>
          </c:marker>
          <c:cat>
            <c:numRef>
              <c:f>'Graficas Espec'!$B$50:$E$50</c:f>
              <c:numCache>
                <c:formatCode>General</c:formatCode>
                <c:ptCount val="4"/>
                <c:pt idx="0">
                  <c:v>2010</c:v>
                </c:pt>
                <c:pt idx="1">
                  <c:v>2011</c:v>
                </c:pt>
                <c:pt idx="2">
                  <c:v>2012</c:v>
                </c:pt>
                <c:pt idx="3">
                  <c:v>2013</c:v>
                </c:pt>
              </c:numCache>
            </c:numRef>
          </c:cat>
          <c:val>
            <c:numRef>
              <c:f>'Graficas Espec'!$B$54:$E$54</c:f>
              <c:numCache>
                <c:formatCode>#,##0</c:formatCode>
                <c:ptCount val="4"/>
                <c:pt idx="0">
                  <c:v>414.1442786069652</c:v>
                </c:pt>
                <c:pt idx="1">
                  <c:v>369.10368663594471</c:v>
                </c:pt>
                <c:pt idx="2">
                  <c:v>341.92027334851934</c:v>
                </c:pt>
                <c:pt idx="3">
                  <c:v>391.81422018348621</c:v>
                </c:pt>
              </c:numCache>
            </c:numRef>
          </c:val>
          <c:smooth val="0"/>
        </c:ser>
        <c:ser>
          <c:idx val="4"/>
          <c:order val="4"/>
          <c:tx>
            <c:strRef>
              <c:f>'Graficas Espec'!$A$55</c:f>
              <c:strCache>
                <c:ptCount val="1"/>
                <c:pt idx="0">
                  <c:v>Laboral</c:v>
                </c:pt>
              </c:strCache>
            </c:strRef>
          </c:tx>
          <c:spPr>
            <a:ln w="28575" cap="rnd">
              <a:solidFill>
                <a:schemeClr val="accent5"/>
              </a:solidFill>
              <a:round/>
            </a:ln>
            <a:effectLst/>
          </c:spPr>
          <c:marker>
            <c:symbol val="circle"/>
            <c:size val="7"/>
            <c:spPr>
              <a:solidFill>
                <a:schemeClr val="accent5"/>
              </a:solidFill>
              <a:ln w="9525">
                <a:solidFill>
                  <a:schemeClr val="accent5"/>
                </a:solidFill>
              </a:ln>
              <a:effectLst/>
            </c:spPr>
          </c:marker>
          <c:cat>
            <c:numRef>
              <c:f>'Graficas Espec'!$B$50:$E$50</c:f>
              <c:numCache>
                <c:formatCode>General</c:formatCode>
                <c:ptCount val="4"/>
                <c:pt idx="0">
                  <c:v>2010</c:v>
                </c:pt>
                <c:pt idx="1">
                  <c:v>2011</c:v>
                </c:pt>
                <c:pt idx="2">
                  <c:v>2012</c:v>
                </c:pt>
                <c:pt idx="3">
                  <c:v>2013</c:v>
                </c:pt>
              </c:numCache>
            </c:numRef>
          </c:cat>
          <c:val>
            <c:numRef>
              <c:f>'Graficas Espec'!$B$55:$E$55</c:f>
              <c:numCache>
                <c:formatCode>#,##0</c:formatCode>
                <c:ptCount val="4"/>
                <c:pt idx="0">
                  <c:v>447.57768052516411</c:v>
                </c:pt>
                <c:pt idx="1">
                  <c:v>372.66505636070855</c:v>
                </c:pt>
                <c:pt idx="2">
                  <c:v>382.21724137931034</c:v>
                </c:pt>
                <c:pt idx="3">
                  <c:v>392.9470989761092</c:v>
                </c:pt>
              </c:numCache>
            </c:numRef>
          </c:val>
          <c:smooth val="0"/>
        </c:ser>
        <c:ser>
          <c:idx val="5"/>
          <c:order val="5"/>
          <c:tx>
            <c:strRef>
              <c:f>'Graficas Espec'!$A$56</c:f>
              <c:strCache>
                <c:ptCount val="1"/>
                <c:pt idx="0">
                  <c:v>Penal</c:v>
                </c:pt>
              </c:strCache>
            </c:strRef>
          </c:tx>
          <c:spPr>
            <a:ln w="28575" cap="rnd">
              <a:solidFill>
                <a:schemeClr val="accent6"/>
              </a:solidFill>
              <a:round/>
            </a:ln>
            <a:effectLst/>
          </c:spPr>
          <c:marker>
            <c:symbol val="square"/>
            <c:size val="7"/>
            <c:spPr>
              <a:solidFill>
                <a:schemeClr val="accent6"/>
              </a:solidFill>
              <a:ln w="9525">
                <a:solidFill>
                  <a:schemeClr val="accent6"/>
                </a:solidFill>
              </a:ln>
              <a:effectLst/>
            </c:spPr>
          </c:marker>
          <c:cat>
            <c:numRef>
              <c:f>'Graficas Espec'!$B$50:$E$50</c:f>
              <c:numCache>
                <c:formatCode>General</c:formatCode>
                <c:ptCount val="4"/>
                <c:pt idx="0">
                  <c:v>2010</c:v>
                </c:pt>
                <c:pt idx="1">
                  <c:v>2011</c:v>
                </c:pt>
                <c:pt idx="2">
                  <c:v>2012</c:v>
                </c:pt>
                <c:pt idx="3">
                  <c:v>2013</c:v>
                </c:pt>
              </c:numCache>
            </c:numRef>
          </c:cat>
          <c:val>
            <c:numRef>
              <c:f>'Graficas Espec'!$B$56:$E$56</c:f>
              <c:numCache>
                <c:formatCode>#,##0</c:formatCode>
                <c:ptCount val="4"/>
                <c:pt idx="0">
                  <c:v>449.04675324675327</c:v>
                </c:pt>
                <c:pt idx="1">
                  <c:v>438.64249684741486</c:v>
                </c:pt>
                <c:pt idx="2">
                  <c:v>434.41764342998147</c:v>
                </c:pt>
                <c:pt idx="3">
                  <c:v>511.66347381864625</c:v>
                </c:pt>
              </c:numCache>
            </c:numRef>
          </c:val>
          <c:smooth val="0"/>
        </c:ser>
        <c:ser>
          <c:idx val="6"/>
          <c:order val="6"/>
          <c:tx>
            <c:strRef>
              <c:f>'Graficas Espec'!$A$57</c:f>
              <c:strCache>
                <c:ptCount val="1"/>
                <c:pt idx="0">
                  <c:v>Promisc.</c:v>
                </c:pt>
              </c:strCache>
            </c:strRef>
          </c:tx>
          <c:spPr>
            <a:ln w="28575" cap="rnd">
              <a:solidFill>
                <a:schemeClr val="accent1">
                  <a:lumMod val="60000"/>
                </a:schemeClr>
              </a:solidFill>
              <a:round/>
            </a:ln>
            <a:effectLst/>
          </c:spPr>
          <c:marker>
            <c:symbol val="diamond"/>
            <c:size val="7"/>
            <c:spPr>
              <a:solidFill>
                <a:schemeClr val="accent1">
                  <a:lumMod val="60000"/>
                </a:schemeClr>
              </a:solidFill>
              <a:ln w="9525">
                <a:solidFill>
                  <a:schemeClr val="accent1">
                    <a:lumMod val="60000"/>
                  </a:schemeClr>
                </a:solidFill>
              </a:ln>
              <a:effectLst/>
            </c:spPr>
          </c:marker>
          <c:cat>
            <c:numRef>
              <c:f>'Graficas Espec'!$B$50:$E$50</c:f>
              <c:numCache>
                <c:formatCode>General</c:formatCode>
                <c:ptCount val="4"/>
                <c:pt idx="0">
                  <c:v>2010</c:v>
                </c:pt>
                <c:pt idx="1">
                  <c:v>2011</c:v>
                </c:pt>
                <c:pt idx="2">
                  <c:v>2012</c:v>
                </c:pt>
                <c:pt idx="3">
                  <c:v>2013</c:v>
                </c:pt>
              </c:numCache>
            </c:numRef>
          </c:cat>
          <c:val>
            <c:numRef>
              <c:f>'Graficas Espec'!$B$57:$E$57</c:f>
              <c:numCache>
                <c:formatCode>#,##0</c:formatCode>
                <c:ptCount val="4"/>
                <c:pt idx="0">
                  <c:v>218.84696356275305</c:v>
                </c:pt>
                <c:pt idx="1">
                  <c:v>186.69918093819805</c:v>
                </c:pt>
                <c:pt idx="2">
                  <c:v>180.14489650249823</c:v>
                </c:pt>
                <c:pt idx="3">
                  <c:v>221.30901287553647</c:v>
                </c:pt>
              </c:numCache>
            </c:numRef>
          </c:val>
          <c:smooth val="0"/>
        </c:ser>
        <c:dLbls>
          <c:showLegendKey val="0"/>
          <c:showVal val="0"/>
          <c:showCatName val="0"/>
          <c:showSerName val="0"/>
          <c:showPercent val="0"/>
          <c:showBubbleSize val="0"/>
        </c:dLbls>
        <c:marker val="1"/>
        <c:smooth val="0"/>
        <c:axId val="136999296"/>
        <c:axId val="139949568"/>
      </c:lineChart>
      <c:catAx>
        <c:axId val="136999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s-CO"/>
          </a:p>
        </c:txPr>
        <c:crossAx val="139949568"/>
        <c:crosses val="autoZero"/>
        <c:auto val="1"/>
        <c:lblAlgn val="ctr"/>
        <c:lblOffset val="100"/>
        <c:noMultiLvlLbl val="0"/>
      </c:catAx>
      <c:valAx>
        <c:axId val="139949568"/>
        <c:scaling>
          <c:orientation val="minMax"/>
        </c:scaling>
        <c:delete val="0"/>
        <c:axPos val="l"/>
        <c:majorGridlines>
          <c:spPr>
            <a:ln w="3175" cap="flat" cmpd="sng" algn="ctr">
              <a:solidFill>
                <a:schemeClr val="tx1">
                  <a:lumMod val="50000"/>
                  <a:lumOff val="50000"/>
                </a:schemeClr>
              </a:solidFill>
              <a:round/>
            </a:ln>
            <a:effectLst/>
          </c:spPr>
        </c:majorGridlines>
        <c:numFmt formatCode="#,##0" sourceLinked="1"/>
        <c:majorTickMark val="none"/>
        <c:minorTickMark val="none"/>
        <c:tickLblPos val="nextTo"/>
        <c:spPr>
          <a:noFill/>
          <a:ln>
            <a:solidFill>
              <a:schemeClr val="tx1">
                <a:lumMod val="65000"/>
                <a:lumOff val="35000"/>
              </a:schemeClr>
            </a:solid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s-CO"/>
          </a:p>
        </c:txPr>
        <c:crossAx val="136999296"/>
        <c:crosses val="autoZero"/>
        <c:crossBetween val="between"/>
      </c:valAx>
      <c:spPr>
        <a:solidFill>
          <a:schemeClr val="bg1">
            <a:lumMod val="85000"/>
          </a:schemeClr>
        </a:solidFill>
        <a:ln>
          <a:noFill/>
        </a:ln>
        <a:effectLst/>
      </c:spPr>
    </c:plotArea>
    <c:legend>
      <c:legendPos val="b"/>
      <c:layout>
        <c:manualLayout>
          <c:xMode val="edge"/>
          <c:yMode val="edge"/>
          <c:x val="3.0105763566411432E-2"/>
          <c:y val="0.84889925237234376"/>
          <c:w val="0.94368680256229454"/>
          <c:h val="0.12521080142064706"/>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3175" cap="flat" cmpd="sng" algn="ctr">
      <a:solidFill>
        <a:schemeClr val="tx1">
          <a:lumMod val="50000"/>
          <a:lumOff val="50000"/>
        </a:schemeClr>
      </a:solidFill>
      <a:round/>
    </a:ln>
    <a:effectLst/>
  </c:spPr>
  <c:txPr>
    <a:bodyPr/>
    <a:lstStyle/>
    <a:p>
      <a:pPr>
        <a:defRPr sz="1100" b="1"/>
      </a:pPr>
      <a:endParaRPr lang="es-CO"/>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037228494152183"/>
          <c:y val="6.641441300641808E-2"/>
          <c:w val="0.74679582716944537"/>
          <c:h val="0.72355049190677057"/>
        </c:manualLayout>
      </c:layout>
      <c:lineChart>
        <c:grouping val="standard"/>
        <c:varyColors val="0"/>
        <c:ser>
          <c:idx val="0"/>
          <c:order val="0"/>
          <c:tx>
            <c:strRef>
              <c:f>'Graficas Espec'!$N$9</c:f>
              <c:strCache>
                <c:ptCount val="1"/>
                <c:pt idx="0">
                  <c:v>Admin.</c:v>
                </c:pt>
              </c:strCache>
            </c:strRef>
          </c:tx>
          <c:spPr>
            <a:ln w="28575" cap="rnd">
              <a:solidFill>
                <a:schemeClr val="accent1"/>
              </a:solidFill>
              <a:round/>
            </a:ln>
            <a:effectLst/>
          </c:spPr>
          <c:marker>
            <c:symbol val="x"/>
            <c:size val="7"/>
            <c:spPr>
              <a:noFill/>
              <a:ln w="9525">
                <a:solidFill>
                  <a:schemeClr val="accent1"/>
                </a:solidFill>
              </a:ln>
              <a:effectLst/>
            </c:spPr>
          </c:marker>
          <c:cat>
            <c:numRef>
              <c:f>'Graficas Espec'!$O$8:$R$8</c:f>
              <c:numCache>
                <c:formatCode>General</c:formatCode>
                <c:ptCount val="4"/>
                <c:pt idx="0">
                  <c:v>2010</c:v>
                </c:pt>
                <c:pt idx="1">
                  <c:v>2011</c:v>
                </c:pt>
                <c:pt idx="2">
                  <c:v>2012</c:v>
                </c:pt>
                <c:pt idx="3">
                  <c:v>2013</c:v>
                </c:pt>
              </c:numCache>
            </c:numRef>
          </c:cat>
          <c:val>
            <c:numRef>
              <c:f>'Graficas Espec'!$O$9:$R$9</c:f>
              <c:numCache>
                <c:formatCode>0.0%</c:formatCode>
                <c:ptCount val="4"/>
                <c:pt idx="0">
                  <c:v>0.81335215230322766</c:v>
                </c:pt>
                <c:pt idx="1">
                  <c:v>0.93587146444116054</c:v>
                </c:pt>
                <c:pt idx="2">
                  <c:v>0.88185488044715865</c:v>
                </c:pt>
                <c:pt idx="3">
                  <c:v>0.84540204704331312</c:v>
                </c:pt>
              </c:numCache>
            </c:numRef>
          </c:val>
          <c:smooth val="0"/>
        </c:ser>
        <c:ser>
          <c:idx val="1"/>
          <c:order val="1"/>
          <c:tx>
            <c:strRef>
              <c:f>'Graficas Espec'!$N$10</c:f>
              <c:strCache>
                <c:ptCount val="1"/>
                <c:pt idx="0">
                  <c:v>Civil</c:v>
                </c:pt>
              </c:strCache>
            </c:strRef>
          </c:tx>
          <c:spPr>
            <a:ln w="28575" cap="rnd">
              <a:solidFill>
                <a:schemeClr val="accent2"/>
              </a:solidFill>
              <a:round/>
            </a:ln>
            <a:effectLst/>
          </c:spPr>
          <c:marker>
            <c:symbol val="triangle"/>
            <c:size val="7"/>
            <c:spPr>
              <a:solidFill>
                <a:schemeClr val="accent2"/>
              </a:solidFill>
              <a:ln w="9525">
                <a:solidFill>
                  <a:schemeClr val="accent2"/>
                </a:solidFill>
              </a:ln>
              <a:effectLst/>
            </c:spPr>
          </c:marker>
          <c:cat>
            <c:numRef>
              <c:f>'Graficas Espec'!$O$8:$R$8</c:f>
              <c:numCache>
                <c:formatCode>General</c:formatCode>
                <c:ptCount val="4"/>
                <c:pt idx="0">
                  <c:v>2010</c:v>
                </c:pt>
                <c:pt idx="1">
                  <c:v>2011</c:v>
                </c:pt>
                <c:pt idx="2">
                  <c:v>2012</c:v>
                </c:pt>
                <c:pt idx="3">
                  <c:v>2013</c:v>
                </c:pt>
              </c:numCache>
            </c:numRef>
          </c:cat>
          <c:val>
            <c:numRef>
              <c:f>'Graficas Espec'!$O$10:$R$10</c:f>
              <c:numCache>
                <c:formatCode>0.0%</c:formatCode>
                <c:ptCount val="4"/>
                <c:pt idx="0">
                  <c:v>1.1533751609929743</c:v>
                </c:pt>
                <c:pt idx="1">
                  <c:v>1.1872476495173969</c:v>
                </c:pt>
                <c:pt idx="2">
                  <c:v>1.3525460006682373</c:v>
                </c:pt>
                <c:pt idx="3">
                  <c:v>1.1956576440562205</c:v>
                </c:pt>
              </c:numCache>
            </c:numRef>
          </c:val>
          <c:smooth val="0"/>
        </c:ser>
        <c:ser>
          <c:idx val="2"/>
          <c:order val="2"/>
          <c:tx>
            <c:strRef>
              <c:f>'Graficas Espec'!$N$11</c:f>
              <c:strCache>
                <c:ptCount val="1"/>
                <c:pt idx="0">
                  <c:v>Disc.</c:v>
                </c:pt>
              </c:strCache>
            </c:strRef>
          </c:tx>
          <c:spPr>
            <a:ln w="28575" cap="rnd">
              <a:solidFill>
                <a:schemeClr val="accent3"/>
              </a:solidFill>
              <a:round/>
            </a:ln>
            <a:effectLst/>
          </c:spPr>
          <c:marker>
            <c:symbol val="star"/>
            <c:size val="7"/>
            <c:spPr>
              <a:noFill/>
              <a:ln w="9525">
                <a:solidFill>
                  <a:schemeClr val="accent3"/>
                </a:solidFill>
              </a:ln>
              <a:effectLst/>
            </c:spPr>
          </c:marker>
          <c:cat>
            <c:numRef>
              <c:f>'Graficas Espec'!$O$8:$R$8</c:f>
              <c:numCache>
                <c:formatCode>General</c:formatCode>
                <c:ptCount val="4"/>
                <c:pt idx="0">
                  <c:v>2010</c:v>
                </c:pt>
                <c:pt idx="1">
                  <c:v>2011</c:v>
                </c:pt>
                <c:pt idx="2">
                  <c:v>2012</c:v>
                </c:pt>
                <c:pt idx="3">
                  <c:v>2013</c:v>
                </c:pt>
              </c:numCache>
            </c:numRef>
          </c:cat>
          <c:val>
            <c:numRef>
              <c:f>'Graficas Espec'!$O$11:$R$11</c:f>
              <c:numCache>
                <c:formatCode>0.0%</c:formatCode>
                <c:ptCount val="4"/>
                <c:pt idx="0">
                  <c:v>0.83223032829598753</c:v>
                </c:pt>
                <c:pt idx="1">
                  <c:v>0.90734861845972958</c:v>
                </c:pt>
                <c:pt idx="2">
                  <c:v>0.91989014165943916</c:v>
                </c:pt>
                <c:pt idx="3">
                  <c:v>0.92956724775009636</c:v>
                </c:pt>
              </c:numCache>
            </c:numRef>
          </c:val>
          <c:smooth val="0"/>
        </c:ser>
        <c:ser>
          <c:idx val="3"/>
          <c:order val="3"/>
          <c:tx>
            <c:strRef>
              <c:f>'Graficas Espec'!$N$12</c:f>
              <c:strCache>
                <c:ptCount val="1"/>
                <c:pt idx="0">
                  <c:v>Familia</c:v>
                </c:pt>
              </c:strCache>
            </c:strRef>
          </c:tx>
          <c:spPr>
            <a:ln w="28575" cap="rnd">
              <a:solidFill>
                <a:schemeClr val="accent4"/>
              </a:solidFill>
              <a:round/>
            </a:ln>
            <a:effectLst/>
          </c:spPr>
          <c:marker>
            <c:symbol val="plus"/>
            <c:size val="7"/>
            <c:spPr>
              <a:noFill/>
              <a:ln w="9525">
                <a:solidFill>
                  <a:schemeClr val="accent4"/>
                </a:solidFill>
              </a:ln>
              <a:effectLst/>
            </c:spPr>
          </c:marker>
          <c:cat>
            <c:numRef>
              <c:f>'Graficas Espec'!$O$8:$R$8</c:f>
              <c:numCache>
                <c:formatCode>General</c:formatCode>
                <c:ptCount val="4"/>
                <c:pt idx="0">
                  <c:v>2010</c:v>
                </c:pt>
                <c:pt idx="1">
                  <c:v>2011</c:v>
                </c:pt>
                <c:pt idx="2">
                  <c:v>2012</c:v>
                </c:pt>
                <c:pt idx="3">
                  <c:v>2013</c:v>
                </c:pt>
              </c:numCache>
            </c:numRef>
          </c:cat>
          <c:val>
            <c:numRef>
              <c:f>'Graficas Espec'!$O$12:$R$12</c:f>
              <c:numCache>
                <c:formatCode>0.0%</c:formatCode>
                <c:ptCount val="4"/>
                <c:pt idx="0">
                  <c:v>0.86872534491035458</c:v>
                </c:pt>
                <c:pt idx="1">
                  <c:v>0.82527588018917497</c:v>
                </c:pt>
                <c:pt idx="2">
                  <c:v>0.80166953289396381</c:v>
                </c:pt>
                <c:pt idx="3">
                  <c:v>0.8403852870713362</c:v>
                </c:pt>
              </c:numCache>
            </c:numRef>
          </c:val>
          <c:smooth val="0"/>
        </c:ser>
        <c:ser>
          <c:idx val="4"/>
          <c:order val="4"/>
          <c:tx>
            <c:strRef>
              <c:f>'Graficas Espec'!$N$13</c:f>
              <c:strCache>
                <c:ptCount val="1"/>
                <c:pt idx="0">
                  <c:v>Laboral</c:v>
                </c:pt>
              </c:strCache>
            </c:strRef>
          </c:tx>
          <c:spPr>
            <a:ln w="28575" cap="rnd">
              <a:solidFill>
                <a:schemeClr val="accent5"/>
              </a:solidFill>
              <a:round/>
            </a:ln>
            <a:effectLst/>
          </c:spPr>
          <c:marker>
            <c:symbol val="circle"/>
            <c:size val="7"/>
            <c:spPr>
              <a:solidFill>
                <a:schemeClr val="accent5"/>
              </a:solidFill>
              <a:ln w="9525">
                <a:solidFill>
                  <a:schemeClr val="accent5"/>
                </a:solidFill>
              </a:ln>
              <a:effectLst/>
            </c:spPr>
          </c:marker>
          <c:cat>
            <c:numRef>
              <c:f>'Graficas Espec'!$O$8:$R$8</c:f>
              <c:numCache>
                <c:formatCode>General</c:formatCode>
                <c:ptCount val="4"/>
                <c:pt idx="0">
                  <c:v>2010</c:v>
                </c:pt>
                <c:pt idx="1">
                  <c:v>2011</c:v>
                </c:pt>
                <c:pt idx="2">
                  <c:v>2012</c:v>
                </c:pt>
                <c:pt idx="3">
                  <c:v>2013</c:v>
                </c:pt>
              </c:numCache>
            </c:numRef>
          </c:cat>
          <c:val>
            <c:numRef>
              <c:f>'Graficas Espec'!$O$13:$R$13</c:f>
              <c:numCache>
                <c:formatCode>0.0%</c:formatCode>
                <c:ptCount val="4"/>
                <c:pt idx="0">
                  <c:v>0.91810600211860605</c:v>
                </c:pt>
                <c:pt idx="1">
                  <c:v>0.94755827427088068</c:v>
                </c:pt>
                <c:pt idx="2">
                  <c:v>0.8580408185382582</c:v>
                </c:pt>
                <c:pt idx="3">
                  <c:v>0.85047201867391564</c:v>
                </c:pt>
              </c:numCache>
            </c:numRef>
          </c:val>
          <c:smooth val="0"/>
        </c:ser>
        <c:ser>
          <c:idx val="5"/>
          <c:order val="5"/>
          <c:tx>
            <c:strRef>
              <c:f>'Graficas Espec'!$N$14</c:f>
              <c:strCache>
                <c:ptCount val="1"/>
                <c:pt idx="0">
                  <c:v>Penal</c:v>
                </c:pt>
              </c:strCache>
            </c:strRef>
          </c:tx>
          <c:spPr>
            <a:ln w="28575" cap="rnd">
              <a:solidFill>
                <a:schemeClr val="accent6"/>
              </a:solidFill>
              <a:round/>
            </a:ln>
            <a:effectLst/>
          </c:spPr>
          <c:marker>
            <c:symbol val="square"/>
            <c:size val="7"/>
            <c:spPr>
              <a:solidFill>
                <a:schemeClr val="accent6"/>
              </a:solidFill>
              <a:ln w="9525">
                <a:solidFill>
                  <a:schemeClr val="accent6"/>
                </a:solidFill>
              </a:ln>
              <a:effectLst/>
            </c:spPr>
          </c:marker>
          <c:cat>
            <c:numRef>
              <c:f>'Graficas Espec'!$O$8:$R$8</c:f>
              <c:numCache>
                <c:formatCode>General</c:formatCode>
                <c:ptCount val="4"/>
                <c:pt idx="0">
                  <c:v>2010</c:v>
                </c:pt>
                <c:pt idx="1">
                  <c:v>2011</c:v>
                </c:pt>
                <c:pt idx="2">
                  <c:v>2012</c:v>
                </c:pt>
                <c:pt idx="3">
                  <c:v>2013</c:v>
                </c:pt>
              </c:numCache>
            </c:numRef>
          </c:cat>
          <c:val>
            <c:numRef>
              <c:f>'Graficas Espec'!$O$14:$R$14</c:f>
              <c:numCache>
                <c:formatCode>0.0%</c:formatCode>
                <c:ptCount val="4"/>
                <c:pt idx="0">
                  <c:v>0.91753573115523213</c:v>
                </c:pt>
                <c:pt idx="1">
                  <c:v>0.89897721178758572</c:v>
                </c:pt>
                <c:pt idx="2">
                  <c:v>0.91402452399896683</c:v>
                </c:pt>
                <c:pt idx="3">
                  <c:v>0.92291221296671699</c:v>
                </c:pt>
              </c:numCache>
            </c:numRef>
          </c:val>
          <c:smooth val="0"/>
        </c:ser>
        <c:ser>
          <c:idx val="6"/>
          <c:order val="6"/>
          <c:tx>
            <c:strRef>
              <c:f>'Graficas Espec'!$N$15</c:f>
              <c:strCache>
                <c:ptCount val="1"/>
                <c:pt idx="0">
                  <c:v>Promisc.</c:v>
                </c:pt>
              </c:strCache>
            </c:strRef>
          </c:tx>
          <c:spPr>
            <a:ln w="28575" cap="rnd">
              <a:solidFill>
                <a:schemeClr val="accent1">
                  <a:lumMod val="60000"/>
                </a:schemeClr>
              </a:solidFill>
              <a:round/>
            </a:ln>
            <a:effectLst/>
          </c:spPr>
          <c:marker>
            <c:symbol val="diamond"/>
            <c:size val="7"/>
            <c:spPr>
              <a:solidFill>
                <a:schemeClr val="accent1">
                  <a:lumMod val="60000"/>
                </a:schemeClr>
              </a:solidFill>
              <a:ln w="9525">
                <a:solidFill>
                  <a:schemeClr val="accent1">
                    <a:lumMod val="60000"/>
                  </a:schemeClr>
                </a:solidFill>
              </a:ln>
              <a:effectLst/>
            </c:spPr>
          </c:marker>
          <c:cat>
            <c:numRef>
              <c:f>'Graficas Espec'!$O$8:$R$8</c:f>
              <c:numCache>
                <c:formatCode>General</c:formatCode>
                <c:ptCount val="4"/>
                <c:pt idx="0">
                  <c:v>2010</c:v>
                </c:pt>
                <c:pt idx="1">
                  <c:v>2011</c:v>
                </c:pt>
                <c:pt idx="2">
                  <c:v>2012</c:v>
                </c:pt>
                <c:pt idx="3">
                  <c:v>2013</c:v>
                </c:pt>
              </c:numCache>
            </c:numRef>
          </c:cat>
          <c:val>
            <c:numRef>
              <c:f>'Graficas Espec'!$O$15:$R$15</c:f>
              <c:numCache>
                <c:formatCode>0.0%</c:formatCode>
                <c:ptCount val="4"/>
                <c:pt idx="0">
                  <c:v>0.93528874370189907</c:v>
                </c:pt>
                <c:pt idx="1">
                  <c:v>0.93643490179528455</c:v>
                </c:pt>
                <c:pt idx="2">
                  <c:v>0.89474355929138916</c:v>
                </c:pt>
                <c:pt idx="3">
                  <c:v>0.95301021115372175</c:v>
                </c:pt>
              </c:numCache>
            </c:numRef>
          </c:val>
          <c:smooth val="0"/>
        </c:ser>
        <c:dLbls>
          <c:showLegendKey val="0"/>
          <c:showVal val="0"/>
          <c:showCatName val="0"/>
          <c:showSerName val="0"/>
          <c:showPercent val="0"/>
          <c:showBubbleSize val="0"/>
        </c:dLbls>
        <c:marker val="1"/>
        <c:smooth val="0"/>
        <c:axId val="34959360"/>
        <c:axId val="175053440"/>
      </c:lineChart>
      <c:catAx>
        <c:axId val="34959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s-CO"/>
          </a:p>
        </c:txPr>
        <c:crossAx val="175053440"/>
        <c:crosses val="autoZero"/>
        <c:auto val="1"/>
        <c:lblAlgn val="ctr"/>
        <c:lblOffset val="100"/>
        <c:noMultiLvlLbl val="0"/>
      </c:catAx>
      <c:valAx>
        <c:axId val="175053440"/>
        <c:scaling>
          <c:orientation val="minMax"/>
        </c:scaling>
        <c:delete val="0"/>
        <c:axPos val="l"/>
        <c:majorGridlines>
          <c:spPr>
            <a:ln w="3175" cap="flat" cmpd="sng" algn="ctr">
              <a:solidFill>
                <a:schemeClr val="tx1">
                  <a:lumMod val="50000"/>
                  <a:lumOff val="50000"/>
                </a:schemeClr>
              </a:solidFill>
              <a:round/>
            </a:ln>
            <a:effectLst/>
          </c:spPr>
        </c:majorGridlines>
        <c:numFmt formatCode="0.0%" sourceLinked="1"/>
        <c:majorTickMark val="none"/>
        <c:minorTickMark val="none"/>
        <c:tickLblPos val="nextTo"/>
        <c:spPr>
          <a:noFill/>
          <a:ln>
            <a:solidFill>
              <a:schemeClr val="tx1">
                <a:lumMod val="65000"/>
                <a:lumOff val="35000"/>
              </a:schemeClr>
            </a:solid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s-CO"/>
          </a:p>
        </c:txPr>
        <c:crossAx val="34959360"/>
        <c:crosses val="autoZero"/>
        <c:crossBetween val="between"/>
      </c:valAx>
      <c:spPr>
        <a:solidFill>
          <a:schemeClr val="bg1">
            <a:lumMod val="85000"/>
          </a:schemeClr>
        </a:solidFill>
        <a:ln>
          <a:noFill/>
        </a:ln>
        <a:effectLst/>
      </c:spPr>
    </c:plotArea>
    <c:legend>
      <c:legendPos val="b"/>
      <c:layout>
        <c:manualLayout>
          <c:xMode val="edge"/>
          <c:yMode val="edge"/>
          <c:x val="3.0105763566411432E-2"/>
          <c:y val="0.84889925237234376"/>
          <c:w val="0.94368680256229454"/>
          <c:h val="0.12521080142064706"/>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3175" cap="flat" cmpd="sng" algn="ctr">
      <a:solidFill>
        <a:schemeClr val="tx1">
          <a:lumMod val="50000"/>
          <a:lumOff val="50000"/>
        </a:schemeClr>
      </a:solidFill>
      <a:round/>
    </a:ln>
    <a:effectLst/>
  </c:spPr>
  <c:txPr>
    <a:bodyPr/>
    <a:lstStyle/>
    <a:p>
      <a:pPr>
        <a:defRPr sz="1100" b="1"/>
      </a:pPr>
      <a:endParaRPr lang="es-CO"/>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523143934289245"/>
          <c:y val="3.2233141240923954E-2"/>
          <c:w val="0.74679582716944537"/>
          <c:h val="0.72355049190677057"/>
        </c:manualLayout>
      </c:layout>
      <c:lineChart>
        <c:grouping val="standard"/>
        <c:varyColors val="0"/>
        <c:ser>
          <c:idx val="0"/>
          <c:order val="0"/>
          <c:tx>
            <c:strRef>
              <c:f>'Graficas Espec'!$N$30</c:f>
              <c:strCache>
                <c:ptCount val="1"/>
                <c:pt idx="0">
                  <c:v>Admin.</c:v>
                </c:pt>
              </c:strCache>
            </c:strRef>
          </c:tx>
          <c:spPr>
            <a:ln w="28575" cap="rnd">
              <a:solidFill>
                <a:schemeClr val="accent1"/>
              </a:solidFill>
              <a:round/>
            </a:ln>
            <a:effectLst/>
          </c:spPr>
          <c:marker>
            <c:symbol val="x"/>
            <c:size val="7"/>
            <c:spPr>
              <a:noFill/>
              <a:ln w="9525">
                <a:solidFill>
                  <a:schemeClr val="accent1"/>
                </a:solidFill>
              </a:ln>
              <a:effectLst/>
            </c:spPr>
          </c:marker>
          <c:cat>
            <c:numRef>
              <c:f>'Graficas Espec'!$O$29:$R$29</c:f>
              <c:numCache>
                <c:formatCode>General</c:formatCode>
                <c:ptCount val="4"/>
                <c:pt idx="0">
                  <c:v>2010</c:v>
                </c:pt>
                <c:pt idx="1">
                  <c:v>2011</c:v>
                </c:pt>
                <c:pt idx="2">
                  <c:v>2012</c:v>
                </c:pt>
                <c:pt idx="3">
                  <c:v>2013</c:v>
                </c:pt>
              </c:numCache>
            </c:numRef>
          </c:cat>
          <c:val>
            <c:numRef>
              <c:f>'Graficas Espec'!$O$30:$R$30</c:f>
              <c:numCache>
                <c:formatCode>0.0%</c:formatCode>
                <c:ptCount val="4"/>
                <c:pt idx="0">
                  <c:v>0.60650388182135728</c:v>
                </c:pt>
                <c:pt idx="1">
                  <c:v>0.56548197519947618</c:v>
                </c:pt>
                <c:pt idx="2">
                  <c:v>0.5618580559161197</c:v>
                </c:pt>
                <c:pt idx="3">
                  <c:v>0.53243331157504536</c:v>
                </c:pt>
              </c:numCache>
            </c:numRef>
          </c:val>
          <c:smooth val="0"/>
        </c:ser>
        <c:ser>
          <c:idx val="1"/>
          <c:order val="1"/>
          <c:tx>
            <c:strRef>
              <c:f>'Graficas Espec'!$N$31</c:f>
              <c:strCache>
                <c:ptCount val="1"/>
                <c:pt idx="0">
                  <c:v>Civil</c:v>
                </c:pt>
              </c:strCache>
            </c:strRef>
          </c:tx>
          <c:spPr>
            <a:ln w="28575" cap="rnd">
              <a:solidFill>
                <a:schemeClr val="accent2"/>
              </a:solidFill>
              <a:round/>
            </a:ln>
            <a:effectLst/>
          </c:spPr>
          <c:marker>
            <c:symbol val="triangle"/>
            <c:size val="7"/>
            <c:spPr>
              <a:solidFill>
                <a:schemeClr val="accent2"/>
              </a:solidFill>
              <a:ln w="9525">
                <a:solidFill>
                  <a:schemeClr val="accent2"/>
                </a:solidFill>
              </a:ln>
              <a:effectLst/>
            </c:spPr>
          </c:marker>
          <c:cat>
            <c:numRef>
              <c:f>'Graficas Espec'!$O$29:$R$29</c:f>
              <c:numCache>
                <c:formatCode>General</c:formatCode>
                <c:ptCount val="4"/>
                <c:pt idx="0">
                  <c:v>2010</c:v>
                </c:pt>
                <c:pt idx="1">
                  <c:v>2011</c:v>
                </c:pt>
                <c:pt idx="2">
                  <c:v>2012</c:v>
                </c:pt>
                <c:pt idx="3">
                  <c:v>2013</c:v>
                </c:pt>
              </c:numCache>
            </c:numRef>
          </c:cat>
          <c:val>
            <c:numRef>
              <c:f>'Graficas Espec'!$O$31:$R$31</c:f>
              <c:numCache>
                <c:formatCode>0.0%</c:formatCode>
                <c:ptCount val="4"/>
                <c:pt idx="0">
                  <c:v>0.67219944047856595</c:v>
                </c:pt>
                <c:pt idx="1">
                  <c:v>0.64755973602062222</c:v>
                </c:pt>
                <c:pt idx="2">
                  <c:v>0.56701858211284994</c:v>
                </c:pt>
                <c:pt idx="3">
                  <c:v>0.51661501055014458</c:v>
                </c:pt>
              </c:numCache>
            </c:numRef>
          </c:val>
          <c:smooth val="0"/>
        </c:ser>
        <c:ser>
          <c:idx val="2"/>
          <c:order val="2"/>
          <c:tx>
            <c:strRef>
              <c:f>'Graficas Espec'!$N$32</c:f>
              <c:strCache>
                <c:ptCount val="1"/>
                <c:pt idx="0">
                  <c:v>Disc.</c:v>
                </c:pt>
              </c:strCache>
            </c:strRef>
          </c:tx>
          <c:spPr>
            <a:ln w="28575" cap="rnd">
              <a:solidFill>
                <a:schemeClr val="accent3"/>
              </a:solidFill>
              <a:round/>
            </a:ln>
            <a:effectLst/>
          </c:spPr>
          <c:marker>
            <c:symbol val="star"/>
            <c:size val="7"/>
            <c:spPr>
              <a:noFill/>
              <a:ln w="9525">
                <a:solidFill>
                  <a:schemeClr val="accent3"/>
                </a:solidFill>
              </a:ln>
              <a:effectLst/>
            </c:spPr>
          </c:marker>
          <c:cat>
            <c:numRef>
              <c:f>'Graficas Espec'!$O$29:$R$29</c:f>
              <c:numCache>
                <c:formatCode>General</c:formatCode>
                <c:ptCount val="4"/>
                <c:pt idx="0">
                  <c:v>2010</c:v>
                </c:pt>
                <c:pt idx="1">
                  <c:v>2011</c:v>
                </c:pt>
                <c:pt idx="2">
                  <c:v>2012</c:v>
                </c:pt>
                <c:pt idx="3">
                  <c:v>2013</c:v>
                </c:pt>
              </c:numCache>
            </c:numRef>
          </c:cat>
          <c:val>
            <c:numRef>
              <c:f>'Graficas Espec'!$O$32:$R$32</c:f>
              <c:numCache>
                <c:formatCode>0.0%</c:formatCode>
                <c:ptCount val="4"/>
                <c:pt idx="0">
                  <c:v>0.54753945094483947</c:v>
                </c:pt>
                <c:pt idx="1">
                  <c:v>0.49860307972191542</c:v>
                </c:pt>
                <c:pt idx="2">
                  <c:v>0.5649457190516558</c:v>
                </c:pt>
                <c:pt idx="3">
                  <c:v>0.50699721073386561</c:v>
                </c:pt>
              </c:numCache>
            </c:numRef>
          </c:val>
          <c:smooth val="0"/>
        </c:ser>
        <c:ser>
          <c:idx val="3"/>
          <c:order val="3"/>
          <c:tx>
            <c:strRef>
              <c:f>'Graficas Espec'!$N$33</c:f>
              <c:strCache>
                <c:ptCount val="1"/>
                <c:pt idx="0">
                  <c:v>Familia</c:v>
                </c:pt>
              </c:strCache>
            </c:strRef>
          </c:tx>
          <c:spPr>
            <a:ln w="28575" cap="rnd">
              <a:solidFill>
                <a:schemeClr val="accent4"/>
              </a:solidFill>
              <a:round/>
            </a:ln>
            <a:effectLst/>
          </c:spPr>
          <c:marker>
            <c:symbol val="plus"/>
            <c:size val="7"/>
            <c:spPr>
              <a:noFill/>
              <a:ln w="9525">
                <a:solidFill>
                  <a:schemeClr val="accent4"/>
                </a:solidFill>
              </a:ln>
              <a:effectLst/>
            </c:spPr>
          </c:marker>
          <c:cat>
            <c:numRef>
              <c:f>'Graficas Espec'!$O$29:$R$29</c:f>
              <c:numCache>
                <c:formatCode>General</c:formatCode>
                <c:ptCount val="4"/>
                <c:pt idx="0">
                  <c:v>2010</c:v>
                </c:pt>
                <c:pt idx="1">
                  <c:v>2011</c:v>
                </c:pt>
                <c:pt idx="2">
                  <c:v>2012</c:v>
                </c:pt>
                <c:pt idx="3">
                  <c:v>2013</c:v>
                </c:pt>
              </c:numCache>
            </c:numRef>
          </c:cat>
          <c:val>
            <c:numRef>
              <c:f>'Graficas Espec'!$O$33:$R$33</c:f>
              <c:numCache>
                <c:formatCode>0.0%</c:formatCode>
                <c:ptCount val="4"/>
                <c:pt idx="0">
                  <c:v>0.54555727824605849</c:v>
                </c:pt>
                <c:pt idx="1">
                  <c:v>0.53378909319503376</c:v>
                </c:pt>
                <c:pt idx="2">
                  <c:v>0.53863862694714582</c:v>
                </c:pt>
                <c:pt idx="3">
                  <c:v>0.49509222943716547</c:v>
                </c:pt>
              </c:numCache>
            </c:numRef>
          </c:val>
          <c:smooth val="0"/>
        </c:ser>
        <c:ser>
          <c:idx val="4"/>
          <c:order val="4"/>
          <c:tx>
            <c:strRef>
              <c:f>'Graficas Espec'!$N$34</c:f>
              <c:strCache>
                <c:ptCount val="1"/>
                <c:pt idx="0">
                  <c:v>Laboral</c:v>
                </c:pt>
              </c:strCache>
            </c:strRef>
          </c:tx>
          <c:spPr>
            <a:ln w="28575" cap="rnd">
              <a:solidFill>
                <a:schemeClr val="accent5"/>
              </a:solidFill>
              <a:round/>
            </a:ln>
            <a:effectLst/>
          </c:spPr>
          <c:marker>
            <c:symbol val="circle"/>
            <c:size val="7"/>
            <c:spPr>
              <a:solidFill>
                <a:schemeClr val="accent5"/>
              </a:solidFill>
              <a:ln w="9525">
                <a:solidFill>
                  <a:schemeClr val="accent5"/>
                </a:solidFill>
              </a:ln>
              <a:effectLst/>
            </c:spPr>
          </c:marker>
          <c:cat>
            <c:numRef>
              <c:f>'Graficas Espec'!$O$29:$R$29</c:f>
              <c:numCache>
                <c:formatCode>General</c:formatCode>
                <c:ptCount val="4"/>
                <c:pt idx="0">
                  <c:v>2010</c:v>
                </c:pt>
                <c:pt idx="1">
                  <c:v>2011</c:v>
                </c:pt>
                <c:pt idx="2">
                  <c:v>2012</c:v>
                </c:pt>
                <c:pt idx="3">
                  <c:v>2013</c:v>
                </c:pt>
              </c:numCache>
            </c:numRef>
          </c:cat>
          <c:val>
            <c:numRef>
              <c:f>'Graficas Espec'!$O$34:$R$34</c:f>
              <c:numCache>
                <c:formatCode>0.0%</c:formatCode>
                <c:ptCount val="4"/>
                <c:pt idx="0">
                  <c:v>0.49371421782295855</c:v>
                </c:pt>
                <c:pt idx="1">
                  <c:v>0.46292643304711067</c:v>
                </c:pt>
                <c:pt idx="2">
                  <c:v>0.49866233669313353</c:v>
                </c:pt>
                <c:pt idx="3">
                  <c:v>0.47162109137469332</c:v>
                </c:pt>
              </c:numCache>
            </c:numRef>
          </c:val>
          <c:smooth val="0"/>
        </c:ser>
        <c:ser>
          <c:idx val="5"/>
          <c:order val="5"/>
          <c:tx>
            <c:strRef>
              <c:f>'Graficas Espec'!$N$35</c:f>
              <c:strCache>
                <c:ptCount val="1"/>
                <c:pt idx="0">
                  <c:v>Penal</c:v>
                </c:pt>
              </c:strCache>
            </c:strRef>
          </c:tx>
          <c:spPr>
            <a:ln w="28575" cap="rnd">
              <a:solidFill>
                <a:schemeClr val="accent6"/>
              </a:solidFill>
              <a:round/>
            </a:ln>
            <a:effectLst/>
          </c:spPr>
          <c:marker>
            <c:symbol val="square"/>
            <c:size val="7"/>
            <c:spPr>
              <a:solidFill>
                <a:schemeClr val="accent6"/>
              </a:solidFill>
              <a:ln w="9525">
                <a:solidFill>
                  <a:schemeClr val="accent6"/>
                </a:solidFill>
              </a:ln>
              <a:effectLst/>
            </c:spPr>
          </c:marker>
          <c:cat>
            <c:numRef>
              <c:f>'Graficas Espec'!$O$29:$R$29</c:f>
              <c:numCache>
                <c:formatCode>General</c:formatCode>
                <c:ptCount val="4"/>
                <c:pt idx="0">
                  <c:v>2010</c:v>
                </c:pt>
                <c:pt idx="1">
                  <c:v>2011</c:v>
                </c:pt>
                <c:pt idx="2">
                  <c:v>2012</c:v>
                </c:pt>
                <c:pt idx="3">
                  <c:v>2013</c:v>
                </c:pt>
              </c:numCache>
            </c:numRef>
          </c:cat>
          <c:val>
            <c:numRef>
              <c:f>'Graficas Espec'!$O$35:$R$35</c:f>
              <c:numCache>
                <c:formatCode>0.0%</c:formatCode>
                <c:ptCount val="4"/>
                <c:pt idx="0">
                  <c:v>0.40282520125111609</c:v>
                </c:pt>
                <c:pt idx="1">
                  <c:v>0.41341440175919941</c:v>
                </c:pt>
                <c:pt idx="2">
                  <c:v>0.41758547137555635</c:v>
                </c:pt>
                <c:pt idx="3">
                  <c:v>0.39075176593140049</c:v>
                </c:pt>
              </c:numCache>
            </c:numRef>
          </c:val>
          <c:smooth val="0"/>
        </c:ser>
        <c:ser>
          <c:idx val="6"/>
          <c:order val="6"/>
          <c:tx>
            <c:strRef>
              <c:f>'Graficas Espec'!$N$36</c:f>
              <c:strCache>
                <c:ptCount val="1"/>
                <c:pt idx="0">
                  <c:v>Promisc.</c:v>
                </c:pt>
              </c:strCache>
            </c:strRef>
          </c:tx>
          <c:spPr>
            <a:ln w="28575" cap="rnd">
              <a:solidFill>
                <a:schemeClr val="accent1">
                  <a:lumMod val="60000"/>
                </a:schemeClr>
              </a:solidFill>
              <a:round/>
            </a:ln>
            <a:effectLst/>
          </c:spPr>
          <c:marker>
            <c:symbol val="diamond"/>
            <c:size val="7"/>
            <c:spPr>
              <a:solidFill>
                <a:schemeClr val="accent1">
                  <a:lumMod val="60000"/>
                </a:schemeClr>
              </a:solidFill>
              <a:ln w="9525">
                <a:solidFill>
                  <a:schemeClr val="accent1">
                    <a:lumMod val="60000"/>
                  </a:schemeClr>
                </a:solidFill>
              </a:ln>
              <a:effectLst/>
            </c:spPr>
          </c:marker>
          <c:cat>
            <c:numRef>
              <c:f>'Graficas Espec'!$O$29:$R$29</c:f>
              <c:numCache>
                <c:formatCode>General</c:formatCode>
                <c:ptCount val="4"/>
                <c:pt idx="0">
                  <c:v>2010</c:v>
                </c:pt>
                <c:pt idx="1">
                  <c:v>2011</c:v>
                </c:pt>
                <c:pt idx="2">
                  <c:v>2012</c:v>
                </c:pt>
                <c:pt idx="3">
                  <c:v>2013</c:v>
                </c:pt>
              </c:numCache>
            </c:numRef>
          </c:cat>
          <c:val>
            <c:numRef>
              <c:f>'Graficas Espec'!$O$36:$R$36</c:f>
              <c:numCache>
                <c:formatCode>0.0%</c:formatCode>
                <c:ptCount val="4"/>
                <c:pt idx="0">
                  <c:v>0.53197988529631779</c:v>
                </c:pt>
                <c:pt idx="1">
                  <c:v>0.51526018779687621</c:v>
                </c:pt>
                <c:pt idx="2">
                  <c:v>0.51310781221363744</c:v>
                </c:pt>
                <c:pt idx="3">
                  <c:v>0.45084709661960076</c:v>
                </c:pt>
              </c:numCache>
            </c:numRef>
          </c:val>
          <c:smooth val="0"/>
        </c:ser>
        <c:dLbls>
          <c:showLegendKey val="0"/>
          <c:showVal val="0"/>
          <c:showCatName val="0"/>
          <c:showSerName val="0"/>
          <c:showPercent val="0"/>
          <c:showBubbleSize val="0"/>
        </c:dLbls>
        <c:marker val="1"/>
        <c:smooth val="0"/>
        <c:axId val="34989568"/>
        <c:axId val="34991488"/>
      </c:lineChart>
      <c:catAx>
        <c:axId val="34989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s-CO"/>
          </a:p>
        </c:txPr>
        <c:crossAx val="34991488"/>
        <c:crosses val="autoZero"/>
        <c:auto val="1"/>
        <c:lblAlgn val="ctr"/>
        <c:lblOffset val="100"/>
        <c:noMultiLvlLbl val="0"/>
      </c:catAx>
      <c:valAx>
        <c:axId val="34991488"/>
        <c:scaling>
          <c:orientation val="minMax"/>
        </c:scaling>
        <c:delete val="0"/>
        <c:axPos val="l"/>
        <c:majorGridlines>
          <c:spPr>
            <a:ln w="3175" cap="flat" cmpd="sng" algn="ctr">
              <a:solidFill>
                <a:schemeClr val="tx1">
                  <a:lumMod val="50000"/>
                  <a:lumOff val="50000"/>
                </a:schemeClr>
              </a:solidFill>
              <a:round/>
            </a:ln>
            <a:effectLst/>
          </c:spPr>
        </c:majorGridlines>
        <c:numFmt formatCode="0.0%" sourceLinked="1"/>
        <c:majorTickMark val="none"/>
        <c:minorTickMark val="none"/>
        <c:tickLblPos val="nextTo"/>
        <c:spPr>
          <a:noFill/>
          <a:ln>
            <a:solidFill>
              <a:schemeClr val="tx1">
                <a:lumMod val="65000"/>
                <a:lumOff val="35000"/>
              </a:schemeClr>
            </a:solid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s-CO"/>
          </a:p>
        </c:txPr>
        <c:crossAx val="34989568"/>
        <c:crosses val="autoZero"/>
        <c:crossBetween val="between"/>
      </c:valAx>
      <c:spPr>
        <a:solidFill>
          <a:schemeClr val="bg1">
            <a:lumMod val="85000"/>
          </a:schemeClr>
        </a:solidFill>
        <a:ln>
          <a:noFill/>
        </a:ln>
        <a:effectLst/>
      </c:spPr>
    </c:plotArea>
    <c:legend>
      <c:legendPos val="b"/>
      <c:layout>
        <c:manualLayout>
          <c:xMode val="edge"/>
          <c:yMode val="edge"/>
          <c:x val="3.0105763566411432E-2"/>
          <c:y val="0.84889925237234376"/>
          <c:w val="0.94368680256229454"/>
          <c:h val="0.12521080142064706"/>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3175" cap="flat" cmpd="sng" algn="ctr">
      <a:solidFill>
        <a:schemeClr val="tx1">
          <a:lumMod val="50000"/>
          <a:lumOff val="50000"/>
        </a:schemeClr>
      </a:solidFill>
      <a:round/>
    </a:ln>
    <a:effectLst/>
  </c:spPr>
  <c:txPr>
    <a:bodyPr/>
    <a:lstStyle/>
    <a:p>
      <a:pPr>
        <a:defRPr sz="1100" b="1"/>
      </a:pPr>
      <a:endParaRPr lang="es-CO"/>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10363-8B07-417E-8F1A-6021317F2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70</Pages>
  <Words>21975</Words>
  <Characters>120865</Characters>
  <Application>Microsoft Office Word</Application>
  <DocSecurity>0</DocSecurity>
  <Lines>1007</Lines>
  <Paragraphs>285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Sanchez Bravo (CGR)</dc:creator>
  <cp:lastModifiedBy>Otalora Diaz, Elizabeth</cp:lastModifiedBy>
  <cp:revision>11</cp:revision>
  <cp:lastPrinted>2014-06-24T17:57:00Z</cp:lastPrinted>
  <dcterms:created xsi:type="dcterms:W3CDTF">2014-06-18T21:41:00Z</dcterms:created>
  <dcterms:modified xsi:type="dcterms:W3CDTF">2014-07-03T22:48:00Z</dcterms:modified>
</cp:coreProperties>
</file>