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7C9F5" w14:textId="77777777" w:rsidR="00E45123" w:rsidRPr="0051340F" w:rsidRDefault="00E45123" w:rsidP="00E45123">
      <w:pPr>
        <w:pStyle w:val="Textoindependiente2"/>
        <w:spacing w:after="0" w:line="240" w:lineRule="auto"/>
        <w:jc w:val="both"/>
        <w:rPr>
          <w:rFonts w:cs="Calibri"/>
          <w:color w:val="000000" w:themeColor="text1"/>
        </w:rPr>
      </w:pPr>
      <w:r w:rsidRPr="0051340F">
        <w:rPr>
          <w:rFonts w:cs="Calibri"/>
          <w:color w:val="000000" w:themeColor="text1"/>
        </w:rPr>
        <w:t xml:space="preserve">  </w:t>
      </w:r>
      <w:bookmarkStart w:id="0" w:name="_Hlk135317669"/>
      <w:bookmarkStart w:id="1" w:name="_Hlk116645860"/>
      <w:bookmarkStart w:id="2" w:name="_Hlk112311158"/>
      <w:bookmarkStart w:id="3" w:name="_Hlk116549934"/>
      <w:bookmarkStart w:id="4" w:name="_Hlk127254263"/>
      <w:r w:rsidRPr="0051340F">
        <w:rPr>
          <w:rFonts w:cs="Calibri"/>
          <w:color w:val="000000" w:themeColor="text1"/>
        </w:rPr>
        <w:t>Señores:</w:t>
      </w:r>
    </w:p>
    <w:p w14:paraId="7F4B7818" w14:textId="77777777" w:rsidR="00E45123" w:rsidRPr="0051340F" w:rsidRDefault="00E45123" w:rsidP="00E45123">
      <w:pPr>
        <w:suppressAutoHyphens w:val="0"/>
        <w:autoSpaceDE w:val="0"/>
        <w:adjustRightInd w:val="0"/>
        <w:spacing w:after="0" w:line="240" w:lineRule="auto"/>
        <w:textAlignment w:val="auto"/>
        <w:rPr>
          <w:rFonts w:eastAsia="Times New Roman" w:cs="Calibri"/>
          <w:bCs/>
          <w:color w:val="000000" w:themeColor="text1"/>
          <w:lang w:val="es-ES"/>
        </w:rPr>
      </w:pPr>
      <w:bookmarkStart w:id="5" w:name="_Hlk111726624"/>
      <w:r w:rsidRPr="0051340F">
        <w:rPr>
          <w:rFonts w:eastAsia="Times New Roman" w:cs="Calibri"/>
          <w:b/>
          <w:i/>
          <w:iCs/>
          <w:color w:val="000000" w:themeColor="text1"/>
          <w:lang w:val="es-ES"/>
        </w:rPr>
        <w:t xml:space="preserve">  </w:t>
      </w:r>
      <w:r w:rsidRPr="005A18C7">
        <w:rPr>
          <w:rFonts w:eastAsia="Times New Roman" w:cs="Calibri"/>
          <w:b/>
          <w:i/>
          <w:iCs/>
          <w:color w:val="000000" w:themeColor="text1"/>
          <w:lang w:val="es-ES"/>
        </w:rPr>
        <w:t>JUZGADO VEINTISIETE ADMINISTRATIVO DEL CIRCUITO DE BOGOTÁ D.C.</w:t>
      </w:r>
      <w:r>
        <w:rPr>
          <w:rFonts w:eastAsia="Times New Roman" w:cs="Calibri"/>
          <w:b/>
          <w:i/>
          <w:iCs/>
          <w:color w:val="000000" w:themeColor="text1"/>
          <w:lang w:val="es-ES"/>
        </w:rPr>
        <w:t xml:space="preserve"> </w:t>
      </w:r>
      <w:r w:rsidRPr="00EA56A4">
        <w:rPr>
          <w:rFonts w:eastAsia="Times New Roman" w:cs="Calibri"/>
          <w:bCs/>
          <w:color w:val="000000" w:themeColor="text1"/>
          <w:lang w:val="es-ES"/>
        </w:rPr>
        <w:t>GLORIA CHAPARRO PINILLA</w:t>
      </w:r>
    </w:p>
    <w:tbl>
      <w:tblPr>
        <w:tblW w:w="8828" w:type="dxa"/>
        <w:tblCellMar>
          <w:left w:w="10" w:type="dxa"/>
          <w:right w:w="10" w:type="dxa"/>
        </w:tblCellMar>
        <w:tblLook w:val="04A0" w:firstRow="1" w:lastRow="0" w:firstColumn="1" w:lastColumn="0" w:noHBand="0" w:noVBand="1"/>
      </w:tblPr>
      <w:tblGrid>
        <w:gridCol w:w="2263"/>
        <w:gridCol w:w="6565"/>
      </w:tblGrid>
      <w:tr w:rsidR="00E45123" w:rsidRPr="0051340F" w14:paraId="636A6831" w14:textId="77777777" w:rsidTr="001C6DE2">
        <w:tc>
          <w:tcPr>
            <w:tcW w:w="2263" w:type="dxa"/>
            <w:shd w:val="clear" w:color="auto" w:fill="auto"/>
            <w:tcMar>
              <w:top w:w="0" w:type="dxa"/>
              <w:left w:w="108" w:type="dxa"/>
              <w:bottom w:w="0" w:type="dxa"/>
              <w:right w:w="108" w:type="dxa"/>
            </w:tcMar>
          </w:tcPr>
          <w:p w14:paraId="0D4B247D" w14:textId="77777777" w:rsidR="00E45123" w:rsidRPr="0051340F" w:rsidRDefault="00E45123" w:rsidP="001C6DE2">
            <w:pPr>
              <w:spacing w:after="0" w:line="240" w:lineRule="auto"/>
              <w:textAlignment w:val="auto"/>
              <w:rPr>
                <w:rFonts w:eastAsia="Times New Roman" w:cs="Calibri"/>
                <w:bCs/>
                <w:color w:val="000000" w:themeColor="text1"/>
                <w:lang w:val="es-ES"/>
              </w:rPr>
            </w:pPr>
            <w:bookmarkStart w:id="6" w:name="_Hlk102997346"/>
            <w:r w:rsidRPr="0051340F">
              <w:rPr>
                <w:rFonts w:eastAsia="Times New Roman" w:cs="Calibri"/>
                <w:bCs/>
                <w:color w:val="000000" w:themeColor="text1"/>
                <w:lang w:val="es-ES"/>
              </w:rPr>
              <w:t>RADICADO:</w:t>
            </w:r>
          </w:p>
        </w:tc>
        <w:tc>
          <w:tcPr>
            <w:tcW w:w="6565" w:type="dxa"/>
            <w:shd w:val="clear" w:color="auto" w:fill="auto"/>
            <w:tcMar>
              <w:top w:w="0" w:type="dxa"/>
              <w:left w:w="108" w:type="dxa"/>
              <w:bottom w:w="0" w:type="dxa"/>
              <w:right w:w="108" w:type="dxa"/>
            </w:tcMar>
          </w:tcPr>
          <w:p w14:paraId="16C374F4" w14:textId="77777777" w:rsidR="00E45123" w:rsidRPr="0051340F" w:rsidRDefault="00E45123" w:rsidP="001C6DE2">
            <w:pPr>
              <w:suppressAutoHyphens w:val="0"/>
              <w:autoSpaceDE w:val="0"/>
              <w:adjustRightInd w:val="0"/>
              <w:spacing w:after="0" w:line="240" w:lineRule="auto"/>
              <w:textAlignment w:val="auto"/>
              <w:rPr>
                <w:rFonts w:eastAsia="Times New Roman" w:cs="Calibri"/>
                <w:bCs/>
                <w:color w:val="000000" w:themeColor="text1"/>
                <w:lang w:val="es-ES"/>
              </w:rPr>
            </w:pPr>
            <w:r w:rsidRPr="00EA56A4">
              <w:rPr>
                <w:rFonts w:eastAsia="Times New Roman" w:cs="Calibri"/>
                <w:bCs/>
                <w:color w:val="000000" w:themeColor="text1"/>
                <w:lang w:val="es-ES"/>
              </w:rPr>
              <w:t>2022-00221-00</w:t>
            </w:r>
          </w:p>
        </w:tc>
      </w:tr>
      <w:tr w:rsidR="00E45123" w:rsidRPr="0051340F" w14:paraId="249F0464" w14:textId="77777777" w:rsidTr="001C6DE2">
        <w:tc>
          <w:tcPr>
            <w:tcW w:w="2263" w:type="dxa"/>
            <w:shd w:val="clear" w:color="auto" w:fill="auto"/>
            <w:tcMar>
              <w:top w:w="0" w:type="dxa"/>
              <w:left w:w="108" w:type="dxa"/>
              <w:bottom w:w="0" w:type="dxa"/>
              <w:right w:w="108" w:type="dxa"/>
            </w:tcMar>
          </w:tcPr>
          <w:p w14:paraId="042BF872" w14:textId="77777777" w:rsidR="00E45123" w:rsidRPr="0051340F" w:rsidRDefault="00E45123" w:rsidP="001C6DE2">
            <w:pPr>
              <w:spacing w:after="0" w:line="240" w:lineRule="auto"/>
              <w:textAlignment w:val="auto"/>
              <w:rPr>
                <w:rFonts w:eastAsia="Times New Roman" w:cs="Calibri"/>
                <w:bCs/>
                <w:color w:val="000000" w:themeColor="text1"/>
                <w:lang w:val="es-ES"/>
              </w:rPr>
            </w:pPr>
            <w:r w:rsidRPr="0051340F">
              <w:rPr>
                <w:rFonts w:eastAsia="Times New Roman" w:cs="Calibri"/>
                <w:bCs/>
                <w:color w:val="000000" w:themeColor="text1"/>
                <w:lang w:val="es-ES"/>
              </w:rPr>
              <w:t>MEDIO DE CONTROL:</w:t>
            </w:r>
          </w:p>
        </w:tc>
        <w:tc>
          <w:tcPr>
            <w:tcW w:w="6565" w:type="dxa"/>
            <w:shd w:val="clear" w:color="auto" w:fill="auto"/>
            <w:tcMar>
              <w:top w:w="0" w:type="dxa"/>
              <w:left w:w="108" w:type="dxa"/>
              <w:bottom w:w="0" w:type="dxa"/>
              <w:right w:w="108" w:type="dxa"/>
            </w:tcMar>
          </w:tcPr>
          <w:p w14:paraId="25E6DC52" w14:textId="77777777" w:rsidR="00E45123" w:rsidRPr="0051340F" w:rsidRDefault="00E45123" w:rsidP="001C6DE2">
            <w:pPr>
              <w:spacing w:after="0" w:line="240" w:lineRule="auto"/>
              <w:textAlignment w:val="auto"/>
              <w:rPr>
                <w:rFonts w:eastAsia="Times New Roman" w:cs="Calibri"/>
                <w:bCs/>
                <w:color w:val="000000" w:themeColor="text1"/>
                <w:lang w:val="es-ES"/>
              </w:rPr>
            </w:pPr>
            <w:r w:rsidRPr="0051340F">
              <w:rPr>
                <w:rFonts w:eastAsia="Times New Roman" w:cs="Calibri"/>
                <w:bCs/>
                <w:color w:val="000000" w:themeColor="text1"/>
                <w:lang w:val="es-ES"/>
              </w:rPr>
              <w:t>NULIDAD Y RESTABLECIMIENTO DE DERECHO</w:t>
            </w:r>
          </w:p>
        </w:tc>
      </w:tr>
      <w:tr w:rsidR="00E45123" w:rsidRPr="0051340F" w14:paraId="507A5354" w14:textId="77777777" w:rsidTr="001C6DE2">
        <w:tc>
          <w:tcPr>
            <w:tcW w:w="2263" w:type="dxa"/>
            <w:shd w:val="clear" w:color="auto" w:fill="auto"/>
            <w:tcMar>
              <w:top w:w="0" w:type="dxa"/>
              <w:left w:w="108" w:type="dxa"/>
              <w:bottom w:w="0" w:type="dxa"/>
              <w:right w:w="108" w:type="dxa"/>
            </w:tcMar>
          </w:tcPr>
          <w:p w14:paraId="03783890" w14:textId="77777777" w:rsidR="00E45123" w:rsidRPr="0051340F" w:rsidRDefault="00E45123" w:rsidP="001C6DE2">
            <w:pPr>
              <w:spacing w:after="0" w:line="240" w:lineRule="auto"/>
              <w:textAlignment w:val="auto"/>
              <w:rPr>
                <w:rFonts w:eastAsia="Times New Roman" w:cs="Calibri"/>
                <w:bCs/>
                <w:color w:val="000000" w:themeColor="text1"/>
                <w:lang w:val="es-ES"/>
              </w:rPr>
            </w:pPr>
            <w:r w:rsidRPr="0051340F">
              <w:rPr>
                <w:rFonts w:eastAsia="Times New Roman" w:cs="Calibri"/>
                <w:bCs/>
                <w:color w:val="000000" w:themeColor="text1"/>
                <w:lang w:val="es-ES"/>
              </w:rPr>
              <w:t>DEMANDANTE</w:t>
            </w:r>
          </w:p>
        </w:tc>
        <w:tc>
          <w:tcPr>
            <w:tcW w:w="6565" w:type="dxa"/>
            <w:shd w:val="clear" w:color="auto" w:fill="auto"/>
            <w:tcMar>
              <w:top w:w="0" w:type="dxa"/>
              <w:left w:w="108" w:type="dxa"/>
              <w:bottom w:w="0" w:type="dxa"/>
              <w:right w:w="108" w:type="dxa"/>
            </w:tcMar>
          </w:tcPr>
          <w:p w14:paraId="361EA3AF" w14:textId="77777777" w:rsidR="00E45123" w:rsidRPr="0051340F" w:rsidRDefault="00E45123" w:rsidP="001C6DE2">
            <w:pPr>
              <w:suppressAutoHyphens w:val="0"/>
              <w:autoSpaceDE w:val="0"/>
              <w:adjustRightInd w:val="0"/>
              <w:spacing w:after="0" w:line="240" w:lineRule="auto"/>
              <w:textAlignment w:val="auto"/>
              <w:rPr>
                <w:rFonts w:eastAsia="Times New Roman" w:cs="Calibri"/>
                <w:bCs/>
                <w:color w:val="000000" w:themeColor="text1"/>
                <w:lang w:val="es-ES"/>
              </w:rPr>
            </w:pPr>
            <w:r w:rsidRPr="00EA56A4">
              <w:rPr>
                <w:rFonts w:eastAsia="Times New Roman" w:cs="Calibri"/>
                <w:bCs/>
                <w:color w:val="000000" w:themeColor="text1"/>
                <w:lang w:val="es-ES"/>
              </w:rPr>
              <w:t>GLORIA CHAPARRO PINILLA</w:t>
            </w:r>
          </w:p>
        </w:tc>
      </w:tr>
      <w:tr w:rsidR="00E45123" w:rsidRPr="0051340F" w14:paraId="0F1FD227" w14:textId="77777777" w:rsidTr="001C6DE2">
        <w:trPr>
          <w:trHeight w:val="496"/>
        </w:trPr>
        <w:tc>
          <w:tcPr>
            <w:tcW w:w="2263" w:type="dxa"/>
            <w:shd w:val="clear" w:color="auto" w:fill="auto"/>
            <w:tcMar>
              <w:top w:w="0" w:type="dxa"/>
              <w:left w:w="108" w:type="dxa"/>
              <w:bottom w:w="0" w:type="dxa"/>
              <w:right w:w="108" w:type="dxa"/>
            </w:tcMar>
          </w:tcPr>
          <w:p w14:paraId="7FDBA6C9" w14:textId="77777777" w:rsidR="00E45123" w:rsidRPr="0051340F" w:rsidRDefault="00E45123" w:rsidP="001C6DE2">
            <w:pPr>
              <w:spacing w:after="0" w:line="240" w:lineRule="auto"/>
              <w:textAlignment w:val="auto"/>
              <w:rPr>
                <w:rFonts w:eastAsia="Times New Roman" w:cs="Calibri"/>
                <w:bCs/>
                <w:color w:val="000000" w:themeColor="text1"/>
                <w:lang w:val="es-ES"/>
              </w:rPr>
            </w:pPr>
            <w:r w:rsidRPr="0051340F">
              <w:rPr>
                <w:rFonts w:eastAsia="Times New Roman" w:cs="Calibri"/>
                <w:bCs/>
                <w:color w:val="000000" w:themeColor="text1"/>
                <w:lang w:val="es-ES"/>
              </w:rPr>
              <w:t>DEMANDADO:</w:t>
            </w:r>
          </w:p>
        </w:tc>
        <w:tc>
          <w:tcPr>
            <w:tcW w:w="6565" w:type="dxa"/>
            <w:shd w:val="clear" w:color="auto" w:fill="auto"/>
            <w:tcMar>
              <w:top w:w="0" w:type="dxa"/>
              <w:left w:w="108" w:type="dxa"/>
              <w:bottom w:w="0" w:type="dxa"/>
              <w:right w:w="108" w:type="dxa"/>
            </w:tcMar>
          </w:tcPr>
          <w:p w14:paraId="289A7517" w14:textId="77777777" w:rsidR="00E45123" w:rsidRPr="005A18C7" w:rsidRDefault="00E45123" w:rsidP="001C6DE2">
            <w:pPr>
              <w:suppressAutoHyphens w:val="0"/>
              <w:autoSpaceDE w:val="0"/>
              <w:adjustRightInd w:val="0"/>
              <w:spacing w:after="0" w:line="240" w:lineRule="auto"/>
              <w:textAlignment w:val="auto"/>
              <w:rPr>
                <w:rFonts w:eastAsia="Times New Roman" w:cs="Calibri"/>
                <w:bCs/>
                <w:color w:val="000000" w:themeColor="text1"/>
                <w:lang w:val="es-ES"/>
              </w:rPr>
            </w:pPr>
            <w:r w:rsidRPr="005A18C7">
              <w:rPr>
                <w:rFonts w:eastAsia="Times New Roman" w:cs="Calibri"/>
                <w:bCs/>
                <w:color w:val="000000" w:themeColor="text1"/>
                <w:lang w:val="es-ES"/>
              </w:rPr>
              <w:t>LA NACIÓN-MINISTERIO DE EDUCACIÓN-FONDO NACIONAL DE</w:t>
            </w:r>
          </w:p>
          <w:p w14:paraId="488AC7CD" w14:textId="77777777" w:rsidR="00E45123" w:rsidRPr="0051340F" w:rsidRDefault="00E45123" w:rsidP="001C6DE2">
            <w:pPr>
              <w:suppressAutoHyphens w:val="0"/>
              <w:autoSpaceDE w:val="0"/>
              <w:adjustRightInd w:val="0"/>
              <w:spacing w:after="0" w:line="240" w:lineRule="auto"/>
              <w:textAlignment w:val="auto"/>
              <w:rPr>
                <w:rFonts w:eastAsia="Times New Roman" w:cs="Calibri"/>
                <w:bCs/>
                <w:color w:val="000000" w:themeColor="text1"/>
                <w:lang w:val="es-ES"/>
              </w:rPr>
            </w:pPr>
            <w:r w:rsidRPr="005A18C7">
              <w:rPr>
                <w:rFonts w:eastAsia="Times New Roman" w:cs="Calibri"/>
                <w:bCs/>
                <w:color w:val="000000" w:themeColor="text1"/>
                <w:lang w:val="es-ES"/>
              </w:rPr>
              <w:t>PRESTACIONES SOCIALES DEL MAGISTERIO Y DISTRITO CAPITAL DE BOGOTÁ-</w:t>
            </w:r>
            <w:r>
              <w:rPr>
                <w:rFonts w:eastAsia="Times New Roman" w:cs="Calibri"/>
                <w:bCs/>
                <w:color w:val="000000" w:themeColor="text1"/>
                <w:lang w:val="es-ES"/>
              </w:rPr>
              <w:t xml:space="preserve"> </w:t>
            </w:r>
            <w:r w:rsidRPr="005A18C7">
              <w:rPr>
                <w:rFonts w:eastAsia="Times New Roman" w:cs="Calibri"/>
                <w:bCs/>
                <w:color w:val="000000" w:themeColor="text1"/>
                <w:lang w:val="es-ES"/>
              </w:rPr>
              <w:t>SECRETARÍA DE EDUCACIÓN</w:t>
            </w:r>
            <w:r>
              <w:rPr>
                <w:rFonts w:eastAsia="Times New Roman" w:cs="Calibri"/>
                <w:bCs/>
                <w:color w:val="000000" w:themeColor="text1"/>
                <w:lang w:val="es-ES"/>
              </w:rPr>
              <w:t xml:space="preserve"> </w:t>
            </w:r>
            <w:r w:rsidRPr="005A18C7">
              <w:rPr>
                <w:rFonts w:eastAsia="Times New Roman" w:cs="Calibri"/>
                <w:bCs/>
                <w:color w:val="000000" w:themeColor="text1"/>
                <w:lang w:val="es-ES"/>
              </w:rPr>
              <w:t>VINCULADA: LA FIDUCIARIA LA PREVISORA S.A.</w:t>
            </w:r>
          </w:p>
        </w:tc>
      </w:tr>
    </w:tbl>
    <w:bookmarkEnd w:id="1"/>
    <w:bookmarkEnd w:id="2"/>
    <w:bookmarkEnd w:id="3"/>
    <w:bookmarkEnd w:id="4"/>
    <w:bookmarkEnd w:id="5"/>
    <w:bookmarkEnd w:id="6"/>
    <w:p w14:paraId="52CDCB01" w14:textId="77777777" w:rsidR="00E45123" w:rsidRPr="00D7183A" w:rsidRDefault="00E45123" w:rsidP="00E45123">
      <w:pPr>
        <w:spacing w:after="0" w:line="240" w:lineRule="auto"/>
        <w:jc w:val="both"/>
        <w:rPr>
          <w:rFonts w:asciiTheme="minorHAnsi" w:eastAsia="Times New Roman" w:hAnsiTheme="minorHAnsi" w:cstheme="minorHAnsi"/>
          <w:bCs/>
          <w:lang w:val="es-ES"/>
        </w:rPr>
      </w:pPr>
      <w:r w:rsidRPr="00D7183A">
        <w:rPr>
          <w:rFonts w:asciiTheme="minorHAnsi" w:eastAsia="Times New Roman" w:hAnsiTheme="minorHAnsi" w:cstheme="minorHAnsi"/>
          <w:bCs/>
          <w:lang w:val="es-ES"/>
        </w:rPr>
        <w:t>Respetado Doctor (a),</w:t>
      </w:r>
    </w:p>
    <w:p w14:paraId="3BF1BEFA" w14:textId="77777777" w:rsidR="00E45123" w:rsidRPr="00D7183A" w:rsidRDefault="00E45123" w:rsidP="00E45123">
      <w:pPr>
        <w:spacing w:after="0" w:line="240" w:lineRule="auto"/>
        <w:jc w:val="both"/>
        <w:rPr>
          <w:rFonts w:asciiTheme="minorHAnsi" w:eastAsia="Times New Roman" w:hAnsiTheme="minorHAnsi" w:cstheme="minorHAnsi"/>
          <w:bCs/>
          <w:lang w:val="es-ES"/>
        </w:rPr>
      </w:pPr>
      <w:r w:rsidRPr="00D7183A">
        <w:rPr>
          <w:rFonts w:asciiTheme="minorHAnsi" w:hAnsiTheme="minorHAnsi" w:cstheme="minorHAnsi"/>
          <w:lang w:val="es-ES"/>
        </w:rPr>
        <w:t xml:space="preserve">En atención a la solicitud allegada a este Fondo a través del correo electrónico de notificaciones electrónicas </w:t>
      </w:r>
      <w:hyperlink r:id="rId5" w:history="1">
        <w:r w:rsidRPr="00D7183A">
          <w:rPr>
            <w:rStyle w:val="Hipervnculo"/>
            <w:rFonts w:asciiTheme="minorHAnsi" w:hAnsiTheme="minorHAnsi" w:cstheme="minorHAnsi"/>
            <w:lang w:val="es-ES"/>
          </w:rPr>
          <w:t>Notjudiciales@fiduprevisora.com.co</w:t>
        </w:r>
      </w:hyperlink>
      <w:r w:rsidRPr="00D7183A">
        <w:rPr>
          <w:rFonts w:asciiTheme="minorHAnsi" w:hAnsiTheme="minorHAnsi" w:cstheme="minorHAnsi"/>
          <w:lang w:val="es-ES"/>
        </w:rPr>
        <w:t xml:space="preserve">, </w:t>
      </w:r>
      <w:r w:rsidRPr="00D7183A">
        <w:rPr>
          <w:rFonts w:asciiTheme="minorHAnsi" w:eastAsia="Times New Roman" w:hAnsiTheme="minorHAnsi" w:cstheme="minorHAnsi"/>
          <w:bCs/>
          <w:lang w:val="es-ES"/>
        </w:rPr>
        <w:t>mediante el cual requirió:</w:t>
      </w:r>
    </w:p>
    <w:p w14:paraId="44385FF3" w14:textId="77777777" w:rsidR="00E45123" w:rsidRPr="005A18C7" w:rsidRDefault="00E45123" w:rsidP="00E45123">
      <w:pPr>
        <w:suppressAutoHyphens w:val="0"/>
        <w:autoSpaceDE w:val="0"/>
        <w:adjustRightInd w:val="0"/>
        <w:spacing w:after="0" w:line="240" w:lineRule="auto"/>
        <w:jc w:val="both"/>
        <w:textAlignment w:val="auto"/>
        <w:rPr>
          <w:rFonts w:asciiTheme="minorHAnsi" w:eastAsiaTheme="minorHAnsi" w:hAnsiTheme="minorHAnsi" w:cstheme="minorHAnsi"/>
          <w:color w:val="000000"/>
        </w:rPr>
      </w:pPr>
      <w:r w:rsidRPr="005A18C7">
        <w:rPr>
          <w:rFonts w:asciiTheme="minorHAnsi" w:eastAsiaTheme="minorHAnsi" w:hAnsiTheme="minorHAnsi" w:cstheme="minorHAnsi"/>
          <w:color w:val="000000"/>
        </w:rPr>
        <w:t>“2. Solicito se oficie al MINISTERIO DE EDUCACIÓN NACIONAL, para que se sirva certificar</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de mi mandante que labora en DISTRITO CAPITAL-SECRETARÍA DE EDUCACIÓN DE</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BOGOTÁ, la fecha exacta en la que consignó las cesantías que corresponden al trabajo</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realizado como docente oficial al servicio de esta entidad territorial durante la vigencia del año</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2020 en el Fomag, y el valor especifico pagado por este concepto en esa fecha, así mismo la</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siguiente información:</w:t>
      </w:r>
    </w:p>
    <w:p w14:paraId="41C5D308" w14:textId="77777777" w:rsidR="00E45123" w:rsidRPr="005A18C7" w:rsidRDefault="00E45123" w:rsidP="00E45123">
      <w:pPr>
        <w:suppressAutoHyphens w:val="0"/>
        <w:autoSpaceDE w:val="0"/>
        <w:adjustRightInd w:val="0"/>
        <w:spacing w:after="0" w:line="240" w:lineRule="auto"/>
        <w:jc w:val="both"/>
        <w:textAlignment w:val="auto"/>
        <w:rPr>
          <w:rFonts w:asciiTheme="minorHAnsi" w:eastAsiaTheme="minorHAnsi" w:hAnsiTheme="minorHAnsi" w:cstheme="minorHAnsi"/>
          <w:color w:val="000000"/>
        </w:rPr>
      </w:pPr>
      <w:r w:rsidRPr="005A18C7">
        <w:rPr>
          <w:rFonts w:asciiTheme="minorHAnsi" w:eastAsiaTheme="minorHAnsi" w:hAnsiTheme="minorHAnsi" w:cstheme="minorHAnsi"/>
          <w:color w:val="000000"/>
        </w:rPr>
        <w:t>A. Así mismo, sírvase expedir copia de la constancia de la respectiva transacción -</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consignación, que fue realizada de manera individual o conjunta que corresponda al concepto</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de cesantía de la vigencia laborada 2020, a favor del docente que aparece como demandante</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en el FONDO PRESTACIONAL DEL MAGISTERIO – FOMAG.</w:t>
      </w:r>
    </w:p>
    <w:p w14:paraId="5D3DA702" w14:textId="77777777" w:rsidR="00E45123" w:rsidRDefault="00E45123" w:rsidP="00E45123">
      <w:pPr>
        <w:suppressAutoHyphens w:val="0"/>
        <w:autoSpaceDE w:val="0"/>
        <w:adjustRightInd w:val="0"/>
        <w:spacing w:after="0" w:line="240" w:lineRule="auto"/>
        <w:jc w:val="both"/>
        <w:textAlignment w:val="auto"/>
        <w:rPr>
          <w:rFonts w:asciiTheme="minorHAnsi" w:eastAsiaTheme="minorHAnsi" w:hAnsiTheme="minorHAnsi" w:cstheme="minorHAnsi"/>
          <w:color w:val="000000"/>
        </w:rPr>
      </w:pPr>
      <w:r w:rsidRPr="005A18C7">
        <w:rPr>
          <w:rFonts w:asciiTheme="minorHAnsi" w:eastAsiaTheme="minorHAnsi" w:hAnsiTheme="minorHAnsi" w:cstheme="minorHAnsi"/>
          <w:color w:val="000000"/>
        </w:rPr>
        <w:t>B. Sírvase indicar la fecha exacta en la cual fueron cancelados los intereses a las cesantías</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sobre el monto acumulado de esta prestación, que le corresponden al docente solicitante, así</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como el valor cancelado, y que incluye el valor de las cesantías que fueron causadas y</w:t>
      </w:r>
      <w:r>
        <w:rPr>
          <w:rFonts w:asciiTheme="minorHAnsi" w:eastAsiaTheme="minorHAnsi" w:hAnsiTheme="minorHAnsi" w:cstheme="minorHAnsi"/>
          <w:color w:val="000000"/>
        </w:rPr>
        <w:t xml:space="preserve"> </w:t>
      </w:r>
      <w:r w:rsidRPr="005A18C7">
        <w:rPr>
          <w:rFonts w:asciiTheme="minorHAnsi" w:eastAsiaTheme="minorHAnsi" w:hAnsiTheme="minorHAnsi" w:cstheme="minorHAnsi"/>
          <w:color w:val="000000"/>
        </w:rPr>
        <w:t>acumuladas hasta el año 2020”.</w:t>
      </w:r>
    </w:p>
    <w:p w14:paraId="213CCE0C" w14:textId="77777777" w:rsidR="00E45123" w:rsidRPr="00451740" w:rsidRDefault="00E45123" w:rsidP="00E45123">
      <w:pPr>
        <w:suppressAutoHyphens w:val="0"/>
        <w:autoSpaceDE w:val="0"/>
        <w:adjustRightInd w:val="0"/>
        <w:spacing w:after="0" w:line="240" w:lineRule="auto"/>
        <w:jc w:val="both"/>
        <w:textAlignment w:val="auto"/>
        <w:rPr>
          <w:rFonts w:asciiTheme="minorHAnsi" w:eastAsiaTheme="minorHAnsi" w:hAnsiTheme="minorHAnsi" w:cstheme="minorHAnsi"/>
          <w:color w:val="000000"/>
          <w:lang w:val="es-ES"/>
        </w:rPr>
      </w:pPr>
      <w:r w:rsidRPr="00D7183A">
        <w:rPr>
          <w:rFonts w:asciiTheme="minorHAnsi" w:hAnsiTheme="minorHAnsi" w:cstheme="minorHAnsi"/>
          <w:lang w:val="es-ES"/>
        </w:rPr>
        <w:t>Por lo anterior dando respuesta al requerimiento se remite la siguiente documentación:</w:t>
      </w:r>
      <w:bookmarkStart w:id="7" w:name="_Hlk113883046"/>
    </w:p>
    <w:p w14:paraId="34B95F6D" w14:textId="77777777" w:rsidR="00E45123" w:rsidRPr="0051340F" w:rsidRDefault="00E45123" w:rsidP="00E45123">
      <w:pPr>
        <w:pStyle w:val="Prrafodelista"/>
        <w:numPr>
          <w:ilvl w:val="0"/>
          <w:numId w:val="1"/>
        </w:numPr>
        <w:jc w:val="both"/>
        <w:rPr>
          <w:rFonts w:asciiTheme="minorHAnsi" w:hAnsiTheme="minorHAnsi" w:cstheme="minorHAnsi"/>
          <w:color w:val="000000" w:themeColor="text1"/>
        </w:rPr>
      </w:pPr>
      <w:bookmarkStart w:id="8" w:name="_Hlk135056046"/>
      <w:r w:rsidRPr="0051340F">
        <w:rPr>
          <w:rFonts w:asciiTheme="minorHAnsi" w:hAnsiTheme="minorHAnsi" w:cstheme="minorHAnsi"/>
          <w:color w:val="000000" w:themeColor="text1"/>
        </w:rPr>
        <w:t xml:space="preserve">Respecto al punto </w:t>
      </w:r>
      <w:r>
        <w:rPr>
          <w:rFonts w:asciiTheme="minorHAnsi" w:hAnsiTheme="minorHAnsi" w:cstheme="minorHAnsi"/>
          <w:color w:val="000000" w:themeColor="text1"/>
        </w:rPr>
        <w:t>2</w:t>
      </w:r>
      <w:r w:rsidRPr="0051340F">
        <w:rPr>
          <w:rFonts w:asciiTheme="minorHAnsi" w:hAnsiTheme="minorHAnsi" w:cstheme="minorHAnsi"/>
          <w:color w:val="000000" w:themeColor="text1"/>
        </w:rPr>
        <w:t xml:space="preserve"> y A) Se adjunta certificado de afiliación y </w:t>
      </w:r>
      <w:r w:rsidRPr="0051340F">
        <w:rPr>
          <w:rFonts w:asciiTheme="minorHAnsi" w:hAnsiTheme="minorHAnsi" w:cstheme="minorHAnsi"/>
          <w:color w:val="000000" w:themeColor="text1"/>
          <w:lang w:val="es-ES"/>
        </w:rPr>
        <w:t xml:space="preserve">certificación de ingreso de recursos por aporte de </w:t>
      </w:r>
      <w:proofErr w:type="gramStart"/>
      <w:r w:rsidRPr="0051340F">
        <w:rPr>
          <w:rFonts w:asciiTheme="minorHAnsi" w:hAnsiTheme="minorHAnsi" w:cstheme="minorHAnsi"/>
          <w:color w:val="000000" w:themeColor="text1"/>
          <w:lang w:val="es-ES"/>
        </w:rPr>
        <w:t>cesantías,  en</w:t>
      </w:r>
      <w:proofErr w:type="gramEnd"/>
      <w:r w:rsidRPr="0051340F">
        <w:rPr>
          <w:rFonts w:asciiTheme="minorHAnsi" w:hAnsiTheme="minorHAnsi" w:cstheme="minorHAnsi"/>
          <w:color w:val="000000" w:themeColor="text1"/>
          <w:lang w:val="es-ES"/>
        </w:rPr>
        <w:t xml:space="preserve"> la cual se detalla el ingreso de los recursos, así mismo se certifica que los recursos ingresan en forma global y no individual, dado el marco jurídico aplicable a los educadores afiliados al FOMAG</w:t>
      </w:r>
    </w:p>
    <w:p w14:paraId="468EB3DC" w14:textId="77777777" w:rsidR="00E45123" w:rsidRDefault="00E45123" w:rsidP="00E45123">
      <w:pPr>
        <w:spacing w:before="100" w:after="100"/>
        <w:jc w:val="both"/>
      </w:pPr>
      <w:r w:rsidRPr="0051340F">
        <w:rPr>
          <w:rFonts w:cs="Calibri"/>
          <w:color w:val="000000" w:themeColor="text1"/>
          <w:lang w:val="es-ES"/>
        </w:rPr>
        <w:t xml:space="preserve">Para dar claridad al procedimiento del flujo de recursos, es necesario precisar que el Fondo Nacional de Prestaciones Sociales del Magisterio recibe la totalidad </w:t>
      </w:r>
      <w:r>
        <w:rPr>
          <w:rFonts w:cs="Calibri"/>
          <w:lang w:val="es-ES"/>
        </w:rPr>
        <w:t>de los recursos para el pago de las cesantías y de los intereses a las cesantías, de acuerdo con las apropiaciones incorporadas y aprobados en la Ley del Presupuesto General de la Nación para cada año fiscal, en cabeza de la sección presupuestal correspondiente al Ministerio de Educación Nacional, presupuesto que es detallado por el Decreto de Liquidación del presupuesto para cada vigencia</w:t>
      </w:r>
      <w:r>
        <w:rPr>
          <w:rFonts w:cs="Calibri"/>
        </w:rPr>
        <w:t>, “</w:t>
      </w:r>
      <w:r>
        <w:rPr>
          <w:rFonts w:cs="Calibri"/>
          <w:i/>
          <w:iCs/>
          <w:lang w:val="es-ES"/>
        </w:rPr>
        <w:t>Por el cual se liquida el Presupuesto General de la Nación para la vigencia fiscal, se detallan las apropiaciones y se clasifican y definen los gastos</w:t>
      </w:r>
      <w:r>
        <w:rPr>
          <w:rFonts w:cs="Calibri"/>
          <w:i/>
          <w:iCs/>
        </w:rPr>
        <w:t>"</w:t>
      </w:r>
      <w:r>
        <w:rPr>
          <w:rFonts w:cs="Calibri"/>
        </w:rPr>
        <w:t xml:space="preserve">. </w:t>
      </w:r>
    </w:p>
    <w:p w14:paraId="6B96E1E6" w14:textId="77777777" w:rsidR="00E45123" w:rsidRDefault="00E45123" w:rsidP="00E45123">
      <w:pPr>
        <w:spacing w:before="100" w:after="100"/>
        <w:jc w:val="both"/>
        <w:rPr>
          <w:rFonts w:cs="Calibri"/>
          <w:lang w:val="es-ES"/>
        </w:rPr>
      </w:pPr>
      <w:r>
        <w:rPr>
          <w:rFonts w:cs="Calibri"/>
          <w:lang w:val="es-ES"/>
        </w:rPr>
        <w:t xml:space="preserve">El flujo de recursos derivado del presupuesto aprobado para el Fomag durante la vigencia se realiza mediante la elaboración del Programa Anual Mensualizado de Caja, que se somete a consideración del Ministerio de Educación Nacional. Estos recursos son girados por dicho Ministerio de manera global, e incorpora a todas las secretarias de educación, con periodicidad mensual durante todo el </w:t>
      </w:r>
      <w:r>
        <w:rPr>
          <w:rFonts w:cs="Calibri"/>
          <w:lang w:val="es-ES"/>
        </w:rPr>
        <w:lastRenderedPageBreak/>
        <w:t>año, lo que aplica al rubro de cesantías, y con ellos el Fondo procede al pago de las cesantías y los intereses a las cesantías.</w:t>
      </w:r>
    </w:p>
    <w:p w14:paraId="166532BD" w14:textId="77777777" w:rsidR="00E45123" w:rsidRDefault="00E45123" w:rsidP="00E45123">
      <w:pPr>
        <w:spacing w:before="100" w:after="100"/>
        <w:jc w:val="both"/>
        <w:rPr>
          <w:rFonts w:cs="Calibri"/>
          <w:lang w:val="es-ES"/>
        </w:rPr>
      </w:pPr>
      <w:r>
        <w:rPr>
          <w:rFonts w:cs="Calibri"/>
          <w:lang w:val="es-ES"/>
        </w:rPr>
        <w:t>Cabe señalar que los recursos para el pago de las cesantías provienen de la Nación y del Sistema General de Participaciones para el Sector Educación, que es asignado y girado al Fomag por el Ministerio de Educación Nacional, entidad que cuenta con la información de la nómina de salarios de los docentes afiliados al Fondo.</w:t>
      </w:r>
    </w:p>
    <w:p w14:paraId="43582BA4" w14:textId="77777777" w:rsidR="00E45123" w:rsidRDefault="00E45123" w:rsidP="00E45123">
      <w:pPr>
        <w:spacing w:before="100" w:after="100"/>
        <w:jc w:val="both"/>
      </w:pPr>
      <w:r>
        <w:rPr>
          <w:rFonts w:cs="Calibri"/>
          <w:lang w:val="es-ES"/>
        </w:rPr>
        <w:t>En razón a lo señalado, y dado el marco jurídico especial aplicable al Fondo, la entidad territorial no es quién gira los recursos para el pago de las cesantías de cada docente, en tanto que, como se señaló, los recursos son girados al Fondo por el Ministerio de Educación Nacional, en el marco del Sistema General de Participaciones para Educación.</w:t>
      </w:r>
    </w:p>
    <w:p w14:paraId="288F0826" w14:textId="77777777" w:rsidR="00E45123" w:rsidRDefault="00E45123" w:rsidP="00E45123">
      <w:pPr>
        <w:jc w:val="both"/>
        <w:rPr>
          <w:rFonts w:cs="Calibri"/>
        </w:rPr>
      </w:pPr>
      <w:r>
        <w:rPr>
          <w:rFonts w:cs="Calibri"/>
        </w:rPr>
        <w:t>Es preciso resaltar que al Fondo Nacional de Prestaciones Social del Magisterio no le aplican las disposiciones de la Ley 50 de 1990 y que no tiene la naturaleza de un Fondo Privado de Cesantías</w:t>
      </w:r>
    </w:p>
    <w:p w14:paraId="12385DEB" w14:textId="77777777" w:rsidR="00E45123" w:rsidRDefault="00E45123" w:rsidP="00E45123">
      <w:pPr>
        <w:jc w:val="both"/>
      </w:pPr>
      <w:r>
        <w:rPr>
          <w:rFonts w:cs="Calibri"/>
          <w:color w:val="000000"/>
        </w:rPr>
        <w:t>Así mismo s</w:t>
      </w:r>
      <w:r w:rsidRPr="009F4227">
        <w:rPr>
          <w:rFonts w:cs="Calibri"/>
          <w:color w:val="000000"/>
        </w:rPr>
        <w:t xml:space="preserve">e informa que el Ministerio de Educación Nacional mes a mes realiza el giro de los recursos del SGP incluyendo el aporte de cesantías (8,33%) hacia el Fondo Nacional de Prestaciones Sociales del Magisterio, teniendo como base las nóminas causadas en cada Secretaria de Educación a través del Sistema Humano en Linea, información que puede ser consultada a través del link </w:t>
      </w:r>
      <w:hyperlink r:id="rId6" w:history="1">
        <w:r w:rsidRPr="009F4227">
          <w:rPr>
            <w:rStyle w:val="Hipervnculo"/>
            <w:rFonts w:cs="Calibri"/>
          </w:rPr>
          <w:t>https://www.mineducacion.gov.co/portal/micrositios-institucionales/Presupuesto/Giros-Sistema-General-de-Participaciones-SGP/</w:t>
        </w:r>
      </w:hyperlink>
      <w:r w:rsidRPr="009F4227">
        <w:rPr>
          <w:rFonts w:cs="Calibri"/>
        </w:rPr>
        <w:t xml:space="preserve">  </w:t>
      </w:r>
      <w:r w:rsidRPr="009F4227">
        <w:rPr>
          <w:rFonts w:cs="Calibri"/>
          <w:color w:val="000000"/>
        </w:rPr>
        <w:t>Una vez se recibe el giro se realiza el registro del mismo en los estados financieros del FNPSM.</w:t>
      </w:r>
    </w:p>
    <w:p w14:paraId="1777B81F" w14:textId="77777777" w:rsidR="00E45123" w:rsidRPr="0051340F" w:rsidRDefault="00E45123" w:rsidP="00E45123">
      <w:pPr>
        <w:pStyle w:val="Default"/>
        <w:numPr>
          <w:ilvl w:val="0"/>
          <w:numId w:val="2"/>
        </w:numPr>
        <w:jc w:val="both"/>
        <w:rPr>
          <w:rFonts w:asciiTheme="minorHAnsi" w:hAnsiTheme="minorHAnsi" w:cstheme="minorHAnsi"/>
          <w:color w:val="000000" w:themeColor="text1"/>
          <w:sz w:val="22"/>
          <w:szCs w:val="22"/>
        </w:rPr>
      </w:pPr>
      <w:bookmarkStart w:id="9" w:name="_Hlk135229017"/>
      <w:r w:rsidRPr="0051340F">
        <w:rPr>
          <w:rFonts w:asciiTheme="minorHAnsi" w:hAnsiTheme="minorHAnsi" w:cstheme="minorHAnsi"/>
          <w:color w:val="000000" w:themeColor="text1"/>
          <w:sz w:val="22"/>
          <w:szCs w:val="22"/>
        </w:rPr>
        <w:t xml:space="preserve">Respecto al punto B) Se adjunta extracto de pagos de intereses a las cesantías en el mismo   se reflejan los reportes de cesantías que anualmente remiten las Entidades territoriales certificadas para el pago de intereses, así como los valores programados a favor del </w:t>
      </w:r>
      <w:proofErr w:type="gramStart"/>
      <w:r w:rsidRPr="0051340F">
        <w:rPr>
          <w:rFonts w:asciiTheme="minorHAnsi" w:hAnsiTheme="minorHAnsi" w:cstheme="minorHAnsi"/>
          <w:color w:val="000000" w:themeColor="text1"/>
          <w:sz w:val="22"/>
          <w:szCs w:val="22"/>
        </w:rPr>
        <w:t>educador  por</w:t>
      </w:r>
      <w:proofErr w:type="gramEnd"/>
      <w:r w:rsidRPr="0051340F">
        <w:rPr>
          <w:rFonts w:asciiTheme="minorHAnsi" w:hAnsiTheme="minorHAnsi" w:cstheme="minorHAnsi"/>
          <w:color w:val="000000" w:themeColor="text1"/>
          <w:sz w:val="22"/>
          <w:szCs w:val="22"/>
        </w:rPr>
        <w:t xml:space="preserve"> concepto de intereses  a las cesantías  así como también  la fecha  de las  nóminas en  las cuales se incluyó los mencionados pagos</w:t>
      </w:r>
    </w:p>
    <w:p w14:paraId="66DF3621" w14:textId="77777777" w:rsidR="00E45123" w:rsidRPr="0051340F" w:rsidRDefault="00E45123" w:rsidP="00E45123">
      <w:pPr>
        <w:pStyle w:val="Prrafodelista"/>
        <w:autoSpaceDE w:val="0"/>
        <w:spacing w:after="160" w:line="242" w:lineRule="auto"/>
        <w:jc w:val="both"/>
        <w:rPr>
          <w:rFonts w:cs="Arial"/>
          <w:color w:val="000000" w:themeColor="text1"/>
        </w:rPr>
      </w:pPr>
      <w:r w:rsidRPr="0051340F">
        <w:rPr>
          <w:rFonts w:asciiTheme="minorHAnsi" w:hAnsiTheme="minorHAnsi" w:cstheme="minorHAnsi"/>
          <w:color w:val="000000" w:themeColor="text1"/>
        </w:rPr>
        <w:t>No obstante, se informa lo siguiente respecto</w:t>
      </w:r>
      <w:r w:rsidRPr="0051340F">
        <w:rPr>
          <w:rFonts w:cs="Arial"/>
          <w:color w:val="000000" w:themeColor="text1"/>
        </w:rPr>
        <w:t xml:space="preserve"> del pago de los intereses a las cesantías año 2020:</w:t>
      </w:r>
    </w:p>
    <w:p w14:paraId="1C2C8B06" w14:textId="77777777" w:rsidR="00E45123" w:rsidRPr="0051340F" w:rsidRDefault="00E45123" w:rsidP="00E45123">
      <w:pPr>
        <w:pStyle w:val="Prrafodelista"/>
        <w:autoSpaceDE w:val="0"/>
        <w:spacing w:after="160" w:line="242" w:lineRule="auto"/>
        <w:jc w:val="both"/>
        <w:rPr>
          <w:rFonts w:cs="Arial"/>
          <w:color w:val="000000" w:themeColor="text1"/>
        </w:rPr>
      </w:pPr>
      <w:r w:rsidRPr="0051340F">
        <w:rPr>
          <w:rFonts w:cs="Arial"/>
          <w:color w:val="000000" w:themeColor="text1"/>
        </w:rPr>
        <w:t>Fecha de pago de intereses a las cesantías: 31 de marzo de 2021</w:t>
      </w:r>
    </w:p>
    <w:p w14:paraId="73DE2265" w14:textId="77777777" w:rsidR="00E45123" w:rsidRPr="0051340F" w:rsidRDefault="00E45123" w:rsidP="00E45123">
      <w:pPr>
        <w:pStyle w:val="Prrafodelista"/>
        <w:autoSpaceDE w:val="0"/>
        <w:spacing w:after="160" w:line="242" w:lineRule="auto"/>
        <w:jc w:val="both"/>
        <w:rPr>
          <w:rFonts w:cs="Arial"/>
          <w:color w:val="000000" w:themeColor="text1"/>
        </w:rPr>
      </w:pPr>
      <w:r w:rsidRPr="0051340F">
        <w:rPr>
          <w:rFonts w:cs="Arial"/>
          <w:color w:val="000000" w:themeColor="text1"/>
        </w:rPr>
        <w:t xml:space="preserve">Valor pagado                                                      </w:t>
      </w:r>
      <w:r w:rsidRPr="00EA56A4">
        <w:rPr>
          <w:rFonts w:cs="Arial"/>
          <w:color w:val="000000" w:themeColor="text1"/>
        </w:rPr>
        <w:t xml:space="preserve"> </w:t>
      </w:r>
      <w:r w:rsidRPr="00A8051E">
        <w:rPr>
          <w:rFonts w:cs="Arial"/>
          <w:color w:val="000000" w:themeColor="text1"/>
        </w:rPr>
        <w:t xml:space="preserve">    $643,917.00</w:t>
      </w:r>
    </w:p>
    <w:p w14:paraId="2BDA65E4" w14:textId="77777777" w:rsidR="00E45123" w:rsidRPr="0051340F" w:rsidRDefault="00E45123" w:rsidP="00E45123">
      <w:pPr>
        <w:spacing w:before="100" w:after="100"/>
        <w:ind w:left="708"/>
        <w:jc w:val="both"/>
        <w:rPr>
          <w:color w:val="000000" w:themeColor="text1"/>
        </w:rPr>
      </w:pPr>
      <w:r w:rsidRPr="0051340F">
        <w:rPr>
          <w:color w:val="000000" w:themeColor="text1"/>
        </w:rPr>
        <w:t>Frente a esta solicitud me permito informar que los intereses a las cesantías que paga el Fondo Nacional de Prestaciones Sociales del Magisterio cada año al educador, son aquellos liquidados en virtud de lo dispuesto en el literal b) del numeral 3 del artículo 15 de la ley 91 de 1989 y el Acuerdo 39 de 1998, norma reguladora del régimen excepcional docente.</w:t>
      </w:r>
    </w:p>
    <w:p w14:paraId="7483B690" w14:textId="77777777" w:rsidR="00E45123" w:rsidRPr="0051340F" w:rsidRDefault="00E45123" w:rsidP="00E45123">
      <w:pPr>
        <w:spacing w:before="100" w:after="100"/>
        <w:ind w:left="708"/>
        <w:jc w:val="both"/>
        <w:rPr>
          <w:color w:val="000000" w:themeColor="text1"/>
          <w:lang w:val="es-MX"/>
        </w:rPr>
      </w:pPr>
      <w:r w:rsidRPr="0051340F">
        <w:rPr>
          <w:color w:val="000000" w:themeColor="text1"/>
          <w:lang w:val="es-MX"/>
        </w:rPr>
        <w:t xml:space="preserve">El literal b) del numeral 3° del artículo 15 de la Ley 91 de 1989, contempla el reconocimiento y pago para los docentes vinculados al Fondo Nacional de Prestaciones Sociales del Magisterio, de un interés anual sobre el saldo de cesantías que estos posean a 31 </w:t>
      </w:r>
      <w:proofErr w:type="gramStart"/>
      <w:r w:rsidRPr="0051340F">
        <w:rPr>
          <w:color w:val="000000" w:themeColor="text1"/>
          <w:lang w:val="es-MX"/>
        </w:rPr>
        <w:t>de  diciembre</w:t>
      </w:r>
      <w:proofErr w:type="gramEnd"/>
      <w:r w:rsidRPr="0051340F">
        <w:rPr>
          <w:color w:val="000000" w:themeColor="text1"/>
          <w:lang w:val="es-MX"/>
        </w:rPr>
        <w:t xml:space="preserve"> de cada año, igual a la tasa comercial promedio de captación del sistema financiero del último año, que se liquidará anualmente y sin ninguna retroactividad, respecto a las cesantías generadas a partir de 1990.</w:t>
      </w:r>
    </w:p>
    <w:p w14:paraId="7BFFB13D" w14:textId="77777777" w:rsidR="00E45123" w:rsidRPr="0051340F" w:rsidRDefault="00E45123" w:rsidP="00E45123">
      <w:pPr>
        <w:spacing w:before="100" w:after="100"/>
        <w:ind w:left="708"/>
        <w:jc w:val="both"/>
        <w:rPr>
          <w:color w:val="000000" w:themeColor="text1"/>
        </w:rPr>
      </w:pPr>
      <w:r w:rsidRPr="0051340F">
        <w:rPr>
          <w:color w:val="000000" w:themeColor="text1"/>
          <w:lang w:val="es-MX"/>
        </w:rPr>
        <w:lastRenderedPageBreak/>
        <w:t xml:space="preserve">A su vez, y desarrollando lo establecido en la normatividad señalada anteriormente, el artículo cuarto del Acuerdo 39 de 1998 establece: </w:t>
      </w:r>
      <w:r w:rsidRPr="0051340F">
        <w:rPr>
          <w:i/>
          <w:color w:val="000000" w:themeColor="text1"/>
          <w:lang w:val="es-MX"/>
        </w:rPr>
        <w:t xml:space="preserve">¨… El Fondo Nacional de Prestaciones Sociales del Magisterio realizara el pago de los intereses en el mes de marzo, a los docentes cuya información haya sido remitida a la Entidad Fiduciaria que administra los recursos de Fondo a más tardar </w:t>
      </w:r>
      <w:proofErr w:type="gramStart"/>
      <w:r w:rsidRPr="0051340F">
        <w:rPr>
          <w:i/>
          <w:color w:val="000000" w:themeColor="text1"/>
          <w:lang w:val="es-MX"/>
        </w:rPr>
        <w:t>el  cinco</w:t>
      </w:r>
      <w:proofErr w:type="gramEnd"/>
      <w:r w:rsidRPr="0051340F">
        <w:rPr>
          <w:i/>
          <w:color w:val="000000" w:themeColor="text1"/>
          <w:lang w:val="es-MX"/>
        </w:rPr>
        <w:t xml:space="preserve"> (05) de febrero de cada año  y en el mes de mayo a los docentes cuya información haya sido remitida a la entidad Fiduciaria en el periodo comprendido entre el 06 de febrero  y el quince (15) de marzo  de cada año.  En los casos en que la Entidad Territorial reporte la información con posterioridad a esta fecha la Entidad Fiduciaria programara pagos posteriores...”</w:t>
      </w:r>
    </w:p>
    <w:p w14:paraId="1B3F65FA" w14:textId="77777777" w:rsidR="00E45123" w:rsidRPr="0051340F" w:rsidRDefault="00E45123" w:rsidP="00E45123">
      <w:pPr>
        <w:spacing w:before="100" w:after="100"/>
        <w:ind w:left="708"/>
        <w:jc w:val="both"/>
        <w:rPr>
          <w:color w:val="000000" w:themeColor="text1"/>
          <w:lang w:val="es-MX"/>
        </w:rPr>
      </w:pPr>
      <w:r w:rsidRPr="0051340F">
        <w:rPr>
          <w:color w:val="000000" w:themeColor="text1"/>
          <w:lang w:val="es-MX"/>
        </w:rPr>
        <w:t>Como complemento de lo anterior, es preciso indicar que el marco normativo del régimen excepcional docente conformado por la ley 91 de 1989, el Decreto 3135 de 1968, el Decreto 3118 de 1968 y demás decretos reglamentarios, no contemplan la posibilidad de pagar intereses sobre intereses, sanciones o indemnizaciones respecto a los desembolsos sobre los intereses a las cesantías, como tampoco la aplicabilidad directa o por analogía de las disposiciones legales que rigen las relaciones individuales de los trabajadores particulares.</w:t>
      </w:r>
    </w:p>
    <w:p w14:paraId="6A37E230" w14:textId="77777777" w:rsidR="00E45123" w:rsidRPr="0051340F" w:rsidRDefault="00E45123" w:rsidP="00E45123">
      <w:pPr>
        <w:spacing w:before="100" w:after="100"/>
        <w:ind w:left="708"/>
        <w:jc w:val="both"/>
        <w:rPr>
          <w:color w:val="000000" w:themeColor="text1"/>
          <w:lang w:val="es-MX"/>
        </w:rPr>
      </w:pPr>
      <w:r w:rsidRPr="0051340F">
        <w:rPr>
          <w:color w:val="000000" w:themeColor="text1"/>
          <w:lang w:val="es-MX"/>
        </w:rPr>
        <w:t>Adicionalmente a lo anterior, es pertinente mencionar que la sentencia del Consejo de Estado del 24 de enero de 2019 radicado 76001233100020090086701 no dio lugar al reconocimiento de sanción alguna por los intereses de las cesantias bajo el sistema normativo contemplado en la ley 50 de 1990, norma que se reitera no es aplicable al régimen excepcional de los docentes. Es más, en dicho pronunciamiento el organo de cierre de lo Contencioso Administrativo deja en claro que el personal docente afiliado a FOMAG esta cubierto bajo un régimen especial en el cual se incluye un sistema único de cesantías e intereses sobre esta prestación.</w:t>
      </w:r>
    </w:p>
    <w:p w14:paraId="7CED3861" w14:textId="77777777" w:rsidR="00E45123" w:rsidRPr="0051340F" w:rsidRDefault="00E45123" w:rsidP="00E45123">
      <w:pPr>
        <w:spacing w:before="100" w:after="100"/>
        <w:ind w:left="708"/>
        <w:jc w:val="both"/>
        <w:rPr>
          <w:color w:val="000000" w:themeColor="text1"/>
          <w:lang w:val="es-MX"/>
        </w:rPr>
      </w:pPr>
      <w:r w:rsidRPr="0051340F">
        <w:rPr>
          <w:color w:val="000000" w:themeColor="text1"/>
          <w:lang w:val="es-MX"/>
        </w:rPr>
        <w:t xml:space="preserve">La liquidación y pago de intereses a las cesantias se encuentran regulados por la ley 91 de 1989 y desarrollado su trámite por el Acuerdo 39 de 1998, disposiciones vigentes aplicables a los afiliados al FOMAG. </w:t>
      </w:r>
    </w:p>
    <w:p w14:paraId="3398E57D" w14:textId="77777777" w:rsidR="00E45123" w:rsidRDefault="00E45123" w:rsidP="00E45123">
      <w:pPr>
        <w:pStyle w:val="Prrafodelista"/>
        <w:jc w:val="both"/>
        <w:rPr>
          <w:color w:val="000000" w:themeColor="text1"/>
        </w:rPr>
      </w:pPr>
      <w:r w:rsidRPr="0051340F">
        <w:rPr>
          <w:color w:val="000000" w:themeColor="text1"/>
        </w:rPr>
        <w:t xml:space="preserve">Se adjunta </w:t>
      </w:r>
      <w:proofErr w:type="gramStart"/>
      <w:r w:rsidRPr="0051340F">
        <w:rPr>
          <w:color w:val="000000" w:themeColor="text1"/>
        </w:rPr>
        <w:t>Acuerdo  39</w:t>
      </w:r>
      <w:proofErr w:type="gramEnd"/>
      <w:r w:rsidRPr="0051340F">
        <w:rPr>
          <w:color w:val="000000" w:themeColor="text1"/>
        </w:rPr>
        <w:t xml:space="preserve"> de 1998 expedido  por CONSEJO DIRECTIVO DEL FONDO NACIONAL</w:t>
      </w:r>
    </w:p>
    <w:p w14:paraId="0BA8B6D1" w14:textId="77777777" w:rsidR="00E45123" w:rsidRPr="00E117F0" w:rsidRDefault="00E45123" w:rsidP="00E45123">
      <w:pPr>
        <w:pStyle w:val="Prrafodelista"/>
        <w:jc w:val="both"/>
        <w:rPr>
          <w:rFonts w:eastAsia="Times New Roman" w:cs="Calibri"/>
          <w:bCs/>
          <w:lang w:val="es-ES"/>
        </w:rPr>
      </w:pPr>
      <w:bookmarkStart w:id="10" w:name="_Hlk127182174"/>
      <w:bookmarkStart w:id="11" w:name="_Hlk132382158"/>
      <w:r w:rsidRPr="00E117F0">
        <w:rPr>
          <w:lang w:val="es-MX"/>
        </w:rPr>
        <w:t>Se adjunta radicado</w:t>
      </w:r>
      <w:r>
        <w:t xml:space="preserve"> </w:t>
      </w:r>
      <w:r w:rsidRPr="00A8051E">
        <w:t>20210173373181</w:t>
      </w:r>
      <w:r>
        <w:t xml:space="preserve"> </w:t>
      </w:r>
      <w:r w:rsidRPr="00E117F0">
        <w:rPr>
          <w:lang w:val="es-MX"/>
        </w:rPr>
        <w:t>mediante el cual se dio respuesta al demandante en lo que respecta la solicitud SANCIÓN POR MORA DEL ARTÍCULO 99 DE LA LEY 50 DE 1990</w:t>
      </w:r>
      <w:bookmarkEnd w:id="10"/>
    </w:p>
    <w:p w14:paraId="627A3190" w14:textId="77777777" w:rsidR="00E45123" w:rsidRPr="0051340F" w:rsidRDefault="00E45123" w:rsidP="00E45123">
      <w:pPr>
        <w:ind w:left="360"/>
        <w:jc w:val="both"/>
        <w:rPr>
          <w:rFonts w:eastAsia="Times New Roman" w:cs="Calibri"/>
          <w:bCs/>
          <w:color w:val="000000" w:themeColor="text1"/>
          <w:lang w:val="es-ES"/>
        </w:rPr>
      </w:pPr>
      <w:bookmarkStart w:id="12" w:name="_Hlk135054779"/>
      <w:bookmarkEnd w:id="7"/>
      <w:bookmarkEnd w:id="8"/>
      <w:bookmarkEnd w:id="9"/>
      <w:bookmarkEnd w:id="11"/>
      <w:r w:rsidRPr="0051340F">
        <w:rPr>
          <w:rFonts w:eastAsia="Times New Roman" w:cs="Calibri"/>
          <w:bCs/>
          <w:color w:val="000000" w:themeColor="text1"/>
          <w:lang w:val="es-ES"/>
        </w:rPr>
        <w:t xml:space="preserve">Esta comunicación no tiene el carácter de acto administrativo por cuanto la </w:t>
      </w:r>
      <w:r w:rsidRPr="0051340F">
        <w:rPr>
          <w:rFonts w:cs="Calibri"/>
          <w:color w:val="000000" w:themeColor="text1"/>
        </w:rPr>
        <w:t>Fiduprevisora S.A.</w:t>
      </w:r>
      <w:r w:rsidRPr="0051340F">
        <w:rPr>
          <w:rFonts w:cs="Calibri"/>
          <w:b/>
          <w:color w:val="000000" w:themeColor="text1"/>
        </w:rPr>
        <w:t xml:space="preserve"> </w:t>
      </w:r>
      <w:r w:rsidRPr="0051340F">
        <w:rPr>
          <w:rFonts w:eastAsia="Times New Roman" w:cs="Calibri"/>
          <w:bCs/>
          <w:color w:val="000000" w:themeColor="text1"/>
          <w:lang w:val="es-ES"/>
        </w:rPr>
        <w:t>no tiene competencia para expedirlos, solamente obra en calidad de administradora de los recursos del Fondo Nacional de Prestaciones Sociales del Magisterio.</w:t>
      </w:r>
    </w:p>
    <w:p w14:paraId="04CC3FA7" w14:textId="77777777" w:rsidR="00E45123" w:rsidRPr="0051340F" w:rsidRDefault="00E45123" w:rsidP="00E45123">
      <w:pPr>
        <w:spacing w:after="0" w:line="240" w:lineRule="auto"/>
        <w:jc w:val="both"/>
        <w:rPr>
          <w:color w:val="000000" w:themeColor="text1"/>
        </w:rPr>
      </w:pPr>
      <w:r w:rsidRPr="0051340F">
        <w:rPr>
          <w:rFonts w:eastAsia="Times New Roman" w:cs="Calibri"/>
          <w:bCs/>
          <w:color w:val="000000" w:themeColor="text1"/>
          <w:lang w:val="es-ES"/>
        </w:rPr>
        <w:t xml:space="preserve">       Lo anterior, para su conocimiento y trámite legal pertinente. </w:t>
      </w:r>
    </w:p>
    <w:bookmarkEnd w:id="0"/>
    <w:bookmarkEnd w:id="12"/>
    <w:p w14:paraId="2C4165DD" w14:textId="77777777" w:rsidR="005279B7" w:rsidRDefault="005279B7"/>
    <w:sectPr w:rsidR="005279B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34EF3"/>
    <w:multiLevelType w:val="multilevel"/>
    <w:tmpl w:val="EDFA51F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763E0B57"/>
    <w:multiLevelType w:val="hybridMultilevel"/>
    <w:tmpl w:val="7AF692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716316532">
    <w:abstractNumId w:val="0"/>
  </w:num>
  <w:num w:numId="2" w16cid:durableId="1466393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AA9"/>
    <w:rsid w:val="005279B7"/>
    <w:rsid w:val="00E45123"/>
    <w:rsid w:val="00EC2AA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F2233E-0ABC-4E14-9C44-958CC1F22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23"/>
    <w:pPr>
      <w:suppressAutoHyphens/>
      <w:autoSpaceDN w:val="0"/>
      <w:spacing w:after="200" w:line="276" w:lineRule="auto"/>
      <w:textAlignment w:val="baseline"/>
    </w:pPr>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E45123"/>
    <w:rPr>
      <w:color w:val="0000FF"/>
      <w:u w:val="single"/>
    </w:rPr>
  </w:style>
  <w:style w:type="paragraph" w:styleId="Prrafodelista">
    <w:name w:val="List Paragraph"/>
    <w:basedOn w:val="Normal"/>
    <w:qFormat/>
    <w:rsid w:val="00E45123"/>
    <w:pPr>
      <w:ind w:left="720"/>
    </w:pPr>
  </w:style>
  <w:style w:type="paragraph" w:styleId="Textoindependiente2">
    <w:name w:val="Body Text 2"/>
    <w:basedOn w:val="Normal"/>
    <w:link w:val="Textoindependiente2Car"/>
    <w:rsid w:val="00E45123"/>
    <w:pPr>
      <w:suppressAutoHyphens w:val="0"/>
      <w:spacing w:after="120" w:line="480" w:lineRule="auto"/>
      <w:textAlignment w:val="auto"/>
    </w:pPr>
  </w:style>
  <w:style w:type="character" w:customStyle="1" w:styleId="Textoindependiente2Car">
    <w:name w:val="Texto independiente 2 Car"/>
    <w:basedOn w:val="Fuentedeprrafopredeter"/>
    <w:link w:val="Textoindependiente2"/>
    <w:rsid w:val="00E45123"/>
    <w:rPr>
      <w:rFonts w:ascii="Calibri" w:eastAsia="Calibri" w:hAnsi="Calibri" w:cs="Times New Roman"/>
    </w:rPr>
  </w:style>
  <w:style w:type="paragraph" w:customStyle="1" w:styleId="Default">
    <w:name w:val="Default"/>
    <w:rsid w:val="00E4512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neducacion.gov.co/portal/micrositios-institucionales/Presupuesto/Giros-Sistema-General-de-Participaciones-SGP/" TargetMode="External"/><Relationship Id="rId5" Type="http://schemas.openxmlformats.org/officeDocument/2006/relationships/hyperlink" Target="mailto:Notjudiciales@fiduprevisora.com.c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1419</Words>
  <Characters>7808</Characters>
  <Application>Microsoft Office Word</Application>
  <DocSecurity>0</DocSecurity>
  <Lines>65</Lines>
  <Paragraphs>18</Paragraphs>
  <ScaleCrop>false</ScaleCrop>
  <Company/>
  <LinksUpToDate>false</LinksUpToDate>
  <CharactersWithSpaces>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Soto Nieto Leidy Johana</dc:creator>
  <cp:keywords/>
  <dc:description/>
  <cp:lastModifiedBy>Soto Nieto Leidy Johana</cp:lastModifiedBy>
  <cp:revision>2</cp:revision>
  <dcterms:created xsi:type="dcterms:W3CDTF">2023-06-29T22:35:00Z</dcterms:created>
  <dcterms:modified xsi:type="dcterms:W3CDTF">2023-06-29T22:35:00Z</dcterms:modified>
</cp:coreProperties>
</file>