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690"/>
        <w:tblW w:w="8827" w:type="dxa"/>
        <w:tblLayout w:type="fixed"/>
        <w:tblCellMar>
          <w:left w:w="70" w:type="dxa"/>
          <w:right w:w="70" w:type="dxa"/>
        </w:tblCellMar>
        <w:tblLook w:val="01E0" w:firstRow="1" w:lastRow="1" w:firstColumn="1" w:lastColumn="1" w:noHBand="0" w:noVBand="0"/>
      </w:tblPr>
      <w:tblGrid>
        <w:gridCol w:w="1668"/>
        <w:gridCol w:w="7159"/>
      </w:tblGrid>
      <w:tr w:rsidR="005E6171" w:rsidRPr="005E6171" w:rsidTr="008B4C5D">
        <w:tc>
          <w:tcPr>
            <w:tcW w:w="1668" w:type="dxa"/>
            <w:hideMark/>
          </w:tcPr>
          <w:p w:rsidR="005E6171" w:rsidRPr="005E6171" w:rsidRDefault="005E6171" w:rsidP="005E6171">
            <w:pPr>
              <w:widowControl w:val="0"/>
              <w:tabs>
                <w:tab w:val="center" w:pos="4419"/>
                <w:tab w:val="right" w:pos="8838"/>
              </w:tabs>
              <w:rPr>
                <w:rFonts w:asciiTheme="minorHAnsi" w:hAnsiTheme="minorHAnsi"/>
                <w:sz w:val="22"/>
                <w:szCs w:val="22"/>
                <w:lang w:eastAsia="en-US"/>
              </w:rPr>
            </w:pPr>
            <w:r w:rsidRPr="005E6171">
              <w:rPr>
                <w:rFonts w:asciiTheme="minorHAnsi" w:hAnsiTheme="minorHAnsi"/>
                <w:noProof/>
                <w:sz w:val="22"/>
                <w:szCs w:val="22"/>
                <w:lang w:val="es-ES"/>
              </w:rPr>
              <w:drawing>
                <wp:inline distT="0" distB="0" distL="0" distR="0">
                  <wp:extent cx="1009650" cy="914400"/>
                  <wp:effectExtent l="0" t="0" r="0" b="0"/>
                  <wp:docPr id="1" name="Imagen 1" descr="Descripción: Descripción: Escudo de Colombia Rama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 de Colombia Rama Judicial"/>
                          <pic:cNvPicPr>
                            <a:picLocks noChangeAspect="1" noChangeArrowheads="1"/>
                          </pic:cNvPicPr>
                        </pic:nvPicPr>
                        <pic:blipFill>
                          <a:blip r:embed="rId7" cstate="print">
                            <a:lum bright="-12000" contrast="30000"/>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inline>
              </w:drawing>
            </w:r>
          </w:p>
        </w:tc>
        <w:tc>
          <w:tcPr>
            <w:tcW w:w="7159" w:type="dxa"/>
            <w:vAlign w:val="center"/>
            <w:hideMark/>
          </w:tcPr>
          <w:p w:rsidR="005E6171" w:rsidRPr="005E6171" w:rsidRDefault="005E6171" w:rsidP="005E6171">
            <w:pPr>
              <w:widowControl w:val="0"/>
              <w:tabs>
                <w:tab w:val="center" w:pos="4419"/>
                <w:tab w:val="right" w:pos="8838"/>
              </w:tabs>
              <w:rPr>
                <w:rFonts w:asciiTheme="minorHAnsi" w:hAnsiTheme="minorHAnsi" w:cs="Arial"/>
                <w:b/>
                <w:sz w:val="22"/>
                <w:szCs w:val="22"/>
                <w:lang w:eastAsia="en-US"/>
              </w:rPr>
            </w:pPr>
            <w:r w:rsidRPr="005E6171">
              <w:rPr>
                <w:rFonts w:asciiTheme="minorHAnsi" w:hAnsiTheme="minorHAnsi" w:cs="Arial"/>
                <w:b/>
                <w:sz w:val="22"/>
                <w:szCs w:val="22"/>
                <w:lang w:eastAsia="en-US"/>
              </w:rPr>
              <w:t xml:space="preserve">  </w:t>
            </w:r>
          </w:p>
          <w:p w:rsidR="005E6171" w:rsidRPr="005E6171" w:rsidRDefault="005E6171" w:rsidP="005E6171">
            <w:pPr>
              <w:widowControl w:val="0"/>
              <w:tabs>
                <w:tab w:val="center" w:pos="4419"/>
                <w:tab w:val="right" w:pos="8838"/>
              </w:tabs>
              <w:jc w:val="center"/>
              <w:rPr>
                <w:rFonts w:asciiTheme="minorHAnsi" w:hAnsiTheme="minorHAnsi" w:cs="Arial"/>
                <w:b/>
                <w:sz w:val="22"/>
                <w:szCs w:val="22"/>
                <w:lang w:eastAsia="en-US"/>
              </w:rPr>
            </w:pPr>
            <w:r w:rsidRPr="005E6171">
              <w:rPr>
                <w:rFonts w:asciiTheme="minorHAnsi" w:hAnsiTheme="minorHAnsi" w:cs="Arial"/>
                <w:b/>
                <w:sz w:val="22"/>
                <w:szCs w:val="22"/>
                <w:lang w:eastAsia="en-US"/>
              </w:rPr>
              <w:t>JUZGADO DIECISIETE (17) ADMINISTRATIVO ORAL DE BOGOTÁ</w:t>
            </w:r>
          </w:p>
          <w:p w:rsidR="005E6171" w:rsidRPr="005E6171" w:rsidRDefault="005E6171" w:rsidP="005E6171">
            <w:pPr>
              <w:widowControl w:val="0"/>
              <w:tabs>
                <w:tab w:val="center" w:pos="4419"/>
                <w:tab w:val="right" w:pos="8838"/>
              </w:tabs>
              <w:jc w:val="center"/>
              <w:rPr>
                <w:rFonts w:asciiTheme="minorHAnsi" w:hAnsiTheme="minorHAnsi"/>
                <w:b/>
                <w:color w:val="FF0000"/>
                <w:sz w:val="22"/>
                <w:szCs w:val="22"/>
                <w:lang w:eastAsia="en-US"/>
              </w:rPr>
            </w:pPr>
            <w:r w:rsidRPr="005E6171">
              <w:rPr>
                <w:rFonts w:asciiTheme="minorHAnsi" w:hAnsiTheme="minorHAnsi" w:cs="Arial"/>
                <w:b/>
                <w:sz w:val="22"/>
                <w:szCs w:val="22"/>
                <w:lang w:eastAsia="en-US"/>
              </w:rPr>
              <w:t>- SECCIÓN SEGUNDA -</w:t>
            </w:r>
          </w:p>
        </w:tc>
      </w:tr>
    </w:tbl>
    <w:p w:rsidR="005E6171" w:rsidRPr="005E6171" w:rsidRDefault="005E6171" w:rsidP="005E6171">
      <w:pPr>
        <w:pBdr>
          <w:bottom w:val="thickThinSmallGap" w:sz="24" w:space="3" w:color="622423"/>
        </w:pBdr>
        <w:tabs>
          <w:tab w:val="center" w:pos="4252"/>
          <w:tab w:val="right" w:pos="8504"/>
        </w:tabs>
        <w:rPr>
          <w:rFonts w:asciiTheme="minorHAnsi" w:hAnsiTheme="minorHAnsi"/>
          <w:b/>
          <w:bCs/>
          <w:color w:val="F25D22"/>
          <w:sz w:val="22"/>
          <w:szCs w:val="22"/>
          <w:lang w:val="es-CO" w:eastAsia="en-US"/>
        </w:rPr>
      </w:pPr>
    </w:p>
    <w:p w:rsidR="005E6171" w:rsidRPr="005E6171" w:rsidRDefault="005E6171" w:rsidP="005E6171">
      <w:pPr>
        <w:jc w:val="both"/>
        <w:rPr>
          <w:rFonts w:asciiTheme="minorHAnsi" w:hAnsiTheme="minorHAnsi" w:cs="Arial"/>
          <w:sz w:val="22"/>
          <w:szCs w:val="22"/>
          <w:lang w:eastAsia="en-US"/>
        </w:rPr>
      </w:pPr>
      <w:r w:rsidRPr="005E6171">
        <w:rPr>
          <w:rFonts w:asciiTheme="minorHAnsi" w:hAnsiTheme="minorHAnsi" w:cs="Arial"/>
          <w:sz w:val="22"/>
          <w:szCs w:val="22"/>
          <w:lang w:eastAsia="en-US"/>
        </w:rPr>
        <w:t xml:space="preserve">Bogotá, D.C.,  </w:t>
      </w:r>
      <w:r w:rsidRPr="005E6171">
        <w:rPr>
          <w:rFonts w:asciiTheme="minorHAnsi" w:hAnsiTheme="minorHAnsi" w:cs="Arial"/>
          <w:sz w:val="22"/>
          <w:szCs w:val="22"/>
          <w:lang w:eastAsia="en-US"/>
        </w:rPr>
        <w:tab/>
      </w:r>
      <w:r w:rsidRPr="005E6171">
        <w:rPr>
          <w:rFonts w:asciiTheme="minorHAnsi" w:hAnsiTheme="minorHAnsi" w:cs="Arial"/>
          <w:sz w:val="22"/>
          <w:szCs w:val="22"/>
          <w:lang w:eastAsia="en-US"/>
        </w:rPr>
        <w:tab/>
      </w:r>
      <w:r w:rsidRPr="005E6171">
        <w:rPr>
          <w:rFonts w:asciiTheme="minorHAnsi" w:hAnsiTheme="minorHAnsi" w:cs="Arial"/>
          <w:sz w:val="22"/>
          <w:szCs w:val="22"/>
          <w:lang w:eastAsia="en-US"/>
        </w:rPr>
        <w:tab/>
      </w:r>
      <w:r w:rsidRPr="005E6171">
        <w:rPr>
          <w:rFonts w:asciiTheme="minorHAnsi" w:hAnsiTheme="minorHAnsi" w:cs="Arial"/>
          <w:sz w:val="22"/>
          <w:szCs w:val="22"/>
          <w:lang w:eastAsia="en-US"/>
        </w:rPr>
        <w:tab/>
      </w:r>
      <w:r w:rsidRPr="005E6171">
        <w:rPr>
          <w:rFonts w:asciiTheme="minorHAnsi" w:hAnsiTheme="minorHAnsi" w:cs="Arial"/>
          <w:sz w:val="22"/>
          <w:szCs w:val="22"/>
          <w:lang w:eastAsia="en-US"/>
        </w:rPr>
        <w:tab/>
      </w:r>
      <w:r w:rsidRPr="005E6171">
        <w:rPr>
          <w:rFonts w:asciiTheme="minorHAnsi" w:hAnsiTheme="minorHAnsi" w:cs="Arial"/>
          <w:sz w:val="22"/>
          <w:szCs w:val="22"/>
          <w:lang w:eastAsia="en-US"/>
        </w:rPr>
        <w:tab/>
        <w:t xml:space="preserve">                                    Auto</w:t>
      </w:r>
      <w:r w:rsidR="00E85C07">
        <w:rPr>
          <w:rFonts w:asciiTheme="minorHAnsi" w:hAnsiTheme="minorHAnsi" w:cs="Arial"/>
          <w:sz w:val="22"/>
          <w:szCs w:val="22"/>
          <w:lang w:eastAsia="en-US"/>
        </w:rPr>
        <w:t xml:space="preserve"> interlocutorio</w:t>
      </w:r>
      <w:r w:rsidRPr="005E6171">
        <w:rPr>
          <w:rFonts w:asciiTheme="minorHAnsi" w:hAnsiTheme="minorHAnsi" w:cs="Arial"/>
          <w:sz w:val="22"/>
          <w:szCs w:val="22"/>
          <w:lang w:eastAsia="en-US"/>
        </w:rPr>
        <w:t>:</w:t>
      </w:r>
    </w:p>
    <w:p w:rsidR="005E6171" w:rsidRDefault="005E6171" w:rsidP="005E6171">
      <w:pPr>
        <w:jc w:val="center"/>
        <w:rPr>
          <w:rFonts w:asciiTheme="minorHAnsi" w:hAnsiTheme="minorHAnsi" w:cs="Arial"/>
          <w:b/>
          <w:sz w:val="22"/>
          <w:szCs w:val="22"/>
          <w:lang w:eastAsia="en-US"/>
        </w:rPr>
      </w:pPr>
      <w:r w:rsidRPr="005E6171">
        <w:rPr>
          <w:rFonts w:asciiTheme="minorHAnsi" w:hAnsiTheme="minorHAnsi" w:cs="Arial"/>
          <w:b/>
          <w:sz w:val="22"/>
          <w:szCs w:val="22"/>
          <w:lang w:eastAsia="en-US"/>
        </w:rPr>
        <w:t>INCIDENTE DE DESACATO</w:t>
      </w:r>
    </w:p>
    <w:p w:rsidR="0028178E" w:rsidRPr="005E6171" w:rsidRDefault="0028178E" w:rsidP="005E6171">
      <w:pPr>
        <w:jc w:val="center"/>
        <w:rPr>
          <w:rFonts w:asciiTheme="minorHAnsi" w:hAnsiTheme="minorHAnsi" w:cs="Arial"/>
          <w:b/>
          <w:sz w:val="22"/>
          <w:szCs w:val="22"/>
          <w:lang w:eastAsia="en-US"/>
        </w:rPr>
      </w:pPr>
    </w:p>
    <w:tbl>
      <w:tblPr>
        <w:tblW w:w="8941" w:type="dxa"/>
        <w:jc w:val="center"/>
        <w:tblLayout w:type="fixed"/>
        <w:tblCellMar>
          <w:left w:w="70" w:type="dxa"/>
          <w:right w:w="70" w:type="dxa"/>
        </w:tblCellMar>
        <w:tblLook w:val="01E0" w:firstRow="1" w:lastRow="1" w:firstColumn="1" w:lastColumn="1" w:noHBand="0" w:noVBand="0"/>
      </w:tblPr>
      <w:tblGrid>
        <w:gridCol w:w="3129"/>
        <w:gridCol w:w="5812"/>
      </w:tblGrid>
      <w:tr w:rsidR="005E6171" w:rsidRPr="005E6171" w:rsidTr="008B4C5D">
        <w:trPr>
          <w:trHeight w:val="260"/>
          <w:jc w:val="center"/>
        </w:trPr>
        <w:tc>
          <w:tcPr>
            <w:tcW w:w="3129" w:type="dxa"/>
            <w:hideMark/>
          </w:tcPr>
          <w:p w:rsidR="005E6171" w:rsidRPr="005E6171" w:rsidRDefault="005E6171" w:rsidP="005E6171">
            <w:pPr>
              <w:ind w:left="1598"/>
              <w:rPr>
                <w:rFonts w:asciiTheme="minorHAnsi" w:hAnsiTheme="minorHAnsi" w:cs="Arial"/>
                <w:b/>
                <w:sz w:val="22"/>
                <w:szCs w:val="22"/>
                <w:lang w:eastAsia="en-US"/>
              </w:rPr>
            </w:pPr>
            <w:r w:rsidRPr="005E6171">
              <w:rPr>
                <w:rFonts w:asciiTheme="minorHAnsi" w:hAnsiTheme="minorHAnsi" w:cs="Arial"/>
                <w:b/>
                <w:sz w:val="22"/>
                <w:szCs w:val="22"/>
                <w:lang w:eastAsia="en-US"/>
              </w:rPr>
              <w:t xml:space="preserve"> Expediente:</w:t>
            </w:r>
          </w:p>
        </w:tc>
        <w:tc>
          <w:tcPr>
            <w:tcW w:w="5812" w:type="dxa"/>
            <w:hideMark/>
          </w:tcPr>
          <w:p w:rsidR="005E6171" w:rsidRPr="005E6171" w:rsidRDefault="005E6171" w:rsidP="003E73A1">
            <w:pPr>
              <w:jc w:val="both"/>
              <w:rPr>
                <w:rFonts w:asciiTheme="minorHAnsi" w:hAnsiTheme="minorHAnsi" w:cs="Arial"/>
                <w:b/>
                <w:sz w:val="22"/>
                <w:szCs w:val="22"/>
                <w:lang w:eastAsia="en-US"/>
              </w:rPr>
            </w:pPr>
            <w:r w:rsidRPr="005E6171">
              <w:rPr>
                <w:rFonts w:asciiTheme="minorHAnsi" w:hAnsiTheme="minorHAnsi" w:cs="Arial"/>
                <w:sz w:val="22"/>
                <w:szCs w:val="22"/>
              </w:rPr>
              <w:t>110013335-017-</w:t>
            </w:r>
            <w:r w:rsidR="003E73A1">
              <w:rPr>
                <w:rFonts w:asciiTheme="minorHAnsi" w:hAnsiTheme="minorHAnsi" w:cs="Arial"/>
                <w:b/>
                <w:sz w:val="22"/>
                <w:szCs w:val="22"/>
              </w:rPr>
              <w:t>2016</w:t>
            </w:r>
            <w:r w:rsidR="001D6DF9">
              <w:rPr>
                <w:rFonts w:asciiTheme="minorHAnsi" w:hAnsiTheme="minorHAnsi" w:cs="Arial"/>
                <w:b/>
                <w:sz w:val="22"/>
                <w:szCs w:val="22"/>
              </w:rPr>
              <w:t>-00</w:t>
            </w:r>
            <w:r w:rsidR="003E73A1">
              <w:rPr>
                <w:rFonts w:asciiTheme="minorHAnsi" w:hAnsiTheme="minorHAnsi" w:cs="Arial"/>
                <w:b/>
                <w:sz w:val="22"/>
                <w:szCs w:val="22"/>
              </w:rPr>
              <w:t>119</w:t>
            </w:r>
            <w:r w:rsidRPr="005E6171">
              <w:rPr>
                <w:rFonts w:asciiTheme="minorHAnsi" w:hAnsiTheme="minorHAnsi" w:cs="Arial"/>
                <w:b/>
                <w:sz w:val="22"/>
                <w:szCs w:val="22"/>
              </w:rPr>
              <w:t>-00</w:t>
            </w:r>
          </w:p>
        </w:tc>
      </w:tr>
      <w:tr w:rsidR="005E6171" w:rsidRPr="005E6171" w:rsidTr="008B4C5D">
        <w:trPr>
          <w:trHeight w:val="274"/>
          <w:jc w:val="center"/>
        </w:trPr>
        <w:tc>
          <w:tcPr>
            <w:tcW w:w="3129" w:type="dxa"/>
            <w:hideMark/>
          </w:tcPr>
          <w:p w:rsidR="005E6171" w:rsidRPr="005E6171" w:rsidRDefault="005E6171" w:rsidP="005E6171">
            <w:pPr>
              <w:suppressAutoHyphens/>
              <w:ind w:left="1528"/>
              <w:jc w:val="both"/>
              <w:rPr>
                <w:rFonts w:asciiTheme="minorHAnsi" w:hAnsiTheme="minorHAnsi" w:cs="Arial"/>
                <w:b/>
                <w:sz w:val="22"/>
                <w:szCs w:val="22"/>
                <w:lang w:val="es-CO" w:eastAsia="en-US"/>
              </w:rPr>
            </w:pPr>
            <w:r w:rsidRPr="005E6171">
              <w:rPr>
                <w:rFonts w:asciiTheme="minorHAnsi" w:hAnsiTheme="minorHAnsi" w:cs="Arial"/>
                <w:b/>
                <w:sz w:val="22"/>
                <w:szCs w:val="22"/>
              </w:rPr>
              <w:t xml:space="preserve">  Accionante:</w:t>
            </w:r>
          </w:p>
        </w:tc>
        <w:tc>
          <w:tcPr>
            <w:tcW w:w="5812" w:type="dxa"/>
            <w:hideMark/>
          </w:tcPr>
          <w:p w:rsidR="005E6171" w:rsidRPr="005E6171" w:rsidRDefault="003E73A1" w:rsidP="005E6171">
            <w:pPr>
              <w:suppressAutoHyphens/>
              <w:jc w:val="both"/>
              <w:rPr>
                <w:rFonts w:asciiTheme="minorHAnsi" w:hAnsiTheme="minorHAnsi" w:cs="Arial"/>
                <w:sz w:val="22"/>
                <w:szCs w:val="22"/>
                <w:lang w:val="es-CO" w:eastAsia="en-US"/>
              </w:rPr>
            </w:pPr>
            <w:r>
              <w:rPr>
                <w:rFonts w:asciiTheme="minorHAnsi" w:hAnsiTheme="minorHAnsi" w:cs="Arial"/>
                <w:sz w:val="22"/>
                <w:szCs w:val="22"/>
                <w:lang w:val="es-CO" w:eastAsia="en-US"/>
              </w:rPr>
              <w:t>Winston Ávila Tabares actuando como agente oficioso de Islen Tabares</w:t>
            </w:r>
          </w:p>
        </w:tc>
      </w:tr>
      <w:tr w:rsidR="005E6171" w:rsidRPr="005E6171" w:rsidTr="008B4C5D">
        <w:trPr>
          <w:trHeight w:val="580"/>
          <w:jc w:val="center"/>
        </w:trPr>
        <w:tc>
          <w:tcPr>
            <w:tcW w:w="3129" w:type="dxa"/>
            <w:hideMark/>
          </w:tcPr>
          <w:p w:rsidR="005E6171" w:rsidRPr="005E6171" w:rsidRDefault="005E6171" w:rsidP="005E6171">
            <w:pPr>
              <w:tabs>
                <w:tab w:val="right" w:pos="2270"/>
              </w:tabs>
              <w:suppressAutoHyphens/>
              <w:ind w:left="1528"/>
              <w:jc w:val="both"/>
              <w:rPr>
                <w:rFonts w:asciiTheme="minorHAnsi" w:hAnsiTheme="minorHAnsi" w:cs="Arial"/>
                <w:b/>
                <w:sz w:val="22"/>
                <w:szCs w:val="22"/>
              </w:rPr>
            </w:pPr>
            <w:r w:rsidRPr="005E6171">
              <w:rPr>
                <w:rFonts w:asciiTheme="minorHAnsi" w:hAnsiTheme="minorHAnsi" w:cs="Arial"/>
                <w:b/>
                <w:sz w:val="22"/>
                <w:szCs w:val="22"/>
              </w:rPr>
              <w:t xml:space="preserve">   Accionado:</w:t>
            </w:r>
            <w:r w:rsidRPr="005E6171">
              <w:rPr>
                <w:rFonts w:asciiTheme="minorHAnsi" w:hAnsiTheme="minorHAnsi" w:cs="Arial"/>
                <w:b/>
                <w:sz w:val="22"/>
                <w:szCs w:val="22"/>
              </w:rPr>
              <w:tab/>
            </w:r>
          </w:p>
          <w:p w:rsidR="005E6171" w:rsidRPr="005E6171" w:rsidRDefault="005E6171" w:rsidP="005E6171">
            <w:pPr>
              <w:tabs>
                <w:tab w:val="right" w:pos="2270"/>
              </w:tabs>
              <w:suppressAutoHyphens/>
              <w:jc w:val="both"/>
              <w:rPr>
                <w:rFonts w:asciiTheme="minorHAnsi" w:hAnsiTheme="minorHAnsi" w:cs="Arial"/>
                <w:b/>
                <w:sz w:val="22"/>
                <w:szCs w:val="22"/>
                <w:lang w:val="es-CO" w:eastAsia="en-US"/>
              </w:rPr>
            </w:pPr>
            <w:r w:rsidRPr="005E6171">
              <w:rPr>
                <w:rFonts w:asciiTheme="minorHAnsi" w:hAnsiTheme="minorHAnsi" w:cs="Arial"/>
                <w:b/>
                <w:sz w:val="22"/>
                <w:szCs w:val="22"/>
              </w:rPr>
              <w:t xml:space="preserve">                                     Asunto:                     </w:t>
            </w:r>
          </w:p>
        </w:tc>
        <w:tc>
          <w:tcPr>
            <w:tcW w:w="5812" w:type="dxa"/>
            <w:hideMark/>
          </w:tcPr>
          <w:p w:rsidR="005E6171" w:rsidRPr="005E6171" w:rsidRDefault="00E85C07" w:rsidP="005E6171">
            <w:pPr>
              <w:rPr>
                <w:rFonts w:asciiTheme="minorHAnsi" w:hAnsiTheme="minorHAnsi" w:cs="Arial"/>
                <w:sz w:val="22"/>
                <w:szCs w:val="22"/>
                <w:lang w:val="es-CO" w:eastAsia="en-US"/>
              </w:rPr>
            </w:pPr>
            <w:r>
              <w:rPr>
                <w:rFonts w:asciiTheme="minorHAnsi" w:hAnsiTheme="minorHAnsi" w:cs="Arial"/>
                <w:sz w:val="22"/>
                <w:szCs w:val="22"/>
                <w:lang w:val="es-CO" w:eastAsia="en-US"/>
              </w:rPr>
              <w:t>NUEVA EPS</w:t>
            </w:r>
          </w:p>
          <w:p w:rsidR="005E6171" w:rsidRPr="005E6171" w:rsidRDefault="008B4C5D" w:rsidP="005E6171">
            <w:pPr>
              <w:suppressAutoHyphens/>
              <w:jc w:val="both"/>
              <w:rPr>
                <w:rFonts w:asciiTheme="minorHAnsi" w:hAnsiTheme="minorHAnsi" w:cs="Arial"/>
                <w:sz w:val="22"/>
                <w:szCs w:val="22"/>
                <w:lang w:eastAsia="en-US"/>
              </w:rPr>
            </w:pPr>
            <w:r>
              <w:rPr>
                <w:rFonts w:asciiTheme="minorHAnsi" w:hAnsiTheme="minorHAnsi" w:cs="Arial"/>
                <w:sz w:val="22"/>
                <w:szCs w:val="22"/>
                <w:lang w:eastAsia="en-US"/>
              </w:rPr>
              <w:t>DECLARA CUMPLIMIENTO</w:t>
            </w:r>
          </w:p>
        </w:tc>
      </w:tr>
    </w:tbl>
    <w:p w:rsidR="005E6171" w:rsidRPr="005E6171" w:rsidRDefault="005E6171" w:rsidP="005E6171">
      <w:pPr>
        <w:jc w:val="both"/>
        <w:rPr>
          <w:rFonts w:asciiTheme="minorHAnsi" w:hAnsiTheme="minorHAnsi" w:cs="Arial"/>
          <w:sz w:val="22"/>
          <w:szCs w:val="22"/>
        </w:rPr>
      </w:pPr>
    </w:p>
    <w:p w:rsidR="005E6171" w:rsidRPr="002F140C" w:rsidRDefault="005E6171" w:rsidP="005E6171">
      <w:pPr>
        <w:jc w:val="both"/>
        <w:rPr>
          <w:rFonts w:ascii="Arial Narrow" w:hAnsi="Arial Narrow" w:cs="Arial"/>
          <w:b/>
          <w:sz w:val="24"/>
          <w:szCs w:val="24"/>
        </w:rPr>
      </w:pPr>
      <w:r w:rsidRPr="002F140C">
        <w:rPr>
          <w:rFonts w:ascii="Arial Narrow" w:hAnsi="Arial Narrow" w:cs="Arial"/>
          <w:sz w:val="24"/>
          <w:szCs w:val="24"/>
        </w:rPr>
        <w:t xml:space="preserve">Procede el Despacho a resolver lo que en derecho corresponda respecto de las actuaciones surtidas dentro del trámite incidental. </w:t>
      </w:r>
    </w:p>
    <w:p w:rsidR="005E6171" w:rsidRPr="002F140C" w:rsidRDefault="005E6171" w:rsidP="005E6171">
      <w:pPr>
        <w:ind w:firstLine="520"/>
        <w:jc w:val="both"/>
        <w:rPr>
          <w:rFonts w:ascii="Arial Narrow" w:hAnsi="Arial Narrow" w:cs="Arial"/>
          <w:b/>
          <w:sz w:val="24"/>
          <w:szCs w:val="24"/>
        </w:rPr>
      </w:pPr>
    </w:p>
    <w:p w:rsidR="005E6171" w:rsidRPr="002F140C" w:rsidRDefault="005E6171" w:rsidP="005E6171">
      <w:pPr>
        <w:ind w:firstLine="520"/>
        <w:jc w:val="center"/>
        <w:rPr>
          <w:rFonts w:ascii="Arial Narrow" w:hAnsi="Arial Narrow" w:cs="Arial"/>
          <w:b/>
          <w:sz w:val="24"/>
          <w:szCs w:val="24"/>
        </w:rPr>
      </w:pPr>
      <w:r w:rsidRPr="002F140C">
        <w:rPr>
          <w:rFonts w:ascii="Arial Narrow" w:hAnsi="Arial Narrow" w:cs="Arial"/>
          <w:b/>
          <w:sz w:val="24"/>
          <w:szCs w:val="24"/>
        </w:rPr>
        <w:t xml:space="preserve">ANTECEDENTES </w:t>
      </w:r>
    </w:p>
    <w:p w:rsidR="005E6171" w:rsidRPr="002F140C" w:rsidRDefault="005E6171" w:rsidP="005E6171">
      <w:pPr>
        <w:ind w:firstLine="520"/>
        <w:jc w:val="center"/>
        <w:rPr>
          <w:rFonts w:ascii="Arial Narrow" w:hAnsi="Arial Narrow" w:cs="Arial"/>
          <w:sz w:val="24"/>
          <w:szCs w:val="24"/>
        </w:rPr>
      </w:pPr>
    </w:p>
    <w:p w:rsidR="005E6171" w:rsidRPr="002F140C" w:rsidRDefault="005E6171" w:rsidP="005E6171">
      <w:pPr>
        <w:jc w:val="both"/>
        <w:rPr>
          <w:rFonts w:ascii="Arial Narrow" w:hAnsi="Arial Narrow" w:cs="Arial"/>
          <w:sz w:val="24"/>
          <w:szCs w:val="24"/>
        </w:rPr>
      </w:pPr>
      <w:r w:rsidRPr="002F140C">
        <w:rPr>
          <w:rFonts w:ascii="Arial Narrow" w:hAnsi="Arial Narrow" w:cs="Arial"/>
          <w:b/>
          <w:sz w:val="24"/>
          <w:szCs w:val="24"/>
        </w:rPr>
        <w:t>1.-</w:t>
      </w:r>
      <w:r w:rsidRPr="002F140C">
        <w:rPr>
          <w:rFonts w:ascii="Arial Narrow" w:hAnsi="Arial Narrow" w:cs="Arial"/>
          <w:sz w:val="24"/>
          <w:szCs w:val="24"/>
        </w:rPr>
        <w:t xml:space="preserve"> Mediante fallo de tutela calendado </w:t>
      </w:r>
      <w:r w:rsidR="00057695" w:rsidRPr="002F140C">
        <w:rPr>
          <w:rFonts w:ascii="Arial Narrow" w:hAnsi="Arial Narrow" w:cs="Arial"/>
          <w:sz w:val="24"/>
          <w:szCs w:val="24"/>
        </w:rPr>
        <w:t>07 de junio de 2016</w:t>
      </w:r>
      <w:r w:rsidRPr="002F140C">
        <w:rPr>
          <w:rFonts w:ascii="Arial Narrow" w:hAnsi="Arial Narrow" w:cs="Arial"/>
          <w:sz w:val="24"/>
          <w:szCs w:val="24"/>
        </w:rPr>
        <w:t xml:space="preserve">, se tuteló el derecho </w:t>
      </w:r>
      <w:r w:rsidR="00057695" w:rsidRPr="002F140C">
        <w:rPr>
          <w:rFonts w:ascii="Arial Narrow" w:hAnsi="Arial Narrow" w:cs="Arial"/>
          <w:sz w:val="24"/>
          <w:szCs w:val="24"/>
        </w:rPr>
        <w:t xml:space="preserve"> a la vida digna en condiciones dignas del señor Islen Tabares</w:t>
      </w:r>
      <w:r w:rsidRPr="002F140C">
        <w:rPr>
          <w:rFonts w:ascii="Arial Narrow" w:hAnsi="Arial Narrow" w:cs="Arial"/>
          <w:sz w:val="24"/>
          <w:szCs w:val="24"/>
        </w:rPr>
        <w:t xml:space="preserve">, ordenando al Director de la </w:t>
      </w:r>
      <w:r w:rsidR="00057695" w:rsidRPr="002F140C">
        <w:rPr>
          <w:rFonts w:ascii="Arial Narrow" w:hAnsi="Arial Narrow" w:cs="Arial"/>
          <w:sz w:val="24"/>
          <w:szCs w:val="24"/>
        </w:rPr>
        <w:t xml:space="preserve">NUEVA EPS que suministre  los pañales requeridos por el accionante en cantidad proporcional a sus necesidades diarias y hasta tanto supere las condiciones que originan la presente acción de </w:t>
      </w:r>
      <w:r w:rsidR="00F32945" w:rsidRPr="002F140C">
        <w:rPr>
          <w:rFonts w:ascii="Arial Narrow" w:hAnsi="Arial Narrow" w:cs="Arial"/>
          <w:sz w:val="24"/>
          <w:szCs w:val="24"/>
        </w:rPr>
        <w:t>tutela.</w:t>
      </w:r>
    </w:p>
    <w:p w:rsidR="005E6171" w:rsidRPr="002F140C" w:rsidRDefault="005E6171" w:rsidP="005E6171">
      <w:pPr>
        <w:jc w:val="both"/>
        <w:rPr>
          <w:rFonts w:ascii="Arial Narrow" w:hAnsi="Arial Narrow" w:cs="Arial"/>
          <w:sz w:val="24"/>
          <w:szCs w:val="24"/>
        </w:rPr>
      </w:pPr>
    </w:p>
    <w:p w:rsidR="005E6171" w:rsidRPr="002F140C" w:rsidRDefault="005E6171" w:rsidP="005E6171">
      <w:pPr>
        <w:jc w:val="both"/>
        <w:rPr>
          <w:rFonts w:ascii="Arial Narrow" w:hAnsi="Arial Narrow" w:cs="Arial"/>
          <w:sz w:val="24"/>
          <w:szCs w:val="24"/>
        </w:rPr>
      </w:pPr>
      <w:r w:rsidRPr="002F140C">
        <w:rPr>
          <w:rFonts w:ascii="Arial Narrow" w:hAnsi="Arial Narrow" w:cs="Arial"/>
          <w:b/>
          <w:sz w:val="24"/>
          <w:szCs w:val="24"/>
        </w:rPr>
        <w:t xml:space="preserve">2.- </w:t>
      </w:r>
      <w:r w:rsidR="008B4C5D" w:rsidRPr="002F140C">
        <w:rPr>
          <w:rFonts w:ascii="Arial Narrow" w:hAnsi="Arial Narrow" w:cs="Arial"/>
          <w:sz w:val="24"/>
          <w:szCs w:val="24"/>
        </w:rPr>
        <w:t>El</w:t>
      </w:r>
      <w:r w:rsidRPr="002F140C">
        <w:rPr>
          <w:rFonts w:ascii="Arial Narrow" w:hAnsi="Arial Narrow" w:cs="Arial"/>
          <w:sz w:val="24"/>
          <w:szCs w:val="24"/>
        </w:rPr>
        <w:t xml:space="preserve"> accionante, mediante escrito de fecha </w:t>
      </w:r>
      <w:r w:rsidR="00F32945" w:rsidRPr="002F140C">
        <w:rPr>
          <w:rFonts w:ascii="Arial Narrow" w:hAnsi="Arial Narrow" w:cs="Arial"/>
          <w:sz w:val="24"/>
          <w:szCs w:val="24"/>
        </w:rPr>
        <w:t>22 de junio de 2018</w:t>
      </w:r>
      <w:r w:rsidRPr="002F140C">
        <w:rPr>
          <w:rFonts w:ascii="Arial Narrow" w:hAnsi="Arial Narrow" w:cs="Arial"/>
          <w:sz w:val="24"/>
          <w:szCs w:val="24"/>
        </w:rPr>
        <w:t>, solicitó iniciar incidente de desacato</w:t>
      </w:r>
      <w:r w:rsidR="00F32945" w:rsidRPr="002F140C">
        <w:rPr>
          <w:rFonts w:ascii="Arial Narrow" w:hAnsi="Arial Narrow" w:cs="Arial"/>
          <w:sz w:val="24"/>
          <w:szCs w:val="24"/>
        </w:rPr>
        <w:t xml:space="preserve">, por cuanto la accionada  no le había suministrado  los pañales ordenados por el médico </w:t>
      </w:r>
      <w:r w:rsidR="005F4BDB" w:rsidRPr="002F140C">
        <w:rPr>
          <w:rFonts w:ascii="Arial Narrow" w:hAnsi="Arial Narrow" w:cs="Arial"/>
          <w:sz w:val="24"/>
          <w:szCs w:val="24"/>
        </w:rPr>
        <w:t xml:space="preserve">tratante </w:t>
      </w:r>
      <w:r w:rsidR="00CA171E">
        <w:rPr>
          <w:rFonts w:ascii="Arial Narrow" w:hAnsi="Arial Narrow" w:cs="Arial"/>
          <w:sz w:val="24"/>
          <w:szCs w:val="24"/>
        </w:rPr>
        <w:t xml:space="preserve">“PAÑALES DESECHABLES TENA SLIP </w:t>
      </w:r>
      <w:r w:rsidR="00F32945" w:rsidRPr="002F140C">
        <w:rPr>
          <w:rFonts w:ascii="Arial Narrow" w:hAnsi="Arial Narrow" w:cs="Arial"/>
          <w:sz w:val="24"/>
          <w:szCs w:val="24"/>
        </w:rPr>
        <w:t xml:space="preserve">TALLA L CAMBIAR PAÑALES 8 VECES CADA DIA POR 3 MESES </w:t>
      </w:r>
      <w:proofErr w:type="gramStart"/>
      <w:r w:rsidR="00F32945" w:rsidRPr="002F140C">
        <w:rPr>
          <w:rFonts w:ascii="Arial Narrow" w:hAnsi="Arial Narrow" w:cs="Arial"/>
          <w:sz w:val="24"/>
          <w:szCs w:val="24"/>
        </w:rPr>
        <w:t>“</w:t>
      </w:r>
      <w:r w:rsidR="008F069E" w:rsidRPr="002F140C">
        <w:rPr>
          <w:rFonts w:ascii="Arial Narrow" w:hAnsi="Arial Narrow" w:cs="Arial"/>
          <w:sz w:val="24"/>
          <w:szCs w:val="24"/>
        </w:rPr>
        <w:t xml:space="preserve"> y</w:t>
      </w:r>
      <w:proofErr w:type="gramEnd"/>
      <w:r w:rsidR="008F069E" w:rsidRPr="002F140C">
        <w:rPr>
          <w:rFonts w:ascii="Arial Narrow" w:hAnsi="Arial Narrow" w:cs="Arial"/>
          <w:sz w:val="24"/>
          <w:szCs w:val="24"/>
        </w:rPr>
        <w:t xml:space="preserve"> a la fecha no se había </w:t>
      </w:r>
      <w:r w:rsidR="00CA171E">
        <w:rPr>
          <w:rFonts w:ascii="Arial Narrow" w:hAnsi="Arial Narrow" w:cs="Arial"/>
          <w:sz w:val="24"/>
          <w:szCs w:val="24"/>
        </w:rPr>
        <w:t>dado cumplimiento a lo ordenado</w:t>
      </w:r>
      <w:r w:rsidR="008F069E" w:rsidRPr="002F140C">
        <w:rPr>
          <w:rFonts w:ascii="Arial Narrow" w:hAnsi="Arial Narrow" w:cs="Arial"/>
          <w:sz w:val="24"/>
          <w:szCs w:val="24"/>
        </w:rPr>
        <w:t>.</w:t>
      </w:r>
      <w:r w:rsidRPr="002F140C">
        <w:rPr>
          <w:rFonts w:ascii="Arial Narrow" w:hAnsi="Arial Narrow" w:cs="Arial"/>
          <w:sz w:val="24"/>
          <w:szCs w:val="24"/>
        </w:rPr>
        <w:t>(</w:t>
      </w:r>
      <w:proofErr w:type="spellStart"/>
      <w:r w:rsidRPr="002F140C">
        <w:rPr>
          <w:rFonts w:ascii="Arial Narrow" w:hAnsi="Arial Narrow" w:cs="Arial"/>
          <w:sz w:val="24"/>
          <w:szCs w:val="24"/>
        </w:rPr>
        <w:t>fl</w:t>
      </w:r>
      <w:proofErr w:type="spellEnd"/>
      <w:r w:rsidRPr="002F140C">
        <w:rPr>
          <w:rFonts w:ascii="Arial Narrow" w:hAnsi="Arial Narrow" w:cs="Arial"/>
          <w:sz w:val="24"/>
          <w:szCs w:val="24"/>
        </w:rPr>
        <w:t xml:space="preserve">. </w:t>
      </w:r>
      <w:r w:rsidR="00F32945" w:rsidRPr="002F140C">
        <w:rPr>
          <w:rFonts w:ascii="Arial Narrow" w:hAnsi="Arial Narrow" w:cs="Arial"/>
          <w:sz w:val="24"/>
          <w:szCs w:val="24"/>
        </w:rPr>
        <w:t>59-61</w:t>
      </w:r>
      <w:r w:rsidRPr="002F140C">
        <w:rPr>
          <w:rFonts w:ascii="Arial Narrow" w:hAnsi="Arial Narrow" w:cs="Arial"/>
          <w:sz w:val="24"/>
          <w:szCs w:val="24"/>
        </w:rPr>
        <w:t xml:space="preserve"> cuaderno No. 2).</w:t>
      </w:r>
    </w:p>
    <w:p w:rsidR="005E6171" w:rsidRPr="002F140C" w:rsidRDefault="005E6171" w:rsidP="005E6171">
      <w:pPr>
        <w:jc w:val="both"/>
        <w:rPr>
          <w:rFonts w:ascii="Arial Narrow" w:hAnsi="Arial Narrow" w:cs="Arial"/>
          <w:sz w:val="24"/>
          <w:szCs w:val="24"/>
        </w:rPr>
      </w:pPr>
    </w:p>
    <w:p w:rsidR="005E6171" w:rsidRPr="002F140C" w:rsidRDefault="005E6171" w:rsidP="005E6171">
      <w:pPr>
        <w:jc w:val="both"/>
        <w:rPr>
          <w:rFonts w:ascii="Arial Narrow" w:hAnsi="Arial Narrow" w:cs="Arial"/>
          <w:sz w:val="24"/>
          <w:szCs w:val="24"/>
          <w:lang w:val="es-MX"/>
        </w:rPr>
      </w:pPr>
      <w:r w:rsidRPr="002F140C">
        <w:rPr>
          <w:rFonts w:ascii="Arial Narrow" w:hAnsi="Arial Narrow" w:cs="Arial"/>
          <w:b/>
          <w:sz w:val="24"/>
          <w:szCs w:val="24"/>
          <w:lang w:val="es-MX"/>
        </w:rPr>
        <w:t xml:space="preserve">3.- </w:t>
      </w:r>
      <w:r w:rsidRPr="002F140C">
        <w:rPr>
          <w:rFonts w:ascii="Arial Narrow" w:hAnsi="Arial Narrow" w:cs="Arial"/>
          <w:sz w:val="24"/>
          <w:szCs w:val="24"/>
          <w:lang w:val="es-MX"/>
        </w:rPr>
        <w:t xml:space="preserve">Mediante providencia del </w:t>
      </w:r>
      <w:r w:rsidR="003D4E46" w:rsidRPr="002F140C">
        <w:rPr>
          <w:rFonts w:ascii="Arial Narrow" w:hAnsi="Arial Narrow" w:cs="Arial"/>
          <w:sz w:val="24"/>
          <w:szCs w:val="24"/>
          <w:lang w:val="es-MX"/>
        </w:rPr>
        <w:t xml:space="preserve">17 de </w:t>
      </w:r>
      <w:r w:rsidR="007431D0" w:rsidRPr="002F140C">
        <w:rPr>
          <w:rFonts w:ascii="Arial Narrow" w:hAnsi="Arial Narrow" w:cs="Arial"/>
          <w:sz w:val="24"/>
          <w:szCs w:val="24"/>
          <w:lang w:val="es-MX"/>
        </w:rPr>
        <w:t>julio</w:t>
      </w:r>
      <w:r w:rsidR="008B4C5D" w:rsidRPr="002F140C">
        <w:rPr>
          <w:rFonts w:ascii="Arial Narrow" w:hAnsi="Arial Narrow" w:cs="Arial"/>
          <w:sz w:val="24"/>
          <w:szCs w:val="24"/>
          <w:lang w:val="es-MX"/>
        </w:rPr>
        <w:t xml:space="preserve"> de</w:t>
      </w:r>
      <w:r w:rsidRPr="002F140C">
        <w:rPr>
          <w:rFonts w:ascii="Arial Narrow" w:hAnsi="Arial Narrow" w:cs="Arial"/>
          <w:sz w:val="24"/>
          <w:szCs w:val="24"/>
          <w:lang w:val="es-MX"/>
        </w:rPr>
        <w:t xml:space="preserve"> 201</w:t>
      </w:r>
      <w:r w:rsidR="008B4C5D" w:rsidRPr="002F140C">
        <w:rPr>
          <w:rFonts w:ascii="Arial Narrow" w:hAnsi="Arial Narrow" w:cs="Arial"/>
          <w:sz w:val="24"/>
          <w:szCs w:val="24"/>
          <w:lang w:val="es-MX"/>
        </w:rPr>
        <w:t>8</w:t>
      </w:r>
      <w:r w:rsidRPr="002F140C">
        <w:rPr>
          <w:rFonts w:ascii="Arial Narrow" w:hAnsi="Arial Narrow" w:cs="Arial"/>
          <w:sz w:val="24"/>
          <w:szCs w:val="24"/>
          <w:lang w:val="es-MX"/>
        </w:rPr>
        <w:t>, se requirió a la entidad accionada, para que informara sobre e</w:t>
      </w:r>
      <w:r w:rsidR="008B4C5D" w:rsidRPr="002F140C">
        <w:rPr>
          <w:rFonts w:ascii="Arial Narrow" w:hAnsi="Arial Narrow" w:cs="Arial"/>
          <w:sz w:val="24"/>
          <w:szCs w:val="24"/>
          <w:lang w:val="es-MX"/>
        </w:rPr>
        <w:t xml:space="preserve">l cumplimiento de la sentencia </w:t>
      </w:r>
      <w:r w:rsidRPr="002F140C">
        <w:rPr>
          <w:rFonts w:ascii="Arial Narrow" w:hAnsi="Arial Narrow" w:cs="Arial"/>
          <w:sz w:val="24"/>
          <w:szCs w:val="24"/>
          <w:lang w:val="es-MX"/>
        </w:rPr>
        <w:t xml:space="preserve">(fl. </w:t>
      </w:r>
      <w:r w:rsidR="007431D0" w:rsidRPr="002F140C">
        <w:rPr>
          <w:rFonts w:ascii="Arial Narrow" w:hAnsi="Arial Narrow" w:cs="Arial"/>
          <w:sz w:val="24"/>
          <w:szCs w:val="24"/>
          <w:lang w:val="es-MX"/>
        </w:rPr>
        <w:t>70</w:t>
      </w:r>
      <w:r w:rsidRPr="002F140C">
        <w:rPr>
          <w:rFonts w:ascii="Arial Narrow" w:hAnsi="Arial Narrow" w:cs="Arial"/>
          <w:sz w:val="24"/>
          <w:szCs w:val="24"/>
          <w:lang w:val="es-MX"/>
        </w:rPr>
        <w:t xml:space="preserve"> del cuaderno No. 2). </w:t>
      </w:r>
    </w:p>
    <w:p w:rsidR="005E6171" w:rsidRPr="002F140C" w:rsidRDefault="005E6171" w:rsidP="005E6171">
      <w:pPr>
        <w:jc w:val="both"/>
        <w:rPr>
          <w:rFonts w:ascii="Arial Narrow" w:hAnsi="Arial Narrow" w:cs="Arial"/>
          <w:sz w:val="24"/>
          <w:szCs w:val="24"/>
          <w:lang w:val="es-MX"/>
        </w:rPr>
      </w:pPr>
    </w:p>
    <w:p w:rsidR="005E6171" w:rsidRPr="002F140C" w:rsidRDefault="005E6171" w:rsidP="005E6171">
      <w:pPr>
        <w:jc w:val="both"/>
        <w:rPr>
          <w:rFonts w:ascii="Arial Narrow" w:hAnsi="Arial Narrow" w:cs="Arial"/>
          <w:sz w:val="24"/>
          <w:szCs w:val="24"/>
          <w:lang w:val="es-MX"/>
        </w:rPr>
      </w:pPr>
      <w:r w:rsidRPr="002F140C">
        <w:rPr>
          <w:rFonts w:ascii="Arial Narrow" w:hAnsi="Arial Narrow" w:cs="Arial"/>
          <w:b/>
          <w:sz w:val="24"/>
          <w:szCs w:val="24"/>
          <w:lang w:val="es-MX"/>
        </w:rPr>
        <w:t>4.-</w:t>
      </w:r>
      <w:r w:rsidRPr="002F140C">
        <w:rPr>
          <w:rFonts w:ascii="Arial Narrow" w:hAnsi="Arial Narrow" w:cs="Arial"/>
          <w:sz w:val="24"/>
          <w:szCs w:val="24"/>
          <w:lang w:val="es-MX"/>
        </w:rPr>
        <w:t xml:space="preserve"> El </w:t>
      </w:r>
      <w:r w:rsidR="007431D0" w:rsidRPr="002F140C">
        <w:rPr>
          <w:rFonts w:ascii="Arial Narrow" w:hAnsi="Arial Narrow" w:cs="Arial"/>
          <w:sz w:val="24"/>
          <w:szCs w:val="24"/>
          <w:lang w:val="es-MX"/>
        </w:rPr>
        <w:t xml:space="preserve"> 06 de septiembre de 2018</w:t>
      </w:r>
      <w:r w:rsidRPr="002F140C">
        <w:rPr>
          <w:rFonts w:ascii="Arial Narrow" w:hAnsi="Arial Narrow" w:cs="Arial"/>
          <w:sz w:val="24"/>
          <w:szCs w:val="24"/>
          <w:lang w:val="es-MX"/>
        </w:rPr>
        <w:t xml:space="preserve">, </w:t>
      </w:r>
      <w:r w:rsidR="008B4C5D" w:rsidRPr="002F140C">
        <w:rPr>
          <w:rFonts w:ascii="Arial Narrow" w:hAnsi="Arial Narrow" w:cs="Arial"/>
          <w:sz w:val="24"/>
          <w:szCs w:val="24"/>
          <w:lang w:val="es-MX"/>
        </w:rPr>
        <w:t xml:space="preserve">la entidad accionada </w:t>
      </w:r>
      <w:r w:rsidR="007431D0" w:rsidRPr="002F140C">
        <w:rPr>
          <w:rFonts w:ascii="Arial Narrow" w:hAnsi="Arial Narrow" w:cs="Arial"/>
          <w:sz w:val="24"/>
          <w:szCs w:val="24"/>
          <w:lang w:val="es-MX"/>
        </w:rPr>
        <w:t>dio respuesta a</w:t>
      </w:r>
      <w:r w:rsidR="008B4C5D" w:rsidRPr="002F140C">
        <w:rPr>
          <w:rFonts w:ascii="Arial Narrow" w:hAnsi="Arial Narrow" w:cs="Arial"/>
          <w:sz w:val="24"/>
          <w:szCs w:val="24"/>
          <w:lang w:val="es-MX"/>
        </w:rPr>
        <w:t>l</w:t>
      </w:r>
      <w:r w:rsidR="007431D0" w:rsidRPr="002F140C">
        <w:rPr>
          <w:rFonts w:ascii="Arial Narrow" w:hAnsi="Arial Narrow" w:cs="Arial"/>
          <w:sz w:val="24"/>
          <w:szCs w:val="24"/>
          <w:lang w:val="es-MX"/>
        </w:rPr>
        <w:t xml:space="preserve"> requerimiento realizado por el Despacho el  17 de julio de 2018</w:t>
      </w:r>
      <w:r w:rsidR="008B4C5D" w:rsidRPr="002F140C">
        <w:rPr>
          <w:rFonts w:ascii="Arial Narrow" w:hAnsi="Arial Narrow" w:cs="Arial"/>
          <w:sz w:val="24"/>
          <w:szCs w:val="24"/>
          <w:lang w:val="es-MX"/>
        </w:rPr>
        <w:t xml:space="preserve">, aportando </w:t>
      </w:r>
      <w:r w:rsidR="007D70AD" w:rsidRPr="002F140C">
        <w:rPr>
          <w:rFonts w:ascii="Arial Narrow" w:hAnsi="Arial Narrow" w:cs="Arial"/>
          <w:sz w:val="24"/>
          <w:szCs w:val="24"/>
          <w:lang w:val="es-MX"/>
        </w:rPr>
        <w:t>informe del área técnica correspondiente, estableciendo que el 08 de mayo de 2018 se realizó la</w:t>
      </w:r>
      <w:r w:rsidR="003D4E46" w:rsidRPr="002F140C">
        <w:rPr>
          <w:rFonts w:ascii="Arial Narrow" w:hAnsi="Arial Narrow" w:cs="Arial"/>
          <w:sz w:val="24"/>
          <w:szCs w:val="24"/>
          <w:lang w:val="es-MX"/>
        </w:rPr>
        <w:t xml:space="preserve"> entrega de los pañales desechables.</w:t>
      </w:r>
      <w:r w:rsidRPr="002F140C">
        <w:rPr>
          <w:rFonts w:ascii="Arial Narrow" w:hAnsi="Arial Narrow" w:cs="Arial"/>
          <w:sz w:val="24"/>
          <w:szCs w:val="24"/>
          <w:lang w:val="es-MX"/>
        </w:rPr>
        <w:t xml:space="preserve"> (</w:t>
      </w:r>
      <w:proofErr w:type="spellStart"/>
      <w:r w:rsidRPr="002F140C">
        <w:rPr>
          <w:rFonts w:ascii="Arial Narrow" w:hAnsi="Arial Narrow" w:cs="Arial"/>
          <w:sz w:val="24"/>
          <w:szCs w:val="24"/>
          <w:lang w:val="es-MX"/>
        </w:rPr>
        <w:t>fl</w:t>
      </w:r>
      <w:r w:rsidR="008B4C5D" w:rsidRPr="002F140C">
        <w:rPr>
          <w:rFonts w:ascii="Arial Narrow" w:hAnsi="Arial Narrow" w:cs="Arial"/>
          <w:sz w:val="24"/>
          <w:szCs w:val="24"/>
          <w:lang w:val="es-MX"/>
        </w:rPr>
        <w:t>s</w:t>
      </w:r>
      <w:proofErr w:type="spellEnd"/>
      <w:r w:rsidRPr="002F140C">
        <w:rPr>
          <w:rFonts w:ascii="Arial Narrow" w:hAnsi="Arial Narrow" w:cs="Arial"/>
          <w:sz w:val="24"/>
          <w:szCs w:val="24"/>
          <w:lang w:val="es-MX"/>
        </w:rPr>
        <w:t>.</w:t>
      </w:r>
      <w:r w:rsidR="003D4E46" w:rsidRPr="002F140C">
        <w:rPr>
          <w:rFonts w:ascii="Arial Narrow" w:hAnsi="Arial Narrow" w:cs="Arial"/>
          <w:sz w:val="24"/>
          <w:szCs w:val="24"/>
          <w:lang w:val="es-MX"/>
        </w:rPr>
        <w:t xml:space="preserve"> 76-78 del Cuaderno N.2</w:t>
      </w:r>
      <w:r w:rsidRPr="002F140C">
        <w:rPr>
          <w:rFonts w:ascii="Arial Narrow" w:hAnsi="Arial Narrow" w:cs="Arial"/>
          <w:sz w:val="24"/>
          <w:szCs w:val="24"/>
          <w:lang w:val="es-MX"/>
        </w:rPr>
        <w:t>).</w:t>
      </w:r>
    </w:p>
    <w:p w:rsidR="0095406E" w:rsidRPr="002F140C" w:rsidRDefault="0095406E" w:rsidP="005E6171">
      <w:pPr>
        <w:jc w:val="both"/>
        <w:rPr>
          <w:rFonts w:ascii="Arial Narrow" w:hAnsi="Arial Narrow" w:cs="Arial"/>
          <w:sz w:val="24"/>
          <w:szCs w:val="24"/>
          <w:lang w:val="es-MX"/>
        </w:rPr>
      </w:pPr>
    </w:p>
    <w:p w:rsidR="0095406E" w:rsidRPr="002F140C" w:rsidRDefault="0095406E" w:rsidP="005E6171">
      <w:pPr>
        <w:jc w:val="both"/>
        <w:rPr>
          <w:rFonts w:ascii="Arial Narrow" w:hAnsi="Arial Narrow" w:cs="Arial"/>
          <w:sz w:val="24"/>
          <w:szCs w:val="24"/>
          <w:lang w:val="es-MX"/>
        </w:rPr>
      </w:pPr>
      <w:r w:rsidRPr="002F140C">
        <w:rPr>
          <w:rFonts w:ascii="Arial Narrow" w:hAnsi="Arial Narrow" w:cs="Arial"/>
          <w:sz w:val="24"/>
          <w:szCs w:val="24"/>
          <w:lang w:val="es-MX"/>
        </w:rPr>
        <w:t>5.</w:t>
      </w:r>
      <w:r w:rsidR="00882EA7" w:rsidRPr="002F140C">
        <w:rPr>
          <w:rFonts w:ascii="Arial Narrow" w:hAnsi="Arial Narrow" w:cs="Arial"/>
          <w:sz w:val="24"/>
          <w:szCs w:val="24"/>
          <w:lang w:val="es-MX"/>
        </w:rPr>
        <w:t xml:space="preserve"> </w:t>
      </w:r>
      <w:r w:rsidR="006848F6" w:rsidRPr="002F140C">
        <w:rPr>
          <w:rFonts w:ascii="Arial Narrow" w:hAnsi="Arial Narrow" w:cs="Arial"/>
          <w:sz w:val="24"/>
          <w:szCs w:val="24"/>
          <w:lang w:val="es-MX"/>
        </w:rPr>
        <w:t>El Despacho requirió nuevamente el 10 de diciembre de 2018, para que informara el estado de la entrega de pañales realizado al señor ISLEN TABERES, para  los meses de mayo, junio y julio</w:t>
      </w:r>
      <w:r w:rsidR="00D7279C" w:rsidRPr="002F140C">
        <w:rPr>
          <w:rFonts w:ascii="Arial Narrow" w:hAnsi="Arial Narrow" w:cs="Arial"/>
          <w:sz w:val="24"/>
          <w:szCs w:val="24"/>
          <w:lang w:val="es-MX"/>
        </w:rPr>
        <w:t>.</w:t>
      </w:r>
    </w:p>
    <w:p w:rsidR="005E6171" w:rsidRPr="002F140C" w:rsidRDefault="005E6171" w:rsidP="005E6171">
      <w:pPr>
        <w:ind w:firstLine="708"/>
        <w:jc w:val="both"/>
        <w:rPr>
          <w:rFonts w:ascii="Arial Narrow" w:hAnsi="Arial Narrow" w:cs="Arial"/>
          <w:sz w:val="24"/>
          <w:szCs w:val="24"/>
          <w:lang w:val="es-MX"/>
        </w:rPr>
      </w:pPr>
    </w:p>
    <w:p w:rsidR="005E6171" w:rsidRPr="002F140C" w:rsidRDefault="005E6171" w:rsidP="005E6171">
      <w:pPr>
        <w:jc w:val="center"/>
        <w:rPr>
          <w:rFonts w:ascii="Arial Narrow" w:hAnsi="Arial Narrow" w:cs="Arial"/>
          <w:b/>
          <w:sz w:val="24"/>
          <w:szCs w:val="24"/>
          <w:lang w:val="es-MX"/>
        </w:rPr>
      </w:pPr>
      <w:r w:rsidRPr="002F140C">
        <w:rPr>
          <w:rFonts w:ascii="Arial Narrow" w:hAnsi="Arial Narrow" w:cs="Arial"/>
          <w:b/>
          <w:sz w:val="24"/>
          <w:szCs w:val="24"/>
          <w:lang w:val="es-MX"/>
        </w:rPr>
        <w:t xml:space="preserve">CONSIDERACIONES </w:t>
      </w:r>
    </w:p>
    <w:p w:rsidR="005E6171" w:rsidRPr="002F140C" w:rsidRDefault="005E6171" w:rsidP="005E6171">
      <w:pPr>
        <w:jc w:val="both"/>
        <w:rPr>
          <w:rFonts w:ascii="Arial Narrow" w:hAnsi="Arial Narrow" w:cs="Arial"/>
          <w:b/>
          <w:sz w:val="24"/>
          <w:szCs w:val="24"/>
          <w:lang w:val="es-MX"/>
        </w:rPr>
      </w:pPr>
    </w:p>
    <w:p w:rsidR="008B4C5D" w:rsidRPr="002F140C" w:rsidRDefault="008B4C5D" w:rsidP="008B4C5D">
      <w:pPr>
        <w:jc w:val="both"/>
        <w:rPr>
          <w:rFonts w:ascii="Arial Narrow" w:hAnsi="Arial Narrow" w:cs="Arial"/>
          <w:sz w:val="24"/>
          <w:szCs w:val="24"/>
          <w:lang w:val="es-MX"/>
        </w:rPr>
      </w:pPr>
      <w:r w:rsidRPr="002F140C">
        <w:rPr>
          <w:rFonts w:ascii="Arial Narrow" w:hAnsi="Arial Narrow" w:cs="Arial"/>
          <w:sz w:val="24"/>
          <w:szCs w:val="24"/>
          <w:lang w:val="es-MX"/>
        </w:rPr>
        <w:t xml:space="preserve">El artículo 52 del Decreto 2591 de 1991, señala: </w:t>
      </w:r>
    </w:p>
    <w:p w:rsidR="008B4C5D" w:rsidRPr="002F140C" w:rsidRDefault="008B4C5D" w:rsidP="008B4C5D">
      <w:pPr>
        <w:jc w:val="both"/>
        <w:rPr>
          <w:rFonts w:ascii="Arial Narrow" w:hAnsi="Arial Narrow" w:cs="Arial"/>
          <w:sz w:val="24"/>
          <w:szCs w:val="24"/>
          <w:lang w:val="es-MX"/>
        </w:rPr>
      </w:pPr>
    </w:p>
    <w:p w:rsidR="008B4C5D" w:rsidRPr="002F140C" w:rsidRDefault="008B4C5D" w:rsidP="008B4C5D">
      <w:pPr>
        <w:ind w:left="284" w:right="474"/>
        <w:jc w:val="both"/>
        <w:rPr>
          <w:rFonts w:ascii="Arial Narrow" w:hAnsi="Arial Narrow" w:cs="Arial"/>
          <w:i/>
          <w:sz w:val="24"/>
          <w:szCs w:val="24"/>
        </w:rPr>
      </w:pPr>
      <w:r w:rsidRPr="002F140C">
        <w:rPr>
          <w:rFonts w:ascii="Arial Narrow" w:hAnsi="Arial Narrow" w:cs="Arial"/>
          <w:i/>
          <w:sz w:val="24"/>
          <w:szCs w:val="24"/>
        </w:rPr>
        <w:t xml:space="preserve">“Desacato.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 “. </w:t>
      </w:r>
    </w:p>
    <w:p w:rsidR="008B4C5D" w:rsidRPr="002F140C" w:rsidRDefault="008B4C5D" w:rsidP="008B4C5D">
      <w:pPr>
        <w:ind w:right="758"/>
        <w:jc w:val="both"/>
        <w:rPr>
          <w:rFonts w:ascii="Arial Narrow" w:hAnsi="Arial Narrow" w:cs="Arial"/>
          <w:sz w:val="24"/>
          <w:szCs w:val="24"/>
        </w:rPr>
      </w:pPr>
    </w:p>
    <w:p w:rsidR="005E6171" w:rsidRPr="002F140C" w:rsidRDefault="008B4C5D" w:rsidP="005E6171">
      <w:pPr>
        <w:jc w:val="both"/>
        <w:rPr>
          <w:rFonts w:ascii="Arial Narrow" w:hAnsi="Arial Narrow" w:cs="Arial"/>
          <w:sz w:val="24"/>
          <w:szCs w:val="24"/>
          <w:lang w:val="es-MX"/>
        </w:rPr>
      </w:pPr>
      <w:r w:rsidRPr="002F140C">
        <w:rPr>
          <w:rFonts w:ascii="Arial Narrow" w:hAnsi="Arial Narrow" w:cs="Arial"/>
          <w:sz w:val="24"/>
          <w:szCs w:val="24"/>
          <w:lang w:val="es-MX"/>
        </w:rPr>
        <w:t>En el presente asunto, por medio de sentencia de fecha 31 de julio de 2018, este Despacho decidió tutelar el derecho fundamental de petición al señor Laurentino Gaviria y en su parte resolutiva dispuso:</w:t>
      </w:r>
    </w:p>
    <w:p w:rsidR="005E6171" w:rsidRPr="002F140C" w:rsidRDefault="005E6171" w:rsidP="005E6171">
      <w:pPr>
        <w:ind w:right="758"/>
        <w:jc w:val="both"/>
        <w:rPr>
          <w:rFonts w:ascii="Arial Narrow" w:hAnsi="Arial Narrow" w:cs="Arial"/>
          <w:sz w:val="24"/>
          <w:szCs w:val="24"/>
        </w:rPr>
      </w:pPr>
    </w:p>
    <w:p w:rsidR="005E6171" w:rsidRPr="002F140C" w:rsidRDefault="005E6171" w:rsidP="005E6171">
      <w:pPr>
        <w:ind w:left="851" w:right="616"/>
        <w:jc w:val="both"/>
        <w:rPr>
          <w:rFonts w:ascii="Arial Narrow" w:hAnsi="Arial Narrow" w:cs="Arial"/>
          <w:i/>
          <w:sz w:val="24"/>
          <w:szCs w:val="24"/>
          <w:lang w:val="es-ES"/>
        </w:rPr>
      </w:pPr>
      <w:r w:rsidRPr="002F140C">
        <w:rPr>
          <w:rFonts w:ascii="Arial Narrow" w:hAnsi="Arial Narrow" w:cs="Arial"/>
          <w:i/>
          <w:sz w:val="24"/>
          <w:szCs w:val="24"/>
        </w:rPr>
        <w:t>“</w:t>
      </w:r>
      <w:r w:rsidR="00B222BD" w:rsidRPr="002F140C">
        <w:rPr>
          <w:rFonts w:ascii="Arial Narrow" w:hAnsi="Arial Narrow" w:cs="Arial"/>
          <w:b/>
          <w:i/>
          <w:sz w:val="24"/>
          <w:szCs w:val="24"/>
          <w:lang w:val="es-ES"/>
        </w:rPr>
        <w:t>SEGUNDO</w:t>
      </w:r>
      <w:r w:rsidRPr="002F140C">
        <w:rPr>
          <w:rFonts w:ascii="Arial Narrow" w:hAnsi="Arial Narrow" w:cs="Arial"/>
          <w:b/>
          <w:i/>
          <w:sz w:val="24"/>
          <w:szCs w:val="24"/>
          <w:lang w:val="es-ES"/>
        </w:rPr>
        <w:t>.-</w:t>
      </w:r>
      <w:r w:rsidRPr="002F140C">
        <w:rPr>
          <w:rFonts w:ascii="Arial Narrow" w:hAnsi="Arial Narrow" w:cs="Arial"/>
          <w:b/>
          <w:i/>
          <w:sz w:val="24"/>
          <w:szCs w:val="24"/>
          <w:lang w:val="es-ES"/>
        </w:rPr>
        <w:tab/>
        <w:t xml:space="preserve">TUTELAR </w:t>
      </w:r>
      <w:r w:rsidRPr="002F140C">
        <w:rPr>
          <w:rFonts w:ascii="Arial Narrow" w:hAnsi="Arial Narrow" w:cs="Arial"/>
          <w:i/>
          <w:sz w:val="24"/>
          <w:szCs w:val="24"/>
          <w:lang w:val="es-ES"/>
        </w:rPr>
        <w:t xml:space="preserve">el derecho </w:t>
      </w:r>
      <w:r w:rsidR="00B222BD" w:rsidRPr="002F140C">
        <w:rPr>
          <w:rFonts w:ascii="Arial Narrow" w:hAnsi="Arial Narrow" w:cs="Arial"/>
          <w:i/>
          <w:sz w:val="24"/>
          <w:szCs w:val="24"/>
          <w:lang w:val="es-ES"/>
        </w:rPr>
        <w:t xml:space="preserve">fundamental a la </w:t>
      </w:r>
      <w:r w:rsidR="00B222BD" w:rsidRPr="002F140C">
        <w:rPr>
          <w:rFonts w:ascii="Arial Narrow" w:hAnsi="Arial Narrow" w:cs="Arial"/>
          <w:b/>
          <w:i/>
          <w:sz w:val="24"/>
          <w:szCs w:val="24"/>
          <w:lang w:val="es-ES"/>
        </w:rPr>
        <w:t>VIDA EN CONDICIONES DIGNAS</w:t>
      </w:r>
      <w:r w:rsidR="00B222BD" w:rsidRPr="002F140C">
        <w:rPr>
          <w:rFonts w:ascii="Arial Narrow" w:hAnsi="Arial Narrow" w:cs="Arial"/>
          <w:i/>
          <w:sz w:val="24"/>
          <w:szCs w:val="24"/>
          <w:lang w:val="es-ES"/>
        </w:rPr>
        <w:t xml:space="preserve"> del señor </w:t>
      </w:r>
      <w:r w:rsidR="00B222BD" w:rsidRPr="002F140C">
        <w:rPr>
          <w:rFonts w:ascii="Arial Narrow" w:hAnsi="Arial Narrow" w:cs="Arial"/>
          <w:b/>
          <w:i/>
          <w:sz w:val="24"/>
          <w:szCs w:val="24"/>
          <w:lang w:val="es-ES"/>
        </w:rPr>
        <w:t xml:space="preserve">ISLEN </w:t>
      </w:r>
      <w:r w:rsidR="00063D4E" w:rsidRPr="002F140C">
        <w:rPr>
          <w:rFonts w:ascii="Arial Narrow" w:hAnsi="Arial Narrow" w:cs="Arial"/>
          <w:b/>
          <w:i/>
          <w:sz w:val="24"/>
          <w:szCs w:val="24"/>
          <w:lang w:val="es-ES"/>
        </w:rPr>
        <w:t>TABARES,</w:t>
      </w:r>
      <w:r w:rsidR="00B222BD" w:rsidRPr="002F140C">
        <w:rPr>
          <w:rFonts w:ascii="Arial Narrow" w:hAnsi="Arial Narrow" w:cs="Arial"/>
          <w:b/>
          <w:i/>
          <w:sz w:val="24"/>
          <w:szCs w:val="24"/>
          <w:lang w:val="es-ES"/>
        </w:rPr>
        <w:t xml:space="preserve"> </w:t>
      </w:r>
      <w:r w:rsidRPr="002F140C">
        <w:rPr>
          <w:rFonts w:ascii="Arial Narrow" w:hAnsi="Arial Narrow" w:cs="Arial"/>
          <w:i/>
          <w:sz w:val="24"/>
          <w:szCs w:val="24"/>
          <w:lang w:val="es-ES"/>
        </w:rPr>
        <w:t>por las razones expuestas en la parte motiva.</w:t>
      </w:r>
    </w:p>
    <w:p w:rsidR="005E6171" w:rsidRPr="002F140C" w:rsidRDefault="005E6171" w:rsidP="005E6171">
      <w:pPr>
        <w:ind w:left="851" w:right="616"/>
        <w:jc w:val="both"/>
        <w:rPr>
          <w:rFonts w:ascii="Arial Narrow" w:hAnsi="Arial Narrow" w:cs="Arial"/>
          <w:i/>
          <w:sz w:val="24"/>
          <w:szCs w:val="24"/>
          <w:lang w:val="es-ES"/>
        </w:rPr>
      </w:pPr>
    </w:p>
    <w:p w:rsidR="005E6171" w:rsidRPr="002F140C" w:rsidRDefault="00C67D29" w:rsidP="008B4C5D">
      <w:pPr>
        <w:ind w:left="851" w:right="616"/>
        <w:jc w:val="both"/>
        <w:rPr>
          <w:rFonts w:ascii="Arial Narrow" w:hAnsi="Arial Narrow" w:cs="Arial"/>
          <w:i/>
          <w:sz w:val="24"/>
          <w:szCs w:val="24"/>
        </w:rPr>
      </w:pPr>
      <w:r w:rsidRPr="002F140C">
        <w:rPr>
          <w:rFonts w:ascii="Arial Narrow" w:hAnsi="Arial Narrow" w:cs="Arial"/>
          <w:b/>
          <w:i/>
          <w:sz w:val="24"/>
          <w:szCs w:val="24"/>
          <w:lang w:val="es-ES"/>
        </w:rPr>
        <w:t>TERCERO</w:t>
      </w:r>
      <w:r w:rsidR="005E6171" w:rsidRPr="002F140C">
        <w:rPr>
          <w:rFonts w:ascii="Arial Narrow" w:hAnsi="Arial Narrow" w:cs="Arial"/>
          <w:b/>
          <w:i/>
          <w:sz w:val="24"/>
          <w:szCs w:val="24"/>
          <w:lang w:val="es-ES"/>
        </w:rPr>
        <w:t>.-</w:t>
      </w:r>
      <w:r w:rsidR="005E6171" w:rsidRPr="002F140C">
        <w:rPr>
          <w:rFonts w:ascii="Arial Narrow" w:hAnsi="Arial Narrow" w:cs="Arial"/>
          <w:b/>
          <w:i/>
          <w:sz w:val="24"/>
          <w:szCs w:val="24"/>
          <w:lang w:val="es-ES"/>
        </w:rPr>
        <w:tab/>
      </w:r>
      <w:r w:rsidR="005E6171" w:rsidRPr="002F140C">
        <w:rPr>
          <w:rFonts w:ascii="Arial Narrow" w:hAnsi="Arial Narrow" w:cs="Arial"/>
          <w:i/>
          <w:sz w:val="24"/>
          <w:szCs w:val="24"/>
          <w:lang w:val="es-ES"/>
        </w:rPr>
        <w:t xml:space="preserve"> </w:t>
      </w:r>
      <w:r w:rsidR="008B4C5D" w:rsidRPr="002F140C">
        <w:rPr>
          <w:rFonts w:ascii="Arial Narrow" w:hAnsi="Arial Narrow" w:cs="Arial"/>
          <w:b/>
          <w:i/>
          <w:sz w:val="24"/>
          <w:szCs w:val="24"/>
          <w:lang w:val="es-ES"/>
        </w:rPr>
        <w:t>ORDENAR</w:t>
      </w:r>
      <w:r w:rsidR="008B4C5D" w:rsidRPr="002F140C">
        <w:rPr>
          <w:rFonts w:ascii="Arial Narrow" w:hAnsi="Arial Narrow" w:cs="Arial"/>
          <w:i/>
          <w:sz w:val="24"/>
          <w:szCs w:val="24"/>
          <w:lang w:val="es-ES"/>
        </w:rPr>
        <w:t xml:space="preserve"> al</w:t>
      </w:r>
      <w:r w:rsidR="008B4C5D" w:rsidRPr="002F140C">
        <w:rPr>
          <w:rFonts w:ascii="Arial Narrow" w:hAnsi="Arial Narrow" w:cs="Arial"/>
          <w:b/>
          <w:i/>
          <w:sz w:val="24"/>
          <w:szCs w:val="24"/>
          <w:lang w:val="es-ES"/>
        </w:rPr>
        <w:t xml:space="preserve"> </w:t>
      </w:r>
      <w:r w:rsidR="00063D4E" w:rsidRPr="002F140C">
        <w:rPr>
          <w:rFonts w:ascii="Arial Narrow" w:hAnsi="Arial Narrow" w:cs="Arial"/>
          <w:b/>
          <w:i/>
          <w:iCs/>
          <w:sz w:val="24"/>
          <w:szCs w:val="24"/>
          <w:lang w:eastAsia="es-CO"/>
        </w:rPr>
        <w:t>DIRECTOR</w:t>
      </w:r>
      <w:r w:rsidR="00063D4E" w:rsidRPr="002F140C">
        <w:rPr>
          <w:rFonts w:ascii="Arial Narrow" w:hAnsi="Arial Narrow" w:cs="Arial"/>
          <w:i/>
          <w:iCs/>
          <w:sz w:val="24"/>
          <w:szCs w:val="24"/>
          <w:lang w:eastAsia="es-CO"/>
        </w:rPr>
        <w:t xml:space="preserve"> de la</w:t>
      </w:r>
      <w:r w:rsidR="00063D4E" w:rsidRPr="002F140C">
        <w:rPr>
          <w:rFonts w:ascii="Arial Narrow" w:hAnsi="Arial Narrow" w:cs="Arial"/>
          <w:b/>
          <w:i/>
          <w:iCs/>
          <w:sz w:val="24"/>
          <w:szCs w:val="24"/>
          <w:lang w:eastAsia="es-CO"/>
        </w:rPr>
        <w:t xml:space="preserve"> NUEVA EPS SA</w:t>
      </w:r>
      <w:r w:rsidRPr="002F140C">
        <w:rPr>
          <w:rFonts w:ascii="Arial Narrow" w:hAnsi="Arial Narrow" w:cs="Arial"/>
          <w:b/>
          <w:i/>
          <w:iCs/>
          <w:sz w:val="24"/>
          <w:szCs w:val="24"/>
          <w:lang w:eastAsia="es-CO"/>
        </w:rPr>
        <w:t xml:space="preserve">  </w:t>
      </w:r>
      <w:r w:rsidRPr="002F140C">
        <w:rPr>
          <w:rFonts w:ascii="Arial Narrow" w:hAnsi="Arial Narrow" w:cs="Arial"/>
          <w:i/>
          <w:iCs/>
          <w:sz w:val="24"/>
          <w:szCs w:val="24"/>
          <w:lang w:eastAsia="es-CO"/>
        </w:rPr>
        <w:t xml:space="preserve"> que dentro de las cuarenta y ocho (48) horas siguientes a la notificación de este fallo autorice y </w:t>
      </w:r>
      <w:r w:rsidRPr="002F140C">
        <w:rPr>
          <w:rFonts w:ascii="Arial Narrow" w:hAnsi="Arial Narrow" w:cs="Arial"/>
          <w:i/>
          <w:iCs/>
          <w:sz w:val="24"/>
          <w:szCs w:val="24"/>
          <w:lang w:eastAsia="es-CO"/>
        </w:rPr>
        <w:lastRenderedPageBreak/>
        <w:t xml:space="preserve">suministre los pañales requeridos por el señor </w:t>
      </w:r>
      <w:r w:rsidRPr="002F140C">
        <w:rPr>
          <w:rFonts w:ascii="Arial Narrow" w:hAnsi="Arial Narrow" w:cs="Arial"/>
          <w:b/>
          <w:i/>
          <w:iCs/>
          <w:sz w:val="24"/>
          <w:szCs w:val="24"/>
          <w:lang w:eastAsia="es-CO"/>
        </w:rPr>
        <w:t>ISLEN TABARES</w:t>
      </w:r>
      <w:r w:rsidRPr="002F140C">
        <w:rPr>
          <w:rFonts w:ascii="Arial Narrow" w:hAnsi="Arial Narrow" w:cs="Arial"/>
          <w:i/>
          <w:iCs/>
          <w:sz w:val="24"/>
          <w:szCs w:val="24"/>
          <w:lang w:eastAsia="es-CO"/>
        </w:rPr>
        <w:t xml:space="preserve">, </w:t>
      </w:r>
      <w:r w:rsidRPr="002F140C">
        <w:rPr>
          <w:rFonts w:ascii="Arial Narrow" w:hAnsi="Arial Narrow" w:cs="Arial"/>
          <w:b/>
          <w:i/>
          <w:iCs/>
          <w:sz w:val="24"/>
          <w:szCs w:val="24"/>
          <w:lang w:eastAsia="es-CO"/>
        </w:rPr>
        <w:t>quien se identifica con la C.C. 79.005.299</w:t>
      </w:r>
      <w:r w:rsidRPr="002F140C">
        <w:rPr>
          <w:rFonts w:ascii="Arial Narrow" w:hAnsi="Arial Narrow" w:cs="Arial"/>
          <w:i/>
          <w:iCs/>
          <w:sz w:val="24"/>
          <w:szCs w:val="24"/>
          <w:lang w:eastAsia="es-CO"/>
        </w:rPr>
        <w:t>, en calidad proporcional a sus necesidades diarias y hasta tanto supere las condiciones que originan la presente acción de tutela”</w:t>
      </w:r>
    </w:p>
    <w:p w:rsidR="00814E7E" w:rsidRPr="002F140C" w:rsidRDefault="00814E7E" w:rsidP="005E6171">
      <w:pPr>
        <w:jc w:val="both"/>
        <w:rPr>
          <w:rFonts w:ascii="Arial Narrow" w:hAnsi="Arial Narrow" w:cs="Arial"/>
          <w:sz w:val="24"/>
          <w:szCs w:val="24"/>
          <w:lang w:val="es-MX"/>
        </w:rPr>
      </w:pPr>
    </w:p>
    <w:p w:rsidR="000263D2" w:rsidRPr="002F140C" w:rsidRDefault="005E6171" w:rsidP="005E6171">
      <w:pPr>
        <w:jc w:val="both"/>
        <w:rPr>
          <w:rFonts w:ascii="Arial Narrow" w:hAnsi="Arial Narrow" w:cs="Arial"/>
          <w:sz w:val="24"/>
          <w:szCs w:val="24"/>
          <w:lang w:val="es-MX"/>
        </w:rPr>
      </w:pPr>
      <w:r w:rsidRPr="002F140C">
        <w:rPr>
          <w:rFonts w:ascii="Arial Narrow" w:hAnsi="Arial Narrow" w:cs="Arial"/>
          <w:sz w:val="24"/>
          <w:szCs w:val="24"/>
          <w:lang w:val="es-MX"/>
        </w:rPr>
        <w:t>Así, se observa a folio</w:t>
      </w:r>
      <w:r w:rsidR="008B4C5D" w:rsidRPr="002F140C">
        <w:rPr>
          <w:rFonts w:ascii="Arial Narrow" w:hAnsi="Arial Narrow" w:cs="Arial"/>
          <w:sz w:val="24"/>
          <w:szCs w:val="24"/>
          <w:lang w:val="es-MX"/>
        </w:rPr>
        <w:t>s</w:t>
      </w:r>
      <w:r w:rsidRPr="002F140C">
        <w:rPr>
          <w:rFonts w:ascii="Arial Narrow" w:hAnsi="Arial Narrow" w:cs="Arial"/>
          <w:sz w:val="24"/>
          <w:szCs w:val="24"/>
          <w:lang w:val="es-MX"/>
        </w:rPr>
        <w:t xml:space="preserve"> </w:t>
      </w:r>
      <w:r w:rsidR="00720A07" w:rsidRPr="002F140C">
        <w:rPr>
          <w:rFonts w:ascii="Arial Narrow" w:hAnsi="Arial Narrow" w:cs="Arial"/>
          <w:sz w:val="24"/>
          <w:szCs w:val="24"/>
          <w:lang w:val="es-MX"/>
        </w:rPr>
        <w:t>76</w:t>
      </w:r>
      <w:r w:rsidR="008B4C5D" w:rsidRPr="002F140C">
        <w:rPr>
          <w:rFonts w:ascii="Arial Narrow" w:hAnsi="Arial Narrow" w:cs="Arial"/>
          <w:sz w:val="24"/>
          <w:szCs w:val="24"/>
          <w:lang w:val="es-MX"/>
        </w:rPr>
        <w:t xml:space="preserve"> a </w:t>
      </w:r>
      <w:r w:rsidR="00720A07" w:rsidRPr="002F140C">
        <w:rPr>
          <w:rFonts w:ascii="Arial Narrow" w:hAnsi="Arial Narrow" w:cs="Arial"/>
          <w:sz w:val="24"/>
          <w:szCs w:val="24"/>
          <w:lang w:val="es-MX"/>
        </w:rPr>
        <w:t>78</w:t>
      </w:r>
      <w:r w:rsidRPr="002F140C">
        <w:rPr>
          <w:rFonts w:ascii="Arial Narrow" w:hAnsi="Arial Narrow" w:cs="Arial"/>
          <w:sz w:val="24"/>
          <w:szCs w:val="24"/>
          <w:lang w:val="es-MX"/>
        </w:rPr>
        <w:t xml:space="preserve"> del Cuaderno Incidental </w:t>
      </w:r>
      <w:r w:rsidR="009776DE" w:rsidRPr="002F140C">
        <w:rPr>
          <w:rFonts w:ascii="Arial Narrow" w:hAnsi="Arial Narrow" w:cs="Arial"/>
          <w:sz w:val="24"/>
          <w:szCs w:val="24"/>
          <w:lang w:val="es-MX"/>
        </w:rPr>
        <w:t xml:space="preserve">que la entidad accionada </w:t>
      </w:r>
      <w:r w:rsidR="00C0259A" w:rsidRPr="002F140C">
        <w:rPr>
          <w:rFonts w:ascii="Arial Narrow" w:hAnsi="Arial Narrow" w:cs="Arial"/>
          <w:sz w:val="24"/>
          <w:szCs w:val="24"/>
          <w:lang w:val="es-MX"/>
        </w:rPr>
        <w:t xml:space="preserve"> dio cumplimiento a lo ordenado en el fallo de tutela, pues</w:t>
      </w:r>
      <w:r w:rsidR="00A36464" w:rsidRPr="002F140C">
        <w:rPr>
          <w:rFonts w:ascii="Arial Narrow" w:hAnsi="Arial Narrow" w:cs="Arial"/>
          <w:sz w:val="24"/>
          <w:szCs w:val="24"/>
          <w:lang w:val="es-MX"/>
        </w:rPr>
        <w:t xml:space="preserve"> el médico tratante  ordenó pañales desechables Tena Slip</w:t>
      </w:r>
      <w:r w:rsidR="000263D2" w:rsidRPr="002F140C">
        <w:rPr>
          <w:rFonts w:ascii="Arial Narrow" w:hAnsi="Arial Narrow" w:cs="Arial"/>
          <w:sz w:val="24"/>
          <w:szCs w:val="24"/>
          <w:lang w:val="es-MX"/>
        </w:rPr>
        <w:t xml:space="preserve"> talla L por 3 meses, y al señor Islen Tabares se le  hizo entrega del mencionado suministro el  08 de mayo de 2018 realizado por la farmacia Colsubsidio Villeta  conforme se observa  en el listado de pedidos visible a folio 76v</w:t>
      </w:r>
      <w:r w:rsidR="0091484A">
        <w:rPr>
          <w:rFonts w:ascii="Arial Narrow" w:hAnsi="Arial Narrow" w:cs="Arial"/>
          <w:sz w:val="24"/>
          <w:szCs w:val="24"/>
          <w:lang w:val="es-MX"/>
        </w:rPr>
        <w:t>to</w:t>
      </w:r>
      <w:r w:rsidR="000263D2" w:rsidRPr="002F140C">
        <w:rPr>
          <w:rFonts w:ascii="Arial Narrow" w:hAnsi="Arial Narrow" w:cs="Arial"/>
          <w:sz w:val="24"/>
          <w:szCs w:val="24"/>
          <w:lang w:val="es-MX"/>
        </w:rPr>
        <w:t>.</w:t>
      </w:r>
    </w:p>
    <w:p w:rsidR="000263D2" w:rsidRPr="002F140C" w:rsidRDefault="000263D2" w:rsidP="005E6171">
      <w:pPr>
        <w:jc w:val="both"/>
        <w:rPr>
          <w:rFonts w:ascii="Arial Narrow" w:hAnsi="Arial Narrow" w:cs="Arial"/>
          <w:sz w:val="24"/>
          <w:szCs w:val="24"/>
          <w:lang w:val="es-MX"/>
        </w:rPr>
      </w:pPr>
    </w:p>
    <w:p w:rsidR="00AA203C" w:rsidRPr="002F140C" w:rsidRDefault="0016428C" w:rsidP="0016428C">
      <w:pPr>
        <w:ind w:right="49"/>
        <w:jc w:val="both"/>
        <w:rPr>
          <w:rFonts w:ascii="Arial Narrow" w:hAnsi="Arial Narrow" w:cs="Arial"/>
          <w:sz w:val="24"/>
          <w:szCs w:val="24"/>
          <w:lang w:val="es-MX"/>
        </w:rPr>
      </w:pPr>
      <w:r w:rsidRPr="002F140C">
        <w:rPr>
          <w:rFonts w:ascii="Arial Narrow" w:hAnsi="Arial Narrow" w:cs="Arial"/>
          <w:sz w:val="24"/>
          <w:szCs w:val="24"/>
          <w:lang w:val="es-MX"/>
        </w:rPr>
        <w:t xml:space="preserve">Por otra parte el Despacho entabló comunicación telefónica con el accionante el 23/01/2019, el cual informó que la NUEVA EPS, ha dado cumplimiento a las órdenes del médico tratante para el suministro de pañales cada 3 meses, </w:t>
      </w:r>
      <w:r w:rsidR="000F3380" w:rsidRPr="002F140C">
        <w:rPr>
          <w:rFonts w:ascii="Arial Narrow" w:hAnsi="Arial Narrow" w:cs="Arial"/>
          <w:sz w:val="24"/>
          <w:szCs w:val="24"/>
          <w:lang w:val="es-MX"/>
        </w:rPr>
        <w:t xml:space="preserve">manifestando </w:t>
      </w:r>
      <w:r w:rsidRPr="002F140C">
        <w:rPr>
          <w:rFonts w:ascii="Arial Narrow" w:hAnsi="Arial Narrow" w:cs="Arial"/>
          <w:sz w:val="24"/>
          <w:szCs w:val="24"/>
          <w:lang w:val="es-MX"/>
        </w:rPr>
        <w:t>que para los meses de mayo, junio y  julio de 2018 se entregaron los pañales en el tiempo establecido, y a la fecha tiene una orden nueva del médico tratante del mes de diciembre de 2018, de la cual ya ha  recibido el suministro de pañales del mes de diciembre y la última entrega de fecha 14 d</w:t>
      </w:r>
      <w:r w:rsidR="00E76CCC" w:rsidRPr="002F140C">
        <w:rPr>
          <w:rFonts w:ascii="Arial Narrow" w:hAnsi="Arial Narrow" w:cs="Arial"/>
          <w:sz w:val="24"/>
          <w:szCs w:val="24"/>
          <w:lang w:val="es-MX"/>
        </w:rPr>
        <w:t>e</w:t>
      </w:r>
      <w:r w:rsidRPr="002F140C">
        <w:rPr>
          <w:rFonts w:ascii="Arial Narrow" w:hAnsi="Arial Narrow" w:cs="Arial"/>
          <w:sz w:val="24"/>
          <w:szCs w:val="24"/>
          <w:lang w:val="es-MX"/>
        </w:rPr>
        <w:t xml:space="preserve"> enero de 2019</w:t>
      </w:r>
      <w:r w:rsidR="000F3380" w:rsidRPr="002F140C">
        <w:rPr>
          <w:rFonts w:ascii="Arial Narrow" w:hAnsi="Arial Narrow" w:cs="Arial"/>
          <w:sz w:val="24"/>
          <w:szCs w:val="24"/>
          <w:lang w:val="es-MX"/>
        </w:rPr>
        <w:t>. (FL.</w:t>
      </w:r>
    </w:p>
    <w:p w:rsidR="005E6171" w:rsidRPr="002F140C" w:rsidRDefault="005E6171" w:rsidP="005E6171">
      <w:pPr>
        <w:ind w:right="758"/>
        <w:jc w:val="both"/>
        <w:rPr>
          <w:rFonts w:ascii="Arial Narrow" w:hAnsi="Arial Narrow" w:cs="Arial"/>
          <w:sz w:val="24"/>
          <w:szCs w:val="24"/>
          <w:lang w:val="es-MX"/>
        </w:rPr>
      </w:pPr>
    </w:p>
    <w:p w:rsidR="00213B33" w:rsidRPr="002F140C" w:rsidRDefault="00213B33" w:rsidP="005E6171">
      <w:pPr>
        <w:jc w:val="both"/>
        <w:rPr>
          <w:rFonts w:ascii="Arial Narrow" w:hAnsi="Arial Narrow" w:cs="Arial"/>
          <w:sz w:val="24"/>
          <w:szCs w:val="24"/>
          <w:lang w:val="es-ES"/>
        </w:rPr>
      </w:pPr>
    </w:p>
    <w:p w:rsidR="00213B33" w:rsidRPr="002F140C" w:rsidRDefault="00213B33" w:rsidP="00213B33">
      <w:pPr>
        <w:jc w:val="both"/>
        <w:rPr>
          <w:rFonts w:ascii="Arial Narrow" w:hAnsi="Arial Narrow" w:cs="Arial"/>
          <w:sz w:val="24"/>
          <w:szCs w:val="24"/>
          <w:lang w:val="es-ES"/>
        </w:rPr>
      </w:pPr>
      <w:r w:rsidRPr="002F140C">
        <w:rPr>
          <w:rFonts w:ascii="Arial Narrow" w:hAnsi="Arial Narrow" w:cs="Arial"/>
          <w:sz w:val="24"/>
          <w:szCs w:val="24"/>
          <w:lang w:val="es-ES"/>
        </w:rPr>
        <w:t xml:space="preserve">Ahora bien, </w:t>
      </w:r>
      <w:proofErr w:type="gramStart"/>
      <w:r w:rsidRPr="002F140C">
        <w:rPr>
          <w:rFonts w:ascii="Arial Narrow" w:hAnsi="Arial Narrow" w:cs="Arial"/>
          <w:sz w:val="24"/>
          <w:szCs w:val="24"/>
          <w:lang w:val="es-ES"/>
        </w:rPr>
        <w:t>la</w:t>
      </w:r>
      <w:proofErr w:type="gramEnd"/>
      <w:r w:rsidRPr="002F140C">
        <w:rPr>
          <w:rFonts w:ascii="Arial Narrow" w:hAnsi="Arial Narrow" w:cs="Arial"/>
          <w:sz w:val="24"/>
          <w:szCs w:val="24"/>
          <w:lang w:val="es-ES"/>
        </w:rPr>
        <w:t xml:space="preserve"> H. Corte Constitucional ha señalado </w:t>
      </w:r>
      <w:r w:rsidRPr="002F140C">
        <w:rPr>
          <w:rFonts w:ascii="Arial Narrow" w:hAnsi="Arial Narrow" w:cs="Arial"/>
          <w:bCs/>
          <w:sz w:val="24"/>
          <w:szCs w:val="24"/>
          <w:lang w:val="es-CO"/>
        </w:rPr>
        <w:t xml:space="preserve">la procedencia de la acción de tutela para reclamar insumos de aseo en el cual señala; </w:t>
      </w:r>
    </w:p>
    <w:p w:rsidR="00213B33" w:rsidRPr="002F140C" w:rsidRDefault="00213B33" w:rsidP="00213B33">
      <w:pPr>
        <w:jc w:val="both"/>
        <w:rPr>
          <w:rFonts w:ascii="Arial Narrow" w:hAnsi="Arial Narrow" w:cs="Arial"/>
          <w:sz w:val="24"/>
          <w:szCs w:val="24"/>
          <w:lang w:val="es-ES"/>
        </w:rPr>
      </w:pPr>
      <w:r w:rsidRPr="002F140C">
        <w:rPr>
          <w:rFonts w:ascii="Arial Narrow" w:hAnsi="Arial Narrow" w:cs="Arial"/>
          <w:sz w:val="24"/>
          <w:szCs w:val="24"/>
          <w:lang w:val="es-CO"/>
        </w:rPr>
        <w:t> </w:t>
      </w:r>
    </w:p>
    <w:p w:rsidR="00213B33" w:rsidRPr="002F140C" w:rsidRDefault="00213B33" w:rsidP="00213B33">
      <w:pPr>
        <w:jc w:val="both"/>
        <w:rPr>
          <w:rFonts w:ascii="Arial Narrow" w:hAnsi="Arial Narrow" w:cs="Arial"/>
          <w:sz w:val="24"/>
          <w:szCs w:val="24"/>
          <w:lang w:val="es-ES"/>
        </w:rPr>
      </w:pPr>
      <w:r w:rsidRPr="002F140C">
        <w:rPr>
          <w:rFonts w:ascii="Arial Narrow" w:hAnsi="Arial Narrow" w:cs="Arial"/>
          <w:sz w:val="24"/>
          <w:szCs w:val="24"/>
          <w:lang w:val="es-CO"/>
        </w:rPr>
        <w:t>“4.1. El acceso a insumos de aseo, tales como: pañales desechables, pañitos húmedos, cremas antipañalitis, entre otros, ha tenido un desarrollo especial por la Corte Constitucional, al otorgarles un carácter de necesarios para garantizar el derecho a la vida digna y a la salud de las personas, insumos que son requeridos en razón de una grave enfermedad o una situación de discapacidad</w:t>
      </w:r>
      <w:r w:rsidRPr="002F140C">
        <w:rPr>
          <w:rStyle w:val="Refdenotaalpie"/>
          <w:rFonts w:ascii="Arial Narrow" w:hAnsi="Arial Narrow" w:cs="Arial"/>
          <w:sz w:val="24"/>
          <w:szCs w:val="24"/>
          <w:lang w:val="es-CO"/>
        </w:rPr>
        <w:footnoteReference w:id="1"/>
      </w:r>
      <w:r w:rsidRPr="002F140C">
        <w:rPr>
          <w:rFonts w:ascii="Arial Narrow" w:hAnsi="Arial Narrow" w:cs="Arial"/>
          <w:sz w:val="24"/>
          <w:szCs w:val="24"/>
          <w:lang w:val="es-CO"/>
        </w:rPr>
        <w:t>.</w:t>
      </w:r>
    </w:p>
    <w:p w:rsidR="00213B33" w:rsidRPr="002F140C" w:rsidRDefault="00213B33" w:rsidP="00213B33">
      <w:pPr>
        <w:jc w:val="both"/>
        <w:rPr>
          <w:rFonts w:ascii="Arial Narrow" w:hAnsi="Arial Narrow" w:cs="Arial"/>
          <w:sz w:val="24"/>
          <w:szCs w:val="24"/>
          <w:lang w:val="es-ES"/>
        </w:rPr>
      </w:pPr>
      <w:r w:rsidRPr="002F140C">
        <w:rPr>
          <w:rFonts w:ascii="Arial Narrow" w:hAnsi="Arial Narrow" w:cs="Arial"/>
          <w:sz w:val="24"/>
          <w:szCs w:val="24"/>
          <w:lang w:val="es-CO"/>
        </w:rPr>
        <w:t> </w:t>
      </w:r>
    </w:p>
    <w:p w:rsidR="00213B33" w:rsidRPr="002F140C" w:rsidRDefault="00213B33" w:rsidP="00213B33">
      <w:pPr>
        <w:jc w:val="both"/>
        <w:rPr>
          <w:rFonts w:ascii="Arial Narrow" w:hAnsi="Arial Narrow" w:cs="Arial"/>
          <w:sz w:val="24"/>
          <w:szCs w:val="24"/>
          <w:lang w:val="es-ES"/>
        </w:rPr>
      </w:pPr>
      <w:r w:rsidRPr="002F140C">
        <w:rPr>
          <w:rFonts w:ascii="Arial Narrow" w:hAnsi="Arial Narrow" w:cs="Arial"/>
          <w:sz w:val="24"/>
          <w:szCs w:val="24"/>
          <w:lang w:val="es-CO"/>
        </w:rPr>
        <w:t>4.2. En recientes pronunciamientos, la Corte ha reiterado su postura garantista y ha protegido los derechos fundamentales a la salud y vida digna de los accionantes, ordenando el suministro de pañales</w:t>
      </w:r>
      <w:r w:rsidRPr="002F140C">
        <w:rPr>
          <w:rStyle w:val="Refdenotaalpie"/>
          <w:rFonts w:ascii="Arial Narrow" w:hAnsi="Arial Narrow" w:cs="Arial"/>
          <w:sz w:val="24"/>
          <w:szCs w:val="24"/>
          <w:lang w:val="es-CO"/>
        </w:rPr>
        <w:footnoteReference w:id="2"/>
      </w:r>
      <w:r w:rsidRPr="002F140C">
        <w:rPr>
          <w:rFonts w:ascii="Arial Narrow" w:hAnsi="Arial Narrow" w:cs="Arial"/>
          <w:sz w:val="24"/>
          <w:szCs w:val="24"/>
          <w:lang w:val="es-CO"/>
        </w:rPr>
        <w:t>, sobre todo si la patología que aqueja al accionante origina incontinencia urinaria.</w:t>
      </w:r>
    </w:p>
    <w:p w:rsidR="00213B33" w:rsidRPr="002F140C" w:rsidRDefault="00213B33" w:rsidP="00213B33">
      <w:pPr>
        <w:jc w:val="both"/>
        <w:rPr>
          <w:rFonts w:ascii="Arial Narrow" w:hAnsi="Arial Narrow" w:cs="Arial"/>
          <w:sz w:val="24"/>
          <w:szCs w:val="24"/>
          <w:lang w:val="es-ES"/>
        </w:rPr>
      </w:pPr>
      <w:r w:rsidRPr="002F140C">
        <w:rPr>
          <w:rFonts w:ascii="Arial Narrow" w:hAnsi="Arial Narrow" w:cs="Arial"/>
          <w:sz w:val="24"/>
          <w:szCs w:val="24"/>
          <w:lang w:val="es-CO"/>
        </w:rPr>
        <w:t> </w:t>
      </w:r>
    </w:p>
    <w:p w:rsidR="00213B33" w:rsidRPr="002F140C" w:rsidRDefault="00213B33" w:rsidP="00213B33">
      <w:pPr>
        <w:jc w:val="both"/>
        <w:rPr>
          <w:rFonts w:ascii="Arial Narrow" w:hAnsi="Arial Narrow" w:cs="Arial"/>
          <w:sz w:val="24"/>
          <w:szCs w:val="24"/>
          <w:lang w:val="es-ES"/>
        </w:rPr>
      </w:pPr>
      <w:r w:rsidRPr="002F140C">
        <w:rPr>
          <w:rFonts w:ascii="Arial Narrow" w:hAnsi="Arial Narrow" w:cs="Arial"/>
          <w:sz w:val="24"/>
          <w:szCs w:val="24"/>
          <w:lang w:val="es-CO"/>
        </w:rPr>
        <w:t>4.3. Existe la suficiente claridad para entender que el suministro de pañales desechables no tiene una incidencia directa en la recuperación o cura de la enfermedad del paciente, pero sí va a permitir que la persona pueda gozar de unas condiciones dignas de existencia, en especial, en enfermedades que restringen la movilidad o que impiden un control adecuado de esfínteres</w:t>
      </w:r>
      <w:r w:rsidRPr="002F140C">
        <w:rPr>
          <w:rStyle w:val="Refdenotaalpie"/>
          <w:rFonts w:ascii="Arial Narrow" w:hAnsi="Arial Narrow" w:cs="Arial"/>
          <w:sz w:val="24"/>
          <w:szCs w:val="24"/>
          <w:lang w:val="es-CO"/>
        </w:rPr>
        <w:footnoteReference w:id="3"/>
      </w:r>
      <w:r w:rsidRPr="002F140C">
        <w:rPr>
          <w:rFonts w:ascii="Arial Narrow" w:hAnsi="Arial Narrow" w:cs="Arial"/>
          <w:sz w:val="24"/>
          <w:szCs w:val="24"/>
          <w:lang w:val="es-CO"/>
        </w:rPr>
        <w:t>.</w:t>
      </w:r>
    </w:p>
    <w:p w:rsidR="00213B33" w:rsidRPr="002F140C" w:rsidRDefault="00213B33" w:rsidP="00213B33">
      <w:pPr>
        <w:jc w:val="both"/>
        <w:rPr>
          <w:rFonts w:ascii="Arial Narrow" w:hAnsi="Arial Narrow" w:cs="Arial"/>
          <w:sz w:val="24"/>
          <w:szCs w:val="24"/>
          <w:lang w:val="es-ES"/>
        </w:rPr>
      </w:pPr>
      <w:r w:rsidRPr="002F140C">
        <w:rPr>
          <w:rFonts w:ascii="Arial Narrow" w:hAnsi="Arial Narrow" w:cs="Arial"/>
          <w:sz w:val="24"/>
          <w:szCs w:val="24"/>
          <w:lang w:val="es-CO"/>
        </w:rPr>
        <w:t> </w:t>
      </w:r>
    </w:p>
    <w:p w:rsidR="00213B33" w:rsidRPr="002F140C" w:rsidRDefault="00213B33" w:rsidP="00213B33">
      <w:pPr>
        <w:jc w:val="both"/>
        <w:rPr>
          <w:rFonts w:ascii="Arial Narrow" w:hAnsi="Arial Narrow" w:cs="Arial"/>
          <w:sz w:val="24"/>
          <w:szCs w:val="24"/>
          <w:lang w:val="es-ES"/>
        </w:rPr>
      </w:pPr>
      <w:r w:rsidRPr="002F140C">
        <w:rPr>
          <w:rFonts w:ascii="Arial Narrow" w:hAnsi="Arial Narrow" w:cs="Arial"/>
          <w:sz w:val="24"/>
          <w:szCs w:val="24"/>
          <w:lang w:val="es-CO"/>
        </w:rPr>
        <w:t>4.4. En definitiva, aunque los pañales desechables no están orientados a prevenir o remediar una enfermedad, la imperiosa necesidad de su uso en algunas circunstancias, ha llevado al juez de tutela, ante la solicitud de dichos insumos, a tutelar los derechos del peticionario.”</w:t>
      </w:r>
      <w:r w:rsidRPr="002F140C">
        <w:rPr>
          <w:rStyle w:val="Refdenotaalpie"/>
          <w:rFonts w:ascii="Arial Narrow" w:hAnsi="Arial Narrow" w:cs="Arial"/>
          <w:sz w:val="24"/>
          <w:szCs w:val="24"/>
          <w:lang w:val="es-CO"/>
        </w:rPr>
        <w:footnoteReference w:id="4"/>
      </w:r>
    </w:p>
    <w:p w:rsidR="005E6171" w:rsidRPr="002F140C" w:rsidRDefault="005E6171" w:rsidP="005E6171">
      <w:pPr>
        <w:jc w:val="both"/>
        <w:rPr>
          <w:rFonts w:ascii="Arial Narrow" w:hAnsi="Arial Narrow" w:cs="Arial"/>
          <w:bCs/>
          <w:sz w:val="24"/>
          <w:szCs w:val="24"/>
        </w:rPr>
      </w:pPr>
    </w:p>
    <w:p w:rsidR="005E6171" w:rsidRPr="002F140C" w:rsidRDefault="005E6171" w:rsidP="005E6171">
      <w:pPr>
        <w:ind w:firstLine="708"/>
        <w:jc w:val="both"/>
        <w:rPr>
          <w:rFonts w:ascii="Arial Narrow" w:hAnsi="Arial Narrow" w:cs="Arial"/>
          <w:sz w:val="24"/>
          <w:szCs w:val="24"/>
          <w:lang w:val="es-MX"/>
        </w:rPr>
      </w:pPr>
    </w:p>
    <w:p w:rsidR="005E6171" w:rsidRPr="002F140C" w:rsidRDefault="005E6171" w:rsidP="005E6171">
      <w:pPr>
        <w:jc w:val="both"/>
        <w:rPr>
          <w:rFonts w:ascii="Arial Narrow" w:hAnsi="Arial Narrow" w:cs="Arial"/>
          <w:sz w:val="24"/>
          <w:szCs w:val="24"/>
          <w:lang w:val="es-MX"/>
        </w:rPr>
      </w:pPr>
      <w:r w:rsidRPr="002F140C">
        <w:rPr>
          <w:rFonts w:ascii="Arial Narrow" w:hAnsi="Arial Narrow" w:cs="Arial"/>
          <w:sz w:val="24"/>
          <w:szCs w:val="24"/>
          <w:lang w:val="es-MX"/>
        </w:rPr>
        <w:t xml:space="preserve">Por tanto, considera el Despacho que la accionada dio cumplimiento a lo ordenado en el fallo del </w:t>
      </w:r>
      <w:r w:rsidR="00213B33" w:rsidRPr="002F140C">
        <w:rPr>
          <w:rFonts w:ascii="Arial Narrow" w:hAnsi="Arial Narrow" w:cs="Arial"/>
          <w:sz w:val="24"/>
          <w:szCs w:val="24"/>
          <w:lang w:val="es-MX"/>
        </w:rPr>
        <w:t>7</w:t>
      </w:r>
      <w:r w:rsidRPr="002F140C">
        <w:rPr>
          <w:rFonts w:ascii="Arial Narrow" w:hAnsi="Arial Narrow" w:cs="Arial"/>
          <w:sz w:val="24"/>
          <w:szCs w:val="24"/>
          <w:lang w:val="es-MX"/>
        </w:rPr>
        <w:t xml:space="preserve"> de </w:t>
      </w:r>
      <w:r w:rsidR="00213B33" w:rsidRPr="002F140C">
        <w:rPr>
          <w:rFonts w:ascii="Arial Narrow" w:hAnsi="Arial Narrow" w:cs="Arial"/>
          <w:sz w:val="24"/>
          <w:szCs w:val="24"/>
          <w:lang w:val="es-MX"/>
        </w:rPr>
        <w:t>junio de 2016</w:t>
      </w:r>
      <w:r w:rsidRPr="002F140C">
        <w:rPr>
          <w:rFonts w:ascii="Arial Narrow" w:hAnsi="Arial Narrow" w:cs="Arial"/>
          <w:sz w:val="24"/>
          <w:szCs w:val="24"/>
          <w:lang w:val="es-MX"/>
        </w:rPr>
        <w:t xml:space="preserve">, puesto que lo que se ordenó fue </w:t>
      </w:r>
      <w:r w:rsidRPr="002F140C">
        <w:rPr>
          <w:rFonts w:ascii="Arial Narrow" w:hAnsi="Arial Narrow" w:cs="Arial"/>
          <w:i/>
          <w:sz w:val="24"/>
          <w:szCs w:val="24"/>
          <w:lang w:val="es-MX"/>
        </w:rPr>
        <w:t xml:space="preserve">“(…) </w:t>
      </w:r>
      <w:r w:rsidR="00213B33" w:rsidRPr="002F140C">
        <w:rPr>
          <w:rFonts w:ascii="Arial Narrow" w:hAnsi="Arial Narrow" w:cs="Arial"/>
          <w:i/>
          <w:sz w:val="24"/>
          <w:szCs w:val="24"/>
          <w:lang w:val="es-MX"/>
        </w:rPr>
        <w:t xml:space="preserve">autorizar y suministrar los pañales requeridos por el señor Islen </w:t>
      </w:r>
      <w:r w:rsidR="00B113A6" w:rsidRPr="002F140C">
        <w:rPr>
          <w:rFonts w:ascii="Arial Narrow" w:hAnsi="Arial Narrow" w:cs="Arial"/>
          <w:i/>
          <w:sz w:val="24"/>
          <w:szCs w:val="24"/>
          <w:lang w:val="es-MX"/>
        </w:rPr>
        <w:t>Tabares (</w:t>
      </w:r>
      <w:r w:rsidR="00213B33" w:rsidRPr="002F140C">
        <w:rPr>
          <w:rFonts w:ascii="Arial Narrow" w:hAnsi="Arial Narrow" w:cs="Arial"/>
          <w:i/>
          <w:sz w:val="24"/>
          <w:szCs w:val="24"/>
          <w:lang w:val="es-MX"/>
        </w:rPr>
        <w:t xml:space="preserve">…) en cantidad proporcional a sus </w:t>
      </w:r>
      <w:r w:rsidR="00B113A6" w:rsidRPr="002F140C">
        <w:rPr>
          <w:rFonts w:ascii="Arial Narrow" w:hAnsi="Arial Narrow" w:cs="Arial"/>
          <w:i/>
          <w:sz w:val="24"/>
          <w:szCs w:val="24"/>
          <w:lang w:val="es-MX"/>
        </w:rPr>
        <w:t>necesidades (</w:t>
      </w:r>
      <w:r w:rsidR="00213B33" w:rsidRPr="002F140C">
        <w:rPr>
          <w:rFonts w:ascii="Arial Narrow" w:hAnsi="Arial Narrow" w:cs="Arial"/>
          <w:i/>
          <w:sz w:val="24"/>
          <w:szCs w:val="24"/>
          <w:lang w:val="es-MX"/>
        </w:rPr>
        <w:t>…)”</w:t>
      </w:r>
      <w:r w:rsidR="0091484A">
        <w:rPr>
          <w:rFonts w:ascii="Arial Narrow" w:hAnsi="Arial Narrow" w:cs="Arial"/>
          <w:i/>
          <w:sz w:val="24"/>
          <w:szCs w:val="24"/>
          <w:lang w:val="es-MX"/>
        </w:rPr>
        <w:t xml:space="preserve"> </w:t>
      </w:r>
      <w:r w:rsidR="00631AA4" w:rsidRPr="002F140C">
        <w:rPr>
          <w:rFonts w:ascii="Arial Narrow" w:hAnsi="Arial Narrow" w:cs="Arial"/>
          <w:sz w:val="24"/>
          <w:szCs w:val="24"/>
          <w:lang w:val="es-MX"/>
        </w:rPr>
        <w:t xml:space="preserve">toda vez que se han </w:t>
      </w:r>
      <w:r w:rsidR="00631AA4" w:rsidRPr="002F140C">
        <w:rPr>
          <w:rFonts w:ascii="Arial Narrow" w:hAnsi="Arial Narrow" w:cs="Arial"/>
          <w:sz w:val="24"/>
          <w:szCs w:val="24"/>
          <w:lang w:val="es-MX"/>
        </w:rPr>
        <w:lastRenderedPageBreak/>
        <w:t>venido realizando los correspondientes suministros de pañales al accionante  conforme lo ordena el medico tratante.</w:t>
      </w:r>
    </w:p>
    <w:p w:rsidR="005E6171" w:rsidRPr="002F140C" w:rsidRDefault="005E6171" w:rsidP="005E6171">
      <w:pPr>
        <w:ind w:firstLine="708"/>
        <w:jc w:val="both"/>
        <w:rPr>
          <w:rFonts w:ascii="Arial Narrow" w:hAnsi="Arial Narrow" w:cs="Arial"/>
          <w:sz w:val="24"/>
          <w:szCs w:val="24"/>
          <w:lang w:val="es-MX"/>
        </w:rPr>
      </w:pPr>
    </w:p>
    <w:p w:rsidR="005E6171" w:rsidRPr="002F140C" w:rsidRDefault="005E6171" w:rsidP="005E6171">
      <w:pPr>
        <w:jc w:val="both"/>
        <w:rPr>
          <w:rFonts w:ascii="Arial Narrow" w:hAnsi="Arial Narrow" w:cs="Arial"/>
          <w:sz w:val="24"/>
          <w:szCs w:val="24"/>
          <w:lang w:val="es-MX"/>
        </w:rPr>
      </w:pPr>
      <w:r w:rsidRPr="002F140C">
        <w:rPr>
          <w:rFonts w:ascii="Arial Narrow" w:hAnsi="Arial Narrow" w:cs="Arial"/>
          <w:sz w:val="24"/>
          <w:szCs w:val="24"/>
          <w:lang w:val="es-ES"/>
        </w:rPr>
        <w:t>Así las cosas, cuando la acción carece de objeto por haberse cumplido el propósito por el cual fue instaurada, nos encontramos frente a la teoría del hecho superado, por lo que</w:t>
      </w:r>
      <w:r w:rsidRPr="002F140C">
        <w:rPr>
          <w:rFonts w:ascii="Arial Narrow" w:hAnsi="Arial Narrow" w:cs="Arial"/>
          <w:sz w:val="24"/>
          <w:szCs w:val="24"/>
          <w:lang w:val="es-MX"/>
        </w:rPr>
        <w:t xml:space="preserve"> encuentra el Despacho que no resulta procedente dar inicio al trámite incidental, ya que la entidad accionada dio cumplimiento a  lo dis</w:t>
      </w:r>
      <w:r w:rsidR="00F96C9D" w:rsidRPr="002F140C">
        <w:rPr>
          <w:rFonts w:ascii="Arial Narrow" w:hAnsi="Arial Narrow" w:cs="Arial"/>
          <w:sz w:val="24"/>
          <w:szCs w:val="24"/>
          <w:lang w:val="es-MX"/>
        </w:rPr>
        <w:t xml:space="preserve">puesto en el fallo calendado </w:t>
      </w:r>
      <w:r w:rsidR="00460D77" w:rsidRPr="002F140C">
        <w:rPr>
          <w:rFonts w:ascii="Arial Narrow" w:hAnsi="Arial Narrow" w:cs="Arial"/>
          <w:sz w:val="24"/>
          <w:szCs w:val="24"/>
          <w:lang w:val="es-MX"/>
        </w:rPr>
        <w:t>7 de junio de 2016</w:t>
      </w:r>
      <w:r w:rsidRPr="002F140C">
        <w:rPr>
          <w:rFonts w:ascii="Arial Narrow" w:hAnsi="Arial Narrow" w:cs="Arial"/>
          <w:sz w:val="24"/>
          <w:szCs w:val="24"/>
          <w:lang w:val="es-MX"/>
        </w:rPr>
        <w:t xml:space="preserve">, al </w:t>
      </w:r>
      <w:r w:rsidR="00460D77" w:rsidRPr="002F140C">
        <w:rPr>
          <w:rFonts w:ascii="Arial Narrow" w:hAnsi="Arial Narrow" w:cs="Arial"/>
          <w:sz w:val="24"/>
          <w:szCs w:val="24"/>
          <w:lang w:val="es-MX"/>
        </w:rPr>
        <w:t xml:space="preserve"> entregar los pañales requeridos por el señor Islen </w:t>
      </w:r>
      <w:r w:rsidR="00C923E8" w:rsidRPr="002F140C">
        <w:rPr>
          <w:rFonts w:ascii="Arial Narrow" w:hAnsi="Arial Narrow" w:cs="Arial"/>
          <w:sz w:val="24"/>
          <w:szCs w:val="24"/>
          <w:lang w:val="es-MX"/>
        </w:rPr>
        <w:t>Tabares.</w:t>
      </w:r>
    </w:p>
    <w:p w:rsidR="005E6171" w:rsidRPr="002F140C" w:rsidRDefault="005E6171" w:rsidP="005E6171">
      <w:pPr>
        <w:jc w:val="both"/>
        <w:rPr>
          <w:rFonts w:ascii="Arial Narrow" w:hAnsi="Arial Narrow" w:cs="Arial"/>
          <w:sz w:val="24"/>
          <w:szCs w:val="24"/>
          <w:lang w:val="es-MX"/>
        </w:rPr>
      </w:pPr>
    </w:p>
    <w:p w:rsidR="005E6171" w:rsidRPr="002F140C" w:rsidRDefault="005E6171" w:rsidP="005E6171">
      <w:pPr>
        <w:jc w:val="both"/>
        <w:rPr>
          <w:rFonts w:ascii="Arial Narrow" w:hAnsi="Arial Narrow" w:cs="Arial"/>
          <w:sz w:val="24"/>
          <w:szCs w:val="24"/>
          <w:lang w:val="es-MX"/>
        </w:rPr>
      </w:pPr>
      <w:r w:rsidRPr="002F140C">
        <w:rPr>
          <w:rFonts w:ascii="Arial Narrow" w:hAnsi="Arial Narrow" w:cs="Arial"/>
          <w:sz w:val="24"/>
          <w:szCs w:val="24"/>
          <w:lang w:val="es-MX"/>
        </w:rPr>
        <w:t xml:space="preserve">Ante el cumplimiento observado por parte de la entidad, </w:t>
      </w:r>
      <w:r w:rsidRPr="002F140C">
        <w:rPr>
          <w:rFonts w:ascii="Arial Narrow" w:hAnsi="Arial Narrow" w:cs="Arial"/>
          <w:b/>
          <w:sz w:val="24"/>
          <w:szCs w:val="24"/>
          <w:lang w:val="es-MX"/>
        </w:rPr>
        <w:t>el Despacho</w:t>
      </w:r>
      <w:r w:rsidRPr="002F140C">
        <w:rPr>
          <w:rFonts w:ascii="Arial Narrow" w:hAnsi="Arial Narrow" w:cs="Arial"/>
          <w:sz w:val="24"/>
          <w:szCs w:val="24"/>
          <w:lang w:val="es-MX"/>
        </w:rPr>
        <w:t xml:space="preserve"> </w:t>
      </w:r>
      <w:r w:rsidRPr="002F140C">
        <w:rPr>
          <w:rFonts w:ascii="Arial Narrow" w:hAnsi="Arial Narrow" w:cs="Arial"/>
          <w:b/>
          <w:sz w:val="24"/>
          <w:szCs w:val="24"/>
          <w:lang w:val="es-MX"/>
        </w:rPr>
        <w:t>DISPONE:</w:t>
      </w:r>
    </w:p>
    <w:p w:rsidR="005E6171" w:rsidRPr="002F140C" w:rsidRDefault="005E6171" w:rsidP="005E6171">
      <w:pPr>
        <w:jc w:val="both"/>
        <w:rPr>
          <w:rFonts w:ascii="Arial Narrow" w:hAnsi="Arial Narrow" w:cs="Arial"/>
          <w:sz w:val="24"/>
          <w:szCs w:val="24"/>
          <w:lang w:val="es-MX"/>
        </w:rPr>
      </w:pPr>
    </w:p>
    <w:p w:rsidR="005E6171" w:rsidRPr="002F140C" w:rsidRDefault="005E6171" w:rsidP="005E6171">
      <w:pPr>
        <w:ind w:right="-142"/>
        <w:jc w:val="both"/>
        <w:rPr>
          <w:rFonts w:ascii="Arial Narrow" w:hAnsi="Arial Narrow" w:cs="Arial"/>
          <w:sz w:val="24"/>
          <w:szCs w:val="24"/>
        </w:rPr>
      </w:pPr>
      <w:r w:rsidRPr="002F140C">
        <w:rPr>
          <w:rFonts w:ascii="Arial Narrow" w:hAnsi="Arial Narrow" w:cs="Arial"/>
          <w:b/>
          <w:sz w:val="24"/>
          <w:szCs w:val="24"/>
        </w:rPr>
        <w:t xml:space="preserve">PRIMERO: NO DAR TRÁMITE </w:t>
      </w:r>
      <w:r w:rsidRPr="002F140C">
        <w:rPr>
          <w:rFonts w:ascii="Arial Narrow" w:hAnsi="Arial Narrow" w:cs="Arial"/>
          <w:sz w:val="24"/>
          <w:szCs w:val="24"/>
        </w:rPr>
        <w:t>al presente incidente de desacato</w:t>
      </w:r>
      <w:r w:rsidRPr="002F140C">
        <w:rPr>
          <w:rFonts w:ascii="Arial Narrow" w:hAnsi="Arial Narrow" w:cs="Arial"/>
          <w:b/>
          <w:sz w:val="24"/>
          <w:szCs w:val="24"/>
        </w:rPr>
        <w:t xml:space="preserve"> </w:t>
      </w:r>
      <w:r w:rsidRPr="002F140C">
        <w:rPr>
          <w:rFonts w:ascii="Arial Narrow" w:hAnsi="Arial Narrow" w:cs="Arial"/>
          <w:sz w:val="24"/>
          <w:szCs w:val="24"/>
        </w:rPr>
        <w:t xml:space="preserve">por las consideraciones expuestas en la parte motiva. </w:t>
      </w:r>
    </w:p>
    <w:p w:rsidR="005E6171" w:rsidRPr="002F140C" w:rsidRDefault="005E6171" w:rsidP="005E6171">
      <w:pPr>
        <w:ind w:right="-142" w:firstLine="426"/>
        <w:jc w:val="both"/>
        <w:rPr>
          <w:rFonts w:ascii="Arial Narrow" w:hAnsi="Arial Narrow" w:cs="Arial"/>
          <w:b/>
          <w:sz w:val="24"/>
          <w:szCs w:val="24"/>
        </w:rPr>
      </w:pPr>
    </w:p>
    <w:p w:rsidR="005E6171" w:rsidRPr="002F140C" w:rsidRDefault="005E6171" w:rsidP="005E6171">
      <w:pPr>
        <w:ind w:right="-142"/>
        <w:jc w:val="both"/>
        <w:rPr>
          <w:rFonts w:ascii="Arial Narrow" w:hAnsi="Arial Narrow" w:cs="Arial"/>
          <w:sz w:val="24"/>
          <w:szCs w:val="24"/>
        </w:rPr>
      </w:pPr>
      <w:r w:rsidRPr="002F140C">
        <w:rPr>
          <w:rFonts w:ascii="Arial Narrow" w:hAnsi="Arial Narrow" w:cs="Arial"/>
          <w:b/>
          <w:sz w:val="24"/>
          <w:szCs w:val="24"/>
          <w:lang w:val="es-MX"/>
        </w:rPr>
        <w:t>SEGUNDO:</w:t>
      </w:r>
      <w:r w:rsidRPr="002F140C">
        <w:rPr>
          <w:rFonts w:ascii="Arial Narrow" w:hAnsi="Arial Narrow" w:cs="Arial"/>
          <w:b/>
          <w:sz w:val="24"/>
          <w:szCs w:val="24"/>
        </w:rPr>
        <w:t xml:space="preserve"> DECLÁRESE EL CUMPLIMIENTO </w:t>
      </w:r>
      <w:r w:rsidRPr="002F140C">
        <w:rPr>
          <w:rFonts w:ascii="Arial Narrow" w:hAnsi="Arial Narrow" w:cs="Arial"/>
          <w:sz w:val="24"/>
          <w:szCs w:val="24"/>
        </w:rPr>
        <w:t xml:space="preserve">por parte de la entidad accionada a la sentencia de tutela proferida por este Juzgado el día </w:t>
      </w:r>
      <w:r w:rsidR="00C923E8" w:rsidRPr="002F140C">
        <w:rPr>
          <w:rFonts w:ascii="Arial Narrow" w:hAnsi="Arial Narrow" w:cs="Arial"/>
          <w:sz w:val="24"/>
          <w:szCs w:val="24"/>
        </w:rPr>
        <w:t>7</w:t>
      </w:r>
      <w:r w:rsidRPr="002F140C">
        <w:rPr>
          <w:rFonts w:ascii="Arial Narrow" w:hAnsi="Arial Narrow" w:cs="Arial"/>
          <w:sz w:val="24"/>
          <w:szCs w:val="24"/>
        </w:rPr>
        <w:t xml:space="preserve"> de </w:t>
      </w:r>
      <w:r w:rsidR="00C923E8" w:rsidRPr="002F140C">
        <w:rPr>
          <w:rFonts w:ascii="Arial Narrow" w:hAnsi="Arial Narrow" w:cs="Arial"/>
          <w:sz w:val="24"/>
          <w:szCs w:val="24"/>
        </w:rPr>
        <w:t>junio</w:t>
      </w:r>
      <w:r w:rsidRPr="002F140C">
        <w:rPr>
          <w:rFonts w:ascii="Arial Narrow" w:hAnsi="Arial Narrow" w:cs="Arial"/>
          <w:sz w:val="24"/>
          <w:szCs w:val="24"/>
        </w:rPr>
        <w:t xml:space="preserve"> de 201</w:t>
      </w:r>
      <w:r w:rsidR="00C923E8" w:rsidRPr="002F140C">
        <w:rPr>
          <w:rFonts w:ascii="Arial Narrow" w:hAnsi="Arial Narrow" w:cs="Arial"/>
          <w:sz w:val="24"/>
          <w:szCs w:val="24"/>
        </w:rPr>
        <w:t>6</w:t>
      </w:r>
      <w:r w:rsidRPr="002F140C">
        <w:rPr>
          <w:rFonts w:ascii="Arial Narrow" w:hAnsi="Arial Narrow" w:cs="Arial"/>
          <w:sz w:val="24"/>
          <w:szCs w:val="24"/>
        </w:rPr>
        <w:t>, por las razones expuestas en la parte considerativa del presente auto.</w:t>
      </w:r>
    </w:p>
    <w:p w:rsidR="005E6171" w:rsidRPr="002F140C" w:rsidRDefault="005E6171" w:rsidP="005E6171">
      <w:pPr>
        <w:jc w:val="both"/>
        <w:rPr>
          <w:rFonts w:ascii="Arial Narrow" w:hAnsi="Arial Narrow" w:cs="Arial"/>
          <w:sz w:val="24"/>
          <w:szCs w:val="24"/>
        </w:rPr>
      </w:pPr>
    </w:p>
    <w:p w:rsidR="005E6171" w:rsidRPr="002F140C" w:rsidRDefault="005E6171" w:rsidP="005E6171">
      <w:pPr>
        <w:jc w:val="both"/>
        <w:rPr>
          <w:rFonts w:ascii="Arial Narrow" w:hAnsi="Arial Narrow" w:cs="Arial"/>
          <w:sz w:val="24"/>
          <w:szCs w:val="24"/>
          <w:lang w:val="es-MX"/>
        </w:rPr>
      </w:pPr>
      <w:r w:rsidRPr="002F140C">
        <w:rPr>
          <w:rFonts w:ascii="Arial Narrow" w:hAnsi="Arial Narrow" w:cs="Arial"/>
          <w:b/>
          <w:sz w:val="24"/>
          <w:szCs w:val="24"/>
          <w:lang w:val="es-MX"/>
        </w:rPr>
        <w:t>TERCERO</w:t>
      </w:r>
      <w:r w:rsidRPr="002F140C">
        <w:rPr>
          <w:rFonts w:ascii="Arial Narrow" w:hAnsi="Arial Narrow" w:cs="Arial"/>
          <w:b/>
          <w:sz w:val="24"/>
          <w:szCs w:val="24"/>
        </w:rPr>
        <w:t>:</w:t>
      </w:r>
      <w:r w:rsidRPr="002F140C">
        <w:rPr>
          <w:rFonts w:ascii="Arial Narrow" w:hAnsi="Arial Narrow" w:cs="Arial"/>
          <w:b/>
          <w:sz w:val="24"/>
          <w:szCs w:val="24"/>
          <w:lang w:val="es-MX"/>
        </w:rPr>
        <w:t xml:space="preserve"> </w:t>
      </w:r>
      <w:r w:rsidRPr="002F140C">
        <w:rPr>
          <w:rFonts w:ascii="Arial Narrow" w:hAnsi="Arial Narrow" w:cs="Arial"/>
          <w:sz w:val="24"/>
          <w:szCs w:val="24"/>
          <w:lang w:val="es-MX"/>
        </w:rPr>
        <w:t>Notifíquese a las partes en la forma más expedita y eficaz.</w:t>
      </w:r>
    </w:p>
    <w:p w:rsidR="005E6171" w:rsidRPr="002F140C" w:rsidRDefault="005E6171" w:rsidP="005E6171">
      <w:pPr>
        <w:ind w:right="-142"/>
        <w:jc w:val="both"/>
        <w:rPr>
          <w:rFonts w:ascii="Arial Narrow" w:hAnsi="Arial Narrow" w:cs="Arial"/>
          <w:sz w:val="24"/>
          <w:szCs w:val="24"/>
          <w:lang w:val="es-MX"/>
        </w:rPr>
      </w:pPr>
    </w:p>
    <w:p w:rsidR="005E6171" w:rsidRPr="002F140C" w:rsidRDefault="005E6171" w:rsidP="005E6171">
      <w:pPr>
        <w:ind w:right="-142"/>
        <w:jc w:val="both"/>
        <w:rPr>
          <w:rFonts w:ascii="Arial Narrow" w:hAnsi="Arial Narrow" w:cs="Arial"/>
          <w:b/>
          <w:sz w:val="24"/>
          <w:szCs w:val="24"/>
          <w:lang w:val="es-MX"/>
        </w:rPr>
      </w:pPr>
      <w:r w:rsidRPr="002F140C">
        <w:rPr>
          <w:rFonts w:ascii="Arial Narrow" w:hAnsi="Arial Narrow" w:cs="Arial"/>
          <w:b/>
          <w:sz w:val="24"/>
          <w:szCs w:val="24"/>
          <w:lang w:val="es-MX"/>
        </w:rPr>
        <w:t xml:space="preserve">CUARTO: </w:t>
      </w:r>
      <w:r w:rsidRPr="002F140C">
        <w:rPr>
          <w:rFonts w:ascii="Arial Narrow" w:hAnsi="Arial Narrow" w:cs="Arial"/>
          <w:sz w:val="24"/>
          <w:szCs w:val="24"/>
          <w:lang w:val="es-MX"/>
        </w:rPr>
        <w:t>Por secretaría, procédase al archivo del expediente previas las anotaciones de rigor.</w:t>
      </w:r>
      <w:r w:rsidRPr="002F140C">
        <w:rPr>
          <w:rFonts w:ascii="Arial Narrow" w:hAnsi="Arial Narrow" w:cs="Arial"/>
          <w:b/>
          <w:sz w:val="24"/>
          <w:szCs w:val="24"/>
          <w:lang w:val="es-MX"/>
        </w:rPr>
        <w:t xml:space="preserve"> </w:t>
      </w:r>
    </w:p>
    <w:p w:rsidR="005E6171" w:rsidRPr="002F140C" w:rsidRDefault="005E6171" w:rsidP="005E6171">
      <w:pPr>
        <w:ind w:right="-142" w:firstLine="426"/>
        <w:jc w:val="both"/>
        <w:rPr>
          <w:rFonts w:ascii="Arial Narrow" w:hAnsi="Arial Narrow" w:cs="Arial"/>
          <w:b/>
          <w:sz w:val="24"/>
          <w:szCs w:val="24"/>
          <w:lang w:val="es-MX"/>
        </w:rPr>
      </w:pPr>
    </w:p>
    <w:p w:rsidR="005E6171" w:rsidRPr="002F140C" w:rsidRDefault="005E6171" w:rsidP="005E6171">
      <w:pPr>
        <w:jc w:val="center"/>
        <w:rPr>
          <w:rFonts w:ascii="Arial Narrow" w:hAnsi="Arial Narrow" w:cs="Arial"/>
          <w:sz w:val="24"/>
          <w:szCs w:val="24"/>
        </w:rPr>
      </w:pPr>
      <w:r w:rsidRPr="002F140C">
        <w:rPr>
          <w:rFonts w:ascii="Arial Narrow" w:hAnsi="Arial Narrow" w:cs="Arial"/>
          <w:b/>
          <w:sz w:val="24"/>
          <w:szCs w:val="24"/>
          <w:lang w:val="es-MX"/>
        </w:rPr>
        <w:t xml:space="preserve">NOTIFÍQUESE Y </w:t>
      </w:r>
      <w:r w:rsidRPr="002F140C">
        <w:rPr>
          <w:rFonts w:ascii="Arial Narrow" w:hAnsi="Arial Narrow" w:cs="Arial"/>
          <w:b/>
          <w:sz w:val="24"/>
          <w:szCs w:val="24"/>
        </w:rPr>
        <w:t>CÚMPLASE</w:t>
      </w:r>
      <w:r w:rsidRPr="002F140C">
        <w:rPr>
          <w:rFonts w:ascii="Arial Narrow" w:hAnsi="Arial Narrow" w:cs="Arial"/>
          <w:sz w:val="24"/>
          <w:szCs w:val="24"/>
        </w:rPr>
        <w:t>,</w:t>
      </w:r>
    </w:p>
    <w:p w:rsidR="005E6171" w:rsidRPr="002F140C" w:rsidRDefault="005E6171" w:rsidP="005E6171">
      <w:pPr>
        <w:jc w:val="center"/>
        <w:rPr>
          <w:rFonts w:ascii="Arial Narrow" w:hAnsi="Arial Narrow" w:cs="Arial"/>
          <w:sz w:val="24"/>
          <w:szCs w:val="24"/>
        </w:rPr>
      </w:pPr>
    </w:p>
    <w:p w:rsidR="005E6171" w:rsidRPr="002F140C" w:rsidRDefault="005E6171" w:rsidP="005E6171">
      <w:pPr>
        <w:jc w:val="center"/>
        <w:rPr>
          <w:rFonts w:ascii="Arial Narrow" w:hAnsi="Arial Narrow" w:cs="Arial"/>
          <w:sz w:val="24"/>
          <w:szCs w:val="24"/>
        </w:rPr>
      </w:pPr>
    </w:p>
    <w:p w:rsidR="005E6171" w:rsidRPr="002F140C" w:rsidRDefault="005E6171" w:rsidP="00F96C9D">
      <w:pPr>
        <w:rPr>
          <w:rFonts w:ascii="Arial Narrow" w:hAnsi="Arial Narrow" w:cs="Arial"/>
          <w:b/>
          <w:sz w:val="24"/>
          <w:szCs w:val="24"/>
        </w:rPr>
      </w:pPr>
    </w:p>
    <w:p w:rsidR="005E6171" w:rsidRPr="005E6171" w:rsidRDefault="00F96C9D" w:rsidP="005E6171">
      <w:pPr>
        <w:jc w:val="center"/>
        <w:rPr>
          <w:rFonts w:asciiTheme="minorHAnsi" w:hAnsiTheme="minorHAnsi" w:cs="Arial"/>
          <w:b/>
          <w:sz w:val="22"/>
          <w:szCs w:val="22"/>
        </w:rPr>
      </w:pPr>
      <w:r w:rsidRPr="002F140C">
        <w:rPr>
          <w:rFonts w:ascii="Arial Narrow" w:hAnsi="Arial Narrow" w:cs="Arial"/>
          <w:b/>
          <w:sz w:val="24"/>
          <w:szCs w:val="24"/>
        </w:rPr>
        <w:t>LUZ MATILDE ADAIME C</w:t>
      </w:r>
      <w:r>
        <w:rPr>
          <w:rFonts w:asciiTheme="minorHAnsi" w:hAnsiTheme="minorHAnsi" w:cs="Arial"/>
          <w:b/>
          <w:sz w:val="22"/>
          <w:szCs w:val="22"/>
        </w:rPr>
        <w:t>ABRERA</w:t>
      </w:r>
    </w:p>
    <w:p w:rsidR="005E6171" w:rsidRPr="005E6171" w:rsidRDefault="005E6171" w:rsidP="005E6171">
      <w:pPr>
        <w:jc w:val="center"/>
        <w:rPr>
          <w:rFonts w:asciiTheme="minorHAnsi" w:hAnsiTheme="minorHAnsi" w:cs="Arial"/>
          <w:b/>
          <w:sz w:val="22"/>
          <w:szCs w:val="22"/>
        </w:rPr>
      </w:pPr>
      <w:r w:rsidRPr="005E6171">
        <w:rPr>
          <w:rFonts w:asciiTheme="minorHAnsi" w:hAnsiTheme="minorHAnsi" w:cs="Arial"/>
          <w:b/>
          <w:sz w:val="22"/>
          <w:szCs w:val="22"/>
        </w:rPr>
        <w:t>Juez</w:t>
      </w:r>
    </w:p>
    <w:p w:rsidR="005E6171" w:rsidRPr="005E6171" w:rsidRDefault="005E6171" w:rsidP="005E6171">
      <w:pPr>
        <w:rPr>
          <w:rFonts w:asciiTheme="minorHAnsi" w:hAnsiTheme="minorHAnsi" w:cs="Arial"/>
          <w:sz w:val="16"/>
          <w:szCs w:val="16"/>
        </w:rPr>
      </w:pPr>
    </w:p>
    <w:p w:rsidR="005E6171" w:rsidRPr="00C923E8" w:rsidRDefault="005E6171" w:rsidP="005E6171">
      <w:pPr>
        <w:rPr>
          <w:rFonts w:ascii="Harlow Solid Italic" w:hAnsi="Harlow Solid Italic" w:cs="Arial"/>
          <w:sz w:val="16"/>
          <w:szCs w:val="16"/>
        </w:rPr>
      </w:pPr>
      <w:r w:rsidRPr="005E6171">
        <w:rPr>
          <w:rFonts w:asciiTheme="minorHAnsi" w:hAnsiTheme="minorHAnsi" w:cs="Arial"/>
          <w:sz w:val="16"/>
          <w:szCs w:val="16"/>
        </w:rPr>
        <w:t xml:space="preserve"> </w:t>
      </w:r>
      <w:r w:rsidR="00C923E8" w:rsidRPr="00C923E8">
        <w:rPr>
          <w:rFonts w:ascii="Harlow Solid Italic" w:hAnsi="Harlow Solid Italic" w:cs="Arial"/>
          <w:sz w:val="16"/>
          <w:szCs w:val="16"/>
        </w:rPr>
        <w:t>AP</w:t>
      </w:r>
    </w:p>
    <w:p w:rsidR="005E6171" w:rsidRPr="005E6171" w:rsidRDefault="005E6171" w:rsidP="005E6171">
      <w:pPr>
        <w:rPr>
          <w:rFonts w:asciiTheme="minorHAnsi" w:hAnsiTheme="minorHAnsi" w:cs="Arial"/>
          <w:sz w:val="16"/>
          <w:szCs w:val="16"/>
        </w:rPr>
      </w:pPr>
    </w:p>
    <w:p w:rsidR="005E6171" w:rsidRPr="004A7F2E" w:rsidRDefault="005E6171" w:rsidP="005E6171">
      <w:pPr>
        <w:rPr>
          <w:rFonts w:ascii="Goudy Old Style" w:hAnsi="Goudy Old Style" w:cs="Arial"/>
          <w:sz w:val="16"/>
          <w:szCs w:val="16"/>
        </w:rPr>
      </w:pPr>
    </w:p>
    <w:p w:rsidR="005E6171" w:rsidRPr="004A7F2E" w:rsidRDefault="005E6171" w:rsidP="005E6171">
      <w:pPr>
        <w:rPr>
          <w:rFonts w:asciiTheme="minorHAnsi" w:hAnsiTheme="minorHAnsi"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2"/>
      </w:tblGrid>
      <w:tr w:rsidR="005E6171" w:rsidRPr="004A7F2E" w:rsidTr="008B4C5D">
        <w:trPr>
          <w:trHeight w:val="2200"/>
          <w:jc w:val="center"/>
        </w:trPr>
        <w:tc>
          <w:tcPr>
            <w:tcW w:w="5572" w:type="dxa"/>
            <w:tcBorders>
              <w:top w:val="single" w:sz="4" w:space="0" w:color="auto"/>
              <w:left w:val="single" w:sz="4" w:space="0" w:color="auto"/>
              <w:bottom w:val="single" w:sz="4" w:space="0" w:color="auto"/>
              <w:right w:val="single" w:sz="4" w:space="0" w:color="auto"/>
            </w:tcBorders>
          </w:tcPr>
          <w:p w:rsidR="005E6171" w:rsidRPr="004A7F2E" w:rsidRDefault="005E6171" w:rsidP="008B4C5D">
            <w:pPr>
              <w:jc w:val="center"/>
              <w:rPr>
                <w:rFonts w:asciiTheme="minorHAnsi" w:hAnsiTheme="minorHAnsi" w:cs="Arial"/>
                <w:b/>
                <w:sz w:val="16"/>
                <w:szCs w:val="16"/>
              </w:rPr>
            </w:pPr>
          </w:p>
          <w:p w:rsidR="005E6171" w:rsidRPr="005C01CA" w:rsidRDefault="005E6171" w:rsidP="008B4C5D">
            <w:pPr>
              <w:jc w:val="center"/>
              <w:rPr>
                <w:rFonts w:asciiTheme="minorHAnsi" w:hAnsiTheme="minorHAnsi" w:cs="Arial"/>
                <w:b/>
                <w:sz w:val="18"/>
                <w:szCs w:val="16"/>
              </w:rPr>
            </w:pPr>
            <w:r w:rsidRPr="005C01CA">
              <w:rPr>
                <w:rFonts w:asciiTheme="minorHAnsi" w:hAnsiTheme="minorHAnsi" w:cs="Arial"/>
                <w:b/>
                <w:sz w:val="18"/>
                <w:szCs w:val="16"/>
              </w:rPr>
              <w:t>JUZGADO DIECISIETE ADMINISTRATIVO DEL CIRCUITO DE BOGOTÁ – SECCIÓN SEGUNDA</w:t>
            </w:r>
          </w:p>
          <w:p w:rsidR="005E6171" w:rsidRPr="005C01CA" w:rsidRDefault="005E6171" w:rsidP="008B4C5D">
            <w:pPr>
              <w:jc w:val="center"/>
              <w:rPr>
                <w:rFonts w:asciiTheme="minorHAnsi" w:hAnsiTheme="minorHAnsi" w:cs="Arial"/>
                <w:b/>
                <w:sz w:val="18"/>
                <w:szCs w:val="16"/>
              </w:rPr>
            </w:pPr>
          </w:p>
          <w:p w:rsidR="005E6171" w:rsidRPr="005C01CA" w:rsidRDefault="005E6171" w:rsidP="008B4C5D">
            <w:pPr>
              <w:jc w:val="both"/>
              <w:rPr>
                <w:rFonts w:asciiTheme="minorHAnsi" w:hAnsiTheme="minorHAnsi" w:cs="Arial"/>
                <w:sz w:val="18"/>
                <w:szCs w:val="16"/>
              </w:rPr>
            </w:pPr>
            <w:r w:rsidRPr="005C01CA">
              <w:rPr>
                <w:rFonts w:asciiTheme="minorHAnsi" w:hAnsiTheme="minorHAnsi" w:cs="Arial"/>
                <w:sz w:val="18"/>
                <w:szCs w:val="16"/>
              </w:rPr>
              <w:t xml:space="preserve">Por anotación en </w:t>
            </w:r>
            <w:r w:rsidRPr="005C01CA">
              <w:rPr>
                <w:rFonts w:asciiTheme="minorHAnsi" w:hAnsiTheme="minorHAnsi" w:cs="Arial"/>
                <w:b/>
                <w:sz w:val="18"/>
                <w:szCs w:val="16"/>
              </w:rPr>
              <w:t>ESTADO</w:t>
            </w:r>
            <w:r w:rsidRPr="005C01CA">
              <w:rPr>
                <w:rFonts w:asciiTheme="minorHAnsi" w:hAnsiTheme="minorHAnsi" w:cs="Arial"/>
                <w:sz w:val="18"/>
                <w:szCs w:val="16"/>
              </w:rPr>
              <w:t xml:space="preserve"> notifico a las partes de la providencia anterior hoy______________ </w:t>
            </w:r>
            <w:r w:rsidRPr="005C01CA">
              <w:rPr>
                <w:rFonts w:asciiTheme="minorHAnsi" w:hAnsiTheme="minorHAnsi" w:cs="Arial"/>
                <w:b/>
                <w:sz w:val="18"/>
                <w:szCs w:val="16"/>
                <w:u w:val="single"/>
              </w:rPr>
              <w:t xml:space="preserve">                                                 </w:t>
            </w:r>
            <w:r w:rsidRPr="005C01CA">
              <w:rPr>
                <w:rFonts w:asciiTheme="minorHAnsi" w:hAnsiTheme="minorHAnsi" w:cs="Arial"/>
                <w:sz w:val="18"/>
                <w:szCs w:val="16"/>
              </w:rPr>
              <w:t>a las 8:00am.</w:t>
            </w:r>
          </w:p>
          <w:p w:rsidR="005E6171" w:rsidRPr="005C01CA" w:rsidRDefault="005E6171" w:rsidP="008B4C5D">
            <w:pPr>
              <w:jc w:val="center"/>
              <w:rPr>
                <w:rFonts w:asciiTheme="minorHAnsi" w:hAnsiTheme="minorHAnsi" w:cs="Arial"/>
                <w:b/>
                <w:sz w:val="18"/>
                <w:szCs w:val="16"/>
              </w:rPr>
            </w:pPr>
            <w:r>
              <w:rPr>
                <w:rFonts w:asciiTheme="minorHAnsi" w:hAnsiTheme="minorHAnsi" w:cs="Arial"/>
                <w:b/>
                <w:noProof/>
                <w:sz w:val="18"/>
                <w:szCs w:val="16"/>
                <w:lang w:val="es-ES"/>
              </w:rPr>
              <w:drawing>
                <wp:inline distT="0" distB="0" distL="0" distR="0">
                  <wp:extent cx="1456055" cy="431165"/>
                  <wp:effectExtent l="19050" t="0" r="0" b="0"/>
                  <wp:docPr id="7" name="Imagen 1" descr="C:\Users\judi17adm\AppData\Local\Microsoft\Windows\Temporary Internet Files\Content.Word\img20140522_15001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17adm\AppData\Local\Microsoft\Windows\Temporary Internet Files\Content.Word\img20140522_15001607.jpg"/>
                          <pic:cNvPicPr>
                            <a:picLocks noChangeAspect="1" noChangeArrowheads="1"/>
                          </pic:cNvPicPr>
                        </pic:nvPicPr>
                        <pic:blipFill>
                          <a:blip r:embed="rId8" cstate="print"/>
                          <a:srcRect/>
                          <a:stretch>
                            <a:fillRect/>
                          </a:stretch>
                        </pic:blipFill>
                        <pic:spPr bwMode="auto">
                          <a:xfrm>
                            <a:off x="0" y="0"/>
                            <a:ext cx="1456055" cy="431165"/>
                          </a:xfrm>
                          <a:prstGeom prst="rect">
                            <a:avLst/>
                          </a:prstGeom>
                          <a:noFill/>
                          <a:ln w="9525">
                            <a:noFill/>
                            <a:miter lim="800000"/>
                            <a:headEnd/>
                            <a:tailEnd/>
                          </a:ln>
                        </pic:spPr>
                      </pic:pic>
                    </a:graphicData>
                  </a:graphic>
                </wp:inline>
              </w:drawing>
            </w:r>
          </w:p>
          <w:p w:rsidR="005E6171" w:rsidRPr="005C01CA" w:rsidRDefault="005E6171" w:rsidP="008B4C5D">
            <w:pPr>
              <w:jc w:val="center"/>
              <w:rPr>
                <w:rFonts w:asciiTheme="minorHAnsi" w:hAnsiTheme="minorHAnsi" w:cs="Arial"/>
                <w:b/>
                <w:sz w:val="18"/>
                <w:szCs w:val="16"/>
              </w:rPr>
            </w:pPr>
            <w:r w:rsidRPr="005C01CA">
              <w:rPr>
                <w:rFonts w:asciiTheme="minorHAnsi" w:hAnsiTheme="minorHAnsi" w:cs="Arial"/>
                <w:b/>
                <w:sz w:val="18"/>
                <w:szCs w:val="16"/>
              </w:rPr>
              <w:t>JULIO ANDRÉS GÓMEZ DURÁN</w:t>
            </w:r>
          </w:p>
          <w:p w:rsidR="005E6171" w:rsidRPr="004A7F2E" w:rsidRDefault="005E6171" w:rsidP="008B4C5D">
            <w:pPr>
              <w:jc w:val="center"/>
              <w:rPr>
                <w:rFonts w:asciiTheme="minorHAnsi" w:hAnsiTheme="minorHAnsi" w:cs="Arial"/>
                <w:b/>
                <w:sz w:val="16"/>
                <w:szCs w:val="16"/>
              </w:rPr>
            </w:pPr>
            <w:r w:rsidRPr="005C01CA">
              <w:rPr>
                <w:rFonts w:asciiTheme="minorHAnsi" w:hAnsiTheme="minorHAnsi" w:cs="Arial"/>
                <w:b/>
                <w:sz w:val="18"/>
                <w:szCs w:val="16"/>
              </w:rPr>
              <w:t>SECRETARIO</w:t>
            </w:r>
          </w:p>
        </w:tc>
      </w:tr>
    </w:tbl>
    <w:p w:rsidR="005E6171" w:rsidRPr="004A7F2E" w:rsidRDefault="005E6171" w:rsidP="005E6171">
      <w:pPr>
        <w:rPr>
          <w:rFonts w:asciiTheme="minorHAnsi" w:hAnsiTheme="minorHAnsi"/>
          <w:sz w:val="16"/>
          <w:szCs w:val="16"/>
        </w:rPr>
      </w:pPr>
    </w:p>
    <w:p w:rsidR="005E6171" w:rsidRPr="004A7F2E" w:rsidRDefault="005E6171" w:rsidP="005E6171">
      <w:pPr>
        <w:jc w:val="center"/>
        <w:rPr>
          <w:rFonts w:asciiTheme="minorHAnsi" w:hAnsiTheme="minorHAnsi"/>
          <w:sz w:val="22"/>
          <w:szCs w:val="22"/>
        </w:rPr>
      </w:pPr>
    </w:p>
    <w:p w:rsidR="005E6171" w:rsidRPr="005E6171" w:rsidRDefault="005E6171" w:rsidP="005E6171">
      <w:pPr>
        <w:rPr>
          <w:rFonts w:asciiTheme="minorHAnsi" w:hAnsiTheme="minorHAnsi"/>
          <w:sz w:val="16"/>
          <w:szCs w:val="16"/>
        </w:rPr>
      </w:pPr>
    </w:p>
    <w:p w:rsidR="005E6171" w:rsidRPr="005E6171" w:rsidRDefault="005E6171" w:rsidP="005E6171">
      <w:pPr>
        <w:jc w:val="center"/>
        <w:rPr>
          <w:rFonts w:asciiTheme="minorHAnsi" w:hAnsiTheme="minorHAnsi"/>
          <w:sz w:val="22"/>
          <w:szCs w:val="22"/>
        </w:rPr>
      </w:pPr>
    </w:p>
    <w:p w:rsidR="00CC2843" w:rsidRPr="005E6171" w:rsidRDefault="00CC2843" w:rsidP="005E6171">
      <w:pPr>
        <w:rPr>
          <w:rFonts w:asciiTheme="minorHAnsi" w:hAnsiTheme="minorHAnsi"/>
        </w:rPr>
      </w:pPr>
      <w:bookmarkStart w:id="0" w:name="_GoBack"/>
      <w:bookmarkEnd w:id="0"/>
    </w:p>
    <w:sectPr w:rsidR="00CC2843" w:rsidRPr="005E6171" w:rsidSect="008B4C5D">
      <w:headerReference w:type="default" r:id="rId9"/>
      <w:footerReference w:type="default" r:id="rId10"/>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E12" w:rsidRDefault="00AE0E12" w:rsidP="005E6171">
      <w:r>
        <w:separator/>
      </w:r>
    </w:p>
  </w:endnote>
  <w:endnote w:type="continuationSeparator" w:id="0">
    <w:p w:rsidR="00AE0E12" w:rsidRDefault="00AE0E12" w:rsidP="005E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DD505C" w:rsidRDefault="00315C7C" w:rsidP="005E6171">
    <w:pPr>
      <w:pStyle w:val="Piedepgina"/>
      <w:jc w:val="center"/>
      <w:rPr>
        <w:rFonts w:asciiTheme="minorHAnsi" w:hAnsiTheme="minorHAnsi"/>
        <w:lang w:val="es-CO"/>
      </w:rPr>
    </w:pPr>
    <w:r w:rsidRPr="00DD505C">
      <w:rPr>
        <w:rFonts w:asciiTheme="minorHAnsi" w:hAnsiTheme="minorHAnsi"/>
        <w:lang w:val="es-CO"/>
      </w:rPr>
      <w:t>Juzgado Diecisiete Administrativo Oral de Bogotá</w:t>
    </w:r>
  </w:p>
  <w:p w:rsidR="00315C7C" w:rsidRPr="00DD505C" w:rsidRDefault="00AE0E12" w:rsidP="005E6171">
    <w:pPr>
      <w:pStyle w:val="Piedepgina"/>
      <w:jc w:val="center"/>
      <w:rPr>
        <w:rFonts w:asciiTheme="minorHAnsi" w:hAnsiTheme="minorHAnsi"/>
        <w:lang w:val="es-CO"/>
      </w:rPr>
    </w:pPr>
    <w:hyperlink r:id="rId1" w:history="1">
      <w:r w:rsidR="00315C7C" w:rsidRPr="00DD505C">
        <w:rPr>
          <w:rStyle w:val="Hipervnculo"/>
          <w:rFonts w:asciiTheme="minorHAnsi" w:hAnsiTheme="minorHAnsi"/>
          <w:lang w:val="es-CO"/>
        </w:rPr>
        <w:t>jadmin17bta@notificacionesrj.gov.co</w:t>
      </w:r>
    </w:hyperlink>
  </w:p>
  <w:p w:rsidR="00315C7C" w:rsidRPr="005E6171" w:rsidRDefault="00315C7C" w:rsidP="005E6171">
    <w:pPr>
      <w:pStyle w:val="Piedepgina"/>
      <w:jc w:val="center"/>
      <w:rPr>
        <w:lang w:val="es-CO"/>
      </w:rPr>
    </w:pPr>
    <w:r w:rsidRPr="00DD505C">
      <w:rPr>
        <w:rFonts w:asciiTheme="minorHAnsi" w:hAnsiTheme="minorHAnsi"/>
        <w:lang w:val="es-CO"/>
      </w:rPr>
      <w:t>Carrera 57 N°43-91 Piso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E12" w:rsidRDefault="00AE0E12" w:rsidP="005E6171">
      <w:r>
        <w:separator/>
      </w:r>
    </w:p>
  </w:footnote>
  <w:footnote w:type="continuationSeparator" w:id="0">
    <w:p w:rsidR="00AE0E12" w:rsidRDefault="00AE0E12" w:rsidP="005E6171">
      <w:r>
        <w:continuationSeparator/>
      </w:r>
    </w:p>
  </w:footnote>
  <w:footnote w:id="1">
    <w:p w:rsidR="00213B33" w:rsidRPr="002F140C" w:rsidRDefault="00213B33" w:rsidP="0091484A">
      <w:pPr>
        <w:pStyle w:val="Textonotapie"/>
        <w:jc w:val="both"/>
        <w:rPr>
          <w:rFonts w:ascii="Arial Narrow" w:hAnsi="Arial Narrow"/>
        </w:rPr>
      </w:pPr>
      <w:r w:rsidRPr="002F140C">
        <w:rPr>
          <w:rStyle w:val="Refdenotaalpie"/>
          <w:rFonts w:ascii="Arial Narrow" w:hAnsi="Arial Narrow"/>
        </w:rPr>
        <w:footnoteRef/>
      </w:r>
      <w:r w:rsidRPr="002F140C">
        <w:rPr>
          <w:rFonts w:ascii="Arial Narrow" w:hAnsi="Arial Narrow"/>
        </w:rPr>
        <w:t xml:space="preserve"> </w:t>
      </w:r>
      <w:r w:rsidRPr="002F140C">
        <w:rPr>
          <w:rFonts w:ascii="Arial Narrow" w:hAnsi="Arial Narrow"/>
          <w:color w:val="2D2D2D"/>
          <w:spacing w:val="-6"/>
          <w:shd w:val="clear" w:color="auto" w:fill="FFFFFF"/>
        </w:rPr>
        <w:t xml:space="preserve">Ver sentencia T-552 de 2017, M.P. Cristina Pardo </w:t>
      </w:r>
      <w:proofErr w:type="spellStart"/>
      <w:r w:rsidRPr="002F140C">
        <w:rPr>
          <w:rFonts w:ascii="Arial Narrow" w:hAnsi="Arial Narrow"/>
          <w:color w:val="2D2D2D"/>
          <w:spacing w:val="-6"/>
          <w:shd w:val="clear" w:color="auto" w:fill="FFFFFF"/>
        </w:rPr>
        <w:t>Schlesinger</w:t>
      </w:r>
      <w:proofErr w:type="spellEnd"/>
      <w:r w:rsidRPr="002F140C">
        <w:rPr>
          <w:rFonts w:ascii="Arial Narrow" w:hAnsi="Arial Narrow"/>
          <w:color w:val="2D2D2D"/>
          <w:spacing w:val="-6"/>
          <w:shd w:val="clear" w:color="auto" w:fill="FFFFFF"/>
        </w:rPr>
        <w:t>.</w:t>
      </w:r>
    </w:p>
  </w:footnote>
  <w:footnote w:id="2">
    <w:p w:rsidR="00213B33" w:rsidRPr="002F140C" w:rsidRDefault="00213B33" w:rsidP="0091484A">
      <w:pPr>
        <w:pStyle w:val="Textonotapie"/>
        <w:jc w:val="both"/>
        <w:rPr>
          <w:rFonts w:ascii="Arial Narrow" w:hAnsi="Arial Narrow"/>
        </w:rPr>
      </w:pPr>
      <w:r w:rsidRPr="002F140C">
        <w:rPr>
          <w:rStyle w:val="Refdenotaalpie"/>
          <w:rFonts w:ascii="Arial Narrow" w:hAnsi="Arial Narrow"/>
        </w:rPr>
        <w:footnoteRef/>
      </w:r>
      <w:r w:rsidRPr="002F140C">
        <w:rPr>
          <w:rFonts w:ascii="Arial Narrow" w:hAnsi="Arial Narrow"/>
        </w:rPr>
        <w:t xml:space="preserve"> </w:t>
      </w:r>
      <w:r w:rsidRPr="002F140C">
        <w:rPr>
          <w:rFonts w:ascii="Arial Narrow" w:hAnsi="Arial Narrow"/>
          <w:color w:val="2D2D2D"/>
          <w:spacing w:val="-6"/>
          <w:shd w:val="clear" w:color="auto" w:fill="FFFFFF"/>
        </w:rPr>
        <w:t>Ver sentencia T-121 de 2015, M.P. Luis Guillermo Guerrero Pérez; sentencia T-260 de 2017, M.P. Alberto Rojas Ríos; sentencia T-314 de 2017, M.P. Antonio José Lizarazo Ocampo; sentencia T-637 de 2017, M.P. Gloria Stella Ortiz Delgado.</w:t>
      </w:r>
    </w:p>
  </w:footnote>
  <w:footnote w:id="3">
    <w:p w:rsidR="00213B33" w:rsidRPr="002F140C" w:rsidRDefault="00213B33" w:rsidP="0091484A">
      <w:pPr>
        <w:pStyle w:val="Textonotapie"/>
        <w:jc w:val="both"/>
        <w:rPr>
          <w:rFonts w:ascii="Arial Narrow" w:hAnsi="Arial Narrow"/>
        </w:rPr>
      </w:pPr>
      <w:r w:rsidRPr="002F140C">
        <w:rPr>
          <w:rStyle w:val="Refdenotaalpie"/>
          <w:rFonts w:ascii="Arial Narrow" w:hAnsi="Arial Narrow"/>
        </w:rPr>
        <w:footnoteRef/>
      </w:r>
      <w:r w:rsidRPr="002F140C">
        <w:rPr>
          <w:rFonts w:ascii="Arial Narrow" w:hAnsi="Arial Narrow"/>
        </w:rPr>
        <w:t xml:space="preserve"> </w:t>
      </w:r>
      <w:r w:rsidRPr="002F140C">
        <w:rPr>
          <w:rFonts w:ascii="Arial Narrow" w:hAnsi="Arial Narrow"/>
          <w:color w:val="000000"/>
          <w:spacing w:val="-6"/>
          <w:shd w:val="clear" w:color="auto" w:fill="FFFFFF"/>
        </w:rPr>
        <w:t>A modo de ilustración se citan las sentencias: T-023 de 2013, M.P. </w:t>
      </w:r>
      <w:r w:rsidRPr="002F140C">
        <w:rPr>
          <w:rFonts w:ascii="Arial Narrow" w:hAnsi="Arial Narrow"/>
          <w:color w:val="000000"/>
          <w:spacing w:val="-6"/>
          <w:bdr w:val="none" w:sz="0" w:space="0" w:color="auto" w:frame="1"/>
        </w:rPr>
        <w:t>Mauricio González Cuervo</w:t>
      </w:r>
      <w:r w:rsidRPr="002F140C">
        <w:rPr>
          <w:rFonts w:ascii="Arial Narrow" w:hAnsi="Arial Narrow"/>
          <w:color w:val="000000"/>
          <w:spacing w:val="-6"/>
          <w:shd w:val="clear" w:color="auto" w:fill="FFFFFF"/>
        </w:rPr>
        <w:t xml:space="preserve">; T-039 de 2013, M.P. Jorge Iván Palacio </w:t>
      </w:r>
      <w:proofErr w:type="spellStart"/>
      <w:r w:rsidRPr="002F140C">
        <w:rPr>
          <w:rFonts w:ascii="Arial Narrow" w:hAnsi="Arial Narrow"/>
          <w:color w:val="000000"/>
          <w:spacing w:val="-6"/>
          <w:shd w:val="clear" w:color="auto" w:fill="FFFFFF"/>
        </w:rPr>
        <w:t>Palacio</w:t>
      </w:r>
      <w:proofErr w:type="spellEnd"/>
      <w:r w:rsidRPr="002F140C">
        <w:rPr>
          <w:rFonts w:ascii="Arial Narrow" w:hAnsi="Arial Narrow"/>
          <w:color w:val="000000"/>
          <w:spacing w:val="-6"/>
          <w:shd w:val="clear" w:color="auto" w:fill="FFFFFF"/>
        </w:rPr>
        <w:t xml:space="preserve">; T-383 de 2013, M.P. María Victoria Calle Correa; T-500 de 2013, M.P. Luis Ernesto Vargas Silva; T-549 de 2013, M.P. María Victoria Calle Correa; T-922A de 2013, M.P. Alberto Rojas Ríos, T-610 de 2013, M.P. Nilson Pinilla </w:t>
      </w:r>
      <w:proofErr w:type="spellStart"/>
      <w:r w:rsidRPr="002F140C">
        <w:rPr>
          <w:rFonts w:ascii="Arial Narrow" w:hAnsi="Arial Narrow"/>
          <w:color w:val="000000"/>
          <w:spacing w:val="-6"/>
          <w:shd w:val="clear" w:color="auto" w:fill="FFFFFF"/>
        </w:rPr>
        <w:t>Pinilla</w:t>
      </w:r>
      <w:proofErr w:type="spellEnd"/>
      <w:r w:rsidRPr="002F140C">
        <w:rPr>
          <w:rFonts w:ascii="Arial Narrow" w:hAnsi="Arial Narrow"/>
          <w:color w:val="000000"/>
          <w:spacing w:val="-6"/>
          <w:shd w:val="clear" w:color="auto" w:fill="FFFFFF"/>
        </w:rPr>
        <w:t xml:space="preserve">; T-680 de 2013, M.P. Luis Guillermo Guerrero Pérez; T-025 de 2014, M.P. Manuel José Cepeda Espinosa; T-152 de 2014, M.P. Mauricio González Cuervo; T-216 de 2014, M.P. María Victoria Calle Correa y T-401 de 2014,  M. P. Jorge Iván Palacio </w:t>
      </w:r>
      <w:proofErr w:type="spellStart"/>
      <w:r w:rsidRPr="002F140C">
        <w:rPr>
          <w:rFonts w:ascii="Arial Narrow" w:hAnsi="Arial Narrow"/>
          <w:color w:val="000000"/>
          <w:spacing w:val="-6"/>
          <w:shd w:val="clear" w:color="auto" w:fill="FFFFFF"/>
        </w:rPr>
        <w:t>Palacio</w:t>
      </w:r>
      <w:proofErr w:type="spellEnd"/>
      <w:r w:rsidRPr="002F140C">
        <w:rPr>
          <w:rFonts w:ascii="Arial Narrow" w:hAnsi="Arial Narrow"/>
          <w:color w:val="000000"/>
          <w:spacing w:val="-6"/>
          <w:shd w:val="clear" w:color="auto" w:fill="FFFFFF"/>
        </w:rPr>
        <w:t>.</w:t>
      </w:r>
    </w:p>
  </w:footnote>
  <w:footnote w:id="4">
    <w:p w:rsidR="00213B33" w:rsidRPr="002F140C" w:rsidRDefault="00213B33" w:rsidP="0091484A">
      <w:pPr>
        <w:pStyle w:val="Textonotapie"/>
        <w:jc w:val="both"/>
        <w:rPr>
          <w:rFonts w:ascii="Arial Narrow" w:hAnsi="Arial Narrow"/>
        </w:rPr>
      </w:pPr>
      <w:r w:rsidRPr="002F140C">
        <w:rPr>
          <w:rStyle w:val="Refdenotaalpie"/>
          <w:rFonts w:ascii="Arial Narrow" w:hAnsi="Arial Narrow"/>
        </w:rPr>
        <w:footnoteRef/>
      </w:r>
      <w:r w:rsidRPr="002F140C">
        <w:rPr>
          <w:rFonts w:ascii="Arial Narrow" w:hAnsi="Arial Narrow"/>
        </w:rPr>
        <w:t xml:space="preserve"> </w:t>
      </w:r>
      <w:r w:rsidRPr="002F140C">
        <w:rPr>
          <w:rFonts w:ascii="Arial Narrow" w:hAnsi="Arial Narrow"/>
          <w:color w:val="000000"/>
          <w:spacing w:val="-6"/>
          <w:shd w:val="clear" w:color="auto" w:fill="FFFFFF"/>
        </w:rPr>
        <w:t>A modo de ilustración se citan las sentencias: T-023 de 2013, M.P. </w:t>
      </w:r>
      <w:r w:rsidRPr="002F140C">
        <w:rPr>
          <w:rFonts w:ascii="Arial Narrow" w:hAnsi="Arial Narrow"/>
          <w:color w:val="000000"/>
          <w:spacing w:val="-6"/>
          <w:bdr w:val="none" w:sz="0" w:space="0" w:color="auto" w:frame="1"/>
        </w:rPr>
        <w:t>Mauricio González Cuervo</w:t>
      </w:r>
      <w:r w:rsidRPr="002F140C">
        <w:rPr>
          <w:rFonts w:ascii="Arial Narrow" w:hAnsi="Arial Narrow"/>
          <w:color w:val="000000"/>
          <w:spacing w:val="-6"/>
          <w:shd w:val="clear" w:color="auto" w:fill="FFFFFF"/>
        </w:rPr>
        <w:t xml:space="preserve">; T-039 de 2013, M.P. Jorge Iván Palacio </w:t>
      </w:r>
      <w:proofErr w:type="spellStart"/>
      <w:r w:rsidRPr="002F140C">
        <w:rPr>
          <w:rFonts w:ascii="Arial Narrow" w:hAnsi="Arial Narrow"/>
          <w:color w:val="000000"/>
          <w:spacing w:val="-6"/>
          <w:shd w:val="clear" w:color="auto" w:fill="FFFFFF"/>
        </w:rPr>
        <w:t>Palacio</w:t>
      </w:r>
      <w:proofErr w:type="spellEnd"/>
      <w:r w:rsidRPr="002F140C">
        <w:rPr>
          <w:rFonts w:ascii="Arial Narrow" w:hAnsi="Arial Narrow"/>
          <w:color w:val="000000"/>
          <w:spacing w:val="-6"/>
          <w:shd w:val="clear" w:color="auto" w:fill="FFFFFF"/>
        </w:rPr>
        <w:t xml:space="preserve">; T-383 de 2013, M.P. María Victoria Calle Correa; T-500 de 2013, M.P. Luis Ernesto Vargas Silva; T-549 de 2013, M.P. María Victoria Calle Correa; T-922A de 2013, M.P. Alberto Rojas Ríos, T-610 de 2013, M.P. Nilson Pinilla </w:t>
      </w:r>
      <w:proofErr w:type="spellStart"/>
      <w:r w:rsidRPr="002F140C">
        <w:rPr>
          <w:rFonts w:ascii="Arial Narrow" w:hAnsi="Arial Narrow"/>
          <w:color w:val="000000"/>
          <w:spacing w:val="-6"/>
          <w:shd w:val="clear" w:color="auto" w:fill="FFFFFF"/>
        </w:rPr>
        <w:t>Pinilla</w:t>
      </w:r>
      <w:proofErr w:type="spellEnd"/>
      <w:r w:rsidRPr="002F140C">
        <w:rPr>
          <w:rFonts w:ascii="Arial Narrow" w:hAnsi="Arial Narrow"/>
          <w:color w:val="000000"/>
          <w:spacing w:val="-6"/>
          <w:shd w:val="clear" w:color="auto" w:fill="FFFFFF"/>
        </w:rPr>
        <w:t xml:space="preserve">; T-680 de 2013, M.P. Luis Guillermo Guerrero Pérez; T-025 de 2014, M.P. Manuel José Cepeda Espinosa; T-152 de 2014, M.P. Mauricio González Cuervo; T-216 de 2014, M.P. María Victoria Calle Correa y T-401 de 2014,  M. P. Jorge Iván Palacio </w:t>
      </w:r>
      <w:proofErr w:type="spellStart"/>
      <w:r w:rsidRPr="002F140C">
        <w:rPr>
          <w:rFonts w:ascii="Arial Narrow" w:hAnsi="Arial Narrow"/>
          <w:color w:val="000000"/>
          <w:spacing w:val="-6"/>
          <w:shd w:val="clear" w:color="auto" w:fill="FFFFFF"/>
        </w:rPr>
        <w:t>Palacio</w:t>
      </w:r>
      <w:proofErr w:type="spellEnd"/>
      <w:r w:rsidRPr="002F140C">
        <w:rPr>
          <w:rFonts w:ascii="Arial Narrow" w:hAnsi="Arial Narrow"/>
          <w:color w:val="000000"/>
          <w:spacing w:val="-6"/>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750253"/>
      <w:docPartObj>
        <w:docPartGallery w:val="Page Numbers (Top of Page)"/>
        <w:docPartUnique/>
      </w:docPartObj>
    </w:sdtPr>
    <w:sdtEndPr/>
    <w:sdtContent>
      <w:p w:rsidR="00315C7C" w:rsidRDefault="00315C7C" w:rsidP="005E6171">
        <w:pPr>
          <w:pStyle w:val="Encabezado"/>
          <w:jc w:val="right"/>
        </w:pPr>
        <w:r>
          <w:t xml:space="preserve">Página </w:t>
        </w:r>
        <w:r>
          <w:rPr>
            <w:b/>
            <w:sz w:val="24"/>
            <w:szCs w:val="24"/>
          </w:rPr>
          <w:fldChar w:fldCharType="begin"/>
        </w:r>
        <w:r>
          <w:rPr>
            <w:b/>
          </w:rPr>
          <w:instrText>PAGE</w:instrText>
        </w:r>
        <w:r>
          <w:rPr>
            <w:b/>
            <w:sz w:val="24"/>
            <w:szCs w:val="24"/>
          </w:rPr>
          <w:fldChar w:fldCharType="separate"/>
        </w:r>
        <w:r w:rsidR="0091484A">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91484A">
          <w:rPr>
            <w:b/>
            <w:noProof/>
          </w:rPr>
          <w:t>3</w:t>
        </w:r>
        <w:r>
          <w:rPr>
            <w:b/>
            <w:sz w:val="24"/>
            <w:szCs w:val="24"/>
          </w:rPr>
          <w:fldChar w:fldCharType="end"/>
        </w:r>
      </w:p>
    </w:sdtContent>
  </w:sdt>
  <w:p w:rsidR="00315C7C" w:rsidRPr="00DD505C" w:rsidRDefault="00315C7C" w:rsidP="005E6171">
    <w:pPr>
      <w:pStyle w:val="Encabezado"/>
      <w:rPr>
        <w:rFonts w:asciiTheme="minorHAnsi" w:hAnsiTheme="minorHAnsi"/>
        <w:lang w:val="es-MX"/>
      </w:rPr>
    </w:pPr>
    <w:r w:rsidRPr="00DD505C">
      <w:rPr>
        <w:rFonts w:asciiTheme="minorHAnsi" w:hAnsiTheme="minorHAnsi"/>
        <w:b/>
        <w:lang w:val="es-MX"/>
      </w:rPr>
      <w:t>Incidente de Desacato:</w:t>
    </w:r>
    <w:r>
      <w:rPr>
        <w:rFonts w:asciiTheme="minorHAnsi" w:hAnsiTheme="minorHAnsi"/>
        <w:lang w:val="es-MX"/>
      </w:rPr>
      <w:t xml:space="preserve"> 201</w:t>
    </w:r>
    <w:r w:rsidR="006757BC">
      <w:rPr>
        <w:rFonts w:asciiTheme="minorHAnsi" w:hAnsiTheme="minorHAnsi"/>
        <w:lang w:val="es-MX"/>
      </w:rPr>
      <w:t>9-119</w:t>
    </w:r>
  </w:p>
  <w:p w:rsidR="00315C7C" w:rsidRPr="00DD505C" w:rsidRDefault="00315C7C" w:rsidP="005E6171">
    <w:pPr>
      <w:pStyle w:val="Encabezado"/>
      <w:rPr>
        <w:rFonts w:asciiTheme="minorHAnsi" w:hAnsiTheme="minorHAnsi"/>
        <w:lang w:val="es-MX"/>
      </w:rPr>
    </w:pPr>
    <w:r w:rsidRPr="00DD505C">
      <w:rPr>
        <w:rFonts w:asciiTheme="minorHAnsi" w:hAnsiTheme="minorHAnsi"/>
        <w:b/>
        <w:lang w:val="es-MX"/>
      </w:rPr>
      <w:t>Accionante:</w:t>
    </w:r>
    <w:r w:rsidRPr="00DD505C">
      <w:rPr>
        <w:rFonts w:asciiTheme="minorHAnsi" w:hAnsiTheme="minorHAnsi"/>
        <w:lang w:val="es-MX"/>
      </w:rPr>
      <w:t xml:space="preserve"> </w:t>
    </w:r>
    <w:r w:rsidR="006757BC">
      <w:rPr>
        <w:rFonts w:asciiTheme="minorHAnsi" w:hAnsiTheme="minorHAnsi"/>
        <w:lang w:val="es-MX"/>
      </w:rPr>
      <w:t>Islen Tabares</w:t>
    </w:r>
  </w:p>
  <w:p w:rsidR="00315C7C" w:rsidRPr="005157B4" w:rsidRDefault="00315C7C" w:rsidP="005E6171">
    <w:pPr>
      <w:pStyle w:val="Encabezado"/>
      <w:rPr>
        <w:rFonts w:ascii="Arial" w:hAnsi="Arial" w:cs="Arial"/>
        <w:sz w:val="16"/>
        <w:szCs w:val="18"/>
        <w:lang w:val="es-MX"/>
      </w:rPr>
    </w:pPr>
    <w:r w:rsidRPr="00DD505C">
      <w:rPr>
        <w:rFonts w:asciiTheme="minorHAnsi" w:hAnsiTheme="minorHAnsi"/>
        <w:b/>
        <w:lang w:val="es-MX"/>
      </w:rPr>
      <w:t>Accionada:</w:t>
    </w:r>
    <w:r w:rsidRPr="00DD505C">
      <w:rPr>
        <w:rFonts w:asciiTheme="minorHAnsi" w:hAnsiTheme="minorHAnsi"/>
        <w:lang w:val="es-MX"/>
      </w:rPr>
      <w:t xml:space="preserve"> </w:t>
    </w:r>
    <w:r w:rsidR="006757BC">
      <w:rPr>
        <w:rFonts w:asciiTheme="minorHAnsi" w:hAnsiTheme="minorHAnsi"/>
        <w:lang w:val="es-MX"/>
      </w:rPr>
      <w:t>Nueva EPS</w:t>
    </w:r>
    <w:r w:rsidRPr="005157B4">
      <w:rPr>
        <w:rFonts w:ascii="Arial" w:hAnsi="Arial" w:cs="Arial"/>
        <w:sz w:val="16"/>
        <w:szCs w:val="18"/>
        <w:lang w:val="es-MX"/>
      </w:rPr>
      <w:tab/>
    </w:r>
  </w:p>
  <w:p w:rsidR="00315C7C" w:rsidRPr="00D21059" w:rsidRDefault="00315C7C">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71"/>
    <w:rsid w:val="000263D2"/>
    <w:rsid w:val="0004562D"/>
    <w:rsid w:val="00057695"/>
    <w:rsid w:val="00061F41"/>
    <w:rsid w:val="00063D4E"/>
    <w:rsid w:val="000F3380"/>
    <w:rsid w:val="001018D9"/>
    <w:rsid w:val="0016428C"/>
    <w:rsid w:val="001900B5"/>
    <w:rsid w:val="001D6DF9"/>
    <w:rsid w:val="00213B33"/>
    <w:rsid w:val="0028178E"/>
    <w:rsid w:val="002B70D0"/>
    <w:rsid w:val="002F140C"/>
    <w:rsid w:val="002F2915"/>
    <w:rsid w:val="00315C7C"/>
    <w:rsid w:val="00325ABC"/>
    <w:rsid w:val="003D4E46"/>
    <w:rsid w:val="003E73A1"/>
    <w:rsid w:val="003F36F8"/>
    <w:rsid w:val="003F6CB5"/>
    <w:rsid w:val="00460D77"/>
    <w:rsid w:val="00465551"/>
    <w:rsid w:val="0049515D"/>
    <w:rsid w:val="0052137B"/>
    <w:rsid w:val="00521824"/>
    <w:rsid w:val="00572BDD"/>
    <w:rsid w:val="005943EF"/>
    <w:rsid w:val="005D1A19"/>
    <w:rsid w:val="005E6171"/>
    <w:rsid w:val="005E68F6"/>
    <w:rsid w:val="005F4BDB"/>
    <w:rsid w:val="00631AA4"/>
    <w:rsid w:val="00667DB7"/>
    <w:rsid w:val="006757BC"/>
    <w:rsid w:val="006848F6"/>
    <w:rsid w:val="00717098"/>
    <w:rsid w:val="00720A07"/>
    <w:rsid w:val="00731A39"/>
    <w:rsid w:val="007431D0"/>
    <w:rsid w:val="00761E75"/>
    <w:rsid w:val="007866DB"/>
    <w:rsid w:val="007C3CBC"/>
    <w:rsid w:val="007D70AD"/>
    <w:rsid w:val="00801A72"/>
    <w:rsid w:val="00814E7E"/>
    <w:rsid w:val="00825E61"/>
    <w:rsid w:val="00882EA7"/>
    <w:rsid w:val="008B4C5D"/>
    <w:rsid w:val="008F069E"/>
    <w:rsid w:val="0091484A"/>
    <w:rsid w:val="0092504F"/>
    <w:rsid w:val="0095406E"/>
    <w:rsid w:val="00971C71"/>
    <w:rsid w:val="009776DE"/>
    <w:rsid w:val="009A3619"/>
    <w:rsid w:val="00A302D8"/>
    <w:rsid w:val="00A36464"/>
    <w:rsid w:val="00A72614"/>
    <w:rsid w:val="00AA203C"/>
    <w:rsid w:val="00AE0E12"/>
    <w:rsid w:val="00B113A6"/>
    <w:rsid w:val="00B222BD"/>
    <w:rsid w:val="00BB7ACF"/>
    <w:rsid w:val="00C0259A"/>
    <w:rsid w:val="00C65871"/>
    <w:rsid w:val="00C67D29"/>
    <w:rsid w:val="00C87F9D"/>
    <w:rsid w:val="00C923E8"/>
    <w:rsid w:val="00CA171E"/>
    <w:rsid w:val="00CC2843"/>
    <w:rsid w:val="00CE194C"/>
    <w:rsid w:val="00D30282"/>
    <w:rsid w:val="00D7279C"/>
    <w:rsid w:val="00DB7C79"/>
    <w:rsid w:val="00DE70C2"/>
    <w:rsid w:val="00E12138"/>
    <w:rsid w:val="00E271C0"/>
    <w:rsid w:val="00E504FB"/>
    <w:rsid w:val="00E525FF"/>
    <w:rsid w:val="00E764E5"/>
    <w:rsid w:val="00E76CCC"/>
    <w:rsid w:val="00E85C07"/>
    <w:rsid w:val="00EC5FE3"/>
    <w:rsid w:val="00F32945"/>
    <w:rsid w:val="00F96C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27352-81DA-4D4A-B4D9-83245FF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6171"/>
    <w:pPr>
      <w:tabs>
        <w:tab w:val="center" w:pos="4252"/>
        <w:tab w:val="right" w:pos="8504"/>
      </w:tabs>
    </w:pPr>
  </w:style>
  <w:style w:type="character" w:customStyle="1" w:styleId="EncabezadoCar">
    <w:name w:val="Encabezado Car"/>
    <w:basedOn w:val="Fuentedeprrafopredeter"/>
    <w:link w:val="Encabezado"/>
    <w:rsid w:val="005E6171"/>
    <w:rPr>
      <w:rFonts w:ascii="Times New Roman" w:eastAsia="Times New Roman" w:hAnsi="Times New Roman" w:cs="Times New Roman"/>
      <w:sz w:val="20"/>
      <w:szCs w:val="20"/>
      <w:lang w:val="es-ES_tradnl" w:eastAsia="es-ES"/>
    </w:rPr>
  </w:style>
  <w:style w:type="paragraph" w:styleId="Textonotapie">
    <w:name w:val="footnote text"/>
    <w:aliases w:val="Texto nota pie Car Car Car,Texto nota pie Car Car,Footnote Text Char Char Char Char Char,Footnote Text Char Char Char Char,Footnote reference,FA Fu,texto de nota al pie,Footnote Text Char Char Char,Footnote referenc"/>
    <w:basedOn w:val="Normal"/>
    <w:link w:val="TextonotapieCar"/>
    <w:uiPriority w:val="99"/>
    <w:unhideWhenUsed/>
    <w:rsid w:val="005E6171"/>
    <w:pPr>
      <w:overflowPunct/>
      <w:autoSpaceDE/>
      <w:autoSpaceDN/>
      <w:adjustRightInd/>
      <w:textAlignment w:val="auto"/>
    </w:pPr>
    <w:rPr>
      <w:rFonts w:ascii="Calibri" w:eastAsia="Calibri" w:hAnsi="Calibri"/>
      <w:lang w:val="es-CO"/>
    </w:rPr>
  </w:style>
  <w:style w:type="character" w:customStyle="1" w:styleId="TextonotapieCar">
    <w:name w:val="Texto nota pie Car"/>
    <w:aliases w:val="Texto nota pie Car Car Car Car,Texto nota pie Car Car Car1,Footnote Text Char Char Char Char Char Car,Footnote Text Char Char Char Char Car,Footnote reference Car,FA Fu Car,texto de nota al pie Car,Footnote Text Char Char Char Car"/>
    <w:basedOn w:val="Fuentedeprrafopredeter"/>
    <w:link w:val="Textonotapie"/>
    <w:uiPriority w:val="99"/>
    <w:rsid w:val="005E6171"/>
    <w:rPr>
      <w:rFonts w:ascii="Calibri" w:eastAsia="Calibri" w:hAnsi="Calibri" w:cs="Times New Roman"/>
      <w:sz w:val="20"/>
      <w:szCs w:val="20"/>
    </w:rPr>
  </w:style>
  <w:style w:type="character" w:styleId="Refdenotaalpie">
    <w:name w:val="footnote reference"/>
    <w:aliases w:val="Nota a pie,Ref. de nota al pie 2,Footnote symbol,Footnote,Char Car Car Car Ca,Ref. de nota al pie2,Nota de pie,Pie de pagina,referencia nota al pie,Texto de nota al pie,BVI fnr,Ref,de nota al pie,Footnotes refss,Footnote Reference,FC"/>
    <w:uiPriority w:val="99"/>
    <w:unhideWhenUsed/>
    <w:rsid w:val="005E6171"/>
    <w:rPr>
      <w:vertAlign w:val="superscript"/>
    </w:rPr>
  </w:style>
  <w:style w:type="paragraph" w:styleId="Textodeglobo">
    <w:name w:val="Balloon Text"/>
    <w:basedOn w:val="Normal"/>
    <w:link w:val="TextodegloboCar"/>
    <w:uiPriority w:val="99"/>
    <w:semiHidden/>
    <w:unhideWhenUsed/>
    <w:rsid w:val="005E6171"/>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171"/>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5E6171"/>
    <w:pPr>
      <w:tabs>
        <w:tab w:val="center" w:pos="4419"/>
        <w:tab w:val="right" w:pos="8838"/>
      </w:tabs>
    </w:pPr>
  </w:style>
  <w:style w:type="character" w:customStyle="1" w:styleId="PiedepginaCar">
    <w:name w:val="Pie de página Car"/>
    <w:basedOn w:val="Fuentedeprrafopredeter"/>
    <w:link w:val="Piedepgina"/>
    <w:uiPriority w:val="99"/>
    <w:rsid w:val="005E6171"/>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5E6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1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2C3ED-49D4-4A18-A18E-DC2465EA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1137</Words>
  <Characters>6258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Cruz Sotela</dc:creator>
  <cp:lastModifiedBy>Fabio Ivan Afanador Garcia</cp:lastModifiedBy>
  <cp:revision>79</cp:revision>
  <cp:lastPrinted>2019-01-23T21:45:00Z</cp:lastPrinted>
  <dcterms:created xsi:type="dcterms:W3CDTF">2019-01-23T16:19:00Z</dcterms:created>
  <dcterms:modified xsi:type="dcterms:W3CDTF">2019-01-24T23:52:00Z</dcterms:modified>
</cp:coreProperties>
</file>