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ED24B" w14:textId="77777777" w:rsidR="000714B1" w:rsidRPr="001A76F2" w:rsidRDefault="000714B1" w:rsidP="00147D56">
      <w:pPr>
        <w:jc w:val="center"/>
        <w:rPr>
          <w:rFonts w:ascii="Arial Narrow" w:eastAsia="Arial Narrow" w:hAnsi="Arial Narrow" w:cs="Arial Narrow"/>
          <w:b/>
          <w:color w:val="000000" w:themeColor="text1"/>
          <w:sz w:val="22"/>
          <w:szCs w:val="22"/>
        </w:rPr>
      </w:pPr>
      <w:r w:rsidRPr="001A76F2">
        <w:rPr>
          <w:rFonts w:ascii="Arial Narrow" w:eastAsia="Arial Narrow" w:hAnsi="Arial Narrow" w:cs="Arial Narrow"/>
          <w:b/>
          <w:color w:val="000000" w:themeColor="text1"/>
          <w:sz w:val="22"/>
          <w:szCs w:val="22"/>
        </w:rPr>
        <w:t>REPÚBLICA DE COLOMBIA</w:t>
      </w:r>
    </w:p>
    <w:p w14:paraId="3F765EB0" w14:textId="77777777" w:rsidR="000714B1" w:rsidRPr="001A76F2" w:rsidRDefault="000714B1" w:rsidP="00147D56">
      <w:pPr>
        <w:jc w:val="center"/>
        <w:rPr>
          <w:rFonts w:ascii="Arial Narrow" w:eastAsia="Arial Narrow" w:hAnsi="Arial Narrow" w:cs="Arial Narrow"/>
          <w:color w:val="000000" w:themeColor="text1"/>
          <w:sz w:val="22"/>
          <w:szCs w:val="22"/>
        </w:rPr>
      </w:pPr>
      <w:r w:rsidRPr="001A76F2">
        <w:rPr>
          <w:rFonts w:ascii="Arial Narrow" w:eastAsia="Arial Narrow" w:hAnsi="Arial Narrow" w:cs="Arial Narrow"/>
          <w:noProof/>
          <w:color w:val="000000" w:themeColor="text1"/>
          <w:sz w:val="22"/>
          <w:szCs w:val="22"/>
          <w:lang w:val="es-419" w:eastAsia="es-419"/>
        </w:rPr>
        <w:drawing>
          <wp:inline distT="0" distB="0" distL="0" distR="0" wp14:anchorId="040457F3" wp14:editId="35AEB349">
            <wp:extent cx="790575" cy="762000"/>
            <wp:effectExtent l="0" t="0" r="0" b="0"/>
            <wp:docPr id="4" name="image1.jpg" descr="Dibujo de personaje amarill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4" name="image1.jpg" descr="Dibujo de personaje amarillo&#10;&#10;Descripción generada automáticamente con confianza baja"/>
                    <pic:cNvPicPr preferRelativeResize="0"/>
                  </pic:nvPicPr>
                  <pic:blipFill>
                    <a:blip r:embed="rId8"/>
                    <a:srcRect b="16431"/>
                    <a:stretch>
                      <a:fillRect/>
                    </a:stretch>
                  </pic:blipFill>
                  <pic:spPr>
                    <a:xfrm>
                      <a:off x="0" y="0"/>
                      <a:ext cx="790575" cy="762000"/>
                    </a:xfrm>
                    <a:prstGeom prst="rect">
                      <a:avLst/>
                    </a:prstGeom>
                    <a:ln/>
                  </pic:spPr>
                </pic:pic>
              </a:graphicData>
            </a:graphic>
          </wp:inline>
        </w:drawing>
      </w:r>
    </w:p>
    <w:p w14:paraId="3B1B5ECE" w14:textId="77777777" w:rsidR="000714B1" w:rsidRPr="001A76F2" w:rsidRDefault="000714B1" w:rsidP="00147D56">
      <w:pPr>
        <w:jc w:val="center"/>
        <w:rPr>
          <w:rFonts w:ascii="Arial Narrow" w:eastAsia="Arial Narrow" w:hAnsi="Arial Narrow" w:cs="Arial Narrow"/>
          <w:b/>
          <w:color w:val="000000" w:themeColor="text1"/>
          <w:sz w:val="22"/>
          <w:szCs w:val="22"/>
        </w:rPr>
      </w:pPr>
      <w:r w:rsidRPr="001A76F2">
        <w:rPr>
          <w:rFonts w:ascii="Arial Narrow" w:eastAsia="Arial Narrow" w:hAnsi="Arial Narrow" w:cs="Arial Narrow"/>
          <w:b/>
          <w:color w:val="000000" w:themeColor="text1"/>
          <w:sz w:val="22"/>
          <w:szCs w:val="22"/>
        </w:rPr>
        <w:t>JUZGADO DIECISIETE ADMINISTRATIVO DE BOGOTÁ D.C.</w:t>
      </w:r>
    </w:p>
    <w:p w14:paraId="2410C8A6" w14:textId="77777777" w:rsidR="000714B1" w:rsidRPr="001A76F2" w:rsidRDefault="000714B1" w:rsidP="00147D56">
      <w:pPr>
        <w:jc w:val="center"/>
        <w:rPr>
          <w:rFonts w:ascii="Arial Narrow" w:eastAsia="Arial Narrow" w:hAnsi="Arial Narrow" w:cs="Arial Narrow"/>
          <w:b/>
          <w:color w:val="000000" w:themeColor="text1"/>
          <w:sz w:val="22"/>
          <w:szCs w:val="22"/>
        </w:rPr>
      </w:pPr>
      <w:r w:rsidRPr="001A76F2">
        <w:rPr>
          <w:rFonts w:ascii="Arial Narrow" w:eastAsia="Arial Narrow" w:hAnsi="Arial Narrow" w:cs="Arial Narrow"/>
          <w:b/>
          <w:color w:val="000000" w:themeColor="text1"/>
          <w:sz w:val="22"/>
          <w:szCs w:val="22"/>
        </w:rPr>
        <w:t>SECCIÓN SEGUNDA</w:t>
      </w:r>
    </w:p>
    <w:p w14:paraId="32EE4A8B" w14:textId="77777777" w:rsidR="000714B1" w:rsidRPr="00344E59" w:rsidRDefault="000714B1" w:rsidP="00147D56">
      <w:pPr>
        <w:tabs>
          <w:tab w:val="left" w:pos="-720"/>
        </w:tabs>
        <w:jc w:val="both"/>
        <w:rPr>
          <w:rFonts w:ascii="Arial Narrow" w:eastAsia="Arial Narrow" w:hAnsi="Arial Narrow" w:cs="Arial Narrow"/>
          <w:color w:val="000000" w:themeColor="text1"/>
          <w:szCs w:val="22"/>
        </w:rPr>
      </w:pPr>
    </w:p>
    <w:p w14:paraId="7AAE7FD9" w14:textId="1ED5398E" w:rsidR="000714B1" w:rsidRPr="00344E59" w:rsidRDefault="000714B1" w:rsidP="00147D56">
      <w:pPr>
        <w:tabs>
          <w:tab w:val="left" w:pos="-720"/>
        </w:tabs>
        <w:jc w:val="both"/>
        <w:rPr>
          <w:rFonts w:ascii="Arial Narrow" w:eastAsia="Arial Narrow" w:hAnsi="Arial Narrow" w:cs="Arial Narrow"/>
          <w:color w:val="000000" w:themeColor="text1"/>
          <w:szCs w:val="22"/>
        </w:rPr>
      </w:pPr>
      <w:r w:rsidRPr="00344E59">
        <w:rPr>
          <w:rFonts w:ascii="Arial Narrow" w:eastAsia="Arial Narrow" w:hAnsi="Arial Narrow" w:cs="Arial Narrow"/>
          <w:color w:val="000000" w:themeColor="text1"/>
          <w:szCs w:val="22"/>
        </w:rPr>
        <w:t xml:space="preserve">Bogotá D.C., </w:t>
      </w:r>
      <w:r w:rsidR="00125524">
        <w:rPr>
          <w:rFonts w:ascii="Arial Narrow" w:eastAsia="Arial Narrow" w:hAnsi="Arial Narrow" w:cs="Arial Narrow"/>
          <w:color w:val="000000" w:themeColor="text1"/>
          <w:szCs w:val="22"/>
        </w:rPr>
        <w:t>trece (13)</w:t>
      </w:r>
      <w:r w:rsidR="00A2461F">
        <w:rPr>
          <w:rFonts w:ascii="Arial Narrow" w:eastAsia="Arial Narrow" w:hAnsi="Arial Narrow" w:cs="Arial Narrow"/>
          <w:color w:val="000000" w:themeColor="text1"/>
          <w:szCs w:val="22"/>
        </w:rPr>
        <w:t xml:space="preserve"> de </w:t>
      </w:r>
      <w:r w:rsidR="00125524">
        <w:rPr>
          <w:rFonts w:ascii="Arial Narrow" w:eastAsia="Arial Narrow" w:hAnsi="Arial Narrow" w:cs="Arial Narrow"/>
          <w:color w:val="000000" w:themeColor="text1"/>
          <w:szCs w:val="22"/>
        </w:rPr>
        <w:t>marzo</w:t>
      </w:r>
      <w:r w:rsidR="00A2461F">
        <w:rPr>
          <w:rFonts w:ascii="Arial Narrow" w:eastAsia="Arial Narrow" w:hAnsi="Arial Narrow" w:cs="Arial Narrow"/>
          <w:color w:val="000000" w:themeColor="text1"/>
          <w:szCs w:val="22"/>
        </w:rPr>
        <w:t xml:space="preserve"> </w:t>
      </w:r>
      <w:r w:rsidR="0058437A" w:rsidRPr="00344E59">
        <w:rPr>
          <w:rFonts w:ascii="Arial Narrow" w:eastAsia="Arial Narrow" w:hAnsi="Arial Narrow" w:cs="Arial Narrow"/>
          <w:color w:val="000000" w:themeColor="text1"/>
          <w:szCs w:val="22"/>
        </w:rPr>
        <w:t>de 202</w:t>
      </w:r>
      <w:r w:rsidR="00125524">
        <w:rPr>
          <w:rFonts w:ascii="Arial Narrow" w:eastAsia="Arial Narrow" w:hAnsi="Arial Narrow" w:cs="Arial Narrow"/>
          <w:color w:val="000000" w:themeColor="text1"/>
          <w:szCs w:val="22"/>
        </w:rPr>
        <w:t>4</w:t>
      </w:r>
      <w:r w:rsidRPr="00344E59">
        <w:rPr>
          <w:rFonts w:ascii="Arial Narrow" w:eastAsia="Arial Narrow" w:hAnsi="Arial Narrow" w:cs="Arial Narrow"/>
          <w:color w:val="000000" w:themeColor="text1"/>
          <w:szCs w:val="22"/>
        </w:rPr>
        <w:t xml:space="preserve"> </w:t>
      </w:r>
    </w:p>
    <w:p w14:paraId="136BA15E" w14:textId="77777777" w:rsidR="000714B1" w:rsidRPr="00125524" w:rsidRDefault="000714B1" w:rsidP="00147D56">
      <w:pPr>
        <w:tabs>
          <w:tab w:val="left" w:pos="-720"/>
        </w:tabs>
        <w:jc w:val="both"/>
        <w:rPr>
          <w:rFonts w:ascii="Arial Narrow" w:eastAsia="Arial Narrow" w:hAnsi="Arial Narrow" w:cs="Arial Narrow"/>
          <w:color w:val="000000" w:themeColor="text1"/>
        </w:rPr>
      </w:pPr>
    </w:p>
    <w:p w14:paraId="231A5E9A" w14:textId="22A98DF2" w:rsidR="000714B1" w:rsidRPr="00125524" w:rsidRDefault="000714B1" w:rsidP="00147D56">
      <w:pPr>
        <w:tabs>
          <w:tab w:val="left" w:pos="-720"/>
        </w:tabs>
        <w:jc w:val="right"/>
        <w:rPr>
          <w:rFonts w:ascii="Arial Narrow" w:eastAsia="Arial Narrow" w:hAnsi="Arial Narrow" w:cs="Arial Narrow"/>
          <w:b/>
          <w:color w:val="000000" w:themeColor="text1"/>
        </w:rPr>
      </w:pPr>
      <w:r w:rsidRPr="00125524">
        <w:rPr>
          <w:rFonts w:ascii="Arial Narrow" w:eastAsia="Arial Narrow" w:hAnsi="Arial Narrow" w:cs="Arial Narrow"/>
          <w:color w:val="000000" w:themeColor="text1"/>
        </w:rPr>
        <w:t xml:space="preserve">                                                                                                           </w:t>
      </w:r>
      <w:r w:rsidR="00125524" w:rsidRPr="00125524">
        <w:rPr>
          <w:rFonts w:ascii="Arial Narrow" w:eastAsia="Arial Narrow" w:hAnsi="Arial Narrow" w:cs="Arial Narrow"/>
          <w:color w:val="000000" w:themeColor="text1"/>
        </w:rPr>
        <w:t xml:space="preserve"> </w:t>
      </w:r>
      <w:r w:rsidR="00125524" w:rsidRPr="00125524">
        <w:rPr>
          <w:rFonts w:ascii="Arial Narrow" w:eastAsia="Arial Narrow" w:hAnsi="Arial Narrow" w:cs="Arial Narrow"/>
          <w:b/>
          <w:color w:val="000000" w:themeColor="text1"/>
        </w:rPr>
        <w:t xml:space="preserve">Auto de Sustanciación No. </w:t>
      </w:r>
      <w:r w:rsidR="00125524" w:rsidRPr="00125524">
        <w:rPr>
          <w:rFonts w:ascii="Arial Narrow" w:eastAsia="Arial Narrow" w:hAnsi="Arial Narrow" w:cs="Arial Narrow"/>
          <w:bCs/>
          <w:color w:val="000000" w:themeColor="text1"/>
        </w:rPr>
        <w:t>197</w:t>
      </w:r>
    </w:p>
    <w:p w14:paraId="45AC106A" w14:textId="77777777" w:rsidR="000714B1" w:rsidRPr="001A76F2" w:rsidRDefault="000714B1" w:rsidP="00147D56">
      <w:pPr>
        <w:rPr>
          <w:rFonts w:ascii="Arial Narrow" w:eastAsia="Arial Narrow" w:hAnsi="Arial Narrow" w:cs="Arial Narrow"/>
          <w:b/>
          <w:color w:val="000000" w:themeColor="text1"/>
          <w:sz w:val="22"/>
          <w:szCs w:val="22"/>
        </w:rPr>
      </w:pPr>
    </w:p>
    <w:p w14:paraId="74FE7D82" w14:textId="77777777" w:rsidR="000714B1" w:rsidRPr="001A76F2" w:rsidRDefault="000714B1" w:rsidP="00147D56">
      <w:pPr>
        <w:rPr>
          <w:rFonts w:ascii="Arial Narrow" w:eastAsia="Arial Narrow" w:hAnsi="Arial Narrow" w:cs="Arial Narrow"/>
          <w:b/>
          <w:color w:val="000000" w:themeColor="text1"/>
          <w:sz w:val="22"/>
          <w:szCs w:val="22"/>
        </w:rPr>
      </w:pPr>
    </w:p>
    <w:p w14:paraId="73F2F4ED" w14:textId="77777777" w:rsidR="00125524" w:rsidRPr="00D34F87" w:rsidRDefault="00125524" w:rsidP="00125524">
      <w:pPr>
        <w:shd w:val="clear" w:color="auto" w:fill="FFFFFF"/>
        <w:jc w:val="both"/>
        <w:rPr>
          <w:rFonts w:ascii="Arial Narrow" w:eastAsia="Arial Narrow" w:hAnsi="Arial Narrow" w:cs="Arial Narrow"/>
          <w:color w:val="000000"/>
        </w:rPr>
      </w:pPr>
      <w:r w:rsidRPr="00D34F87">
        <w:rPr>
          <w:rFonts w:ascii="Arial Narrow" w:eastAsia="Arial Narrow" w:hAnsi="Arial Narrow" w:cs="Arial Narrow"/>
          <w:b/>
          <w:color w:val="000000"/>
        </w:rPr>
        <w:t>Medio de Control:</w:t>
      </w:r>
      <w:r w:rsidRPr="00D34F87">
        <w:rPr>
          <w:rFonts w:ascii="Arial Narrow" w:eastAsia="Arial Narrow" w:hAnsi="Arial Narrow" w:cs="Arial Narrow"/>
          <w:color w:val="000000"/>
        </w:rPr>
        <w:tab/>
        <w:t>Nulidad y restablecimiento del derecho</w:t>
      </w:r>
    </w:p>
    <w:p w14:paraId="4AAB14D1" w14:textId="77777777" w:rsidR="00125524" w:rsidRPr="00D34F87" w:rsidRDefault="00125524" w:rsidP="00125524">
      <w:pPr>
        <w:shd w:val="clear" w:color="auto" w:fill="FFFFFF"/>
        <w:jc w:val="both"/>
        <w:rPr>
          <w:rFonts w:ascii="Arial Narrow" w:eastAsia="Arial Narrow" w:hAnsi="Arial Narrow" w:cs="Arial Narrow"/>
          <w:color w:val="000000"/>
        </w:rPr>
      </w:pPr>
      <w:r w:rsidRPr="00D34F87">
        <w:rPr>
          <w:rFonts w:ascii="Arial Narrow" w:eastAsia="Arial Narrow" w:hAnsi="Arial Narrow" w:cs="Arial Narrow"/>
          <w:b/>
          <w:color w:val="000000"/>
        </w:rPr>
        <w:t>Radicación:</w:t>
      </w:r>
      <w:r w:rsidRPr="00D34F87">
        <w:rPr>
          <w:rFonts w:ascii="Arial Narrow" w:eastAsia="Arial Narrow" w:hAnsi="Arial Narrow" w:cs="Arial Narrow"/>
          <w:b/>
          <w:color w:val="000000"/>
        </w:rPr>
        <w:tab/>
      </w:r>
      <w:r w:rsidRPr="00D34F87">
        <w:rPr>
          <w:rFonts w:ascii="Arial Narrow" w:eastAsia="Arial Narrow" w:hAnsi="Arial Narrow" w:cs="Arial Narrow"/>
          <w:color w:val="000000"/>
        </w:rPr>
        <w:tab/>
        <w:t>110013335017-2023-00090-00</w:t>
      </w:r>
    </w:p>
    <w:p w14:paraId="204A8559" w14:textId="77777777" w:rsidR="00125524" w:rsidRPr="00D34F87" w:rsidRDefault="00125524" w:rsidP="00125524">
      <w:pPr>
        <w:shd w:val="clear" w:color="auto" w:fill="FFFFFF"/>
        <w:jc w:val="both"/>
        <w:rPr>
          <w:rFonts w:ascii="Arial Narrow" w:eastAsia="Arial Narrow" w:hAnsi="Arial Narrow" w:cs="Arial Narrow"/>
          <w:color w:val="000000"/>
        </w:rPr>
      </w:pPr>
      <w:r w:rsidRPr="00D34F87">
        <w:rPr>
          <w:rFonts w:ascii="Arial Narrow" w:eastAsia="Arial Narrow" w:hAnsi="Arial Narrow" w:cs="Arial Narrow"/>
          <w:b/>
          <w:color w:val="000000"/>
        </w:rPr>
        <w:t>Demandante</w:t>
      </w:r>
      <w:r w:rsidRPr="00D34F87">
        <w:rPr>
          <w:rFonts w:ascii="Arial Narrow" w:eastAsia="Arial Narrow" w:hAnsi="Arial Narrow" w:cs="Arial Narrow"/>
          <w:color w:val="000000"/>
        </w:rPr>
        <w:t>:</w:t>
      </w:r>
      <w:r w:rsidRPr="00D34F87">
        <w:rPr>
          <w:rFonts w:ascii="Arial Narrow" w:eastAsia="Arial Narrow" w:hAnsi="Arial Narrow" w:cs="Arial Narrow"/>
          <w:color w:val="000000"/>
        </w:rPr>
        <w:tab/>
      </w:r>
      <w:r w:rsidRPr="00D34F87">
        <w:rPr>
          <w:rFonts w:ascii="Arial Narrow" w:eastAsia="Arial Narrow" w:hAnsi="Arial Narrow" w:cs="Arial Narrow"/>
          <w:color w:val="000000"/>
        </w:rPr>
        <w:tab/>
        <w:t>Diana Marcela Sosa Pinzón</w:t>
      </w:r>
    </w:p>
    <w:p w14:paraId="65EA5EA1" w14:textId="77777777" w:rsidR="00125524" w:rsidRPr="00D34F87" w:rsidRDefault="00125524" w:rsidP="00125524">
      <w:pPr>
        <w:shd w:val="clear" w:color="auto" w:fill="FFFFFF"/>
        <w:ind w:left="2127" w:hanging="2127"/>
        <w:jc w:val="both"/>
        <w:rPr>
          <w:rFonts w:ascii="Arial Narrow" w:eastAsia="Arial Narrow" w:hAnsi="Arial Narrow" w:cs="Arial Narrow"/>
          <w:color w:val="000000"/>
        </w:rPr>
      </w:pPr>
      <w:r w:rsidRPr="00D34F87">
        <w:rPr>
          <w:rFonts w:ascii="Arial Narrow" w:eastAsia="Arial Narrow" w:hAnsi="Arial Narrow" w:cs="Arial Narrow"/>
          <w:b/>
          <w:color w:val="000000"/>
        </w:rPr>
        <w:t>Demandado:</w:t>
      </w:r>
      <w:r w:rsidRPr="00D34F87">
        <w:rPr>
          <w:rFonts w:ascii="Arial Narrow" w:eastAsia="Arial Narrow" w:hAnsi="Arial Narrow" w:cs="Arial Narrow"/>
          <w:color w:val="000000"/>
        </w:rPr>
        <w:tab/>
        <w:t>Nación – Ministerio de Defensa – Policía Nacional.</w:t>
      </w:r>
    </w:p>
    <w:p w14:paraId="6B3D2246" w14:textId="77777777" w:rsidR="00125524" w:rsidRPr="00D34F87" w:rsidRDefault="00125524" w:rsidP="00125524">
      <w:pPr>
        <w:shd w:val="clear" w:color="auto" w:fill="FFFFFF"/>
        <w:jc w:val="both"/>
        <w:rPr>
          <w:rFonts w:ascii="Arial Narrow" w:eastAsia="Arial Narrow" w:hAnsi="Arial Narrow" w:cs="Arial Narrow"/>
          <w:b/>
          <w:color w:val="000000"/>
        </w:rPr>
      </w:pPr>
    </w:p>
    <w:p w14:paraId="2358C4D4" w14:textId="77777777" w:rsidR="00125524" w:rsidRDefault="00125524" w:rsidP="00125524">
      <w:pPr>
        <w:shd w:val="clear" w:color="auto" w:fill="FFFFFF"/>
        <w:rPr>
          <w:rFonts w:ascii="Arial Narrow" w:eastAsia="Arial Narrow" w:hAnsi="Arial Narrow" w:cs="Arial Narrow"/>
          <w:color w:val="000000"/>
        </w:rPr>
      </w:pPr>
      <w:r w:rsidRPr="00D34F87">
        <w:rPr>
          <w:rFonts w:ascii="Arial Narrow" w:eastAsia="Arial Narrow" w:hAnsi="Arial Narrow" w:cs="Arial Narrow"/>
          <w:b/>
          <w:color w:val="000000"/>
        </w:rPr>
        <w:t>Tema:</w:t>
      </w:r>
      <w:r w:rsidRPr="00D34F87">
        <w:rPr>
          <w:rFonts w:ascii="Arial Narrow" w:eastAsia="Arial Narrow" w:hAnsi="Arial Narrow" w:cs="Arial Narrow"/>
          <w:b/>
          <w:color w:val="000000"/>
        </w:rPr>
        <w:tab/>
      </w:r>
      <w:r w:rsidRPr="00D34F87">
        <w:rPr>
          <w:rFonts w:ascii="Arial Narrow" w:eastAsia="Arial Narrow" w:hAnsi="Arial Narrow" w:cs="Arial Narrow"/>
          <w:color w:val="000000"/>
        </w:rPr>
        <w:tab/>
      </w:r>
      <w:r w:rsidRPr="00D34F87">
        <w:rPr>
          <w:rFonts w:ascii="Arial Narrow" w:eastAsia="Arial Narrow" w:hAnsi="Arial Narrow" w:cs="Arial Narrow"/>
          <w:color w:val="000000"/>
        </w:rPr>
        <w:tab/>
        <w:t>Retiro por disminución de PCL.</w:t>
      </w:r>
    </w:p>
    <w:p w14:paraId="1F83B3FD" w14:textId="77777777" w:rsidR="00125524" w:rsidRPr="001A76F2" w:rsidRDefault="00125524" w:rsidP="00125524">
      <w:pPr>
        <w:shd w:val="clear" w:color="auto" w:fill="FFFFFF"/>
        <w:rPr>
          <w:rFonts w:ascii="Arial Narrow" w:eastAsia="Arial Narrow" w:hAnsi="Arial Narrow" w:cs="Arial Narrow"/>
          <w:b/>
          <w:color w:val="000000" w:themeColor="text1"/>
          <w:sz w:val="22"/>
          <w:szCs w:val="22"/>
        </w:rPr>
      </w:pPr>
    </w:p>
    <w:p w14:paraId="1A9CA284" w14:textId="77777777" w:rsidR="00125524" w:rsidRPr="00163F9C" w:rsidRDefault="00125524" w:rsidP="00125524">
      <w:pPr>
        <w:shd w:val="clear" w:color="auto" w:fill="FFFFFF"/>
        <w:jc w:val="right"/>
        <w:rPr>
          <w:rFonts w:ascii="Arial Narrow" w:eastAsia="Arial Narrow" w:hAnsi="Arial Narrow" w:cs="Arial Narrow"/>
          <w:color w:val="000000" w:themeColor="text1"/>
        </w:rPr>
      </w:pPr>
      <w:r w:rsidRPr="00163F9C">
        <w:rPr>
          <w:rFonts w:ascii="Arial Narrow" w:eastAsia="Arial Narrow" w:hAnsi="Arial Narrow" w:cs="Arial Narrow"/>
          <w:b/>
          <w:color w:val="000000" w:themeColor="text1"/>
          <w:u w:val="single"/>
        </w:rPr>
        <w:t xml:space="preserve">Auto </w:t>
      </w:r>
      <w:r>
        <w:rPr>
          <w:rFonts w:ascii="Arial Narrow" w:eastAsia="Arial Narrow" w:hAnsi="Arial Narrow" w:cs="Arial Narrow"/>
          <w:b/>
          <w:color w:val="000000" w:themeColor="text1"/>
          <w:u w:val="single"/>
        </w:rPr>
        <w:t>admite reforma de la demanda</w:t>
      </w:r>
    </w:p>
    <w:p w14:paraId="5EA47F9F" w14:textId="77777777" w:rsidR="00E36DD3" w:rsidRDefault="00E36DD3" w:rsidP="00147D56">
      <w:pPr>
        <w:jc w:val="both"/>
        <w:rPr>
          <w:rFonts w:ascii="Arial Narrow" w:eastAsia="Arial Narrow" w:hAnsi="Arial Narrow" w:cs="Arial Narrow"/>
          <w:color w:val="000000" w:themeColor="text1"/>
        </w:rPr>
      </w:pPr>
    </w:p>
    <w:p w14:paraId="6DBC17A8" w14:textId="6C74339E" w:rsidR="00E36DD3" w:rsidRDefault="00E36DD3" w:rsidP="00147D56">
      <w:pPr>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Presentada en términos la reforma a la demanda, el despacho procederá a su admisión</w:t>
      </w:r>
      <w:r w:rsidR="000A0F08">
        <w:rPr>
          <w:rFonts w:ascii="Arial Narrow" w:eastAsia="Arial Narrow" w:hAnsi="Arial Narrow" w:cs="Arial Narrow"/>
          <w:color w:val="000000" w:themeColor="text1"/>
        </w:rPr>
        <w:t xml:space="preserve">, previo las siguientes consideraciones: </w:t>
      </w:r>
      <w:r>
        <w:rPr>
          <w:rFonts w:ascii="Arial Narrow" w:eastAsia="Arial Narrow" w:hAnsi="Arial Narrow" w:cs="Arial Narrow"/>
          <w:color w:val="000000" w:themeColor="text1"/>
        </w:rPr>
        <w:t xml:space="preserve"> </w:t>
      </w:r>
    </w:p>
    <w:p w14:paraId="1A647F21" w14:textId="77777777" w:rsidR="000714B1" w:rsidRPr="00344E59" w:rsidRDefault="000714B1" w:rsidP="00147D56">
      <w:pPr>
        <w:jc w:val="both"/>
        <w:rPr>
          <w:rFonts w:ascii="Arial Narrow" w:eastAsia="Arial Narrow" w:hAnsi="Arial Narrow" w:cs="Arial Narrow"/>
          <w:color w:val="000000" w:themeColor="text1"/>
        </w:rPr>
      </w:pPr>
    </w:p>
    <w:p w14:paraId="69FED173" w14:textId="77777777" w:rsidR="00D2079E" w:rsidRDefault="006A5390" w:rsidP="00147D56">
      <w:pPr>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E</w:t>
      </w:r>
      <w:r w:rsidR="004018CF" w:rsidRPr="004018CF">
        <w:rPr>
          <w:rFonts w:ascii="Arial Narrow" w:eastAsia="Arial Narrow" w:hAnsi="Arial Narrow" w:cs="Arial Narrow"/>
          <w:color w:val="000000" w:themeColor="text1"/>
        </w:rPr>
        <w:t>l artículo 173 del Código de Procedimiento Administrativo y de lo Contencioso Administrativo establece los siguientes requisitos</w:t>
      </w:r>
      <w:r>
        <w:rPr>
          <w:rFonts w:ascii="Arial Narrow" w:eastAsia="Arial Narrow" w:hAnsi="Arial Narrow" w:cs="Arial Narrow"/>
          <w:color w:val="000000" w:themeColor="text1"/>
        </w:rPr>
        <w:t xml:space="preserve"> para admitir la reforma de la demanda</w:t>
      </w:r>
      <w:r w:rsidR="004018CF" w:rsidRPr="004018CF">
        <w:rPr>
          <w:rFonts w:ascii="Arial Narrow" w:eastAsia="Arial Narrow" w:hAnsi="Arial Narrow" w:cs="Arial Narrow"/>
          <w:color w:val="000000" w:themeColor="text1"/>
        </w:rPr>
        <w:t xml:space="preserve">: </w:t>
      </w:r>
    </w:p>
    <w:p w14:paraId="37919669" w14:textId="77777777" w:rsidR="00D2079E" w:rsidRDefault="00D2079E" w:rsidP="00147D56">
      <w:pPr>
        <w:jc w:val="both"/>
        <w:rPr>
          <w:rFonts w:ascii="Arial Narrow" w:eastAsia="Arial Narrow" w:hAnsi="Arial Narrow" w:cs="Arial Narrow"/>
          <w:color w:val="000000" w:themeColor="text1"/>
        </w:rPr>
      </w:pPr>
    </w:p>
    <w:p w14:paraId="3AEA6EC5" w14:textId="77777777" w:rsidR="00D2079E"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 xml:space="preserve">i) que la reforma sea presentada dentro de los 10 días siguientes al vencimiento del traslado de la demanda; ii) que se refiera a las partes, las pretensiones, los hechos o las pruebas; iii) que no se sustituya la totalidad de las partes ni de las pretensiones; y iv) que las nuevas pretensiones cumplan los requisitos de procedibilidad de la demanda. </w:t>
      </w:r>
    </w:p>
    <w:p w14:paraId="29D3149D" w14:textId="77777777" w:rsidR="00D2079E" w:rsidRDefault="00D2079E" w:rsidP="00147D56">
      <w:pPr>
        <w:jc w:val="both"/>
        <w:rPr>
          <w:rFonts w:ascii="Arial Narrow" w:eastAsia="Arial Narrow" w:hAnsi="Arial Narrow" w:cs="Arial Narrow"/>
          <w:color w:val="000000" w:themeColor="text1"/>
        </w:rPr>
      </w:pPr>
    </w:p>
    <w:p w14:paraId="70E2B392" w14:textId="77777777" w:rsidR="00D2079E"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 xml:space="preserve">1. En cuanto al primer requisito, relacionado con la oportunidad de la reforma de la demanda, el numeral 1 del artículo 173 de la Ley 1437 de 2011 indica que el término de 10 días se contabiliza al vencimiento del traslado de la demanda. En concordancia, el artículo 172 del Código de Procedimiento Administrativo y de lo Contencioso Administrativo dispone que el término de traslado de la demanda es de 30 días, contados conforme con el artículo 199 ibidem. Esta última norma (artículo 199) fue modificada por el artículo 48 de la Ley 2080 de 2021, que indicó que los traslados que conceda un auto notificado será contabilizado a los 2 días hábiles siguientes al envío del mensaje de datos y el respectivo término empezará a correr a partir del día siguiente. </w:t>
      </w:r>
    </w:p>
    <w:p w14:paraId="311D37CA" w14:textId="77777777" w:rsidR="00D2079E" w:rsidRDefault="00D2079E" w:rsidP="00147D56">
      <w:pPr>
        <w:jc w:val="both"/>
        <w:rPr>
          <w:rFonts w:ascii="Arial Narrow" w:eastAsia="Arial Narrow" w:hAnsi="Arial Narrow" w:cs="Arial Narrow"/>
          <w:color w:val="000000" w:themeColor="text1"/>
        </w:rPr>
      </w:pPr>
    </w:p>
    <w:p w14:paraId="0165D6D2" w14:textId="77777777" w:rsidR="00D2079E"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En otras palabras</w:t>
      </w:r>
      <w:r w:rsidR="00D2079E">
        <w:rPr>
          <w:rFonts w:ascii="Arial Narrow" w:eastAsia="Arial Narrow" w:hAnsi="Arial Narrow" w:cs="Arial Narrow"/>
          <w:color w:val="000000" w:themeColor="text1"/>
        </w:rPr>
        <w:t xml:space="preserve"> se </w:t>
      </w:r>
      <w:r w:rsidRPr="004018CF">
        <w:rPr>
          <w:rFonts w:ascii="Arial Narrow" w:eastAsia="Arial Narrow" w:hAnsi="Arial Narrow" w:cs="Arial Narrow"/>
          <w:color w:val="000000" w:themeColor="text1"/>
        </w:rPr>
        <w:t xml:space="preserve">debe tener en cuenta los siguientes términos: i) 2 días hábiles contados desde la notificación personal a la autoridad demandada mediante mensaje de datos (artículo 48 de la Ley 2080 de 2021), ii) 30 días de traslado de la demanda, contados desde el día siguiente al vencimiento del plazo anterior (artículo 172 de la Ley 1437 de 2011) y iii) 10 días </w:t>
      </w:r>
      <w:r w:rsidRPr="004018CF">
        <w:rPr>
          <w:rFonts w:ascii="Arial Narrow" w:eastAsia="Arial Narrow" w:hAnsi="Arial Narrow" w:cs="Arial Narrow"/>
          <w:color w:val="000000" w:themeColor="text1"/>
        </w:rPr>
        <w:lastRenderedPageBreak/>
        <w:t xml:space="preserve">para reformar la demanda, contados a partir del día hábil siguiente al término de traslado de la demanda (artículo 173 ibidem). </w:t>
      </w:r>
    </w:p>
    <w:p w14:paraId="792665E9" w14:textId="77777777" w:rsidR="00D2079E" w:rsidRDefault="00D2079E" w:rsidP="00147D56">
      <w:pPr>
        <w:jc w:val="both"/>
        <w:rPr>
          <w:rFonts w:ascii="Arial Narrow" w:eastAsia="Arial Narrow" w:hAnsi="Arial Narrow" w:cs="Arial Narrow"/>
          <w:color w:val="000000" w:themeColor="text1"/>
        </w:rPr>
      </w:pPr>
    </w:p>
    <w:p w14:paraId="4B0EA9DD" w14:textId="77777777" w:rsidR="00D2079E"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 xml:space="preserve">De otro lado, para interpretar adecuadamente estas normas, debe tenerse en cuenta que el inciso final del artículo 118 del Código General del Proceso establece que los términos de días se contabilizarán excluyendo los de vacancia judicial y todos aquellos en que el juzgado esté cerrado, cualquiera sea el motivo. </w:t>
      </w:r>
    </w:p>
    <w:p w14:paraId="2674BF72" w14:textId="77777777" w:rsidR="00D2079E" w:rsidRDefault="00D2079E" w:rsidP="00147D56">
      <w:pPr>
        <w:jc w:val="both"/>
        <w:rPr>
          <w:rFonts w:ascii="Arial Narrow" w:eastAsia="Arial Narrow" w:hAnsi="Arial Narrow" w:cs="Arial Narrow"/>
          <w:color w:val="000000" w:themeColor="text1"/>
        </w:rPr>
      </w:pPr>
    </w:p>
    <w:p w14:paraId="75B1ED34" w14:textId="67A0D981" w:rsidR="00D2079E"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En el caso bajo examen, consta que </w:t>
      </w:r>
      <w:r w:rsidR="00115D22">
        <w:rPr>
          <w:rFonts w:ascii="Arial Narrow" w:eastAsia="Arial Narrow" w:hAnsi="Arial Narrow" w:cs="Arial Narrow"/>
          <w:color w:val="000000" w:themeColor="text1"/>
        </w:rPr>
        <w:t>la Nación – Ministerio de Defensa – Policía Nacional</w:t>
      </w:r>
      <w:r w:rsidRPr="004018CF">
        <w:rPr>
          <w:rFonts w:ascii="Arial Narrow" w:eastAsia="Arial Narrow" w:hAnsi="Arial Narrow" w:cs="Arial Narrow"/>
          <w:color w:val="000000" w:themeColor="text1"/>
        </w:rPr>
        <w:t>, fu</w:t>
      </w:r>
      <w:r w:rsidR="00125524">
        <w:rPr>
          <w:rFonts w:ascii="Arial Narrow" w:eastAsia="Arial Narrow" w:hAnsi="Arial Narrow" w:cs="Arial Narrow"/>
          <w:color w:val="000000" w:themeColor="text1"/>
        </w:rPr>
        <w:t>e</w:t>
      </w:r>
      <w:r w:rsidRPr="004018CF">
        <w:rPr>
          <w:rFonts w:ascii="Arial Narrow" w:eastAsia="Arial Narrow" w:hAnsi="Arial Narrow" w:cs="Arial Narrow"/>
          <w:color w:val="000000" w:themeColor="text1"/>
        </w:rPr>
        <w:t xml:space="preserve"> notificada </w:t>
      </w:r>
      <w:r w:rsidR="00D2079E">
        <w:rPr>
          <w:rFonts w:ascii="Arial Narrow" w:eastAsia="Arial Narrow" w:hAnsi="Arial Narrow" w:cs="Arial Narrow"/>
          <w:color w:val="000000" w:themeColor="text1"/>
        </w:rPr>
        <w:t xml:space="preserve">de forma personal el </w:t>
      </w:r>
      <w:r w:rsidR="00115D22" w:rsidRPr="00115D22">
        <w:rPr>
          <w:rFonts w:ascii="Arial Narrow" w:eastAsia="Arial Narrow" w:hAnsi="Arial Narrow" w:cs="Arial Narrow"/>
          <w:b/>
          <w:bCs/>
          <w:color w:val="000000" w:themeColor="text1"/>
        </w:rPr>
        <w:t>06 de diciembre del 2023</w:t>
      </w:r>
      <w:r w:rsidRPr="004018CF">
        <w:rPr>
          <w:rFonts w:ascii="Arial Narrow" w:eastAsia="Arial Narrow" w:hAnsi="Arial Narrow" w:cs="Arial Narrow"/>
          <w:color w:val="000000" w:themeColor="text1"/>
        </w:rPr>
        <w:t xml:space="preserve">. En consecuencia, el término de 2 días del artículo 48 de la Ley 2080 de 2021 finalizó el </w:t>
      </w:r>
      <w:r w:rsidR="00115D22" w:rsidRPr="00115D22">
        <w:rPr>
          <w:rFonts w:ascii="Arial Narrow" w:eastAsia="Arial Narrow" w:hAnsi="Arial Narrow" w:cs="Arial Narrow"/>
          <w:b/>
          <w:bCs/>
          <w:color w:val="000000" w:themeColor="text1"/>
        </w:rPr>
        <w:t>11</w:t>
      </w:r>
      <w:r w:rsidR="00115D22">
        <w:rPr>
          <w:rFonts w:ascii="Arial Narrow" w:eastAsia="Arial Narrow" w:hAnsi="Arial Narrow" w:cs="Arial Narrow"/>
          <w:color w:val="000000" w:themeColor="text1"/>
        </w:rPr>
        <w:t xml:space="preserve"> </w:t>
      </w:r>
      <w:r w:rsidR="00115D22" w:rsidRPr="00115D22">
        <w:rPr>
          <w:rFonts w:ascii="Arial Narrow" w:eastAsia="Arial Narrow" w:hAnsi="Arial Narrow" w:cs="Arial Narrow"/>
          <w:b/>
          <w:bCs/>
          <w:color w:val="000000" w:themeColor="text1"/>
        </w:rPr>
        <w:t>de diciembre del 2023</w:t>
      </w:r>
      <w:r w:rsidRPr="004018CF">
        <w:rPr>
          <w:rFonts w:ascii="Arial Narrow" w:eastAsia="Arial Narrow" w:hAnsi="Arial Narrow" w:cs="Arial Narrow"/>
          <w:color w:val="000000" w:themeColor="text1"/>
        </w:rPr>
        <w:t>.</w:t>
      </w:r>
      <w:r w:rsidR="00E051DE">
        <w:rPr>
          <w:rFonts w:ascii="Arial Narrow" w:eastAsia="Arial Narrow" w:hAnsi="Arial Narrow" w:cs="Arial Narrow"/>
          <w:color w:val="000000" w:themeColor="text1"/>
        </w:rPr>
        <w:t xml:space="preserve"> E</w:t>
      </w:r>
      <w:r w:rsidRPr="004018CF">
        <w:rPr>
          <w:rFonts w:ascii="Arial Narrow" w:eastAsia="Arial Narrow" w:hAnsi="Arial Narrow" w:cs="Arial Narrow"/>
          <w:color w:val="000000" w:themeColor="text1"/>
        </w:rPr>
        <w:t xml:space="preserve">l traslado de la demanda de 30 días inició el </w:t>
      </w:r>
      <w:r w:rsidR="00115D22" w:rsidRPr="00115D22">
        <w:rPr>
          <w:rFonts w:ascii="Arial Narrow" w:eastAsia="Arial Narrow" w:hAnsi="Arial Narrow" w:cs="Arial Narrow"/>
          <w:b/>
          <w:bCs/>
          <w:color w:val="000000" w:themeColor="text1"/>
        </w:rPr>
        <w:t>12</w:t>
      </w:r>
      <w:r w:rsidR="00115D22">
        <w:rPr>
          <w:rFonts w:ascii="Arial Narrow" w:eastAsia="Arial Narrow" w:hAnsi="Arial Narrow" w:cs="Arial Narrow"/>
          <w:color w:val="000000" w:themeColor="text1"/>
        </w:rPr>
        <w:t xml:space="preserve"> </w:t>
      </w:r>
      <w:r w:rsidR="00115D22" w:rsidRPr="00115D22">
        <w:rPr>
          <w:rFonts w:ascii="Arial Narrow" w:eastAsia="Arial Narrow" w:hAnsi="Arial Narrow" w:cs="Arial Narrow"/>
          <w:b/>
          <w:bCs/>
          <w:color w:val="000000" w:themeColor="text1"/>
        </w:rPr>
        <w:t>de diciembre del 2023</w:t>
      </w:r>
      <w:r w:rsidR="00D2079E">
        <w:rPr>
          <w:rFonts w:ascii="Arial Narrow" w:eastAsia="Arial Narrow" w:hAnsi="Arial Narrow" w:cs="Arial Narrow"/>
          <w:color w:val="000000" w:themeColor="text1"/>
        </w:rPr>
        <w:t xml:space="preserve"> </w:t>
      </w:r>
      <w:r w:rsidRPr="004018CF">
        <w:rPr>
          <w:rFonts w:ascii="Arial Narrow" w:eastAsia="Arial Narrow" w:hAnsi="Arial Narrow" w:cs="Arial Narrow"/>
          <w:color w:val="000000" w:themeColor="text1"/>
        </w:rPr>
        <w:t xml:space="preserve">y finalizó el </w:t>
      </w:r>
      <w:r w:rsidR="00115D22" w:rsidRPr="00115D22">
        <w:rPr>
          <w:rFonts w:ascii="Arial Narrow" w:eastAsia="Arial Narrow" w:hAnsi="Arial Narrow" w:cs="Arial Narrow"/>
          <w:b/>
          <w:bCs/>
          <w:color w:val="000000" w:themeColor="text1"/>
        </w:rPr>
        <w:t>13 de febrero de 2024</w:t>
      </w:r>
      <w:r w:rsidRPr="004018CF">
        <w:rPr>
          <w:rFonts w:ascii="Arial Narrow" w:eastAsia="Arial Narrow" w:hAnsi="Arial Narrow" w:cs="Arial Narrow"/>
          <w:color w:val="000000" w:themeColor="text1"/>
        </w:rPr>
        <w:t xml:space="preserve">. Y el plazo para reformar la demanda de 10 días comenzó el </w:t>
      </w:r>
      <w:r w:rsidR="00115D22" w:rsidRPr="00115D22">
        <w:rPr>
          <w:rFonts w:ascii="Arial Narrow" w:eastAsia="Arial Narrow" w:hAnsi="Arial Narrow" w:cs="Arial Narrow"/>
          <w:b/>
          <w:bCs/>
          <w:color w:val="000000" w:themeColor="text1"/>
        </w:rPr>
        <w:t>14 de febrero de 2024</w:t>
      </w:r>
      <w:r w:rsidR="00D2079E">
        <w:rPr>
          <w:rFonts w:ascii="Arial Narrow" w:eastAsia="Arial Narrow" w:hAnsi="Arial Narrow" w:cs="Arial Narrow"/>
          <w:color w:val="000000" w:themeColor="text1"/>
        </w:rPr>
        <w:t xml:space="preserve"> y </w:t>
      </w:r>
      <w:r w:rsidRPr="004018CF">
        <w:rPr>
          <w:rFonts w:ascii="Arial Narrow" w:eastAsia="Arial Narrow" w:hAnsi="Arial Narrow" w:cs="Arial Narrow"/>
          <w:color w:val="000000" w:themeColor="text1"/>
        </w:rPr>
        <w:t xml:space="preserve">finalizó el </w:t>
      </w:r>
      <w:r w:rsidR="00115D22" w:rsidRPr="00115D22">
        <w:rPr>
          <w:rFonts w:ascii="Arial Narrow" w:eastAsia="Arial Narrow" w:hAnsi="Arial Narrow" w:cs="Arial Narrow"/>
          <w:b/>
          <w:bCs/>
          <w:color w:val="000000" w:themeColor="text1"/>
        </w:rPr>
        <w:t>27 de febrero de 2024</w:t>
      </w:r>
      <w:r w:rsidR="00D2079E">
        <w:rPr>
          <w:rFonts w:ascii="Arial Narrow" w:eastAsia="Arial Narrow" w:hAnsi="Arial Narrow" w:cs="Arial Narrow"/>
          <w:color w:val="000000" w:themeColor="text1"/>
        </w:rPr>
        <w:t>.</w:t>
      </w:r>
    </w:p>
    <w:p w14:paraId="20243631" w14:textId="77777777" w:rsidR="00D2079E" w:rsidRDefault="00D2079E" w:rsidP="00147D56">
      <w:pPr>
        <w:jc w:val="both"/>
        <w:rPr>
          <w:rFonts w:ascii="Arial Narrow" w:eastAsia="Arial Narrow" w:hAnsi="Arial Narrow" w:cs="Arial Narrow"/>
          <w:color w:val="000000" w:themeColor="text1"/>
        </w:rPr>
      </w:pPr>
    </w:p>
    <w:p w14:paraId="49F60B31" w14:textId="3D0BA4A3" w:rsidR="00D2079E" w:rsidRDefault="00D2079E" w:rsidP="00147D56">
      <w:pPr>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El demandante </w:t>
      </w:r>
      <w:r w:rsidR="004018CF" w:rsidRPr="004018CF">
        <w:rPr>
          <w:rFonts w:ascii="Arial Narrow" w:eastAsia="Arial Narrow" w:hAnsi="Arial Narrow" w:cs="Arial Narrow"/>
          <w:color w:val="000000" w:themeColor="text1"/>
        </w:rPr>
        <w:t xml:space="preserve">presentó la reforma de la demanda el </w:t>
      </w:r>
      <w:r w:rsidR="00115D22">
        <w:rPr>
          <w:rFonts w:ascii="Arial Narrow" w:eastAsia="Arial Narrow" w:hAnsi="Arial Narrow" w:cs="Arial Narrow"/>
          <w:color w:val="000000" w:themeColor="text1"/>
        </w:rPr>
        <w:t xml:space="preserve"> </w:t>
      </w:r>
      <w:r w:rsidR="00115D22" w:rsidRPr="00115D22">
        <w:rPr>
          <w:rFonts w:ascii="Arial Narrow" w:eastAsia="Arial Narrow" w:hAnsi="Arial Narrow" w:cs="Arial Narrow"/>
          <w:b/>
          <w:bCs/>
          <w:color w:val="000000" w:themeColor="text1"/>
        </w:rPr>
        <w:t>16 de agosto de 2023</w:t>
      </w:r>
      <w:r w:rsidR="004018CF" w:rsidRPr="004018CF">
        <w:rPr>
          <w:rFonts w:ascii="Arial Narrow" w:eastAsia="Arial Narrow" w:hAnsi="Arial Narrow" w:cs="Arial Narrow"/>
          <w:color w:val="000000" w:themeColor="text1"/>
        </w:rPr>
        <w:t xml:space="preserve">, por lo que fue oportuna. </w:t>
      </w:r>
      <w:r w:rsidR="00115D22">
        <w:rPr>
          <w:rFonts w:ascii="Arial Narrow" w:eastAsia="Arial Narrow" w:hAnsi="Arial Narrow" w:cs="Arial Narrow"/>
          <w:color w:val="000000" w:themeColor="text1"/>
        </w:rPr>
        <w:t>(Archivo 18 Cuaderno Principal).</w:t>
      </w:r>
    </w:p>
    <w:p w14:paraId="60A9B73F" w14:textId="77777777" w:rsidR="00D2079E" w:rsidRDefault="00D2079E" w:rsidP="00147D56">
      <w:pPr>
        <w:jc w:val="both"/>
        <w:rPr>
          <w:rFonts w:ascii="Arial Narrow" w:eastAsia="Arial Narrow" w:hAnsi="Arial Narrow" w:cs="Arial Narrow"/>
          <w:color w:val="000000" w:themeColor="text1"/>
        </w:rPr>
      </w:pPr>
    </w:p>
    <w:p w14:paraId="124D34FF" w14:textId="77777777" w:rsidR="00D2079E"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 xml:space="preserve">2. </w:t>
      </w:r>
      <w:r w:rsidR="00D2079E">
        <w:rPr>
          <w:rFonts w:ascii="Arial Narrow" w:eastAsia="Arial Narrow" w:hAnsi="Arial Narrow" w:cs="Arial Narrow"/>
          <w:color w:val="000000" w:themeColor="text1"/>
        </w:rPr>
        <w:t>E</w:t>
      </w:r>
      <w:r w:rsidRPr="004018CF">
        <w:rPr>
          <w:rFonts w:ascii="Arial Narrow" w:eastAsia="Arial Narrow" w:hAnsi="Arial Narrow" w:cs="Arial Narrow"/>
          <w:color w:val="000000" w:themeColor="text1"/>
        </w:rPr>
        <w:t xml:space="preserve">l numeral 2 del artículo 173 de la Ley 1437 de 2011 indica que la reforma podrá referirse a las partes, las pretensiones, los hechos en que estas se fundamentan o las pruebas. Así mismo, el numeral 3 ibidem establece que la reforma de la demanda no puede sustituir la totalidad de las partes ni de las pretensiones. </w:t>
      </w:r>
    </w:p>
    <w:p w14:paraId="36B5500B" w14:textId="77777777" w:rsidR="00D2079E" w:rsidRDefault="00D2079E" w:rsidP="00147D56">
      <w:pPr>
        <w:jc w:val="both"/>
        <w:rPr>
          <w:rFonts w:ascii="Arial Narrow" w:eastAsia="Arial Narrow" w:hAnsi="Arial Narrow" w:cs="Arial Narrow"/>
          <w:color w:val="000000" w:themeColor="text1"/>
        </w:rPr>
      </w:pPr>
    </w:p>
    <w:p w14:paraId="25E33689" w14:textId="77777777" w:rsidR="00E34263" w:rsidRDefault="00D2079E" w:rsidP="00147D56">
      <w:pPr>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Conforme con el auto del </w:t>
      </w:r>
      <w:r w:rsidR="004018CF" w:rsidRPr="004018CF">
        <w:rPr>
          <w:rFonts w:ascii="Arial Narrow" w:eastAsia="Arial Narrow" w:hAnsi="Arial Narrow" w:cs="Arial Narrow"/>
          <w:color w:val="000000" w:themeColor="text1"/>
        </w:rPr>
        <w:t xml:space="preserve">21 de febrero de 2019, esta Sección </w:t>
      </w:r>
      <w:r>
        <w:rPr>
          <w:rFonts w:ascii="Arial Narrow" w:eastAsia="Arial Narrow" w:hAnsi="Arial Narrow" w:cs="Arial Narrow"/>
          <w:color w:val="000000" w:themeColor="text1"/>
        </w:rPr>
        <w:t xml:space="preserve">Primera del Consejo de Estado </w:t>
      </w:r>
      <w:r w:rsidR="004018CF" w:rsidRPr="004018CF">
        <w:rPr>
          <w:rFonts w:ascii="Arial Narrow" w:eastAsia="Arial Narrow" w:hAnsi="Arial Narrow" w:cs="Arial Narrow"/>
          <w:color w:val="000000" w:themeColor="text1"/>
        </w:rPr>
        <w:t xml:space="preserve">precisó que el numeral 2 del artículo 173 de la Ley 1437 de 2011 solo dispone un listado enunciativo porque utilizó la expresión «podrá». De lo contrario, habría utilizado la expresión del artículo 93 del Código General del Proceso, donde señala que «solamente se considerará que existe reforma» en los mismos casos enlistados por el Código de Procedimiento Administrativo y de lo Contencioso Administrativo. Además, ese mismo auto indicó que la posibilidad de reformar las pretensiones de la demanda necesariamente supone una habilitación para modificar los fundamentos jurídicos. De no ser así, este tipo de reformas carecerían de sentido porque el juez se encontraría frente a pretensiones sin sustento jurídico. En este orden, la Sala concluyó que la reforma de la demanda puede adicionar nuevos fundamentos de derecho o nuevos cargos de nulidad del concepto de la violación, aunque no está expresamente consagrado en el artículo 173 de la Ley 1437 de 2011. </w:t>
      </w:r>
    </w:p>
    <w:p w14:paraId="2DDD6FAC" w14:textId="77777777" w:rsidR="00E34263" w:rsidRDefault="00E34263" w:rsidP="00147D56">
      <w:pPr>
        <w:jc w:val="both"/>
        <w:rPr>
          <w:rFonts w:ascii="Arial Narrow" w:eastAsia="Arial Narrow" w:hAnsi="Arial Narrow" w:cs="Arial Narrow"/>
          <w:color w:val="000000" w:themeColor="text1"/>
        </w:rPr>
      </w:pPr>
    </w:p>
    <w:p w14:paraId="1B2D39CC" w14:textId="3358F3B4" w:rsidR="00E2093C"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En el caso bajo examen, el despacho evidencia que la reforma presentada</w:t>
      </w:r>
      <w:r w:rsidR="00394AB8">
        <w:rPr>
          <w:rFonts w:ascii="Arial Narrow" w:eastAsia="Arial Narrow" w:hAnsi="Arial Narrow" w:cs="Arial Narrow"/>
          <w:color w:val="000000" w:themeColor="text1"/>
        </w:rPr>
        <w:t>,</w:t>
      </w:r>
      <w:r w:rsidRPr="004018CF">
        <w:rPr>
          <w:rFonts w:ascii="Arial Narrow" w:eastAsia="Arial Narrow" w:hAnsi="Arial Narrow" w:cs="Arial Narrow"/>
          <w:color w:val="000000" w:themeColor="text1"/>
        </w:rPr>
        <w:t xml:space="preserve"> modificó</w:t>
      </w:r>
      <w:r w:rsidR="00394AB8">
        <w:rPr>
          <w:rFonts w:ascii="Arial Narrow" w:eastAsia="Arial Narrow" w:hAnsi="Arial Narrow" w:cs="Arial Narrow"/>
          <w:color w:val="000000" w:themeColor="text1"/>
        </w:rPr>
        <w:t xml:space="preserve"> el acápite de pruebas</w:t>
      </w:r>
      <w:r w:rsidR="00115D22">
        <w:rPr>
          <w:rFonts w:ascii="Arial Narrow" w:eastAsia="Arial Narrow" w:hAnsi="Arial Narrow" w:cs="Arial Narrow"/>
          <w:color w:val="000000" w:themeColor="text1"/>
        </w:rPr>
        <w:t xml:space="preserve"> de la demanda</w:t>
      </w:r>
      <w:r w:rsidR="00394AB8">
        <w:rPr>
          <w:rFonts w:ascii="Arial Narrow" w:eastAsia="Arial Narrow" w:hAnsi="Arial Narrow" w:cs="Arial Narrow"/>
          <w:color w:val="000000" w:themeColor="text1"/>
        </w:rPr>
        <w:t xml:space="preserve"> solicitando</w:t>
      </w:r>
      <w:r w:rsidR="00115D22">
        <w:rPr>
          <w:rFonts w:ascii="Arial Narrow" w:eastAsia="Arial Narrow" w:hAnsi="Arial Narrow" w:cs="Arial Narrow"/>
          <w:color w:val="000000" w:themeColor="text1"/>
        </w:rPr>
        <w:t xml:space="preserve"> la práctica de </w:t>
      </w:r>
      <w:r w:rsidR="00B13F92">
        <w:rPr>
          <w:rFonts w:ascii="Arial Narrow" w:eastAsia="Arial Narrow" w:hAnsi="Arial Narrow" w:cs="Arial Narrow"/>
          <w:color w:val="000000" w:themeColor="text1"/>
        </w:rPr>
        <w:t xml:space="preserve"> una </w:t>
      </w:r>
      <w:r w:rsidR="00115D22">
        <w:rPr>
          <w:rFonts w:ascii="Arial Narrow" w:eastAsia="Arial Narrow" w:hAnsi="Arial Narrow" w:cs="Arial Narrow"/>
          <w:color w:val="000000" w:themeColor="text1"/>
        </w:rPr>
        <w:t>nueva prueba documental y una prueba testimonial. (Archivo 19 Cuaderno Principal).</w:t>
      </w:r>
    </w:p>
    <w:p w14:paraId="266B2145" w14:textId="77777777" w:rsidR="00E2093C" w:rsidRDefault="00E2093C" w:rsidP="00147D56">
      <w:pPr>
        <w:jc w:val="both"/>
        <w:rPr>
          <w:rFonts w:ascii="Arial Narrow" w:eastAsia="Arial Narrow" w:hAnsi="Arial Narrow" w:cs="Arial Narrow"/>
          <w:color w:val="000000" w:themeColor="text1"/>
        </w:rPr>
      </w:pPr>
    </w:p>
    <w:p w14:paraId="2CF8749F" w14:textId="38AA8D09" w:rsidR="00E2093C" w:rsidRDefault="004018CF" w:rsidP="00147D56">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 xml:space="preserve">Por lo expuesto, la reforma de la demanda cumple con lo dispuesto en los numerales 2 y 3 del artículo 173 del Código de Procedimiento Administrativo y de lo Contencioso Administrativo. </w:t>
      </w:r>
    </w:p>
    <w:p w14:paraId="68982780" w14:textId="77777777" w:rsidR="00466CE6" w:rsidRDefault="00466CE6" w:rsidP="00147D56">
      <w:pPr>
        <w:jc w:val="both"/>
        <w:rPr>
          <w:rFonts w:ascii="Arial Narrow" w:eastAsia="Arial Narrow" w:hAnsi="Arial Narrow" w:cs="Arial Narrow"/>
          <w:color w:val="000000" w:themeColor="text1"/>
        </w:rPr>
      </w:pPr>
    </w:p>
    <w:p w14:paraId="649D8D52" w14:textId="29C42AA0" w:rsidR="00653BA3" w:rsidRDefault="004018CF" w:rsidP="00B13F92">
      <w:pPr>
        <w:jc w:val="both"/>
        <w:rPr>
          <w:rFonts w:ascii="Arial Narrow" w:eastAsia="Arial Narrow" w:hAnsi="Arial Narrow" w:cs="Arial Narrow"/>
          <w:color w:val="000000" w:themeColor="text1"/>
        </w:rPr>
      </w:pPr>
      <w:r w:rsidRPr="004018CF">
        <w:rPr>
          <w:rFonts w:ascii="Arial Narrow" w:eastAsia="Arial Narrow" w:hAnsi="Arial Narrow" w:cs="Arial Narrow"/>
          <w:color w:val="000000" w:themeColor="text1"/>
        </w:rPr>
        <w:t>De acuerdo con lo anterior, la reforma de la demanda presentada cumple, en principio, los requisitos del artículo 173 del Código de Procedimiento Administrativo y de lo Contencioso Administrativo. En consecuencia, será admitida</w:t>
      </w:r>
      <w:r w:rsidR="00394AB8">
        <w:rPr>
          <w:rFonts w:ascii="Arial Narrow" w:eastAsia="Arial Narrow" w:hAnsi="Arial Narrow" w:cs="Arial Narrow"/>
          <w:color w:val="000000" w:themeColor="text1"/>
        </w:rPr>
        <w:t>.</w:t>
      </w:r>
    </w:p>
    <w:p w14:paraId="65A41177" w14:textId="77777777" w:rsidR="00B13F92" w:rsidRDefault="00B13F92" w:rsidP="00B13F92">
      <w:pPr>
        <w:jc w:val="both"/>
        <w:rPr>
          <w:rFonts w:ascii="Arial Narrow" w:eastAsia="Arial Narrow" w:hAnsi="Arial Narrow" w:cs="Arial Narrow"/>
          <w:color w:val="000000" w:themeColor="text1"/>
        </w:rPr>
      </w:pPr>
    </w:p>
    <w:p w14:paraId="6E0472D5" w14:textId="3895C46E" w:rsidR="000714B1" w:rsidRPr="00344E59" w:rsidRDefault="000714B1" w:rsidP="00147D56">
      <w:pPr>
        <w:shd w:val="clear" w:color="auto" w:fill="FFFFFF"/>
        <w:jc w:val="both"/>
        <w:rPr>
          <w:rFonts w:ascii="Arial Narrow" w:eastAsia="Arial Narrow" w:hAnsi="Arial Narrow" w:cs="Arial Narrow"/>
          <w:color w:val="000000" w:themeColor="text1"/>
        </w:rPr>
      </w:pPr>
      <w:r w:rsidRPr="00344E59">
        <w:rPr>
          <w:rFonts w:ascii="Arial Narrow" w:eastAsia="Arial Narrow" w:hAnsi="Arial Narrow" w:cs="Arial Narrow"/>
          <w:color w:val="000000" w:themeColor="text1"/>
        </w:rPr>
        <w:lastRenderedPageBreak/>
        <w:t>Por lo expuesto, este Despacho</w:t>
      </w:r>
    </w:p>
    <w:p w14:paraId="3BB64D0A" w14:textId="77777777" w:rsidR="000714B1" w:rsidRPr="00344E59" w:rsidRDefault="000714B1" w:rsidP="00147D56">
      <w:pPr>
        <w:shd w:val="clear" w:color="auto" w:fill="FFFFFF"/>
        <w:tabs>
          <w:tab w:val="left" w:pos="1047"/>
        </w:tabs>
        <w:rPr>
          <w:rFonts w:ascii="Arial Narrow" w:eastAsia="Arial Narrow" w:hAnsi="Arial Narrow" w:cs="Arial Narrow"/>
          <w:color w:val="000000" w:themeColor="text1"/>
        </w:rPr>
      </w:pPr>
    </w:p>
    <w:p w14:paraId="7CFF7832" w14:textId="4206B9BA" w:rsidR="000714B1" w:rsidRDefault="000714B1" w:rsidP="00394AB8">
      <w:pPr>
        <w:shd w:val="clear" w:color="auto" w:fill="FFFFFF"/>
        <w:jc w:val="center"/>
        <w:rPr>
          <w:rFonts w:ascii="Arial Narrow" w:eastAsia="Arial Narrow" w:hAnsi="Arial Narrow" w:cs="Arial Narrow"/>
          <w:color w:val="000000" w:themeColor="text1"/>
        </w:rPr>
      </w:pPr>
      <w:r w:rsidRPr="00344E59">
        <w:rPr>
          <w:rFonts w:ascii="Arial Narrow" w:eastAsia="Arial Narrow" w:hAnsi="Arial Narrow" w:cs="Arial Narrow"/>
          <w:b/>
          <w:color w:val="000000" w:themeColor="text1"/>
        </w:rPr>
        <w:t>RESUELVE</w:t>
      </w:r>
    </w:p>
    <w:p w14:paraId="170FFA8D" w14:textId="77777777" w:rsidR="00394AB8" w:rsidRPr="00394AB8" w:rsidRDefault="00394AB8" w:rsidP="00394AB8">
      <w:pPr>
        <w:shd w:val="clear" w:color="auto" w:fill="FFFFFF"/>
        <w:jc w:val="center"/>
        <w:rPr>
          <w:rFonts w:ascii="Arial Narrow" w:eastAsia="Arial Narrow" w:hAnsi="Arial Narrow" w:cs="Arial Narrow"/>
          <w:color w:val="000000" w:themeColor="text1"/>
        </w:rPr>
      </w:pPr>
    </w:p>
    <w:p w14:paraId="5CC84EDE" w14:textId="77777777" w:rsidR="00394AB8" w:rsidRPr="00163F9C" w:rsidRDefault="00394AB8" w:rsidP="00394AB8">
      <w:pPr>
        <w:jc w:val="both"/>
        <w:rPr>
          <w:rFonts w:ascii="Arial Narrow" w:eastAsia="Arial Narrow" w:hAnsi="Arial Narrow" w:cs="Arial Narrow"/>
          <w:color w:val="000000" w:themeColor="text1"/>
        </w:rPr>
      </w:pPr>
      <w:r w:rsidRPr="00163F9C">
        <w:rPr>
          <w:rFonts w:ascii="Arial Narrow" w:eastAsia="Arial Narrow" w:hAnsi="Arial Narrow" w:cs="Arial Narrow"/>
          <w:b/>
          <w:color w:val="000000" w:themeColor="text1"/>
        </w:rPr>
        <w:t>PRIMERO: ADMITIR</w:t>
      </w:r>
      <w:r w:rsidRPr="00163F9C">
        <w:rPr>
          <w:rFonts w:ascii="Arial Narrow" w:eastAsia="Arial Narrow" w:hAnsi="Arial Narrow" w:cs="Arial Narrow"/>
          <w:color w:val="000000" w:themeColor="text1"/>
        </w:rPr>
        <w:t> </w:t>
      </w:r>
      <w:r>
        <w:rPr>
          <w:rFonts w:ascii="Arial Narrow" w:eastAsia="Arial Narrow" w:hAnsi="Arial Narrow" w:cs="Arial Narrow"/>
          <w:color w:val="000000" w:themeColor="text1"/>
        </w:rPr>
        <w:t>la reforma d</w:t>
      </w:r>
      <w:r w:rsidRPr="00163F9C">
        <w:rPr>
          <w:rFonts w:ascii="Arial Narrow" w:eastAsia="Arial Narrow" w:hAnsi="Arial Narrow" w:cs="Arial Narrow"/>
          <w:color w:val="000000" w:themeColor="text1"/>
        </w:rPr>
        <w:t>el medio de control de la referencia.</w:t>
      </w:r>
    </w:p>
    <w:p w14:paraId="0B8671A5" w14:textId="77777777" w:rsidR="00394AB8" w:rsidRPr="00163F9C" w:rsidRDefault="00394AB8" w:rsidP="00394AB8">
      <w:pPr>
        <w:jc w:val="both"/>
        <w:rPr>
          <w:rFonts w:ascii="Arial Narrow" w:eastAsia="Arial Narrow" w:hAnsi="Arial Narrow" w:cs="Arial Narrow"/>
          <w:color w:val="000000" w:themeColor="text1"/>
        </w:rPr>
      </w:pPr>
    </w:p>
    <w:p w14:paraId="7129AA5B" w14:textId="720F88C3" w:rsidR="00394AB8" w:rsidRPr="000E6E86" w:rsidRDefault="00394AB8" w:rsidP="00E051DE">
      <w:pPr>
        <w:shd w:val="clear" w:color="auto" w:fill="FFFFFF"/>
        <w:ind w:right="116"/>
        <w:jc w:val="both"/>
        <w:rPr>
          <w:rFonts w:ascii="Arial Narrow" w:eastAsia="Arial Narrow" w:hAnsi="Arial Narrow" w:cs="Arial Narrow"/>
          <w:color w:val="202124"/>
        </w:rPr>
      </w:pPr>
      <w:r w:rsidRPr="00163F9C">
        <w:rPr>
          <w:rFonts w:ascii="Arial Narrow" w:eastAsia="Arial Narrow" w:hAnsi="Arial Narrow" w:cs="Arial Narrow"/>
          <w:b/>
          <w:color w:val="000000" w:themeColor="text1"/>
        </w:rPr>
        <w:t>SEGUNDO. NOTIFICAR </w:t>
      </w:r>
      <w:r w:rsidRPr="007379CC">
        <w:rPr>
          <w:rFonts w:ascii="Arial Narrow" w:eastAsia="Arial Narrow" w:hAnsi="Arial Narrow" w:cs="Arial Narrow"/>
          <w:bCs/>
          <w:color w:val="000000" w:themeColor="text1"/>
        </w:rPr>
        <w:t>esta providencia a las</w:t>
      </w:r>
      <w:r w:rsidRPr="00163F9C">
        <w:rPr>
          <w:rFonts w:ascii="Arial Narrow" w:eastAsia="Arial Narrow" w:hAnsi="Arial Narrow" w:cs="Arial Narrow"/>
          <w:color w:val="000000" w:themeColor="text1"/>
        </w:rPr>
        <w:t> parte</w:t>
      </w:r>
      <w:r>
        <w:rPr>
          <w:rFonts w:ascii="Arial Narrow" w:eastAsia="Arial Narrow" w:hAnsi="Arial Narrow" w:cs="Arial Narrow"/>
          <w:color w:val="000000" w:themeColor="text1"/>
        </w:rPr>
        <w:t>s</w:t>
      </w:r>
      <w:r w:rsidR="00E051DE">
        <w:rPr>
          <w:rFonts w:ascii="Arial Narrow" w:eastAsia="Arial Narrow" w:hAnsi="Arial Narrow" w:cs="Arial Narrow"/>
          <w:color w:val="000000" w:themeColor="text1"/>
        </w:rPr>
        <w:t> </w:t>
      </w:r>
      <w:r w:rsidRPr="00163F9C">
        <w:rPr>
          <w:rFonts w:ascii="Arial Narrow" w:eastAsia="Arial Narrow" w:hAnsi="Arial Narrow" w:cs="Arial Narrow"/>
          <w:color w:val="000000" w:themeColor="text1"/>
        </w:rPr>
        <w:t>por estado</w:t>
      </w:r>
      <w:r>
        <w:rPr>
          <w:rFonts w:ascii="Arial Narrow" w:eastAsia="Arial Narrow" w:hAnsi="Arial Narrow" w:cs="Arial Narrow"/>
          <w:color w:val="000000" w:themeColor="text1"/>
        </w:rPr>
        <w:t xml:space="preserve"> </w:t>
      </w:r>
      <w:r w:rsidR="00E051DE">
        <w:rPr>
          <w:rFonts w:ascii="Arial Narrow" w:eastAsia="Arial Narrow" w:hAnsi="Arial Narrow" w:cs="Arial Narrow"/>
          <w:color w:val="000000" w:themeColor="text1"/>
        </w:rPr>
        <w:t xml:space="preserve">y, </w:t>
      </w:r>
      <w:r w:rsidRPr="000E6E86">
        <w:rPr>
          <w:rFonts w:ascii="Arial Narrow" w:eastAsia="Arial Narrow" w:hAnsi="Arial Narrow" w:cs="Arial Narrow"/>
          <w:b/>
          <w:color w:val="202124"/>
        </w:rPr>
        <w:t xml:space="preserve">CORRER </w:t>
      </w:r>
      <w:r w:rsidRPr="000E6E86">
        <w:rPr>
          <w:rFonts w:ascii="Arial Narrow" w:eastAsia="Arial Narrow" w:hAnsi="Arial Narrow" w:cs="Arial Narrow"/>
          <w:color w:val="202124"/>
        </w:rPr>
        <w:t xml:space="preserve">traslado de la </w:t>
      </w:r>
      <w:r>
        <w:rPr>
          <w:rFonts w:ascii="Arial Narrow" w:eastAsia="Arial Narrow" w:hAnsi="Arial Narrow" w:cs="Arial Narrow"/>
          <w:color w:val="202124"/>
        </w:rPr>
        <w:t xml:space="preserve">reforma de la </w:t>
      </w:r>
      <w:r w:rsidRPr="000E6E86">
        <w:rPr>
          <w:rFonts w:ascii="Arial Narrow" w:eastAsia="Arial Narrow" w:hAnsi="Arial Narrow" w:cs="Arial Narrow"/>
          <w:color w:val="202124"/>
        </w:rPr>
        <w:t xml:space="preserve">demanda por el término de </w:t>
      </w:r>
      <w:r>
        <w:rPr>
          <w:rFonts w:ascii="Arial Narrow" w:eastAsia="Arial Narrow" w:hAnsi="Arial Narrow" w:cs="Arial Narrow"/>
          <w:color w:val="202124"/>
        </w:rPr>
        <w:t>quince (15)</w:t>
      </w:r>
      <w:r w:rsidRPr="000E6E86">
        <w:rPr>
          <w:rFonts w:ascii="Arial Narrow" w:eastAsia="Arial Narrow" w:hAnsi="Arial Narrow" w:cs="Arial Narrow"/>
          <w:color w:val="202124"/>
        </w:rPr>
        <w:t xml:space="preserve"> días (</w:t>
      </w:r>
      <w:r>
        <w:rPr>
          <w:rFonts w:ascii="Arial Narrow" w:eastAsia="Arial Narrow" w:hAnsi="Arial Narrow" w:cs="Arial Narrow"/>
          <w:color w:val="202124"/>
        </w:rPr>
        <w:t xml:space="preserve">numeral 1 del </w:t>
      </w:r>
      <w:r w:rsidRPr="000E6E86">
        <w:rPr>
          <w:rFonts w:ascii="Arial Narrow" w:eastAsia="Arial Narrow" w:hAnsi="Arial Narrow" w:cs="Arial Narrow"/>
          <w:color w:val="202124"/>
        </w:rPr>
        <w:t>art</w:t>
      </w:r>
      <w:r>
        <w:rPr>
          <w:rFonts w:ascii="Arial Narrow" w:eastAsia="Arial Narrow" w:hAnsi="Arial Narrow" w:cs="Arial Narrow"/>
          <w:color w:val="202124"/>
        </w:rPr>
        <w:t xml:space="preserve">ículo </w:t>
      </w:r>
      <w:r w:rsidRPr="000E6E86">
        <w:rPr>
          <w:rFonts w:ascii="Arial Narrow" w:eastAsia="Arial Narrow" w:hAnsi="Arial Narrow" w:cs="Arial Narrow"/>
          <w:color w:val="202124"/>
        </w:rPr>
        <w:t>17</w:t>
      </w:r>
      <w:r>
        <w:rPr>
          <w:rFonts w:ascii="Arial Narrow" w:eastAsia="Arial Narrow" w:hAnsi="Arial Narrow" w:cs="Arial Narrow"/>
          <w:color w:val="202124"/>
        </w:rPr>
        <w:t>3</w:t>
      </w:r>
      <w:r w:rsidRPr="000E6E86">
        <w:rPr>
          <w:rFonts w:ascii="Arial Narrow" w:eastAsia="Arial Narrow" w:hAnsi="Arial Narrow" w:cs="Arial Narrow"/>
          <w:color w:val="202124"/>
        </w:rPr>
        <w:t xml:space="preserve"> CPACA).</w:t>
      </w:r>
    </w:p>
    <w:p w14:paraId="7138994A" w14:textId="77777777" w:rsidR="00E051DE" w:rsidRDefault="00E051DE" w:rsidP="00394AB8">
      <w:pPr>
        <w:shd w:val="clear" w:color="auto" w:fill="FFFFFF"/>
        <w:jc w:val="both"/>
        <w:rPr>
          <w:rFonts w:ascii="Arial Narrow" w:eastAsia="Arial Narrow" w:hAnsi="Arial Narrow" w:cs="Arial Narrow"/>
          <w:b/>
          <w:color w:val="202124"/>
        </w:rPr>
      </w:pPr>
    </w:p>
    <w:p w14:paraId="575D0D79" w14:textId="70D3CA86" w:rsidR="00394AB8" w:rsidRPr="000E6E86" w:rsidRDefault="00E051DE" w:rsidP="00394AB8">
      <w:pPr>
        <w:shd w:val="clear" w:color="auto" w:fill="FFFFFF"/>
        <w:jc w:val="both"/>
        <w:rPr>
          <w:rFonts w:ascii="Arial Narrow" w:eastAsia="Arial Narrow" w:hAnsi="Arial Narrow" w:cs="Arial Narrow"/>
          <w:color w:val="202124"/>
        </w:rPr>
      </w:pPr>
      <w:r>
        <w:rPr>
          <w:rFonts w:ascii="Arial Narrow" w:eastAsia="Arial Narrow" w:hAnsi="Arial Narrow" w:cs="Arial Narrow"/>
          <w:b/>
          <w:color w:val="202124"/>
        </w:rPr>
        <w:t>TERCERO</w:t>
      </w:r>
      <w:r w:rsidR="00394AB8" w:rsidRPr="000E6E86">
        <w:rPr>
          <w:rFonts w:ascii="Arial Narrow" w:eastAsia="Arial Narrow" w:hAnsi="Arial Narrow" w:cs="Arial Narrow"/>
          <w:b/>
          <w:color w:val="202124"/>
        </w:rPr>
        <w:t>: Exhortar</w:t>
      </w:r>
      <w:r w:rsidR="00394AB8" w:rsidRPr="000E6E86">
        <w:rPr>
          <w:rFonts w:ascii="Arial" w:eastAsia="Arial Narrow" w:hAnsi="Arial" w:cs="Arial"/>
          <w:b/>
          <w:color w:val="202124"/>
        </w:rPr>
        <w:t> </w:t>
      </w:r>
      <w:r w:rsidR="00394AB8" w:rsidRPr="000E6E86">
        <w:rPr>
          <w:rFonts w:ascii="Arial Narrow" w:eastAsia="Arial Narrow" w:hAnsi="Arial Narrow" w:cs="Arial Narrow"/>
          <w:b/>
          <w:color w:val="202124"/>
        </w:rPr>
        <w:t>a las partes</w:t>
      </w:r>
      <w:r w:rsidR="00394AB8" w:rsidRPr="000E6E86">
        <w:rPr>
          <w:rFonts w:ascii="Arial" w:eastAsia="Arial Narrow" w:hAnsi="Arial" w:cs="Arial"/>
          <w:color w:val="202124"/>
        </w:rPr>
        <w:t> </w:t>
      </w:r>
      <w:r w:rsidR="00394AB8" w:rsidRPr="000E6E86">
        <w:rPr>
          <w:rFonts w:ascii="Arial Narrow" w:eastAsia="Arial Narrow" w:hAnsi="Arial Narrow" w:cs="Arial Narrow"/>
          <w:color w:val="202124"/>
        </w:rPr>
        <w:t>para que dentro de la oportunidad para pedir pruebas prevista en el artículo 212 del CPACA, aporten los medios de prueba que puedan conseguir directamente, incluido los dictámenes periciales necesarios para probar su derecho de conformidad con lo previsto</w:t>
      </w:r>
      <w:r w:rsidR="00394AB8" w:rsidRPr="000E6E86">
        <w:rPr>
          <w:rFonts w:ascii="Arial" w:eastAsia="Arial Narrow" w:hAnsi="Arial" w:cs="Arial"/>
          <w:color w:val="202124"/>
        </w:rPr>
        <w:t> </w:t>
      </w:r>
      <w:r w:rsidR="00394AB8" w:rsidRPr="000E6E86">
        <w:rPr>
          <w:rFonts w:ascii="Arial Narrow" w:eastAsia="Arial Narrow" w:hAnsi="Arial Narrow" w:cs="Arial Narrow"/>
          <w:color w:val="202124"/>
        </w:rPr>
        <w:t>en el artículo 227 del CGP. Así mismo</w:t>
      </w:r>
      <w:r w:rsidR="00394AB8" w:rsidRPr="000E6E86">
        <w:rPr>
          <w:rFonts w:ascii="Arial" w:eastAsia="Arial Narrow" w:hAnsi="Arial" w:cs="Arial"/>
          <w:color w:val="202124"/>
        </w:rPr>
        <w:t> </w:t>
      </w:r>
      <w:r w:rsidR="00394AB8" w:rsidRPr="000E6E86">
        <w:rPr>
          <w:rFonts w:ascii="Arial Narrow" w:eastAsia="Arial Narrow" w:hAnsi="Arial Narrow" w:cs="Arial Narrow"/>
          <w:color w:val="202124"/>
        </w:rPr>
        <w:t>se les recuerda que el</w:t>
      </w:r>
      <w:r w:rsidR="00394AB8" w:rsidRPr="000E6E86">
        <w:rPr>
          <w:rFonts w:ascii="Arial" w:eastAsia="Arial Narrow" w:hAnsi="Arial" w:cs="Arial"/>
          <w:color w:val="202124"/>
        </w:rPr>
        <w:t> </w:t>
      </w:r>
      <w:r w:rsidR="00394AB8" w:rsidRPr="000E6E86">
        <w:rPr>
          <w:rFonts w:ascii="Arial Narrow" w:eastAsia="Arial Narrow" w:hAnsi="Arial Narrow" w:cs="Arial Narrow"/>
          <w:b/>
          <w:color w:val="202124"/>
        </w:rPr>
        <w:t>inciso segundo del artículo 173 del Código General del Proceso</w:t>
      </w:r>
      <w:r w:rsidR="00394AB8" w:rsidRPr="000E6E86">
        <w:rPr>
          <w:rFonts w:ascii="Arial" w:eastAsia="Arial Narrow" w:hAnsi="Arial" w:cs="Arial"/>
          <w:b/>
          <w:color w:val="202124"/>
        </w:rPr>
        <w:t> </w:t>
      </w:r>
      <w:r w:rsidR="00394AB8" w:rsidRPr="000E6E86">
        <w:rPr>
          <w:rFonts w:ascii="Arial Narrow" w:eastAsia="Arial Narrow" w:hAnsi="Arial Narrow" w:cs="Arial Narrow"/>
          <w:color w:val="202124"/>
        </w:rPr>
        <w:t>al que remite en materia de pruebas el artículo 211 del CPACA, señala que el juez se debe abstener de ordenar la práctica de las pruebas que, directamente o por medio de derecho de petición, hubiera podido conseguir la parte que las solicite, salvo cuando la petición no hubiese sido atendida, lo que deberá acreditarse sumariamente, en concordancia con el numeral 10 del artículo 78 del C.G. del P.</w:t>
      </w:r>
    </w:p>
    <w:p w14:paraId="27DAB2ED" w14:textId="77777777" w:rsidR="00394AB8" w:rsidRPr="000E6E86" w:rsidRDefault="00394AB8" w:rsidP="00394AB8">
      <w:pPr>
        <w:shd w:val="clear" w:color="auto" w:fill="FFFFFF"/>
        <w:jc w:val="both"/>
        <w:rPr>
          <w:rFonts w:ascii="Arial Narrow" w:eastAsia="Arial Narrow" w:hAnsi="Arial Narrow" w:cs="Arial Narrow"/>
          <w:color w:val="202124"/>
        </w:rPr>
      </w:pPr>
    </w:p>
    <w:p w14:paraId="0C0EEB05" w14:textId="06D1E659" w:rsidR="00394AB8" w:rsidRPr="00A169E7" w:rsidRDefault="00E051DE" w:rsidP="00394AB8">
      <w:pPr>
        <w:shd w:val="clear" w:color="auto" w:fill="FFFFFF"/>
        <w:jc w:val="both"/>
        <w:rPr>
          <w:rFonts w:ascii="Arial Narrow" w:eastAsia="Arial Narrow" w:hAnsi="Arial Narrow" w:cs="Arial Narrow"/>
          <w:color w:val="202124"/>
        </w:rPr>
      </w:pPr>
      <w:r>
        <w:rPr>
          <w:rFonts w:ascii="Arial Narrow" w:eastAsia="Arial Narrow" w:hAnsi="Arial Narrow" w:cs="Arial Narrow"/>
          <w:b/>
          <w:color w:val="202124"/>
        </w:rPr>
        <w:t>CUARTO</w:t>
      </w:r>
      <w:r w:rsidR="00394AB8" w:rsidRPr="000E6E86">
        <w:rPr>
          <w:rFonts w:ascii="Arial Narrow" w:eastAsia="Arial Narrow" w:hAnsi="Arial Narrow" w:cs="Arial Narrow"/>
          <w:b/>
          <w:color w:val="202124"/>
        </w:rPr>
        <w:t>:</w:t>
      </w:r>
      <w:r w:rsidR="00394AB8" w:rsidRPr="000E6E86">
        <w:rPr>
          <w:rFonts w:ascii="Arial Narrow" w:eastAsia="Arial Narrow" w:hAnsi="Arial Narrow" w:cs="Arial Narrow"/>
          <w:color w:val="202124"/>
        </w:rPr>
        <w:t xml:space="preserve"> </w:t>
      </w:r>
      <w:r w:rsidR="00394AB8" w:rsidRPr="009745BB">
        <w:rPr>
          <w:rFonts w:ascii="Arial Narrow" w:eastAsia="Arial Narrow" w:hAnsi="Arial Narrow" w:cs="Arial Narrow"/>
          <w:b/>
          <w:bCs/>
          <w:color w:val="202124"/>
        </w:rPr>
        <w:t>MEMORIALES.</w:t>
      </w:r>
      <w:r w:rsidR="00394AB8">
        <w:rPr>
          <w:rFonts w:ascii="Arial Narrow" w:eastAsia="Arial Narrow" w:hAnsi="Arial Narrow" w:cs="Arial Narrow"/>
          <w:color w:val="202124"/>
        </w:rPr>
        <w:t xml:space="preserve"> S</w:t>
      </w:r>
      <w:r w:rsidR="00394AB8" w:rsidRPr="00A169E7">
        <w:rPr>
          <w:rFonts w:ascii="Arial Narrow" w:eastAsia="Arial Narrow" w:hAnsi="Arial Narrow" w:cs="Arial Narrow"/>
          <w:color w:val="202124"/>
        </w:rPr>
        <w:t xml:space="preserve">e le recuerda a las partes que </w:t>
      </w:r>
      <w:r w:rsidR="00394AB8" w:rsidRPr="00774F48">
        <w:rPr>
          <w:rFonts w:ascii="Arial Narrow" w:hAnsi="Arial Narrow"/>
          <w:color w:val="000000"/>
        </w:rPr>
        <w:t xml:space="preserve">el medio dispuesto para la recepción de correspondencia es la Ventanilla de Atención Virtual del aplicativo SAMAI, a la que podrán ingresar a través del siguiente enlace: </w:t>
      </w:r>
      <w:hyperlink r:id="rId9" w:history="1">
        <w:r w:rsidR="00394AB8" w:rsidRPr="00774F48">
          <w:rPr>
            <w:rStyle w:val="Hipervnculo"/>
            <w:rFonts w:ascii="Arial Narrow" w:hAnsi="Arial Narrow"/>
          </w:rPr>
          <w:t>https://ventanillavirtual.consejodeestado.gov.co</w:t>
        </w:r>
      </w:hyperlink>
      <w:r w:rsidR="00394AB8" w:rsidRPr="00774F48">
        <w:rPr>
          <w:rFonts w:ascii="Arial Narrow" w:hAnsi="Arial Narrow"/>
          <w:color w:val="000000"/>
        </w:rPr>
        <w:t>; en cumplimiento del Acuerdo PCSJA23-12068 del 16 de mayo de 2023.</w:t>
      </w:r>
    </w:p>
    <w:p w14:paraId="335AC5C8" w14:textId="77777777" w:rsidR="00394AB8" w:rsidRDefault="00394AB8" w:rsidP="00394AB8">
      <w:pPr>
        <w:shd w:val="clear" w:color="auto" w:fill="FFFFFF"/>
        <w:jc w:val="both"/>
        <w:rPr>
          <w:rFonts w:ascii="Arial Narrow" w:eastAsia="Arial Narrow" w:hAnsi="Arial Narrow" w:cs="Arial Narrow"/>
          <w:color w:val="202124"/>
        </w:rPr>
      </w:pPr>
    </w:p>
    <w:p w14:paraId="3C624E84" w14:textId="77777777" w:rsidR="00394AB8" w:rsidRPr="000E6E86" w:rsidRDefault="00394AB8" w:rsidP="00394AB8">
      <w:pPr>
        <w:shd w:val="clear" w:color="auto" w:fill="FFFFFF"/>
        <w:jc w:val="both"/>
        <w:rPr>
          <w:rFonts w:ascii="Arial Narrow" w:eastAsia="Arial Narrow" w:hAnsi="Arial Narrow" w:cs="Arial Narrow"/>
          <w:color w:val="202124"/>
        </w:rPr>
      </w:pPr>
      <w:r>
        <w:rPr>
          <w:rFonts w:ascii="Arial Narrow" w:eastAsia="Arial Narrow" w:hAnsi="Arial Narrow" w:cs="Arial Narrow"/>
          <w:color w:val="202124"/>
        </w:rPr>
        <w:t>D</w:t>
      </w:r>
      <w:r w:rsidRPr="000E6E86">
        <w:rPr>
          <w:rFonts w:ascii="Arial Narrow" w:eastAsia="Arial Narrow" w:hAnsi="Arial Narrow" w:cs="Arial Narrow"/>
          <w:color w:val="202124"/>
        </w:rPr>
        <w:t>eben incluir los siguientes datos:  </w:t>
      </w:r>
    </w:p>
    <w:p w14:paraId="226AF506" w14:textId="77777777" w:rsidR="00394AB8" w:rsidRPr="000E6E86" w:rsidRDefault="00394AB8" w:rsidP="00394AB8">
      <w:pPr>
        <w:shd w:val="clear" w:color="auto" w:fill="FFFFFF"/>
        <w:jc w:val="both"/>
        <w:rPr>
          <w:rFonts w:ascii="Arial Narrow" w:eastAsia="Arial Narrow" w:hAnsi="Arial Narrow" w:cs="Arial Narrow"/>
          <w:color w:val="202124"/>
        </w:rPr>
      </w:pPr>
      <w:r w:rsidRPr="000E6E86">
        <w:rPr>
          <w:rFonts w:ascii="Arial Narrow" w:eastAsia="Arial Narrow" w:hAnsi="Arial Narrow" w:cs="Arial Narrow"/>
          <w:color w:val="202124"/>
        </w:rPr>
        <w:t> </w:t>
      </w:r>
    </w:p>
    <w:p w14:paraId="7C469D33" w14:textId="77777777" w:rsidR="00394AB8" w:rsidRPr="000E6E86" w:rsidRDefault="00394AB8" w:rsidP="00394AB8">
      <w:pPr>
        <w:shd w:val="clear" w:color="auto" w:fill="FFFFFF"/>
        <w:jc w:val="both"/>
        <w:rPr>
          <w:rFonts w:ascii="Arial Narrow" w:eastAsia="Arial Narrow" w:hAnsi="Arial Narrow" w:cs="Arial Narrow"/>
          <w:color w:val="202124"/>
        </w:rPr>
      </w:pPr>
      <w:r w:rsidRPr="000E6E86">
        <w:rPr>
          <w:rFonts w:ascii="Arial Narrow" w:eastAsia="Arial Narrow" w:hAnsi="Arial Narrow" w:cs="Arial Narrow"/>
          <w:color w:val="202124"/>
        </w:rPr>
        <w:t>- Juzgado al que se dirige el memorial  </w:t>
      </w:r>
    </w:p>
    <w:p w14:paraId="3C09AC4E" w14:textId="77777777" w:rsidR="00394AB8" w:rsidRPr="000E6E86" w:rsidRDefault="00394AB8" w:rsidP="00394AB8">
      <w:pPr>
        <w:shd w:val="clear" w:color="auto" w:fill="FFFFFF"/>
        <w:jc w:val="both"/>
        <w:rPr>
          <w:rFonts w:ascii="Arial Narrow" w:eastAsia="Arial Narrow" w:hAnsi="Arial Narrow" w:cs="Arial Narrow"/>
          <w:color w:val="202124"/>
        </w:rPr>
      </w:pPr>
      <w:r w:rsidRPr="000E6E86">
        <w:rPr>
          <w:rFonts w:ascii="Arial Narrow" w:eastAsia="Arial Narrow" w:hAnsi="Arial Narrow" w:cs="Arial Narrow"/>
          <w:color w:val="202124"/>
        </w:rPr>
        <w:t>- Número completo de radicación del proceso (23 dígitos)  </w:t>
      </w:r>
    </w:p>
    <w:p w14:paraId="5A241310" w14:textId="77777777" w:rsidR="00394AB8" w:rsidRPr="000E6E86" w:rsidRDefault="00394AB8" w:rsidP="00394AB8">
      <w:pPr>
        <w:shd w:val="clear" w:color="auto" w:fill="FFFFFF"/>
        <w:jc w:val="both"/>
        <w:rPr>
          <w:rFonts w:ascii="Arial Narrow" w:eastAsia="Arial Narrow" w:hAnsi="Arial Narrow" w:cs="Arial Narrow"/>
          <w:color w:val="202124"/>
        </w:rPr>
      </w:pPr>
      <w:r w:rsidRPr="000E6E86">
        <w:rPr>
          <w:rFonts w:ascii="Arial Narrow" w:eastAsia="Arial Narrow" w:hAnsi="Arial Narrow" w:cs="Arial Narrow"/>
          <w:color w:val="202124"/>
        </w:rPr>
        <w:t>- Nombres completos de las partes del proceso  </w:t>
      </w:r>
    </w:p>
    <w:p w14:paraId="34FC27C7" w14:textId="77777777" w:rsidR="00394AB8" w:rsidRPr="000E6E86" w:rsidRDefault="00394AB8" w:rsidP="00394AB8">
      <w:pPr>
        <w:shd w:val="clear" w:color="auto" w:fill="FFFFFF"/>
        <w:jc w:val="both"/>
        <w:rPr>
          <w:rFonts w:ascii="Arial Narrow" w:eastAsia="Arial Narrow" w:hAnsi="Arial Narrow" w:cs="Arial Narrow"/>
          <w:color w:val="202124"/>
        </w:rPr>
      </w:pPr>
      <w:r w:rsidRPr="000E6E86">
        <w:rPr>
          <w:rFonts w:ascii="Arial Narrow" w:eastAsia="Arial Narrow" w:hAnsi="Arial Narrow" w:cs="Arial Narrow"/>
          <w:color w:val="202124"/>
        </w:rPr>
        <w:t>- Correo electrónico para notificaciones  </w:t>
      </w:r>
    </w:p>
    <w:p w14:paraId="488EC466" w14:textId="77777777" w:rsidR="00394AB8" w:rsidRPr="000E6E86" w:rsidRDefault="00394AB8" w:rsidP="00394AB8">
      <w:pPr>
        <w:shd w:val="clear" w:color="auto" w:fill="FFFFFF"/>
        <w:jc w:val="both"/>
        <w:rPr>
          <w:rFonts w:ascii="Arial Narrow" w:eastAsia="Arial Narrow" w:hAnsi="Arial Narrow" w:cs="Arial Narrow"/>
          <w:color w:val="202124"/>
        </w:rPr>
      </w:pPr>
      <w:r w:rsidRPr="000E6E86">
        <w:rPr>
          <w:rFonts w:ascii="Arial Narrow" w:eastAsia="Arial Narrow" w:hAnsi="Arial Narrow" w:cs="Arial Narrow"/>
          <w:color w:val="202124"/>
        </w:rPr>
        <w:t>- Asunto del memorial  </w:t>
      </w:r>
    </w:p>
    <w:p w14:paraId="2811655B" w14:textId="77777777" w:rsidR="00394AB8" w:rsidRPr="000E6E86" w:rsidRDefault="00394AB8" w:rsidP="00394AB8">
      <w:pPr>
        <w:shd w:val="clear" w:color="auto" w:fill="FFFFFF"/>
        <w:jc w:val="both"/>
        <w:rPr>
          <w:rFonts w:ascii="Arial Narrow" w:eastAsia="Arial Narrow" w:hAnsi="Arial Narrow" w:cs="Arial Narrow"/>
          <w:color w:val="202124"/>
        </w:rPr>
      </w:pPr>
      <w:r w:rsidRPr="000E6E86">
        <w:rPr>
          <w:rFonts w:ascii="Arial Narrow" w:eastAsia="Arial Narrow" w:hAnsi="Arial Narrow" w:cs="Arial Narrow"/>
          <w:color w:val="202124"/>
        </w:rPr>
        <w:t>- Documentos anexos en formato PDF. </w:t>
      </w:r>
    </w:p>
    <w:p w14:paraId="3E6A27E7" w14:textId="77777777" w:rsidR="00394AB8" w:rsidRPr="000E6E86" w:rsidRDefault="00394AB8" w:rsidP="00394AB8">
      <w:pPr>
        <w:shd w:val="clear" w:color="auto" w:fill="FFFFFF"/>
        <w:jc w:val="both"/>
        <w:rPr>
          <w:rFonts w:ascii="Arial Narrow" w:eastAsia="Arial Narrow" w:hAnsi="Arial Narrow" w:cs="Arial Narrow"/>
          <w:color w:val="202124"/>
        </w:rPr>
      </w:pPr>
    </w:p>
    <w:p w14:paraId="16D4C0E0" w14:textId="77777777" w:rsidR="00394AB8" w:rsidRPr="00E051DE" w:rsidRDefault="00394AB8" w:rsidP="00394AB8">
      <w:pPr>
        <w:shd w:val="clear" w:color="auto" w:fill="FFFFFF"/>
        <w:ind w:right="-91"/>
        <w:jc w:val="both"/>
        <w:rPr>
          <w:rFonts w:ascii="Arial Narrow" w:eastAsia="Arial Narrow" w:hAnsi="Arial Narrow" w:cs="Arial Narrow"/>
          <w:bCs/>
        </w:rPr>
      </w:pPr>
      <w:r w:rsidRPr="00E051DE">
        <w:rPr>
          <w:rFonts w:ascii="Arial Narrow" w:eastAsia="Arial Narrow" w:hAnsi="Arial Narrow" w:cs="Arial Narrow"/>
          <w:bCs/>
        </w:rPr>
        <w:t xml:space="preserve">Se advierte a las partes que deberán enviar por correo electrónico copia de todos los documentos y memoriales que presenten a la contraparte (CPACA artículo 186 modificado por la Ley 2080 de 2021, artículo 46, y Código General del Proceso artículo 78), so pena de que se requiera la aplicación de las sanciones dispuestas en el numeral 14 del art.78 del CGP. </w:t>
      </w:r>
      <w:r w:rsidRPr="00E051DE">
        <w:rPr>
          <w:rFonts w:ascii="Arial" w:eastAsia="Arial Narrow" w:hAnsi="Arial" w:cs="Arial"/>
          <w:bCs/>
        </w:rPr>
        <w:t> </w:t>
      </w:r>
      <w:r w:rsidRPr="00E051DE">
        <w:rPr>
          <w:rFonts w:ascii="Arial Narrow" w:eastAsia="Arial Narrow" w:hAnsi="Arial Narrow" w:cs="Arial Narrow"/>
          <w:bCs/>
        </w:rPr>
        <w:t xml:space="preserve"> </w:t>
      </w:r>
    </w:p>
    <w:p w14:paraId="7AF803F3" w14:textId="77777777" w:rsidR="00394AB8" w:rsidRDefault="00394AB8" w:rsidP="00394AB8">
      <w:pPr>
        <w:spacing w:before="1"/>
        <w:ind w:right="116"/>
        <w:jc w:val="both"/>
        <w:rPr>
          <w:rFonts w:ascii="Arial Narrow" w:eastAsia="Arial Narrow" w:hAnsi="Arial Narrow" w:cs="Arial Narrow"/>
          <w:b/>
          <w:color w:val="202124"/>
        </w:rPr>
      </w:pPr>
    </w:p>
    <w:p w14:paraId="17BC896D" w14:textId="77777777" w:rsidR="00394AB8" w:rsidRPr="009745BB" w:rsidRDefault="00394AB8" w:rsidP="00394AB8">
      <w:pPr>
        <w:shd w:val="clear" w:color="auto" w:fill="FFFFFF"/>
        <w:ind w:right="-91"/>
        <w:jc w:val="both"/>
        <w:rPr>
          <w:rFonts w:ascii="Arial Narrow" w:eastAsia="Arial Narrow" w:hAnsi="Arial Narrow" w:cs="Arial Narrow"/>
          <w:bCs/>
        </w:rPr>
      </w:pPr>
      <w:r w:rsidRPr="00B50168">
        <w:rPr>
          <w:rFonts w:ascii="Arial Narrow" w:eastAsia="Arial Narrow" w:hAnsi="Arial Narrow" w:cs="Arial Narrow"/>
          <w:bCs/>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w:t>
      </w:r>
      <w:r w:rsidRPr="00B50168">
        <w:rPr>
          <w:rFonts w:ascii="Arial" w:eastAsia="Arial Narrow" w:hAnsi="Arial" w:cs="Arial"/>
          <w:bCs/>
        </w:rPr>
        <w:t>  </w:t>
      </w:r>
    </w:p>
    <w:p w14:paraId="36F0CFB9" w14:textId="77777777" w:rsidR="00394AB8" w:rsidRDefault="00394AB8" w:rsidP="00394AB8">
      <w:pPr>
        <w:jc w:val="both"/>
        <w:rPr>
          <w:rFonts w:ascii="Arial Narrow" w:eastAsia="Arial Narrow" w:hAnsi="Arial Narrow" w:cs="Arial Narrow"/>
          <w:color w:val="202124"/>
        </w:rPr>
      </w:pPr>
    </w:p>
    <w:p w14:paraId="4F5DBDBA" w14:textId="61EDC848" w:rsidR="00394AB8" w:rsidRPr="00B50168" w:rsidRDefault="00E051DE" w:rsidP="00394AB8">
      <w:pPr>
        <w:shd w:val="clear" w:color="auto" w:fill="FFFFFF"/>
        <w:ind w:right="-91"/>
        <w:jc w:val="both"/>
        <w:rPr>
          <w:rFonts w:ascii="Arial Narrow" w:eastAsia="Arial Narrow" w:hAnsi="Arial Narrow" w:cs="Arial Narrow"/>
        </w:rPr>
      </w:pPr>
      <w:r>
        <w:rPr>
          <w:rFonts w:ascii="Arial Narrow" w:eastAsia="Arial Narrow" w:hAnsi="Arial Narrow" w:cs="Arial Narrow"/>
          <w:b/>
        </w:rPr>
        <w:t>QUINTO</w:t>
      </w:r>
      <w:bookmarkStart w:id="0" w:name="_GoBack"/>
      <w:bookmarkEnd w:id="0"/>
      <w:r w:rsidR="00394AB8" w:rsidRPr="00B50168">
        <w:rPr>
          <w:rFonts w:ascii="Arial Narrow" w:eastAsia="Arial Narrow" w:hAnsi="Arial Narrow" w:cs="Arial Narrow"/>
          <w:b/>
        </w:rPr>
        <w:t xml:space="preserve">: RECONOCER PERSONERÍA </w:t>
      </w:r>
      <w:r w:rsidR="00394AB8" w:rsidRPr="00B50168">
        <w:rPr>
          <w:rFonts w:ascii="Arial Narrow" w:eastAsia="Arial Narrow" w:hAnsi="Arial Narrow" w:cs="Arial Narrow"/>
        </w:rPr>
        <w:t>al Doctor</w:t>
      </w:r>
      <w:r w:rsidR="00394AB8">
        <w:rPr>
          <w:rFonts w:ascii="Arial Narrow" w:eastAsia="Arial Narrow" w:hAnsi="Arial Narrow" w:cs="Arial Narrow"/>
        </w:rPr>
        <w:t xml:space="preserve"> Oscar Andrés Garzón González</w:t>
      </w:r>
      <w:r w:rsidR="00394AB8" w:rsidRPr="00B50168">
        <w:rPr>
          <w:rFonts w:ascii="Arial Narrow" w:eastAsia="Arial Narrow" w:hAnsi="Arial Narrow" w:cs="Arial Narrow"/>
        </w:rPr>
        <w:t xml:space="preserve">, mayor de edad, quien se identifica con cédula de ciudadanía No. </w:t>
      </w:r>
      <w:r w:rsidR="00394AB8">
        <w:rPr>
          <w:rFonts w:ascii="Arial Narrow" w:eastAsia="Arial Narrow" w:hAnsi="Arial Narrow" w:cs="Arial Narrow"/>
        </w:rPr>
        <w:t>80.926.729</w:t>
      </w:r>
      <w:r w:rsidR="00394AB8" w:rsidRPr="00B50168">
        <w:rPr>
          <w:rFonts w:ascii="Arial Narrow" w:eastAsia="Arial Narrow" w:hAnsi="Arial Narrow" w:cs="Arial Narrow"/>
        </w:rPr>
        <w:t xml:space="preserve"> y T.P. </w:t>
      </w:r>
      <w:r w:rsidR="00394AB8">
        <w:rPr>
          <w:rFonts w:ascii="Arial Narrow" w:eastAsia="Arial Narrow" w:hAnsi="Arial Narrow" w:cs="Arial Narrow"/>
        </w:rPr>
        <w:t>209.633</w:t>
      </w:r>
      <w:r w:rsidR="00394AB8" w:rsidRPr="00B50168">
        <w:rPr>
          <w:rFonts w:ascii="Arial Narrow" w:eastAsia="Arial Narrow" w:hAnsi="Arial Narrow" w:cs="Arial Narrow"/>
        </w:rPr>
        <w:t xml:space="preserve"> expedida por el CSJ, en </w:t>
      </w:r>
      <w:r w:rsidR="00394AB8" w:rsidRPr="00B50168">
        <w:rPr>
          <w:rFonts w:ascii="Arial Narrow" w:eastAsia="Arial Narrow" w:hAnsi="Arial Narrow" w:cs="Arial Narrow"/>
        </w:rPr>
        <w:lastRenderedPageBreak/>
        <w:t>calidad de apoderad</w:t>
      </w:r>
      <w:r w:rsidR="00394AB8">
        <w:rPr>
          <w:rFonts w:ascii="Arial Narrow" w:eastAsia="Arial Narrow" w:hAnsi="Arial Narrow" w:cs="Arial Narrow"/>
        </w:rPr>
        <w:t>o</w:t>
      </w:r>
      <w:r w:rsidR="00394AB8" w:rsidRPr="00B50168">
        <w:rPr>
          <w:rFonts w:ascii="Arial Narrow" w:eastAsia="Arial Narrow" w:hAnsi="Arial Narrow" w:cs="Arial Narrow"/>
        </w:rPr>
        <w:t xml:space="preserve"> judicial de la parte </w:t>
      </w:r>
      <w:r w:rsidR="00394AB8">
        <w:rPr>
          <w:rFonts w:ascii="Arial Narrow" w:eastAsia="Arial Narrow" w:hAnsi="Arial Narrow" w:cs="Arial Narrow"/>
        </w:rPr>
        <w:t>demandada</w:t>
      </w:r>
      <w:r w:rsidR="00394AB8" w:rsidRPr="00B50168">
        <w:rPr>
          <w:rFonts w:ascii="Arial Narrow" w:eastAsia="Arial Narrow" w:hAnsi="Arial Narrow" w:cs="Arial Narrow"/>
        </w:rPr>
        <w:t xml:space="preserve">, conforme al poder que aporta con la </w:t>
      </w:r>
      <w:r w:rsidR="00394AB8">
        <w:rPr>
          <w:rFonts w:ascii="Arial Narrow" w:eastAsia="Arial Narrow" w:hAnsi="Arial Narrow" w:cs="Arial Narrow"/>
        </w:rPr>
        <w:t>contestación de la demanda</w:t>
      </w:r>
      <w:r w:rsidR="00394AB8" w:rsidRPr="00B50168">
        <w:rPr>
          <w:rFonts w:ascii="Arial Narrow" w:eastAsia="Arial Narrow" w:hAnsi="Arial Narrow" w:cs="Arial Narrow"/>
        </w:rPr>
        <w:t>.</w:t>
      </w:r>
    </w:p>
    <w:p w14:paraId="5A447A63" w14:textId="77777777" w:rsidR="00394AB8" w:rsidRPr="000E6E86" w:rsidRDefault="00394AB8" w:rsidP="00394AB8">
      <w:pPr>
        <w:jc w:val="both"/>
        <w:rPr>
          <w:rFonts w:ascii="Arial Narrow" w:eastAsia="Arial Narrow" w:hAnsi="Arial Narrow" w:cs="Arial Narrow"/>
          <w:color w:val="202124"/>
        </w:rPr>
      </w:pPr>
    </w:p>
    <w:p w14:paraId="1017FE6F" w14:textId="77777777" w:rsidR="00394AB8" w:rsidRPr="000E6E86" w:rsidRDefault="00394AB8" w:rsidP="00394AB8">
      <w:pPr>
        <w:jc w:val="center"/>
        <w:rPr>
          <w:rFonts w:ascii="Arial Narrow" w:eastAsia="Arial Narrow" w:hAnsi="Arial Narrow" w:cs="Arial Narrow"/>
          <w:b/>
          <w:color w:val="202124"/>
        </w:rPr>
      </w:pPr>
      <w:r w:rsidRPr="000E6E86">
        <w:rPr>
          <w:rFonts w:ascii="Arial Narrow" w:eastAsia="Arial Narrow" w:hAnsi="Arial Narrow" w:cs="Arial Narrow"/>
          <w:b/>
          <w:color w:val="202124"/>
        </w:rPr>
        <w:t>NOTIFÍQUESE Y CÚMPLASE</w:t>
      </w:r>
      <w:r w:rsidRPr="000E6E86">
        <w:rPr>
          <w:noProof/>
          <w:lang w:val="es-419" w:eastAsia="es-419"/>
        </w:rPr>
        <w:drawing>
          <wp:anchor distT="0" distB="0" distL="0" distR="0" simplePos="0" relativeHeight="251659264" behindDoc="0" locked="0" layoutInCell="1" hidden="0" allowOverlap="1" wp14:anchorId="786E1B7F" wp14:editId="3321CE46">
            <wp:simplePos x="0" y="0"/>
            <wp:positionH relativeFrom="column">
              <wp:posOffset>1638300</wp:posOffset>
            </wp:positionH>
            <wp:positionV relativeFrom="paragraph">
              <wp:posOffset>356870</wp:posOffset>
            </wp:positionV>
            <wp:extent cx="2352638" cy="904303"/>
            <wp:effectExtent l="0" t="0" r="0" b="0"/>
            <wp:wrapTopAndBottom distT="0" distB="0"/>
            <wp:docPr id="1" name="image3.jpg" descr="Imagen que contiene Forma&#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3.jpg" descr="Imagen que contiene Forma&#10;&#10;Descripción generada automáticamente"/>
                    <pic:cNvPicPr preferRelativeResize="0"/>
                  </pic:nvPicPr>
                  <pic:blipFill>
                    <a:blip r:embed="rId10"/>
                    <a:srcRect/>
                    <a:stretch>
                      <a:fillRect/>
                    </a:stretch>
                  </pic:blipFill>
                  <pic:spPr>
                    <a:xfrm>
                      <a:off x="0" y="0"/>
                      <a:ext cx="2352638" cy="904303"/>
                    </a:xfrm>
                    <a:prstGeom prst="rect">
                      <a:avLst/>
                    </a:prstGeom>
                    <a:ln/>
                  </pic:spPr>
                </pic:pic>
              </a:graphicData>
            </a:graphic>
          </wp:anchor>
        </w:drawing>
      </w:r>
    </w:p>
    <w:p w14:paraId="0388B355" w14:textId="77777777" w:rsidR="00394AB8" w:rsidRDefault="00394AB8" w:rsidP="00394AB8">
      <w:pPr>
        <w:tabs>
          <w:tab w:val="left" w:pos="5820"/>
        </w:tabs>
        <w:rPr>
          <w:rFonts w:ascii="Arial Narrow" w:eastAsia="Arial Narrow" w:hAnsi="Arial Narrow" w:cs="Arial Narrow"/>
          <w:color w:val="202124"/>
        </w:rPr>
      </w:pPr>
    </w:p>
    <w:p w14:paraId="2E54708A" w14:textId="77777777" w:rsidR="00394AB8" w:rsidRPr="009745BB" w:rsidRDefault="00394AB8" w:rsidP="00394AB8">
      <w:pPr>
        <w:tabs>
          <w:tab w:val="left" w:pos="5820"/>
        </w:tabs>
        <w:rPr>
          <w:bCs/>
          <w:color w:val="000000" w:themeColor="text1"/>
          <w:sz w:val="22"/>
          <w:szCs w:val="22"/>
        </w:rPr>
      </w:pPr>
      <w:r w:rsidRPr="009745BB">
        <w:rPr>
          <w:rFonts w:ascii="Arial Narrow" w:eastAsia="Arial Narrow" w:hAnsi="Arial Narrow" w:cs="Arial Narrow"/>
          <w:bCs/>
          <w:i/>
          <w:color w:val="202124"/>
        </w:rPr>
        <w:t>Jara</w:t>
      </w:r>
    </w:p>
    <w:p w14:paraId="794BCDE5" w14:textId="7A0CEC0B" w:rsidR="002A5191" w:rsidRPr="00344E59" w:rsidRDefault="002A5191" w:rsidP="00394AB8">
      <w:pPr>
        <w:jc w:val="both"/>
        <w:rPr>
          <w:color w:val="000000" w:themeColor="text1"/>
          <w:sz w:val="18"/>
          <w:szCs w:val="22"/>
        </w:rPr>
      </w:pPr>
    </w:p>
    <w:sectPr w:rsidR="002A5191" w:rsidRPr="00344E59" w:rsidSect="00C6760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55AC5" w14:textId="77777777" w:rsidR="00305E91" w:rsidRDefault="00305E91" w:rsidP="000714B1">
      <w:r>
        <w:separator/>
      </w:r>
    </w:p>
  </w:endnote>
  <w:endnote w:type="continuationSeparator" w:id="0">
    <w:p w14:paraId="5DF09EDB" w14:textId="77777777" w:rsidR="00305E91" w:rsidRDefault="00305E91" w:rsidP="0007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D4944" w14:textId="77777777" w:rsidR="00305E91" w:rsidRDefault="00305E91" w:rsidP="000714B1">
      <w:r>
        <w:separator/>
      </w:r>
    </w:p>
  </w:footnote>
  <w:footnote w:type="continuationSeparator" w:id="0">
    <w:p w14:paraId="5A2A5BF5" w14:textId="77777777" w:rsidR="00305E91" w:rsidRDefault="00305E91" w:rsidP="00071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031317"/>
    <w:multiLevelType w:val="hybridMultilevel"/>
    <w:tmpl w:val="3618BED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4B1"/>
    <w:rsid w:val="000714B1"/>
    <w:rsid w:val="00080102"/>
    <w:rsid w:val="000A0F08"/>
    <w:rsid w:val="000B197C"/>
    <w:rsid w:val="00115D22"/>
    <w:rsid w:val="00125524"/>
    <w:rsid w:val="001305DD"/>
    <w:rsid w:val="00147D56"/>
    <w:rsid w:val="00217265"/>
    <w:rsid w:val="002A5191"/>
    <w:rsid w:val="002A5D9B"/>
    <w:rsid w:val="00305E91"/>
    <w:rsid w:val="00344E59"/>
    <w:rsid w:val="00394AB8"/>
    <w:rsid w:val="003C6484"/>
    <w:rsid w:val="003D3F68"/>
    <w:rsid w:val="004018CF"/>
    <w:rsid w:val="00466CE6"/>
    <w:rsid w:val="00491470"/>
    <w:rsid w:val="0049508F"/>
    <w:rsid w:val="004C58C8"/>
    <w:rsid w:val="00525FA1"/>
    <w:rsid w:val="0058437A"/>
    <w:rsid w:val="006538CF"/>
    <w:rsid w:val="00653BA3"/>
    <w:rsid w:val="00695B56"/>
    <w:rsid w:val="006A5390"/>
    <w:rsid w:val="00711895"/>
    <w:rsid w:val="008F0A89"/>
    <w:rsid w:val="0091374E"/>
    <w:rsid w:val="00994375"/>
    <w:rsid w:val="00A2461F"/>
    <w:rsid w:val="00A2652D"/>
    <w:rsid w:val="00A90649"/>
    <w:rsid w:val="00B13F92"/>
    <w:rsid w:val="00BB246F"/>
    <w:rsid w:val="00C001F7"/>
    <w:rsid w:val="00CA32AD"/>
    <w:rsid w:val="00D2079E"/>
    <w:rsid w:val="00DA2B86"/>
    <w:rsid w:val="00E051DE"/>
    <w:rsid w:val="00E2093C"/>
    <w:rsid w:val="00E34263"/>
    <w:rsid w:val="00E36DD3"/>
    <w:rsid w:val="00E654A0"/>
    <w:rsid w:val="00EF6CD1"/>
    <w:rsid w:val="00F644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C011"/>
  <w15:chartTrackingRefBased/>
  <w15:docId w15:val="{2210F16C-46F1-884C-BF02-5E6C41B4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B1"/>
    <w:rPr>
      <w:rFonts w:ascii="Times New Roman" w:eastAsia="Times New Roman" w:hAnsi="Times New Roman" w:cs="Times New Roman"/>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uiPriority w:val="99"/>
    <w:semiHidden/>
    <w:unhideWhenUsed/>
    <w:rsid w:val="000714B1"/>
    <w:rPr>
      <w:vertAlign w:val="superscript"/>
    </w:rPr>
  </w:style>
  <w:style w:type="character" w:styleId="Hipervnculo">
    <w:name w:val="Hyperlink"/>
    <w:basedOn w:val="Fuentedeprrafopredeter"/>
    <w:uiPriority w:val="99"/>
    <w:unhideWhenUsed/>
    <w:rsid w:val="000714B1"/>
    <w:rPr>
      <w:color w:val="0000FF"/>
      <w:u w:val="single"/>
    </w:rPr>
  </w:style>
  <w:style w:type="paragraph" w:styleId="Prrafodelista">
    <w:name w:val="List Paragraph"/>
    <w:basedOn w:val="Normal"/>
    <w:uiPriority w:val="34"/>
    <w:qFormat/>
    <w:rsid w:val="000714B1"/>
    <w:pPr>
      <w:ind w:left="720"/>
      <w:contextualSpacing/>
    </w:pPr>
  </w:style>
  <w:style w:type="paragraph" w:styleId="Textonotapie">
    <w:name w:val="footnote text"/>
    <w:basedOn w:val="Normal"/>
    <w:link w:val="TextonotapieCar"/>
    <w:uiPriority w:val="99"/>
    <w:semiHidden/>
    <w:unhideWhenUsed/>
    <w:rsid w:val="00C001F7"/>
    <w:rPr>
      <w:sz w:val="20"/>
      <w:szCs w:val="20"/>
    </w:rPr>
  </w:style>
  <w:style w:type="character" w:customStyle="1" w:styleId="TextonotapieCar">
    <w:name w:val="Texto nota pie Car"/>
    <w:basedOn w:val="Fuentedeprrafopredeter"/>
    <w:link w:val="Textonotapie"/>
    <w:uiPriority w:val="99"/>
    <w:semiHidden/>
    <w:rsid w:val="00C001F7"/>
    <w:rPr>
      <w:rFonts w:ascii="Times New Roman" w:eastAsia="Times New Roman" w:hAnsi="Times New Roman" w:cs="Times New Roman"/>
      <w:sz w:val="20"/>
      <w:szCs w:val="20"/>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71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https://ventanillavirtual.consejodeestado.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742B3-4DEE-41F3-9888-315DE4178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Pages>
  <Words>1283</Words>
  <Characters>7059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duran</dc:creator>
  <cp:keywords/>
  <dc:description/>
  <cp:lastModifiedBy>Luz Matilde Adaime Cabrera</cp:lastModifiedBy>
  <cp:revision>19</cp:revision>
  <dcterms:created xsi:type="dcterms:W3CDTF">2022-04-28T21:50:00Z</dcterms:created>
  <dcterms:modified xsi:type="dcterms:W3CDTF">2024-03-14T17:36:00Z</dcterms:modified>
</cp:coreProperties>
</file>