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933B7"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REPÚBLICA DE COLOMBIA</w:t>
      </w:r>
    </w:p>
    <w:p w14:paraId="32B1D93C"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noProof/>
          <w:sz w:val="24"/>
          <w:szCs w:val="24"/>
          <w:lang w:val="es-419" w:eastAsia="es-419"/>
        </w:rPr>
        <w:drawing>
          <wp:inline distT="0" distB="0" distL="0" distR="0" wp14:anchorId="47494FDE" wp14:editId="6289CD84">
            <wp:extent cx="792480" cy="69342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b="16432"/>
                    <a:stretch>
                      <a:fillRect/>
                    </a:stretch>
                  </pic:blipFill>
                  <pic:spPr bwMode="auto">
                    <a:xfrm>
                      <a:off x="0" y="0"/>
                      <a:ext cx="792480" cy="693420"/>
                    </a:xfrm>
                    <a:prstGeom prst="rect">
                      <a:avLst/>
                    </a:prstGeom>
                    <a:noFill/>
                    <a:ln>
                      <a:noFill/>
                    </a:ln>
                  </pic:spPr>
                </pic:pic>
              </a:graphicData>
            </a:graphic>
          </wp:inline>
        </w:drawing>
      </w:r>
    </w:p>
    <w:p w14:paraId="6BE79FE5" w14:textId="5C0AE7DD"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 xml:space="preserve">JUZGADO </w:t>
      </w:r>
      <w:r w:rsidR="00173E1B" w:rsidRPr="00F625C9">
        <w:rPr>
          <w:rFonts w:ascii="Arial Narrow" w:hAnsi="Arial Narrow" w:cs="Calibri"/>
          <w:b/>
          <w:sz w:val="24"/>
          <w:szCs w:val="24"/>
          <w:lang w:val="es-CO" w:eastAsia="en-US"/>
        </w:rPr>
        <w:t>DICIESIETE ADMINISTRATIVO</w:t>
      </w:r>
      <w:r w:rsidRPr="00F625C9">
        <w:rPr>
          <w:rFonts w:ascii="Arial Narrow" w:hAnsi="Arial Narrow" w:cs="Calibri"/>
          <w:b/>
          <w:sz w:val="24"/>
          <w:szCs w:val="24"/>
          <w:lang w:val="es-CO" w:eastAsia="en-US"/>
        </w:rPr>
        <w:t xml:space="preserve"> DE BOGOTÁ D.C.</w:t>
      </w:r>
    </w:p>
    <w:p w14:paraId="2FEE10E0" w14:textId="77777777" w:rsidR="003D4969" w:rsidRPr="00F625C9" w:rsidRDefault="003D4969" w:rsidP="003D4969">
      <w:pPr>
        <w:jc w:val="center"/>
        <w:rPr>
          <w:rFonts w:ascii="Arial Narrow" w:hAnsi="Arial Narrow" w:cs="Calibri"/>
          <w:b/>
          <w:sz w:val="24"/>
          <w:szCs w:val="24"/>
          <w:lang w:val="es-CO" w:eastAsia="en-US"/>
        </w:rPr>
      </w:pPr>
      <w:r w:rsidRPr="00F625C9">
        <w:rPr>
          <w:rFonts w:ascii="Arial Narrow" w:hAnsi="Arial Narrow" w:cs="Calibri"/>
          <w:b/>
          <w:sz w:val="24"/>
          <w:szCs w:val="24"/>
          <w:lang w:val="es-CO" w:eastAsia="en-US"/>
        </w:rPr>
        <w:t>SECCIÓN SEGUNDA</w:t>
      </w:r>
    </w:p>
    <w:p w14:paraId="5B0A1E71" w14:textId="77777777" w:rsidR="003D4969" w:rsidRPr="00F625C9" w:rsidRDefault="003D4969" w:rsidP="003D4969">
      <w:pPr>
        <w:jc w:val="center"/>
        <w:rPr>
          <w:rFonts w:ascii="Arial Narrow" w:hAnsi="Arial Narrow" w:cs="Calibri"/>
          <w:sz w:val="24"/>
          <w:szCs w:val="24"/>
          <w:lang w:val="es-CO" w:eastAsia="en-US"/>
        </w:rPr>
      </w:pPr>
    </w:p>
    <w:p w14:paraId="5AADDCE1" w14:textId="47F4F2EE" w:rsidR="00F45014" w:rsidRPr="00F625C9" w:rsidRDefault="00F45014" w:rsidP="00F45014">
      <w:pPr>
        <w:rPr>
          <w:rFonts w:ascii="Arial Narrow" w:hAnsi="Arial Narrow" w:cs="Arial"/>
          <w:b/>
          <w:sz w:val="24"/>
          <w:szCs w:val="24"/>
          <w:lang w:val="es-CO" w:eastAsia="en-US"/>
        </w:rPr>
      </w:pPr>
      <w:r w:rsidRPr="00F625C9">
        <w:rPr>
          <w:rFonts w:ascii="Arial Narrow" w:hAnsi="Arial Narrow" w:cs="Calibri"/>
          <w:iCs/>
          <w:spacing w:val="-3"/>
          <w:sz w:val="24"/>
          <w:szCs w:val="24"/>
          <w:lang w:val="es-CO" w:eastAsia="en-US"/>
        </w:rPr>
        <w:t>Bogotá D.C.,</w:t>
      </w:r>
      <w:r w:rsidR="00DD7E6A">
        <w:rPr>
          <w:rFonts w:ascii="Arial Narrow" w:hAnsi="Arial Narrow" w:cs="Calibri"/>
          <w:iCs/>
          <w:spacing w:val="-3"/>
          <w:sz w:val="24"/>
          <w:szCs w:val="24"/>
          <w:lang w:val="es-CO" w:eastAsia="en-US"/>
        </w:rPr>
        <w:t>1</w:t>
      </w:r>
      <w:r w:rsidR="000B6CF4">
        <w:rPr>
          <w:rFonts w:ascii="Arial Narrow" w:hAnsi="Arial Narrow" w:cs="Calibri"/>
          <w:iCs/>
          <w:spacing w:val="-3"/>
          <w:sz w:val="24"/>
          <w:szCs w:val="24"/>
          <w:lang w:val="es-CO" w:eastAsia="en-US"/>
        </w:rPr>
        <w:t>2</w:t>
      </w:r>
      <w:r w:rsidR="00A367C6" w:rsidRPr="00F625C9">
        <w:rPr>
          <w:rFonts w:ascii="Arial Narrow" w:hAnsi="Arial Narrow" w:cs="Arial"/>
          <w:b/>
          <w:sz w:val="24"/>
          <w:szCs w:val="24"/>
          <w:lang w:val="es-CO" w:eastAsia="en-US"/>
        </w:rPr>
        <w:t xml:space="preserve"> </w:t>
      </w:r>
      <w:r w:rsidR="00DD7E6A">
        <w:rPr>
          <w:rFonts w:ascii="Arial Narrow" w:hAnsi="Arial Narrow" w:cs="Arial"/>
          <w:sz w:val="24"/>
          <w:szCs w:val="24"/>
          <w:lang w:val="es-CO" w:eastAsia="en-US"/>
        </w:rPr>
        <w:t>de marzo</w:t>
      </w:r>
      <w:r w:rsidRPr="00F625C9">
        <w:rPr>
          <w:rFonts w:ascii="Arial Narrow" w:hAnsi="Arial Narrow" w:cs="Arial"/>
          <w:bCs/>
          <w:sz w:val="24"/>
          <w:szCs w:val="24"/>
          <w:lang w:val="es-CO" w:eastAsia="en-US"/>
        </w:rPr>
        <w:t xml:space="preserve"> de 202</w:t>
      </w:r>
      <w:r w:rsidR="00DD7E6A">
        <w:rPr>
          <w:rFonts w:ascii="Arial Narrow" w:hAnsi="Arial Narrow" w:cs="Arial"/>
          <w:bCs/>
          <w:sz w:val="24"/>
          <w:szCs w:val="24"/>
          <w:lang w:val="es-CO" w:eastAsia="en-US"/>
        </w:rPr>
        <w:t>4</w:t>
      </w:r>
    </w:p>
    <w:p w14:paraId="5AFF825F" w14:textId="10D707E8" w:rsidR="00F45014" w:rsidRPr="00F625C9" w:rsidRDefault="00F45014" w:rsidP="00F45014">
      <w:pPr>
        <w:jc w:val="right"/>
        <w:rPr>
          <w:rFonts w:ascii="Arial Narrow" w:hAnsi="Arial Narrow" w:cs="Calibri"/>
          <w:bCs/>
          <w:iCs/>
          <w:spacing w:val="-3"/>
          <w:sz w:val="24"/>
          <w:szCs w:val="24"/>
          <w:lang w:val="es-CO" w:eastAsia="en-US"/>
        </w:rPr>
      </w:pPr>
      <w:r w:rsidRPr="00F625C9">
        <w:rPr>
          <w:rFonts w:ascii="Arial Narrow" w:hAnsi="Arial Narrow" w:cs="Arial"/>
          <w:b/>
          <w:sz w:val="24"/>
          <w:szCs w:val="24"/>
          <w:lang w:val="es-CO" w:eastAsia="en-US"/>
        </w:rPr>
        <w:t xml:space="preserve">Auto </w:t>
      </w:r>
      <w:r w:rsidR="00C52C34" w:rsidRPr="00F625C9">
        <w:rPr>
          <w:rFonts w:ascii="Arial Narrow" w:hAnsi="Arial Narrow" w:cs="Arial"/>
          <w:b/>
          <w:sz w:val="24"/>
          <w:szCs w:val="24"/>
          <w:lang w:val="es-CO" w:eastAsia="en-US"/>
        </w:rPr>
        <w:t>Interlocutorio</w:t>
      </w:r>
      <w:r w:rsidRPr="00F625C9">
        <w:rPr>
          <w:rFonts w:ascii="Arial Narrow" w:hAnsi="Arial Narrow" w:cs="Arial"/>
          <w:b/>
          <w:sz w:val="24"/>
          <w:szCs w:val="24"/>
          <w:lang w:val="es-CO" w:eastAsia="en-US"/>
        </w:rPr>
        <w:t xml:space="preserve"> No</w:t>
      </w:r>
      <w:r w:rsidRPr="000B6CF4">
        <w:rPr>
          <w:rFonts w:ascii="Arial Narrow" w:hAnsi="Arial Narrow" w:cs="Arial"/>
          <w:b/>
          <w:sz w:val="24"/>
          <w:szCs w:val="24"/>
          <w:lang w:val="es-CO" w:eastAsia="en-US"/>
        </w:rPr>
        <w:t>.</w:t>
      </w:r>
      <w:r w:rsidR="00E4167C" w:rsidRPr="000B6CF4">
        <w:rPr>
          <w:rFonts w:ascii="Arial Narrow" w:hAnsi="Arial Narrow" w:cs="Arial"/>
          <w:bCs/>
          <w:sz w:val="24"/>
          <w:szCs w:val="24"/>
          <w:lang w:val="es-CO" w:eastAsia="en-US"/>
        </w:rPr>
        <w:t xml:space="preserve"> </w:t>
      </w:r>
      <w:r w:rsidR="000B6CF4">
        <w:rPr>
          <w:rFonts w:ascii="Arial Narrow" w:hAnsi="Arial Narrow" w:cs="Arial"/>
          <w:bCs/>
          <w:sz w:val="24"/>
          <w:szCs w:val="24"/>
          <w:lang w:val="es-CO" w:eastAsia="en-US"/>
        </w:rPr>
        <w:t>204</w:t>
      </w:r>
    </w:p>
    <w:p w14:paraId="0D104011" w14:textId="77777777" w:rsidR="007C5E8A" w:rsidRPr="00F625C9" w:rsidRDefault="007C5E8A" w:rsidP="00042E1C">
      <w:pPr>
        <w:jc w:val="both"/>
        <w:rPr>
          <w:rFonts w:ascii="Arial Narrow" w:hAnsi="Arial Narrow" w:cs="Arial"/>
          <w:sz w:val="24"/>
          <w:szCs w:val="24"/>
          <w:lang w:val="es-CO"/>
        </w:rPr>
      </w:pPr>
    </w:p>
    <w:p w14:paraId="6B9EF310" w14:textId="65F4C0E9"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Radicación:</w:t>
      </w:r>
      <w:r w:rsidR="00DD7E6A">
        <w:rPr>
          <w:rFonts w:ascii="Arial Narrow" w:hAnsi="Arial Narrow" w:cs="Arial"/>
          <w:sz w:val="24"/>
          <w:szCs w:val="24"/>
          <w:lang w:val="es-CO"/>
        </w:rPr>
        <w:t xml:space="preserve"> 110013335017-2023-00136</w:t>
      </w:r>
      <w:r w:rsidRPr="00173E1B">
        <w:rPr>
          <w:rFonts w:ascii="Arial Narrow" w:hAnsi="Arial Narrow" w:cs="Arial"/>
          <w:sz w:val="24"/>
          <w:szCs w:val="24"/>
          <w:lang w:val="es-CO"/>
        </w:rPr>
        <w:t>-00</w:t>
      </w:r>
    </w:p>
    <w:p w14:paraId="5CDDFCB7" w14:textId="39CAF045"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Demandante:</w:t>
      </w:r>
      <w:r w:rsidRPr="00173E1B">
        <w:rPr>
          <w:rFonts w:ascii="Arial Narrow" w:hAnsi="Arial Narrow" w:cs="Arial"/>
          <w:sz w:val="24"/>
          <w:szCs w:val="24"/>
          <w:lang w:val="es-CO"/>
        </w:rPr>
        <w:t xml:space="preserve"> Administradora Colombiana de Pensiones - COLPENSIONES</w:t>
      </w:r>
    </w:p>
    <w:p w14:paraId="48385A23" w14:textId="26ABCC40"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Demandado:</w:t>
      </w:r>
      <w:r w:rsidR="00DD7E6A">
        <w:rPr>
          <w:rFonts w:ascii="Arial Narrow" w:hAnsi="Arial Narrow" w:cs="Arial"/>
          <w:sz w:val="24"/>
          <w:szCs w:val="24"/>
          <w:lang w:val="es-CO"/>
        </w:rPr>
        <w:t xml:space="preserve"> Luz María Campos</w:t>
      </w:r>
    </w:p>
    <w:p w14:paraId="34E6CAA1" w14:textId="77777777" w:rsidR="00173E1B" w:rsidRPr="00173E1B"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Medio de Control:</w:t>
      </w:r>
      <w:r w:rsidRPr="00173E1B">
        <w:rPr>
          <w:rFonts w:ascii="Arial Narrow" w:hAnsi="Arial Narrow" w:cs="Arial"/>
          <w:sz w:val="24"/>
          <w:szCs w:val="24"/>
          <w:lang w:val="es-CO"/>
        </w:rPr>
        <w:t xml:space="preserve"> Nulidad y restablecimiento del derecho</w:t>
      </w:r>
    </w:p>
    <w:p w14:paraId="17FE1A00" w14:textId="0B862AA1" w:rsidR="007C5E8A" w:rsidRDefault="00173E1B" w:rsidP="00173E1B">
      <w:pPr>
        <w:jc w:val="both"/>
        <w:rPr>
          <w:rFonts w:ascii="Arial Narrow" w:hAnsi="Arial Narrow" w:cs="Arial"/>
          <w:sz w:val="24"/>
          <w:szCs w:val="24"/>
          <w:lang w:val="es-CO"/>
        </w:rPr>
      </w:pPr>
      <w:r w:rsidRPr="00173E1B">
        <w:rPr>
          <w:rFonts w:ascii="Arial Narrow" w:hAnsi="Arial Narrow" w:cs="Arial"/>
          <w:b/>
          <w:sz w:val="24"/>
          <w:szCs w:val="24"/>
          <w:lang w:val="es-CO"/>
        </w:rPr>
        <w:t>Tema:</w:t>
      </w:r>
      <w:r w:rsidR="00DD7E6A">
        <w:rPr>
          <w:rFonts w:ascii="Arial Narrow" w:hAnsi="Arial Narrow" w:cs="Arial"/>
          <w:sz w:val="24"/>
          <w:szCs w:val="24"/>
          <w:lang w:val="es-CO"/>
        </w:rPr>
        <w:t xml:space="preserve"> Lesividad – Corrección de liquidación de pensión de vejez</w:t>
      </w:r>
    </w:p>
    <w:p w14:paraId="4B447093" w14:textId="77777777" w:rsidR="00173E1B" w:rsidRPr="00F625C9" w:rsidRDefault="00173E1B" w:rsidP="00173E1B">
      <w:pPr>
        <w:jc w:val="both"/>
        <w:rPr>
          <w:rFonts w:ascii="Arial Narrow" w:hAnsi="Arial Narrow" w:cs="Arial"/>
          <w:sz w:val="24"/>
          <w:szCs w:val="24"/>
          <w:lang w:val="es-CO"/>
        </w:rPr>
      </w:pPr>
    </w:p>
    <w:p w14:paraId="5892FDD7" w14:textId="3ADE0BD6" w:rsidR="00C52C34" w:rsidRPr="00F625C9" w:rsidRDefault="002659FA" w:rsidP="002A3E35">
      <w:pPr>
        <w:jc w:val="both"/>
        <w:rPr>
          <w:rFonts w:ascii="Arial Narrow" w:hAnsi="Arial Narrow" w:cs="Arial"/>
          <w:sz w:val="24"/>
          <w:szCs w:val="24"/>
          <w:lang w:val="es-CO"/>
        </w:rPr>
      </w:pPr>
      <w:r w:rsidRPr="00F625C9">
        <w:rPr>
          <w:rFonts w:ascii="Arial Narrow" w:hAnsi="Arial Narrow" w:cs="Arial"/>
          <w:sz w:val="24"/>
          <w:szCs w:val="24"/>
          <w:lang w:val="es-CO"/>
        </w:rPr>
        <w:t>Estando el proceso</w:t>
      </w:r>
      <w:r w:rsidR="00DD7E6A">
        <w:rPr>
          <w:rFonts w:ascii="Arial Narrow" w:hAnsi="Arial Narrow" w:cs="Arial"/>
          <w:sz w:val="24"/>
          <w:szCs w:val="24"/>
          <w:lang w:val="es-CO"/>
        </w:rPr>
        <w:t xml:space="preserve"> </w:t>
      </w:r>
      <w:r w:rsidR="00D92BB8">
        <w:rPr>
          <w:rFonts w:ascii="Arial Narrow" w:hAnsi="Arial Narrow" w:cs="Arial"/>
          <w:sz w:val="24"/>
          <w:szCs w:val="24"/>
          <w:lang w:val="es-CO"/>
        </w:rPr>
        <w:t xml:space="preserve">de referencia pendiente de proveer, el Despacho </w:t>
      </w:r>
      <w:r w:rsidRPr="00F625C9">
        <w:rPr>
          <w:rFonts w:ascii="Arial Narrow" w:hAnsi="Arial Narrow" w:cs="Arial"/>
          <w:sz w:val="24"/>
          <w:szCs w:val="24"/>
          <w:lang w:val="es-CO"/>
        </w:rPr>
        <w:t xml:space="preserve">encuentra necesario </w:t>
      </w:r>
      <w:r w:rsidR="00C52C34" w:rsidRPr="00F625C9">
        <w:rPr>
          <w:rFonts w:ascii="Arial Narrow" w:hAnsi="Arial Narrow" w:cs="Arial"/>
          <w:sz w:val="24"/>
          <w:szCs w:val="24"/>
          <w:lang w:val="es-CO"/>
        </w:rPr>
        <w:t>declarar la falta de competencia en el presente asunto conform</w:t>
      </w:r>
      <w:r w:rsidR="00D436E6">
        <w:rPr>
          <w:rFonts w:ascii="Arial Narrow" w:hAnsi="Arial Narrow" w:cs="Arial"/>
          <w:sz w:val="24"/>
          <w:szCs w:val="24"/>
          <w:lang w:val="es-CO"/>
        </w:rPr>
        <w:t>e</w:t>
      </w:r>
      <w:r w:rsidR="00C52C34" w:rsidRPr="00F625C9">
        <w:rPr>
          <w:rFonts w:ascii="Arial Narrow" w:hAnsi="Arial Narrow" w:cs="Arial"/>
          <w:sz w:val="24"/>
          <w:szCs w:val="24"/>
          <w:lang w:val="es-CO"/>
        </w:rPr>
        <w:t xml:space="preserve"> a las siguientes,</w:t>
      </w:r>
    </w:p>
    <w:p w14:paraId="680DBA0D" w14:textId="103190F7" w:rsidR="002A3E35" w:rsidRPr="00F625C9" w:rsidRDefault="00C52C34"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 </w:t>
      </w:r>
    </w:p>
    <w:p w14:paraId="06B8DDB6" w14:textId="1A20FE18" w:rsidR="002A3E35" w:rsidRPr="00F625C9" w:rsidRDefault="002A3E35" w:rsidP="00C52C34">
      <w:pPr>
        <w:jc w:val="center"/>
        <w:rPr>
          <w:rFonts w:ascii="Arial Narrow" w:hAnsi="Arial Narrow" w:cs="Arial"/>
          <w:b/>
          <w:bCs/>
          <w:sz w:val="24"/>
          <w:szCs w:val="24"/>
          <w:lang w:val="es-CO"/>
        </w:rPr>
      </w:pPr>
      <w:r w:rsidRPr="00F625C9">
        <w:rPr>
          <w:rFonts w:ascii="Arial Narrow" w:hAnsi="Arial Narrow" w:cs="Arial"/>
          <w:b/>
          <w:bCs/>
          <w:sz w:val="24"/>
          <w:szCs w:val="24"/>
          <w:lang w:val="es-CO"/>
        </w:rPr>
        <w:t>CONSIDERACIONES</w:t>
      </w:r>
    </w:p>
    <w:p w14:paraId="3A2BFEE2" w14:textId="12E432D3" w:rsidR="002A3E35" w:rsidRPr="00F625C9" w:rsidRDefault="002A3E35" w:rsidP="002A3E35">
      <w:pPr>
        <w:jc w:val="both"/>
        <w:rPr>
          <w:rFonts w:ascii="Arial Narrow" w:hAnsi="Arial Narrow" w:cs="Arial"/>
          <w:sz w:val="24"/>
          <w:szCs w:val="24"/>
          <w:lang w:val="es-CO"/>
        </w:rPr>
      </w:pPr>
    </w:p>
    <w:p w14:paraId="0D778CB0" w14:textId="44DDFDF1"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De conformidad con el numeral 4 del artículo 104 del C.P.A.C.A., en materia laboral y de seguridad social la Jurisdicción de lo Contencioso Administrativo está instituida para conocer las controversias y litigios originados en actos o contratos, los relativos a la relación legal y reglamentaria entre los servidores públicos y el Estado y, la seguridad social de los mismos, cuando dicho régimen esté administrado por una persona de derecho público. </w:t>
      </w:r>
    </w:p>
    <w:p w14:paraId="1363D83A" w14:textId="77777777" w:rsidR="002A3E35" w:rsidRPr="00F625C9" w:rsidRDefault="002A3E35" w:rsidP="002A3E35">
      <w:pPr>
        <w:jc w:val="both"/>
        <w:rPr>
          <w:rFonts w:ascii="Arial Narrow" w:hAnsi="Arial Narrow" w:cs="Arial"/>
          <w:sz w:val="24"/>
          <w:szCs w:val="24"/>
          <w:lang w:val="es-CO"/>
        </w:rPr>
      </w:pPr>
    </w:p>
    <w:p w14:paraId="3E5CE91F" w14:textId="786ADC18" w:rsidR="002A3E35" w:rsidRPr="00F625C9" w:rsidRDefault="002A3E35" w:rsidP="002A3E35">
      <w:pPr>
        <w:jc w:val="both"/>
        <w:rPr>
          <w:rFonts w:ascii="Arial Narrow" w:hAnsi="Arial Narrow" w:cs="Arial"/>
          <w:i/>
          <w:iCs/>
          <w:sz w:val="24"/>
          <w:szCs w:val="24"/>
          <w:lang w:val="es-CO"/>
        </w:rPr>
      </w:pPr>
      <w:r w:rsidRPr="00F625C9">
        <w:rPr>
          <w:rFonts w:ascii="Arial Narrow" w:hAnsi="Arial Narrow" w:cs="Arial"/>
          <w:sz w:val="24"/>
          <w:szCs w:val="24"/>
          <w:lang w:val="es-CO"/>
        </w:rPr>
        <w:t>Por su parte, el artículo 2 de la Ley 712 de 2001 determina la competencia general de la jurisdicción ordinaria en su especialidad laboral y de la seguridad social. En materia de controversias sobre los servicios de la seguridad social, el artículo 2.4 -modificado por el artículo 622 de la Ley 1564 de 2012- señala que dicha jurisdicción conocerá las “</w:t>
      </w:r>
      <w:r w:rsidRPr="00F625C9">
        <w:rPr>
          <w:rFonts w:ascii="Arial Narrow" w:hAnsi="Arial Narrow" w:cs="Arial"/>
          <w:i/>
          <w:iCs/>
          <w:sz w:val="24"/>
          <w:szCs w:val="24"/>
          <w:lang w:val="es-CO"/>
        </w:rPr>
        <w:t xml:space="preserve">controversias relativas a la prestación de los servicios de la seguridad social que se susciten entre los afiliados, beneficiarios o usuarios, los empleadores y las entidades administradoras o prestadoras, salvo los de responsabilidad médica y los relacionados con contratos </w:t>
      </w:r>
    </w:p>
    <w:p w14:paraId="368A794F" w14:textId="77777777" w:rsidR="002A3E35" w:rsidRPr="00F625C9" w:rsidRDefault="002A3E35" w:rsidP="002A3E35">
      <w:pPr>
        <w:jc w:val="both"/>
        <w:rPr>
          <w:rFonts w:ascii="Arial Narrow" w:hAnsi="Arial Narrow" w:cs="Arial"/>
          <w:sz w:val="24"/>
          <w:szCs w:val="24"/>
          <w:lang w:val="es-CO"/>
        </w:rPr>
      </w:pPr>
    </w:p>
    <w:p w14:paraId="0D68120C" w14:textId="795C9773"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Adicionalmente, el artículo 12 de la Ley 270 de 1996 determina que la jurisdicción ordinaria conocerá todos los asuntos que no estén asignados a cualquier otra. Se trata de una cláusula general y residual de competencia que opera cuando no hay una norma especial que atribuya el conocimiento de un proceso a otra jurisdicción </w:t>
      </w:r>
    </w:p>
    <w:p w14:paraId="702B091E" w14:textId="77777777" w:rsidR="002A3E35" w:rsidRPr="00F625C9" w:rsidRDefault="002A3E35" w:rsidP="002A3E35">
      <w:pPr>
        <w:jc w:val="both"/>
        <w:rPr>
          <w:rFonts w:ascii="Arial Narrow" w:hAnsi="Arial Narrow" w:cs="Arial"/>
          <w:sz w:val="24"/>
          <w:szCs w:val="24"/>
          <w:lang w:val="es-CO"/>
        </w:rPr>
      </w:pPr>
    </w:p>
    <w:p w14:paraId="6C890A48" w14:textId="0DD524BF"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La </w:t>
      </w:r>
      <w:r w:rsidR="00F51103" w:rsidRPr="00F625C9">
        <w:rPr>
          <w:rFonts w:ascii="Arial Narrow" w:hAnsi="Arial Narrow" w:cs="Arial"/>
          <w:sz w:val="24"/>
          <w:szCs w:val="24"/>
          <w:lang w:val="es-CO"/>
        </w:rPr>
        <w:t>C</w:t>
      </w:r>
      <w:r w:rsidRPr="00F625C9">
        <w:rPr>
          <w:rFonts w:ascii="Arial Narrow" w:hAnsi="Arial Narrow" w:cs="Arial"/>
          <w:sz w:val="24"/>
          <w:szCs w:val="24"/>
          <w:lang w:val="es-CO"/>
        </w:rPr>
        <w:t>orte Constitucional en Autos</w:t>
      </w:r>
      <w:r w:rsidR="00F51103" w:rsidRPr="00F625C9">
        <w:rPr>
          <w:rFonts w:ascii="Arial Narrow" w:hAnsi="Arial Narrow" w:cs="Arial"/>
          <w:sz w:val="24"/>
          <w:szCs w:val="24"/>
          <w:lang w:val="es-CO"/>
        </w:rPr>
        <w:t xml:space="preserve"> No.</w:t>
      </w:r>
      <w:r w:rsidRPr="00F625C9">
        <w:rPr>
          <w:rFonts w:ascii="Arial Narrow" w:hAnsi="Arial Narrow" w:cs="Arial"/>
          <w:sz w:val="24"/>
          <w:szCs w:val="24"/>
          <w:lang w:val="es-CO"/>
        </w:rPr>
        <w:t xml:space="preserve"> 314, 356, 433 y 746 de 2021 ha determinado que la naturaleza de la vinculación del trabajador, al momento de causar la prestación, determina la jurisdicción competente. Dicho criterio se justifica en la necesidad de establecer un referente que defina con la mayor precisión posible, la autoridad a la que le corresponde decidir el asunto. </w:t>
      </w:r>
    </w:p>
    <w:p w14:paraId="130920FF" w14:textId="77777777" w:rsidR="002A3E35" w:rsidRPr="00F625C9" w:rsidRDefault="002A3E35" w:rsidP="002A3E35">
      <w:pPr>
        <w:jc w:val="both"/>
        <w:rPr>
          <w:rFonts w:ascii="Arial Narrow" w:hAnsi="Arial Narrow" w:cs="Arial"/>
          <w:sz w:val="24"/>
          <w:szCs w:val="24"/>
          <w:lang w:val="es-CO"/>
        </w:rPr>
      </w:pPr>
    </w:p>
    <w:p w14:paraId="605C67A3" w14:textId="604384A4"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 xml:space="preserve">Así las cosas, (i) si al momento de causar la pensión el demandante tuvo la calidad de empleado público y si una persona de derecho público administra el régimen de seguridad social que le aplica, la jurisdicción de lo contencioso administrativo deberá conocer la controversia. </w:t>
      </w:r>
    </w:p>
    <w:p w14:paraId="194475A7" w14:textId="77777777" w:rsidR="002A3E35" w:rsidRPr="00F625C9" w:rsidRDefault="002A3E35" w:rsidP="002A3E35">
      <w:pPr>
        <w:jc w:val="both"/>
        <w:rPr>
          <w:rFonts w:ascii="Arial Narrow" w:hAnsi="Arial Narrow" w:cs="Arial"/>
          <w:sz w:val="24"/>
          <w:szCs w:val="24"/>
          <w:lang w:val="es-CO"/>
        </w:rPr>
      </w:pPr>
    </w:p>
    <w:p w14:paraId="5400BF3E" w14:textId="4FF5A1F5" w:rsidR="002A3E35" w:rsidRPr="00F625C9" w:rsidRDefault="002A3E35" w:rsidP="002A3E35">
      <w:pPr>
        <w:jc w:val="both"/>
        <w:rPr>
          <w:rFonts w:ascii="Arial Narrow" w:hAnsi="Arial Narrow" w:cs="Arial"/>
          <w:sz w:val="24"/>
          <w:szCs w:val="24"/>
          <w:lang w:val="es-CO"/>
        </w:rPr>
      </w:pPr>
      <w:r w:rsidRPr="00F625C9">
        <w:rPr>
          <w:rFonts w:ascii="Arial Narrow" w:hAnsi="Arial Narrow" w:cs="Arial"/>
          <w:sz w:val="24"/>
          <w:szCs w:val="24"/>
          <w:lang w:val="es-CO"/>
        </w:rPr>
        <w:t>Por su parte y en lo que interesa para el presente caso (ii) la jurisdicción ordinaria conocerá dos tipos de controversias: las relacionadas con “</w:t>
      </w:r>
      <w:r w:rsidRPr="00F625C9">
        <w:rPr>
          <w:rFonts w:ascii="Arial Narrow" w:hAnsi="Arial Narrow" w:cs="Arial"/>
          <w:i/>
          <w:iCs/>
          <w:sz w:val="24"/>
          <w:szCs w:val="24"/>
          <w:lang w:val="es-CO"/>
        </w:rPr>
        <w:t>la seguridad social de un trabajador oficial cuya pensión es administrada por una entidad pública</w:t>
      </w:r>
      <w:r w:rsidRPr="00F625C9">
        <w:rPr>
          <w:rFonts w:ascii="Arial Narrow" w:hAnsi="Arial Narrow" w:cs="Arial"/>
          <w:sz w:val="24"/>
          <w:szCs w:val="24"/>
          <w:lang w:val="es-CO"/>
        </w:rPr>
        <w:t>”</w:t>
      </w:r>
      <w:r w:rsidR="005A2616" w:rsidRPr="00F625C9">
        <w:rPr>
          <w:rStyle w:val="Refdenotaalpie"/>
          <w:rFonts w:ascii="Arial Narrow" w:hAnsi="Arial Narrow" w:cs="Arial"/>
          <w:sz w:val="24"/>
          <w:szCs w:val="24"/>
          <w:lang w:val="es-CO"/>
        </w:rPr>
        <w:footnoteReference w:id="1"/>
      </w:r>
      <w:r w:rsidRPr="00F625C9">
        <w:rPr>
          <w:rFonts w:ascii="Arial Narrow" w:hAnsi="Arial Narrow" w:cs="Arial"/>
          <w:sz w:val="24"/>
          <w:szCs w:val="24"/>
          <w:lang w:val="es-CO"/>
        </w:rPr>
        <w:t xml:space="preserve"> y conforme con el artículo 2 numeral 5 del Código Procesal del Trabajo y de la Seguridad Social, modificado por el artículo 2 de la ley 712 de 2001 las referidas a “la ejecución de obligaciones emanadas de la relación de trabajo y del sistema de seguridad social integral que no correspondan a otra autoridad”. </w:t>
      </w:r>
    </w:p>
    <w:p w14:paraId="3C89B75D" w14:textId="77777777" w:rsidR="002A3E35" w:rsidRPr="00F625C9" w:rsidRDefault="002A3E35" w:rsidP="002A3E35">
      <w:pPr>
        <w:jc w:val="both"/>
        <w:rPr>
          <w:rFonts w:ascii="Arial Narrow" w:hAnsi="Arial Narrow" w:cs="Arial"/>
          <w:sz w:val="24"/>
          <w:szCs w:val="24"/>
          <w:lang w:val="es-CO"/>
        </w:rPr>
      </w:pPr>
    </w:p>
    <w:p w14:paraId="75694EEF" w14:textId="290BDE4F" w:rsidR="005A2616" w:rsidRPr="00F625C9" w:rsidRDefault="002A3E35" w:rsidP="005A2616">
      <w:pPr>
        <w:jc w:val="both"/>
        <w:rPr>
          <w:rFonts w:ascii="Arial Narrow" w:hAnsi="Arial Narrow" w:cs="Arial"/>
          <w:sz w:val="24"/>
          <w:szCs w:val="24"/>
          <w:lang w:val="es-CO"/>
        </w:rPr>
      </w:pPr>
      <w:r w:rsidRPr="00F625C9">
        <w:rPr>
          <w:rFonts w:ascii="Arial Narrow" w:hAnsi="Arial Narrow" w:cs="Arial"/>
          <w:sz w:val="24"/>
          <w:szCs w:val="24"/>
          <w:lang w:val="es-CO"/>
        </w:rPr>
        <w:t>Sobre los asuntos relativos a controversias planteadas por trabajadores del sector privado al momento de causación de los derechos pensionales, en Auto 746 de 2021 la Corte dirimió un conflicto de jurisdicciones suscitado respecto de la acción de nulidad y restablecimiento del derecho que cuestionaba actos administrativos expedidos por una entidad pública administradora de pensiones. La pretensión versaba sobre la reliquidación pensional de un ciudadano que se desempeñó como servidor público -más de 20 años- y que, al momento de</w:t>
      </w:r>
      <w:r w:rsidR="005A2616" w:rsidRPr="00F625C9">
        <w:rPr>
          <w:rFonts w:ascii="Arial Narrow" w:hAnsi="Arial Narrow" w:cs="Arial"/>
          <w:sz w:val="24"/>
          <w:szCs w:val="24"/>
          <w:lang w:val="es-CO"/>
        </w:rPr>
        <w:t xml:space="preserve"> causarse la pensión, se encontraba vinculado al sector privado. La Sala Plena determinó que la jurisdicción ordinaria laboral era la competente para conocer de dicho asunto porque si bien </w:t>
      </w:r>
      <w:r w:rsidR="005A2616" w:rsidRPr="00F625C9">
        <w:rPr>
          <w:rFonts w:ascii="Arial Narrow" w:hAnsi="Arial Narrow" w:cs="Arial"/>
          <w:sz w:val="24"/>
          <w:szCs w:val="24"/>
          <w:lang w:val="es-CO"/>
        </w:rPr>
        <w:lastRenderedPageBreak/>
        <w:t xml:space="preserve">una persona de derecho público administraba el régimen de seguridad social aplicable al actor, este no ostentaba la calidad de empleado público al momento de causarse la pensión. </w:t>
      </w:r>
    </w:p>
    <w:p w14:paraId="187C2F97" w14:textId="77777777" w:rsidR="005A2616" w:rsidRPr="00F625C9" w:rsidRDefault="005A2616" w:rsidP="005A2616">
      <w:pPr>
        <w:jc w:val="both"/>
        <w:rPr>
          <w:rFonts w:ascii="Arial Narrow" w:hAnsi="Arial Narrow" w:cs="Arial"/>
          <w:sz w:val="24"/>
          <w:szCs w:val="24"/>
          <w:lang w:val="es-CO"/>
        </w:rPr>
      </w:pPr>
    </w:p>
    <w:p w14:paraId="64062D78" w14:textId="6F3A6AC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En suma, ha indicado la H. Corte Constitucional en auto del 27 de octubre de 2021, M.P. José Fernando Reyes Cuartas respecto de las controversias relacionadas con la seguridad social de los servidores del Estado o los trabajadores del sector privado, se prevén dos reglas. Una especial, que exige la acreditación de dos factores concurrentes para asignar el conocimiento del asunto a la jurisdicción contencioso-administrativa: la calidad de empleado público del demandante y que una persona de derecho público administre el régimen que le aplica. Asimismo, una residual según la cual, cuando la controversia involucra a un trabajador oficial o a un trabajador del sector privado, la competencia radica en la jurisdicción ordinaria en su especialidad laboral y seguridad social. </w:t>
      </w:r>
    </w:p>
    <w:p w14:paraId="2F1F339A" w14:textId="77777777" w:rsidR="005A2616" w:rsidRPr="00F625C9" w:rsidRDefault="005A2616" w:rsidP="005A2616">
      <w:pPr>
        <w:jc w:val="both"/>
        <w:rPr>
          <w:rFonts w:ascii="Arial Narrow" w:hAnsi="Arial Narrow" w:cs="Arial"/>
          <w:sz w:val="24"/>
          <w:szCs w:val="24"/>
          <w:lang w:val="es-CO"/>
        </w:rPr>
      </w:pPr>
    </w:p>
    <w:p w14:paraId="5C0B3E2B" w14:textId="4E14FF0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La Corte Constitucional ha diferenciado los empleados públicos de los trabajadores oficiales, aclarando que los primeros tienen una vinculación de origen legal y reglamentario, y se trata de personas que prestan sus servicios en los ministerios, departamentos administrativos, superintendencias y establecimientos públicos, entre otros; mientras que, los trabajadores oficiales suscriben un contrato laboral con el Estado y se desempeñan en actividades que realizan o pueden desarrollar los particulares, como la construcción y el sostenimiento de obras públicas, entre otras.</w:t>
      </w:r>
      <w:r w:rsidRPr="00F625C9">
        <w:rPr>
          <w:rStyle w:val="Refdenotaalpie"/>
          <w:rFonts w:ascii="Arial Narrow" w:hAnsi="Arial Narrow" w:cs="Arial"/>
          <w:sz w:val="24"/>
          <w:szCs w:val="24"/>
          <w:lang w:val="es-CO"/>
        </w:rPr>
        <w:footnoteReference w:id="2"/>
      </w:r>
    </w:p>
    <w:p w14:paraId="61D11196" w14:textId="77777777" w:rsidR="005A2616" w:rsidRPr="00F625C9" w:rsidRDefault="005A2616" w:rsidP="005A2616">
      <w:pPr>
        <w:jc w:val="both"/>
        <w:rPr>
          <w:rFonts w:ascii="Arial Narrow" w:hAnsi="Arial Narrow" w:cs="Arial"/>
          <w:sz w:val="24"/>
          <w:szCs w:val="24"/>
          <w:lang w:val="es-CO"/>
        </w:rPr>
      </w:pPr>
    </w:p>
    <w:p w14:paraId="4E33BC9B" w14:textId="0BB3936E" w:rsidR="00BA23DD"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En el </w:t>
      </w:r>
      <w:r w:rsidRPr="00F625C9">
        <w:rPr>
          <w:rFonts w:ascii="Arial Narrow" w:hAnsi="Arial Narrow" w:cs="Arial"/>
          <w:b/>
          <w:sz w:val="24"/>
          <w:szCs w:val="24"/>
          <w:lang w:val="es-CO"/>
        </w:rPr>
        <w:t>caso concreto</w:t>
      </w:r>
      <w:r w:rsidR="00012F8B">
        <w:rPr>
          <w:rFonts w:ascii="Arial Narrow" w:hAnsi="Arial Narrow" w:cs="Arial"/>
          <w:sz w:val="24"/>
          <w:szCs w:val="24"/>
          <w:lang w:val="es-CO"/>
        </w:rPr>
        <w:t xml:space="preserve">, se solicita la </w:t>
      </w:r>
      <w:r w:rsidRPr="00F625C9">
        <w:rPr>
          <w:rFonts w:ascii="Arial Narrow" w:hAnsi="Arial Narrow" w:cs="Arial"/>
          <w:sz w:val="24"/>
          <w:szCs w:val="24"/>
          <w:lang w:val="es-CO"/>
        </w:rPr>
        <w:t>nulidad de un acto administrativo</w:t>
      </w:r>
      <w:r w:rsidR="00012F8B">
        <w:rPr>
          <w:rFonts w:ascii="Arial Narrow" w:hAnsi="Arial Narrow" w:cs="Arial"/>
          <w:sz w:val="24"/>
          <w:szCs w:val="24"/>
          <w:lang w:val="es-CO"/>
        </w:rPr>
        <w:t xml:space="preserve"> expedido por el antiguo Instituto de Seguros Sociales - ISS</w:t>
      </w:r>
      <w:r w:rsidR="00BA23DD" w:rsidRPr="00F625C9">
        <w:rPr>
          <w:rFonts w:ascii="Arial Narrow" w:hAnsi="Arial Narrow" w:cs="Arial"/>
          <w:sz w:val="24"/>
          <w:szCs w:val="24"/>
          <w:lang w:val="es-CO"/>
        </w:rPr>
        <w:t>,</w:t>
      </w:r>
      <w:r w:rsidR="00337F46">
        <w:rPr>
          <w:rFonts w:ascii="Arial Narrow" w:hAnsi="Arial Narrow" w:cs="Arial"/>
          <w:sz w:val="24"/>
          <w:szCs w:val="24"/>
          <w:lang w:val="es-CO"/>
        </w:rPr>
        <w:t xml:space="preserve"> hoy COLPENSIONES,</w:t>
      </w:r>
      <w:r w:rsidR="00BA23DD" w:rsidRPr="00F625C9">
        <w:rPr>
          <w:rFonts w:ascii="Arial Narrow" w:hAnsi="Arial Narrow" w:cs="Arial"/>
          <w:sz w:val="24"/>
          <w:szCs w:val="24"/>
          <w:lang w:val="es-CO"/>
        </w:rPr>
        <w:t xml:space="preserve"> mediante el cual se reconoce y ordena el pago de una pensión de vejez (</w:t>
      </w:r>
      <w:proofErr w:type="spellStart"/>
      <w:r w:rsidR="00337F46">
        <w:rPr>
          <w:rFonts w:ascii="Arial Narrow" w:hAnsi="Arial Narrow" w:cs="Arial"/>
          <w:sz w:val="24"/>
          <w:szCs w:val="24"/>
          <w:lang w:val="es-CO"/>
        </w:rPr>
        <w:t>Consec</w:t>
      </w:r>
      <w:proofErr w:type="spellEnd"/>
      <w:r w:rsidR="00337F46">
        <w:rPr>
          <w:rFonts w:ascii="Arial Narrow" w:hAnsi="Arial Narrow" w:cs="Arial"/>
          <w:sz w:val="24"/>
          <w:szCs w:val="24"/>
          <w:lang w:val="es-CO"/>
        </w:rPr>
        <w:t>. 03, p. 37 a 38</w:t>
      </w:r>
      <w:r w:rsidR="00BA23DD" w:rsidRPr="00F625C9">
        <w:rPr>
          <w:rFonts w:ascii="Arial Narrow" w:hAnsi="Arial Narrow" w:cs="Arial"/>
          <w:sz w:val="24"/>
          <w:szCs w:val="24"/>
          <w:lang w:val="es-CO"/>
        </w:rPr>
        <w:t>)</w:t>
      </w:r>
      <w:r w:rsidRPr="00F625C9">
        <w:rPr>
          <w:rFonts w:ascii="Arial Narrow" w:hAnsi="Arial Narrow" w:cs="Arial"/>
          <w:sz w:val="24"/>
          <w:szCs w:val="24"/>
          <w:lang w:val="es-CO"/>
        </w:rPr>
        <w:t xml:space="preserve">, </w:t>
      </w:r>
      <w:r w:rsidR="00D4279C">
        <w:rPr>
          <w:rFonts w:ascii="Arial Narrow" w:hAnsi="Arial Narrow" w:cs="Arial"/>
          <w:sz w:val="24"/>
          <w:szCs w:val="24"/>
          <w:lang w:val="es-CO"/>
        </w:rPr>
        <w:t>por lo que se puede observar</w:t>
      </w:r>
      <w:r w:rsidR="00BA23DD" w:rsidRPr="00F625C9">
        <w:rPr>
          <w:rFonts w:ascii="Arial Narrow" w:hAnsi="Arial Narrow" w:cs="Arial"/>
          <w:sz w:val="24"/>
          <w:szCs w:val="24"/>
          <w:lang w:val="es-CO"/>
        </w:rPr>
        <w:t xml:space="preserve"> el asunto debatido gira en torno a</w:t>
      </w:r>
      <w:r w:rsidRPr="00F625C9">
        <w:rPr>
          <w:rFonts w:ascii="Arial Narrow" w:hAnsi="Arial Narrow" w:cs="Arial"/>
          <w:sz w:val="24"/>
          <w:szCs w:val="24"/>
          <w:lang w:val="es-CO"/>
        </w:rPr>
        <w:t xml:space="preserve"> una prestación social. No obstante, al revisar dicho ac</w:t>
      </w:r>
      <w:r w:rsidR="00D4279C">
        <w:rPr>
          <w:rFonts w:ascii="Arial Narrow" w:hAnsi="Arial Narrow" w:cs="Arial"/>
          <w:sz w:val="24"/>
          <w:szCs w:val="24"/>
          <w:lang w:val="es-CO"/>
        </w:rPr>
        <w:t>to, se observa que la demandada</w:t>
      </w:r>
      <w:r w:rsidRPr="00F625C9">
        <w:rPr>
          <w:rFonts w:ascii="Arial Narrow" w:hAnsi="Arial Narrow" w:cs="Arial"/>
          <w:sz w:val="24"/>
          <w:szCs w:val="24"/>
          <w:lang w:val="es-CO"/>
        </w:rPr>
        <w:t xml:space="preserve"> </w:t>
      </w:r>
      <w:r w:rsidR="00BA23DD" w:rsidRPr="00F625C9">
        <w:rPr>
          <w:rFonts w:ascii="Arial Narrow" w:hAnsi="Arial Narrow" w:cs="Arial"/>
          <w:sz w:val="24"/>
          <w:szCs w:val="24"/>
          <w:lang w:val="es-CO"/>
        </w:rPr>
        <w:t>acreditó un total de 1.</w:t>
      </w:r>
      <w:r w:rsidR="00337F46">
        <w:rPr>
          <w:rFonts w:ascii="Arial Narrow" w:hAnsi="Arial Narrow" w:cs="Arial"/>
          <w:sz w:val="24"/>
          <w:szCs w:val="24"/>
          <w:lang w:val="es-CO"/>
        </w:rPr>
        <w:t>491</w:t>
      </w:r>
      <w:r w:rsidR="00783D73">
        <w:rPr>
          <w:rFonts w:ascii="Arial Narrow" w:hAnsi="Arial Narrow" w:cs="Arial"/>
          <w:sz w:val="24"/>
          <w:szCs w:val="24"/>
          <w:lang w:val="es-CO"/>
        </w:rPr>
        <w:t xml:space="preserve"> semanas y 55</w:t>
      </w:r>
      <w:r w:rsidR="00BA23DD" w:rsidRPr="00F625C9">
        <w:rPr>
          <w:rFonts w:ascii="Arial Narrow" w:hAnsi="Arial Narrow" w:cs="Arial"/>
          <w:sz w:val="24"/>
          <w:szCs w:val="24"/>
          <w:lang w:val="es-CO"/>
        </w:rPr>
        <w:t xml:space="preserve"> años de edad, considerando que nació el </w:t>
      </w:r>
      <w:r w:rsidR="00783D73">
        <w:rPr>
          <w:rFonts w:ascii="Arial Narrow" w:hAnsi="Arial Narrow" w:cs="Arial"/>
          <w:sz w:val="24"/>
          <w:szCs w:val="24"/>
          <w:lang w:val="es-CO"/>
        </w:rPr>
        <w:t>17 de mayo de 1953</w:t>
      </w:r>
      <w:r w:rsidR="00BA23DD" w:rsidRPr="00F625C9">
        <w:rPr>
          <w:rFonts w:ascii="Arial Narrow" w:hAnsi="Arial Narrow" w:cs="Arial"/>
          <w:sz w:val="24"/>
          <w:szCs w:val="24"/>
          <w:lang w:val="es-CO"/>
        </w:rPr>
        <w:t>, en cuantía equivalente a $</w:t>
      </w:r>
      <w:r w:rsidR="00783D73">
        <w:rPr>
          <w:rFonts w:ascii="Arial Narrow" w:hAnsi="Arial Narrow" w:cs="Arial"/>
          <w:sz w:val="24"/>
          <w:szCs w:val="24"/>
          <w:lang w:val="es-CO"/>
        </w:rPr>
        <w:t>806.204</w:t>
      </w:r>
      <w:r w:rsidR="00EC0D4C">
        <w:rPr>
          <w:rFonts w:ascii="Arial Narrow" w:hAnsi="Arial Narrow" w:cs="Arial"/>
          <w:sz w:val="24"/>
          <w:szCs w:val="24"/>
          <w:lang w:val="es-CO"/>
        </w:rPr>
        <w:t>,00</w:t>
      </w:r>
      <w:r w:rsidR="00BA23DD" w:rsidRPr="00F625C9">
        <w:rPr>
          <w:rFonts w:ascii="Arial Narrow" w:hAnsi="Arial Narrow" w:cs="Arial"/>
          <w:sz w:val="24"/>
          <w:szCs w:val="24"/>
          <w:lang w:val="es-CO"/>
        </w:rPr>
        <w:t xml:space="preserve"> efectiva a partir del </w:t>
      </w:r>
      <w:r w:rsidR="00783D73">
        <w:rPr>
          <w:rFonts w:ascii="Arial Narrow" w:hAnsi="Arial Narrow" w:cs="Arial"/>
          <w:sz w:val="24"/>
          <w:szCs w:val="24"/>
          <w:lang w:val="es-CO"/>
        </w:rPr>
        <w:t>01 de julio de 2008</w:t>
      </w:r>
      <w:r w:rsidR="00BA23DD" w:rsidRPr="00F625C9">
        <w:rPr>
          <w:rFonts w:ascii="Arial Narrow" w:hAnsi="Arial Narrow" w:cs="Arial"/>
          <w:sz w:val="24"/>
          <w:szCs w:val="24"/>
          <w:lang w:val="es-CO"/>
        </w:rPr>
        <w:t>,</w:t>
      </w:r>
      <w:r w:rsidR="00783D73">
        <w:rPr>
          <w:rFonts w:ascii="Arial Narrow" w:hAnsi="Arial Narrow" w:cs="Arial"/>
          <w:sz w:val="24"/>
          <w:szCs w:val="24"/>
          <w:lang w:val="es-CO"/>
        </w:rPr>
        <w:t xml:space="preserve"> quien </w:t>
      </w:r>
      <w:r w:rsidR="00691043">
        <w:rPr>
          <w:rFonts w:ascii="Arial Narrow" w:hAnsi="Arial Narrow" w:cs="Arial"/>
          <w:sz w:val="24"/>
          <w:szCs w:val="24"/>
          <w:lang w:val="es-CO"/>
        </w:rPr>
        <w:t xml:space="preserve">laboró desde 17 de febrero de 2017 en entidades privadas siendo </w:t>
      </w:r>
      <w:r w:rsidR="00783D73">
        <w:rPr>
          <w:rFonts w:ascii="Arial Narrow" w:hAnsi="Arial Narrow" w:cs="Arial"/>
          <w:sz w:val="24"/>
          <w:szCs w:val="24"/>
          <w:lang w:val="es-CO"/>
        </w:rPr>
        <w:t xml:space="preserve">último patrono </w:t>
      </w:r>
      <w:r w:rsidR="00BA23DD" w:rsidRPr="00F625C9">
        <w:rPr>
          <w:rFonts w:ascii="Arial Narrow" w:hAnsi="Arial Narrow" w:cs="Arial"/>
          <w:sz w:val="24"/>
          <w:szCs w:val="24"/>
          <w:lang w:val="es-CO"/>
        </w:rPr>
        <w:t>la empresa nominada “</w:t>
      </w:r>
      <w:r w:rsidR="00783D73">
        <w:rPr>
          <w:rFonts w:ascii="Arial Narrow" w:hAnsi="Arial Narrow" w:cs="Arial"/>
          <w:sz w:val="24"/>
          <w:szCs w:val="24"/>
          <w:lang w:val="es-CO"/>
        </w:rPr>
        <w:t xml:space="preserve">INTEGRAL DE NEGOCIOS CTA” identificada con </w:t>
      </w:r>
      <w:proofErr w:type="spellStart"/>
      <w:r w:rsidR="00783D73">
        <w:rPr>
          <w:rFonts w:ascii="Arial Narrow" w:hAnsi="Arial Narrow" w:cs="Arial"/>
          <w:sz w:val="24"/>
          <w:szCs w:val="24"/>
          <w:lang w:val="es-CO"/>
        </w:rPr>
        <w:t>Nit</w:t>
      </w:r>
      <w:proofErr w:type="spellEnd"/>
      <w:r w:rsidR="00783D73">
        <w:rPr>
          <w:rFonts w:ascii="Arial Narrow" w:hAnsi="Arial Narrow" w:cs="Arial"/>
          <w:sz w:val="24"/>
          <w:szCs w:val="24"/>
          <w:lang w:val="es-CO"/>
        </w:rPr>
        <w:t>. 900096204</w:t>
      </w:r>
      <w:r w:rsidR="00B077E9" w:rsidRPr="00F625C9">
        <w:rPr>
          <w:rFonts w:ascii="Arial Narrow" w:hAnsi="Arial Narrow" w:cs="Arial"/>
          <w:sz w:val="24"/>
          <w:szCs w:val="24"/>
          <w:lang w:val="es-CO"/>
        </w:rPr>
        <w:t>, por lo que se puede advertir claramente que el accionado ostenta la calidad de trabajador del sector privado.</w:t>
      </w:r>
    </w:p>
    <w:p w14:paraId="6B62B642" w14:textId="77777777" w:rsidR="00BA23DD" w:rsidRPr="00F625C9" w:rsidRDefault="00BA23DD" w:rsidP="005A2616">
      <w:pPr>
        <w:jc w:val="both"/>
        <w:rPr>
          <w:rFonts w:ascii="Arial Narrow" w:hAnsi="Arial Narrow" w:cs="Arial"/>
          <w:sz w:val="24"/>
          <w:szCs w:val="24"/>
          <w:lang w:val="es-CO"/>
        </w:rPr>
      </w:pPr>
    </w:p>
    <w:p w14:paraId="0CC2A65A" w14:textId="601ADD3D"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En este orden de ideas, la jurisdicción ordinaria laboral es la competente para conocer de estos asuntos porque si bien la persona de derecho público administra el régimen de seguridad, el demandante no ostentaba la calidad de empleado público al momento de causarse la pensión de jubilación sino de trabajador </w:t>
      </w:r>
      <w:r w:rsidR="00783D73">
        <w:rPr>
          <w:rFonts w:ascii="Arial Narrow" w:hAnsi="Arial Narrow" w:cs="Arial"/>
          <w:sz w:val="24"/>
          <w:szCs w:val="24"/>
          <w:lang w:val="es-CO"/>
        </w:rPr>
        <w:t>del sector privado.</w:t>
      </w:r>
    </w:p>
    <w:p w14:paraId="79E2FF0C" w14:textId="77777777" w:rsidR="005A2616" w:rsidRPr="00F625C9" w:rsidRDefault="005A2616" w:rsidP="005A2616">
      <w:pPr>
        <w:jc w:val="both"/>
        <w:rPr>
          <w:rFonts w:ascii="Arial Narrow" w:hAnsi="Arial Narrow" w:cs="Arial"/>
          <w:sz w:val="24"/>
          <w:szCs w:val="24"/>
          <w:lang w:val="es-CO"/>
        </w:rPr>
      </w:pPr>
    </w:p>
    <w:p w14:paraId="22748BCF" w14:textId="4E6426C6"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Teniendo en cuenta que se plantea un conflicto jurídico sobre una prestación que otorga el Sistema de Seguridad Social en Colombia de un trabajador que no prestó sus servicios con el Estado a través de una relación legal o reglamentaria al momento de causarse su pensión, la competencia para este tipo de tipo de controversias estará siempre a cargo de la Jurisdicción ordinaria, pues ésta ha sido la voluntad del legislador quien ha establecido como criterio especial de competencia el </w:t>
      </w:r>
      <w:r w:rsidR="00BA23DD" w:rsidRPr="00F625C9">
        <w:rPr>
          <w:rFonts w:ascii="Arial Narrow" w:hAnsi="Arial Narrow" w:cs="Arial"/>
          <w:sz w:val="24"/>
          <w:szCs w:val="24"/>
          <w:lang w:val="es-CO"/>
        </w:rPr>
        <w:t>vínculo</w:t>
      </w:r>
      <w:r w:rsidRPr="00F625C9">
        <w:rPr>
          <w:rFonts w:ascii="Arial Narrow" w:hAnsi="Arial Narrow" w:cs="Arial"/>
          <w:sz w:val="24"/>
          <w:szCs w:val="24"/>
          <w:lang w:val="es-CO"/>
        </w:rPr>
        <w:t xml:space="preserve"> laboral del trabajador sin considerar que la entidad que lo profiera sea una entidad pública como Colpensiones o privada. </w:t>
      </w:r>
    </w:p>
    <w:p w14:paraId="374F18E8" w14:textId="77777777" w:rsidR="005A2616" w:rsidRPr="00F625C9" w:rsidRDefault="005A2616" w:rsidP="005A2616">
      <w:pPr>
        <w:jc w:val="both"/>
        <w:rPr>
          <w:rFonts w:ascii="Arial Narrow" w:hAnsi="Arial Narrow" w:cs="Arial"/>
          <w:sz w:val="24"/>
          <w:szCs w:val="24"/>
          <w:lang w:val="es-CO"/>
        </w:rPr>
      </w:pPr>
    </w:p>
    <w:p w14:paraId="6C24581E" w14:textId="0E35FD43" w:rsidR="005A26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Referente a este tema, es importante traer apartes del auto del 28 de marzo de 2019 dictado por la Sección Segunda Subsección A del Consejo de Estado, con ponencia del Consejero William Hernández Gómez en donde se analizó la interpretación armónica de las competencias asignadas por el legislador</w:t>
      </w:r>
      <w:r w:rsidRPr="00F625C9">
        <w:rPr>
          <w:rStyle w:val="Refdenotaalpie"/>
          <w:rFonts w:ascii="Arial Narrow" w:hAnsi="Arial Narrow" w:cs="Arial"/>
          <w:sz w:val="24"/>
          <w:szCs w:val="24"/>
          <w:lang w:val="es-CO"/>
        </w:rPr>
        <w:footnoteReference w:id="3"/>
      </w:r>
    </w:p>
    <w:p w14:paraId="47198FA2" w14:textId="77777777" w:rsidR="005A2616" w:rsidRPr="00F625C9" w:rsidRDefault="005A2616" w:rsidP="005A2616">
      <w:pPr>
        <w:jc w:val="both"/>
        <w:rPr>
          <w:rFonts w:ascii="Arial Narrow" w:hAnsi="Arial Narrow" w:cs="Arial"/>
          <w:sz w:val="24"/>
          <w:szCs w:val="24"/>
          <w:lang w:val="es-CO"/>
        </w:rPr>
      </w:pPr>
    </w:p>
    <w:p w14:paraId="41028A6D" w14:textId="5E11A021" w:rsidR="00023C16" w:rsidRPr="00F625C9" w:rsidRDefault="000B6CF4" w:rsidP="005A2616">
      <w:pPr>
        <w:ind w:left="284" w:right="277"/>
        <w:jc w:val="both"/>
        <w:rPr>
          <w:rFonts w:ascii="Arial Narrow" w:hAnsi="Arial Narrow" w:cs="Arial"/>
          <w:sz w:val="24"/>
          <w:szCs w:val="24"/>
          <w:lang w:val="es-CO"/>
        </w:rPr>
      </w:pPr>
      <w:r>
        <w:rPr>
          <w:rFonts w:ascii="Arial Narrow" w:hAnsi="Arial Narrow" w:cs="Arial"/>
          <w:sz w:val="24"/>
          <w:szCs w:val="24"/>
          <w:lang w:val="es-CO"/>
        </w:rPr>
        <w:t>“</w:t>
      </w:r>
      <w:r w:rsidR="005A2616" w:rsidRPr="00F625C9">
        <w:rPr>
          <w:rFonts w:ascii="Arial Narrow" w:hAnsi="Arial Narrow" w:cs="Arial"/>
          <w:i/>
          <w:iCs/>
          <w:sz w:val="24"/>
          <w:szCs w:val="24"/>
          <w:lang w:val="es-CO"/>
        </w:rPr>
        <w:t xml:space="preserve">(…) </w:t>
      </w:r>
      <w:r w:rsidR="005A2616" w:rsidRPr="00F625C9">
        <w:rPr>
          <w:rFonts w:ascii="Arial Narrow" w:hAnsi="Arial Narrow" w:cs="Arial"/>
          <w:b/>
          <w:bCs/>
          <w:i/>
          <w:iCs/>
          <w:sz w:val="24"/>
          <w:szCs w:val="24"/>
          <w:lang w:val="es-CO"/>
        </w:rPr>
        <w:t xml:space="preserve">Interpretación armónica de las competencias asignadas por el legislador. </w:t>
      </w:r>
      <w:r w:rsidR="005A2616" w:rsidRPr="00F625C9">
        <w:rPr>
          <w:rFonts w:ascii="Arial Narrow" w:hAnsi="Arial Narrow" w:cs="Arial"/>
          <w:i/>
          <w:iCs/>
          <w:sz w:val="24"/>
          <w:szCs w:val="24"/>
          <w:lang w:val="es-CO"/>
        </w:rPr>
        <w:t>De acuerdo con lo anterior, este despacho considera incorrecto aseverar que la jurisdicción de lo contencioso administrativo es competente para conocer de todos los casos en donde la entidad pública demanda la ilegalidad del derecho reconocido en un acto administrativo, porque pese a que el objeto del medio de control de nulidad y restablecimiento del derecho es dilucidar la legalidad de los actos administrativos, ello no significa que la forma de la decisión pueda variar los criterios y reglas de competencia fijados por el legislador, tal y como se indicó en capítulos precedentes.</w:t>
      </w:r>
    </w:p>
    <w:p w14:paraId="2ABA458D" w14:textId="470AF848" w:rsidR="00023C16" w:rsidRPr="00F625C9" w:rsidRDefault="00023C16" w:rsidP="005A2616">
      <w:pPr>
        <w:ind w:left="284" w:right="277"/>
        <w:jc w:val="both"/>
        <w:rPr>
          <w:rFonts w:ascii="Arial Narrow" w:hAnsi="Arial Narrow" w:cs="Arial"/>
          <w:sz w:val="24"/>
          <w:szCs w:val="24"/>
          <w:lang w:val="es-CO"/>
        </w:rPr>
      </w:pPr>
    </w:p>
    <w:p w14:paraId="4348F7AC" w14:textId="5648150D"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t xml:space="preserve">Muestra de ello es que esta jurisdicción no conoce de la legalidad de determinadas decisiones, pese a que tengan la forma de actos administrativos. V.gr. el acto administrativo que resuelve negativa o positivamente un derecho derivado de una relación laboral del trabajador oficial cuando este demanda la presunta irregularidad en su expedición. En este caso el demandante deberá acudir a la jurisdicción ordinaria en sus especialidades laboral y de seguridad social con el fin de que el juez estudie el derecho, defina la irregularidad de lo decidido por la entidad y le ordene a esta que adopte las decisiones y haga los reconocimientos que correspondan, sin declarar la nulidad del acto administrativo. </w:t>
      </w:r>
    </w:p>
    <w:p w14:paraId="265C89D0" w14:textId="77777777" w:rsidR="005A2616" w:rsidRPr="00F625C9" w:rsidRDefault="005A2616" w:rsidP="005A2616">
      <w:pPr>
        <w:ind w:left="284" w:right="277"/>
        <w:jc w:val="both"/>
        <w:rPr>
          <w:rFonts w:ascii="Arial Narrow" w:hAnsi="Arial Narrow" w:cs="Arial"/>
          <w:sz w:val="24"/>
          <w:szCs w:val="24"/>
          <w:lang w:val="es-CO"/>
        </w:rPr>
      </w:pPr>
    </w:p>
    <w:p w14:paraId="61525361" w14:textId="471FAE3A"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lastRenderedPageBreak/>
        <w:t xml:space="preserve">En ese mismo orden de ideas, cuando la ley faculta a la entidad pública para que demande su propio acto por no poderlo revocar directamente, lo que hace es imponerle un límite a su actuación para obligarla a acudir al juez de la causa con el fin de que defina si, efectivamente, el reconocimiento hecho en la decisión administrativa es legal, o no. </w:t>
      </w:r>
    </w:p>
    <w:p w14:paraId="256BD3B8" w14:textId="77777777" w:rsidR="005A2616" w:rsidRPr="00F625C9" w:rsidRDefault="005A2616" w:rsidP="005A2616">
      <w:pPr>
        <w:ind w:left="284" w:right="277"/>
        <w:jc w:val="both"/>
        <w:rPr>
          <w:rFonts w:ascii="Arial Narrow" w:hAnsi="Arial Narrow" w:cs="Arial"/>
          <w:sz w:val="24"/>
          <w:szCs w:val="24"/>
          <w:lang w:val="es-CO"/>
        </w:rPr>
      </w:pPr>
    </w:p>
    <w:p w14:paraId="2E559E89" w14:textId="34A5FBDB" w:rsidR="005A2616" w:rsidRPr="00F625C9" w:rsidRDefault="005A2616" w:rsidP="005A2616">
      <w:pPr>
        <w:ind w:left="284" w:right="277"/>
        <w:jc w:val="both"/>
        <w:rPr>
          <w:rFonts w:ascii="Arial Narrow" w:hAnsi="Arial Narrow" w:cs="Arial"/>
          <w:i/>
          <w:iCs/>
          <w:sz w:val="24"/>
          <w:szCs w:val="24"/>
          <w:lang w:val="es-CO"/>
        </w:rPr>
      </w:pPr>
      <w:r w:rsidRPr="00F625C9">
        <w:rPr>
          <w:rFonts w:ascii="Arial Narrow" w:hAnsi="Arial Narrow" w:cs="Arial"/>
          <w:i/>
          <w:iCs/>
          <w:sz w:val="24"/>
          <w:szCs w:val="24"/>
          <w:lang w:val="es-CO"/>
        </w:rPr>
        <w:t xml:space="preserve">Por lo anterior, en criterio del Despacho, las decisiones que definieron conflictos de jurisdicción en casos similares, citadas en el recurso, dejaron de lado los siguientes elementos: </w:t>
      </w:r>
      <w:r w:rsidRPr="00F625C9">
        <w:rPr>
          <w:rFonts w:ascii="Arial Narrow" w:hAnsi="Arial Narrow" w:cs="Arial"/>
          <w:b/>
          <w:bCs/>
          <w:i/>
          <w:iCs/>
          <w:sz w:val="24"/>
          <w:szCs w:val="24"/>
          <w:lang w:val="es-CO"/>
        </w:rPr>
        <w:t xml:space="preserve">(a) </w:t>
      </w:r>
      <w:r w:rsidRPr="00F625C9">
        <w:rPr>
          <w:rFonts w:ascii="Arial Narrow" w:hAnsi="Arial Narrow" w:cs="Arial"/>
          <w:i/>
          <w:iCs/>
          <w:sz w:val="24"/>
          <w:szCs w:val="24"/>
          <w:lang w:val="es-CO"/>
        </w:rPr>
        <w:t xml:space="preserve">el criterio general de asignación de competencias entre las jurisdicciones de lo contencioso administrativo y la ordinaria, frente a asuntos laborales y de seguridad social, que se fundó en el vínculo laboral y la controversia sustancial suscitada, sin consideración a la formalidad a través de la cual se </w:t>
      </w:r>
      <w:proofErr w:type="spellStart"/>
      <w:r w:rsidRPr="00F625C9">
        <w:rPr>
          <w:rFonts w:ascii="Arial Narrow" w:hAnsi="Arial Narrow" w:cs="Arial"/>
          <w:i/>
          <w:iCs/>
          <w:sz w:val="24"/>
          <w:szCs w:val="24"/>
          <w:lang w:val="es-CO"/>
        </w:rPr>
        <w:t>dió</w:t>
      </w:r>
      <w:proofErr w:type="spellEnd"/>
      <w:r w:rsidRPr="00F625C9">
        <w:rPr>
          <w:rFonts w:ascii="Arial Narrow" w:hAnsi="Arial Narrow" w:cs="Arial"/>
          <w:i/>
          <w:iCs/>
          <w:sz w:val="24"/>
          <w:szCs w:val="24"/>
          <w:lang w:val="es-CO"/>
        </w:rPr>
        <w:t xml:space="preserve"> el reconocimiento o negativa del derecho en disputa </w:t>
      </w:r>
      <w:r w:rsidRPr="00F625C9">
        <w:rPr>
          <w:rFonts w:ascii="Arial Narrow" w:hAnsi="Arial Narrow" w:cs="Arial"/>
          <w:b/>
          <w:bCs/>
          <w:i/>
          <w:iCs/>
          <w:sz w:val="24"/>
          <w:szCs w:val="24"/>
          <w:lang w:val="es-CO"/>
        </w:rPr>
        <w:t xml:space="preserve">(b) </w:t>
      </w:r>
      <w:r w:rsidRPr="00F625C9">
        <w:rPr>
          <w:rFonts w:ascii="Arial Narrow" w:hAnsi="Arial Narrow" w:cs="Arial"/>
          <w:i/>
          <w:iCs/>
          <w:sz w:val="24"/>
          <w:szCs w:val="24"/>
          <w:lang w:val="es-CO"/>
        </w:rPr>
        <w:t xml:space="preserve">la residualidad que sobre la materia tiene esta jurisdicción de lo contencioso administrativo, </w:t>
      </w:r>
      <w:r w:rsidRPr="00F625C9">
        <w:rPr>
          <w:rFonts w:ascii="Arial Narrow" w:hAnsi="Arial Narrow" w:cs="Arial"/>
          <w:b/>
          <w:bCs/>
          <w:i/>
          <w:iCs/>
          <w:sz w:val="24"/>
          <w:szCs w:val="24"/>
          <w:lang w:val="es-CO"/>
        </w:rPr>
        <w:t xml:space="preserve">(c) </w:t>
      </w:r>
      <w:r w:rsidRPr="00F625C9">
        <w:rPr>
          <w:rFonts w:ascii="Arial Narrow" w:hAnsi="Arial Narrow" w:cs="Arial"/>
          <w:i/>
          <w:iCs/>
          <w:sz w:val="24"/>
          <w:szCs w:val="24"/>
          <w:lang w:val="es-CO"/>
        </w:rPr>
        <w:t xml:space="preserve">la no exclusividad de esta jurisdicción para dirimir controversias frente a un derecho contenido en un acto administrativo, así como la naturaleza y finalidad de la «acción de lesividad». </w:t>
      </w:r>
      <w:r w:rsidRPr="00F625C9">
        <w:rPr>
          <w:rFonts w:ascii="Arial Narrow" w:hAnsi="Arial Narrow" w:cs="Arial"/>
          <w:b/>
          <w:bCs/>
          <w:i/>
          <w:iCs/>
          <w:sz w:val="24"/>
          <w:szCs w:val="24"/>
          <w:lang w:val="es-CO"/>
        </w:rPr>
        <w:t xml:space="preserve">(d) </w:t>
      </w:r>
      <w:r w:rsidRPr="00F625C9">
        <w:rPr>
          <w:rFonts w:ascii="Arial Narrow" w:hAnsi="Arial Narrow" w:cs="Arial"/>
          <w:i/>
          <w:iCs/>
          <w:sz w:val="24"/>
          <w:szCs w:val="24"/>
          <w:lang w:val="es-CO"/>
        </w:rPr>
        <w:t xml:space="preserve">la disparidad de criterios que se pueden presentar cuando dos jurisdicciones distintas resuelven un mismo derecho sustancial (…)” </w:t>
      </w:r>
    </w:p>
    <w:p w14:paraId="5EBBDB5F" w14:textId="77777777" w:rsidR="005A2616" w:rsidRPr="00F625C9" w:rsidRDefault="005A2616" w:rsidP="005A2616">
      <w:pPr>
        <w:jc w:val="both"/>
        <w:rPr>
          <w:rFonts w:ascii="Arial Narrow" w:hAnsi="Arial Narrow" w:cs="Arial"/>
          <w:sz w:val="24"/>
          <w:szCs w:val="24"/>
          <w:lang w:val="es-CO"/>
        </w:rPr>
      </w:pPr>
    </w:p>
    <w:p w14:paraId="0AE3B5A1" w14:textId="6E4AABB3" w:rsidR="00023C16" w:rsidRPr="00F625C9" w:rsidRDefault="005A2616" w:rsidP="005A2616">
      <w:pPr>
        <w:jc w:val="both"/>
        <w:rPr>
          <w:rFonts w:ascii="Arial Narrow" w:hAnsi="Arial Narrow" w:cs="Arial"/>
          <w:sz w:val="24"/>
          <w:szCs w:val="24"/>
          <w:lang w:val="es-CO"/>
        </w:rPr>
      </w:pPr>
      <w:r w:rsidRPr="00F625C9">
        <w:rPr>
          <w:rFonts w:ascii="Arial Narrow" w:hAnsi="Arial Narrow" w:cs="Arial"/>
          <w:sz w:val="24"/>
          <w:szCs w:val="24"/>
          <w:lang w:val="es-CO"/>
        </w:rPr>
        <w:t xml:space="preserve">Por lo anterior, </w:t>
      </w:r>
      <w:r w:rsidR="00BA23DD" w:rsidRPr="00F625C9">
        <w:rPr>
          <w:rFonts w:ascii="Arial Narrow" w:hAnsi="Arial Narrow" w:cs="Arial"/>
          <w:sz w:val="24"/>
          <w:szCs w:val="24"/>
          <w:lang w:val="es-CO"/>
        </w:rPr>
        <w:t>se considera</w:t>
      </w:r>
      <w:r w:rsidRPr="00F625C9">
        <w:rPr>
          <w:rFonts w:ascii="Arial Narrow" w:hAnsi="Arial Narrow" w:cs="Arial"/>
          <w:sz w:val="24"/>
          <w:szCs w:val="24"/>
          <w:lang w:val="es-CO"/>
        </w:rPr>
        <w:t xml:space="preserve"> procedente remitir las presentes diligencias a la jurisdicción ordinaria para que asume la competencia de la demanda de la referencia</w:t>
      </w:r>
      <w:r w:rsidR="00BA23DD" w:rsidRPr="00F625C9">
        <w:rPr>
          <w:rFonts w:ascii="Arial Narrow" w:hAnsi="Arial Narrow" w:cs="Arial"/>
          <w:sz w:val="24"/>
          <w:szCs w:val="24"/>
          <w:lang w:val="es-CO"/>
        </w:rPr>
        <w:t>.</w:t>
      </w:r>
    </w:p>
    <w:p w14:paraId="1EE0052D" w14:textId="77777777" w:rsidR="00023C16" w:rsidRPr="00F625C9" w:rsidRDefault="00023C16" w:rsidP="00023C16">
      <w:pPr>
        <w:jc w:val="both"/>
        <w:rPr>
          <w:rFonts w:ascii="Arial Narrow" w:hAnsi="Arial Narrow" w:cs="Arial"/>
          <w:sz w:val="24"/>
          <w:szCs w:val="24"/>
          <w:lang w:val="es-CO"/>
        </w:rPr>
      </w:pPr>
    </w:p>
    <w:p w14:paraId="56F61227" w14:textId="676C21E9" w:rsidR="003D4969" w:rsidRPr="00F625C9" w:rsidRDefault="003D4969" w:rsidP="003D4969">
      <w:pPr>
        <w:autoSpaceDE w:val="0"/>
        <w:autoSpaceDN w:val="0"/>
        <w:adjustRightInd w:val="0"/>
        <w:jc w:val="both"/>
        <w:rPr>
          <w:rFonts w:ascii="Arial Narrow" w:hAnsi="Arial Narrow" w:cs="Arial"/>
          <w:b/>
          <w:sz w:val="24"/>
          <w:szCs w:val="24"/>
          <w:lang w:val="es-CO"/>
        </w:rPr>
      </w:pPr>
      <w:r w:rsidRPr="00F625C9">
        <w:rPr>
          <w:rFonts w:ascii="Arial Narrow" w:hAnsi="Arial Narrow" w:cs="Arial"/>
          <w:sz w:val="24"/>
          <w:szCs w:val="24"/>
          <w:lang w:val="es-CO"/>
        </w:rPr>
        <w:t xml:space="preserve">Por las anteriores razones, se </w:t>
      </w:r>
      <w:r w:rsidRPr="00F625C9">
        <w:rPr>
          <w:rFonts w:ascii="Arial Narrow" w:hAnsi="Arial Narrow" w:cs="Arial"/>
          <w:b/>
          <w:sz w:val="24"/>
          <w:szCs w:val="24"/>
          <w:lang w:val="es-CO"/>
        </w:rPr>
        <w:t>DISPONE</w:t>
      </w:r>
      <w:r w:rsidRPr="00F625C9">
        <w:rPr>
          <w:rFonts w:ascii="Arial Narrow" w:hAnsi="Arial Narrow" w:cs="Arial"/>
          <w:sz w:val="24"/>
          <w:szCs w:val="24"/>
          <w:lang w:val="es-CO"/>
        </w:rPr>
        <w:t>:</w:t>
      </w:r>
      <w:bookmarkStart w:id="0" w:name="_GoBack"/>
      <w:bookmarkEnd w:id="0"/>
    </w:p>
    <w:p w14:paraId="39233530" w14:textId="77777777" w:rsidR="003D4969" w:rsidRPr="00F625C9" w:rsidRDefault="003D4969" w:rsidP="003D4969">
      <w:pPr>
        <w:autoSpaceDE w:val="0"/>
        <w:autoSpaceDN w:val="0"/>
        <w:adjustRightInd w:val="0"/>
        <w:jc w:val="center"/>
        <w:rPr>
          <w:rFonts w:ascii="Arial Narrow" w:hAnsi="Arial Narrow" w:cs="Arial"/>
          <w:b/>
          <w:sz w:val="24"/>
          <w:szCs w:val="24"/>
          <w:lang w:val="es-CO"/>
        </w:rPr>
      </w:pPr>
    </w:p>
    <w:p w14:paraId="5A4BAE96" w14:textId="25C5BF44" w:rsidR="005A2616" w:rsidRPr="00F625C9" w:rsidRDefault="00EC0D4C" w:rsidP="005A2616">
      <w:pPr>
        <w:pStyle w:val="Sinespaciado"/>
        <w:jc w:val="both"/>
        <w:rPr>
          <w:rFonts w:ascii="Arial Narrow" w:hAnsi="Arial Narrow" w:cs="Arial"/>
          <w:sz w:val="24"/>
          <w:szCs w:val="24"/>
          <w:lang w:eastAsia="es-ES"/>
        </w:rPr>
      </w:pPr>
      <w:r w:rsidRPr="00F625C9">
        <w:rPr>
          <w:rFonts w:ascii="Arial Narrow" w:hAnsi="Arial Narrow" w:cs="Arial"/>
          <w:b/>
          <w:bCs/>
          <w:sz w:val="24"/>
          <w:szCs w:val="24"/>
          <w:lang w:eastAsia="es-ES"/>
        </w:rPr>
        <w:t>PRIMERO. -</w:t>
      </w:r>
      <w:r w:rsidR="005A2616" w:rsidRPr="00F625C9">
        <w:rPr>
          <w:rFonts w:ascii="Arial Narrow" w:hAnsi="Arial Narrow" w:cs="Arial"/>
          <w:b/>
          <w:bCs/>
          <w:sz w:val="24"/>
          <w:szCs w:val="24"/>
          <w:lang w:eastAsia="es-ES"/>
        </w:rPr>
        <w:t xml:space="preserve"> </w:t>
      </w:r>
      <w:r w:rsidR="005A2616" w:rsidRPr="00F625C9">
        <w:rPr>
          <w:rFonts w:ascii="Arial Narrow" w:hAnsi="Arial Narrow" w:cs="Arial"/>
          <w:b/>
          <w:sz w:val="24"/>
          <w:szCs w:val="24"/>
          <w:lang w:eastAsia="es-ES"/>
        </w:rPr>
        <w:t>Declarar</w:t>
      </w:r>
      <w:r w:rsidR="005A2616" w:rsidRPr="00F625C9">
        <w:rPr>
          <w:rFonts w:ascii="Arial Narrow" w:hAnsi="Arial Narrow" w:cs="Arial"/>
          <w:sz w:val="24"/>
          <w:szCs w:val="24"/>
          <w:lang w:eastAsia="es-ES"/>
        </w:rPr>
        <w:t xml:space="preserve"> </w:t>
      </w:r>
      <w:r w:rsidR="00BA23DD" w:rsidRPr="00F625C9">
        <w:rPr>
          <w:rFonts w:ascii="Arial Narrow" w:hAnsi="Arial Narrow" w:cs="Arial"/>
          <w:sz w:val="24"/>
          <w:szCs w:val="24"/>
          <w:lang w:eastAsia="es-ES"/>
        </w:rPr>
        <w:t xml:space="preserve">la falta de competencia del Despacho para conocer </w:t>
      </w:r>
      <w:r w:rsidR="005A2616" w:rsidRPr="00F625C9">
        <w:rPr>
          <w:rFonts w:ascii="Arial Narrow" w:hAnsi="Arial Narrow" w:cs="Arial"/>
          <w:sz w:val="24"/>
          <w:szCs w:val="24"/>
          <w:lang w:eastAsia="es-ES"/>
        </w:rPr>
        <w:t>la presente demandada</w:t>
      </w:r>
      <w:r w:rsidR="00BA23DD" w:rsidRPr="00F625C9">
        <w:rPr>
          <w:rFonts w:ascii="Arial Narrow" w:hAnsi="Arial Narrow" w:cs="Arial"/>
          <w:sz w:val="24"/>
          <w:szCs w:val="24"/>
          <w:lang w:eastAsia="es-ES"/>
        </w:rPr>
        <w:t>, conforme lo expuesto previamente.</w:t>
      </w:r>
      <w:r w:rsidR="005A2616" w:rsidRPr="00F625C9">
        <w:rPr>
          <w:rFonts w:ascii="Arial Narrow" w:hAnsi="Arial Narrow" w:cs="Arial"/>
          <w:sz w:val="24"/>
          <w:szCs w:val="24"/>
          <w:lang w:eastAsia="es-ES"/>
        </w:rPr>
        <w:t xml:space="preserve"> </w:t>
      </w:r>
    </w:p>
    <w:p w14:paraId="6004A649" w14:textId="77777777" w:rsidR="005A2616" w:rsidRPr="00F625C9" w:rsidRDefault="005A2616" w:rsidP="005A2616">
      <w:pPr>
        <w:pStyle w:val="Sinespaciado"/>
        <w:jc w:val="both"/>
        <w:rPr>
          <w:rFonts w:ascii="Arial Narrow" w:hAnsi="Arial Narrow" w:cs="Arial"/>
          <w:sz w:val="24"/>
          <w:szCs w:val="24"/>
          <w:lang w:eastAsia="es-ES"/>
        </w:rPr>
      </w:pPr>
    </w:p>
    <w:p w14:paraId="24759007" w14:textId="71DA091E" w:rsidR="005A2616" w:rsidRPr="00F625C9" w:rsidRDefault="00EC0D4C" w:rsidP="005A2616">
      <w:pPr>
        <w:pStyle w:val="Sinespaciado"/>
        <w:jc w:val="both"/>
        <w:rPr>
          <w:rFonts w:ascii="Arial Narrow" w:hAnsi="Arial Narrow" w:cs="Arial"/>
          <w:sz w:val="24"/>
          <w:szCs w:val="24"/>
          <w:lang w:eastAsia="es-ES"/>
        </w:rPr>
      </w:pPr>
      <w:r w:rsidRPr="00F625C9">
        <w:rPr>
          <w:rFonts w:ascii="Arial Narrow" w:hAnsi="Arial Narrow" w:cs="Arial"/>
          <w:b/>
          <w:bCs/>
          <w:sz w:val="24"/>
          <w:szCs w:val="24"/>
          <w:lang w:eastAsia="es-ES"/>
        </w:rPr>
        <w:t>SEGUNDO</w:t>
      </w:r>
      <w:r w:rsidRPr="00F625C9">
        <w:rPr>
          <w:rFonts w:ascii="Arial Narrow" w:hAnsi="Arial Narrow" w:cs="Arial"/>
          <w:b/>
          <w:sz w:val="24"/>
          <w:szCs w:val="24"/>
          <w:lang w:eastAsia="es-ES"/>
        </w:rPr>
        <w:t>. -</w:t>
      </w:r>
      <w:r w:rsidR="005A2616" w:rsidRPr="00F625C9">
        <w:rPr>
          <w:rFonts w:ascii="Arial Narrow" w:hAnsi="Arial Narrow" w:cs="Arial"/>
          <w:b/>
          <w:sz w:val="24"/>
          <w:szCs w:val="24"/>
          <w:lang w:eastAsia="es-ES"/>
        </w:rPr>
        <w:t xml:space="preserve"> </w:t>
      </w:r>
      <w:r w:rsidR="00BA23DD" w:rsidRPr="00F625C9">
        <w:rPr>
          <w:rFonts w:ascii="Arial Narrow" w:hAnsi="Arial Narrow" w:cs="Arial"/>
          <w:b/>
          <w:sz w:val="24"/>
          <w:szCs w:val="24"/>
          <w:lang w:eastAsia="es-ES"/>
        </w:rPr>
        <w:t>R</w:t>
      </w:r>
      <w:r w:rsidR="005A2616" w:rsidRPr="00F625C9">
        <w:rPr>
          <w:rFonts w:ascii="Arial Narrow" w:hAnsi="Arial Narrow" w:cs="Arial"/>
          <w:b/>
          <w:sz w:val="24"/>
          <w:szCs w:val="24"/>
          <w:lang w:eastAsia="es-ES"/>
        </w:rPr>
        <w:t>emitir</w:t>
      </w:r>
      <w:r w:rsidR="005A2616" w:rsidRPr="00F625C9">
        <w:rPr>
          <w:rFonts w:ascii="Arial Narrow" w:hAnsi="Arial Narrow" w:cs="Arial"/>
          <w:sz w:val="24"/>
          <w:szCs w:val="24"/>
          <w:lang w:eastAsia="es-ES"/>
        </w:rPr>
        <w:t xml:space="preserve"> las presentes diligencias a los juzgados laborales del circuito de esta ciudad (reparto) </w:t>
      </w:r>
    </w:p>
    <w:p w14:paraId="26CFB485" w14:textId="77777777" w:rsidR="005A2616" w:rsidRPr="00F625C9" w:rsidRDefault="005A2616" w:rsidP="005A2616">
      <w:pPr>
        <w:pStyle w:val="Sinespaciado"/>
        <w:jc w:val="both"/>
        <w:rPr>
          <w:rFonts w:ascii="Arial Narrow" w:hAnsi="Arial Narrow" w:cs="Arial"/>
          <w:b/>
          <w:sz w:val="24"/>
          <w:szCs w:val="24"/>
          <w:lang w:eastAsia="es-ES"/>
        </w:rPr>
      </w:pPr>
    </w:p>
    <w:p w14:paraId="30F5FFAE" w14:textId="77ADF084" w:rsidR="00F45014" w:rsidRPr="00F625C9" w:rsidRDefault="005A2616" w:rsidP="005A2616">
      <w:pPr>
        <w:pStyle w:val="Sinespaciado"/>
        <w:jc w:val="both"/>
        <w:rPr>
          <w:rFonts w:ascii="Arial Narrow" w:hAnsi="Arial Narrow" w:cs="Arial"/>
          <w:sz w:val="24"/>
          <w:szCs w:val="24"/>
          <w:lang w:val="es-ES" w:eastAsia="es-ES"/>
        </w:rPr>
      </w:pPr>
      <w:r w:rsidRPr="00F625C9">
        <w:rPr>
          <w:rFonts w:ascii="Arial Narrow" w:hAnsi="Arial Narrow" w:cs="Arial"/>
          <w:b/>
          <w:bCs/>
          <w:sz w:val="24"/>
          <w:szCs w:val="24"/>
          <w:lang w:val="es-ES" w:eastAsia="es-ES"/>
        </w:rPr>
        <w:t>TERCERO</w:t>
      </w:r>
      <w:r w:rsidRPr="00F625C9">
        <w:rPr>
          <w:rFonts w:ascii="Arial Narrow" w:hAnsi="Arial Narrow" w:cs="Arial"/>
          <w:b/>
          <w:sz w:val="24"/>
          <w:szCs w:val="24"/>
          <w:lang w:val="es-ES" w:eastAsia="es-ES"/>
        </w:rPr>
        <w:t xml:space="preserve">. Comunicar </w:t>
      </w:r>
      <w:r w:rsidRPr="00F625C9">
        <w:rPr>
          <w:rFonts w:ascii="Arial Narrow" w:hAnsi="Arial Narrow" w:cs="Arial"/>
          <w:sz w:val="24"/>
          <w:szCs w:val="24"/>
          <w:lang w:val="es-ES" w:eastAsia="es-ES"/>
        </w:rPr>
        <w:t xml:space="preserve">a las partes la presente decisión por medio </w:t>
      </w:r>
      <w:r w:rsidR="00BA23DD" w:rsidRPr="00F625C9">
        <w:rPr>
          <w:rFonts w:ascii="Arial Narrow" w:hAnsi="Arial Narrow" w:cs="Arial"/>
          <w:sz w:val="24"/>
          <w:szCs w:val="24"/>
          <w:lang w:val="es-ES" w:eastAsia="es-ES"/>
        </w:rPr>
        <w:t>más</w:t>
      </w:r>
      <w:r w:rsidRPr="00F625C9">
        <w:rPr>
          <w:rFonts w:ascii="Arial Narrow" w:hAnsi="Arial Narrow" w:cs="Arial"/>
          <w:sz w:val="24"/>
          <w:szCs w:val="24"/>
          <w:lang w:val="es-ES" w:eastAsia="es-ES"/>
        </w:rPr>
        <w:t xml:space="preserve"> expedito.</w:t>
      </w:r>
    </w:p>
    <w:p w14:paraId="6BDE232A" w14:textId="77777777" w:rsidR="005A2616" w:rsidRPr="00F625C9" w:rsidRDefault="005A2616" w:rsidP="005A2616">
      <w:pPr>
        <w:pStyle w:val="Sinespaciado"/>
        <w:jc w:val="center"/>
        <w:rPr>
          <w:rFonts w:ascii="Arial Narrow" w:hAnsi="Arial Narrow" w:cs="Arial"/>
          <w:b/>
          <w:sz w:val="24"/>
          <w:szCs w:val="24"/>
        </w:rPr>
      </w:pPr>
    </w:p>
    <w:p w14:paraId="49508BC0" w14:textId="6BA195A0" w:rsidR="008C123E" w:rsidRPr="00F625C9" w:rsidRDefault="00F45014" w:rsidP="00F45014">
      <w:pPr>
        <w:pStyle w:val="Sinespaciado"/>
        <w:jc w:val="center"/>
        <w:rPr>
          <w:rFonts w:ascii="Arial Narrow" w:hAnsi="Arial Narrow" w:cs="Arial"/>
          <w:b/>
          <w:sz w:val="24"/>
          <w:szCs w:val="24"/>
        </w:rPr>
      </w:pPr>
      <w:proofErr w:type="gramStart"/>
      <w:r w:rsidRPr="00F625C9">
        <w:rPr>
          <w:rFonts w:ascii="Arial Narrow" w:hAnsi="Arial Narrow" w:cs="Arial"/>
          <w:b/>
          <w:sz w:val="24"/>
          <w:szCs w:val="24"/>
        </w:rPr>
        <w:t>NOTIFÍQUESE  Y</w:t>
      </w:r>
      <w:proofErr w:type="gramEnd"/>
      <w:r w:rsidRPr="00F625C9">
        <w:rPr>
          <w:rFonts w:ascii="Arial Narrow" w:hAnsi="Arial Narrow" w:cs="Arial"/>
          <w:b/>
          <w:sz w:val="24"/>
          <w:szCs w:val="24"/>
        </w:rPr>
        <w:t xml:space="preserve"> CÚMPLASE</w:t>
      </w:r>
    </w:p>
    <w:p w14:paraId="320E325F" w14:textId="77777777" w:rsidR="001A2388" w:rsidRPr="00F625C9" w:rsidRDefault="001A2388" w:rsidP="003D4969">
      <w:pPr>
        <w:widowControl w:val="0"/>
        <w:tabs>
          <w:tab w:val="left" w:pos="-720"/>
        </w:tabs>
        <w:suppressAutoHyphens/>
        <w:overflowPunct w:val="0"/>
        <w:autoSpaceDE w:val="0"/>
        <w:autoSpaceDN w:val="0"/>
        <w:adjustRightInd w:val="0"/>
        <w:jc w:val="both"/>
        <w:rPr>
          <w:rFonts w:ascii="Arial Narrow" w:hAnsi="Arial Narrow" w:cs="Arial"/>
          <w:b/>
          <w:sz w:val="24"/>
          <w:szCs w:val="24"/>
          <w:lang w:val="es-CO"/>
        </w:rPr>
      </w:pPr>
    </w:p>
    <w:p w14:paraId="48682264" w14:textId="773A8A01" w:rsidR="003D4969" w:rsidRPr="00F625C9" w:rsidRDefault="00F45014" w:rsidP="00F45014">
      <w:pPr>
        <w:jc w:val="center"/>
        <w:rPr>
          <w:rFonts w:ascii="Arial Narrow" w:hAnsi="Arial Narrow" w:cs="Arial"/>
          <w:sz w:val="24"/>
          <w:szCs w:val="24"/>
          <w:lang w:eastAsia="es-ES"/>
        </w:rPr>
      </w:pPr>
      <w:r w:rsidRPr="00F625C9">
        <w:rPr>
          <w:rFonts w:ascii="Arial Narrow" w:hAnsi="Arial Narrow"/>
          <w:noProof/>
          <w:sz w:val="24"/>
          <w:szCs w:val="24"/>
          <w:lang w:val="es-419" w:eastAsia="es-419"/>
        </w:rPr>
        <w:drawing>
          <wp:inline distT="0" distB="0" distL="0" distR="0" wp14:anchorId="1BCD3623" wp14:editId="2AA2943D">
            <wp:extent cx="2352675" cy="895350"/>
            <wp:effectExtent l="0" t="0" r="0" b="0"/>
            <wp:docPr id="1096270687" name="Imagen 109627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352675" cy="895350"/>
                    </a:xfrm>
                    <a:prstGeom prst="rect">
                      <a:avLst/>
                    </a:prstGeom>
                  </pic:spPr>
                </pic:pic>
              </a:graphicData>
            </a:graphic>
          </wp:inline>
        </w:drawing>
      </w:r>
    </w:p>
    <w:p w14:paraId="5DFC2A19" w14:textId="5FC36A71" w:rsidR="003D4969" w:rsidRPr="00F625C9" w:rsidRDefault="000B6CF4" w:rsidP="003D4969">
      <w:pPr>
        <w:jc w:val="both"/>
        <w:rPr>
          <w:rFonts w:ascii="Arial Narrow" w:hAnsi="Arial Narrow" w:cs="Arial"/>
          <w:lang w:eastAsia="es-ES"/>
        </w:rPr>
      </w:pPr>
      <w:r>
        <w:rPr>
          <w:rFonts w:ascii="Arial Narrow" w:hAnsi="Arial Narrow" w:cs="Arial"/>
          <w:lang w:eastAsia="es-ES"/>
        </w:rPr>
        <w:t>WACR</w:t>
      </w:r>
    </w:p>
    <w:p w14:paraId="2DE7DDC5" w14:textId="77777777" w:rsidR="003D4969" w:rsidRPr="00F625C9" w:rsidRDefault="003D4969" w:rsidP="003D4969">
      <w:pPr>
        <w:pStyle w:val="Textoindependiente21"/>
        <w:spacing w:line="240" w:lineRule="auto"/>
        <w:ind w:firstLine="0"/>
        <w:rPr>
          <w:rFonts w:ascii="Arial Narrow" w:hAnsi="Arial Narrow" w:cs="Arial"/>
          <w:sz w:val="24"/>
          <w:szCs w:val="24"/>
          <w:lang w:val="es-CO"/>
        </w:rPr>
      </w:pPr>
    </w:p>
    <w:p w14:paraId="3B68AF2A" w14:textId="77777777" w:rsidR="003D4969" w:rsidRPr="00F625C9" w:rsidRDefault="003D4969" w:rsidP="003D4969">
      <w:pPr>
        <w:rPr>
          <w:rFonts w:ascii="Arial Narrow" w:hAnsi="Arial Narrow"/>
          <w:sz w:val="24"/>
          <w:szCs w:val="24"/>
        </w:rPr>
      </w:pPr>
    </w:p>
    <w:p w14:paraId="3A14B3FA" w14:textId="77777777" w:rsidR="00C304FA" w:rsidRPr="00F625C9" w:rsidRDefault="00CA6E86">
      <w:pPr>
        <w:rPr>
          <w:rFonts w:ascii="Arial Narrow" w:hAnsi="Arial Narrow"/>
          <w:sz w:val="24"/>
          <w:szCs w:val="24"/>
        </w:rPr>
      </w:pPr>
    </w:p>
    <w:sectPr w:rsidR="00C304FA" w:rsidRPr="00F625C9" w:rsidSect="00F625C9">
      <w:headerReference w:type="default" r:id="rId13"/>
      <w:footerReference w:type="default" r:id="rId14"/>
      <w:footerReference w:type="first" r:id="rId15"/>
      <w:pgSz w:w="12242" w:h="18722" w:code="14"/>
      <w:pgMar w:top="720" w:right="720" w:bottom="720" w:left="720"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AAEC8" w14:textId="77777777" w:rsidR="00CA6E86" w:rsidRDefault="00CA6E86" w:rsidP="003D4969">
      <w:r>
        <w:separator/>
      </w:r>
    </w:p>
  </w:endnote>
  <w:endnote w:type="continuationSeparator" w:id="0">
    <w:p w14:paraId="61CBC2D7" w14:textId="77777777" w:rsidR="00CA6E86" w:rsidRDefault="00CA6E86" w:rsidP="003D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482195758"/>
      <w:docPartObj>
        <w:docPartGallery w:val="Page Numbers (Bottom of Page)"/>
        <w:docPartUnique/>
      </w:docPartObj>
    </w:sdtPr>
    <w:sdtEndPr/>
    <w:sdtContent>
      <w:p w14:paraId="3FCCC84F" w14:textId="21938EC0" w:rsidR="00CC7A5E" w:rsidRPr="00EF2894" w:rsidRDefault="00EF652C">
        <w:pPr>
          <w:pStyle w:val="Piedepgina"/>
          <w:jc w:val="right"/>
          <w:rPr>
            <w:b/>
          </w:rPr>
        </w:pPr>
        <w:r w:rsidRPr="00EF2894">
          <w:rPr>
            <w:b/>
          </w:rPr>
          <w:fldChar w:fldCharType="begin"/>
        </w:r>
        <w:r w:rsidRPr="00EF2894">
          <w:rPr>
            <w:b/>
          </w:rPr>
          <w:instrText>PAGE   \* MERGEFORMAT</w:instrText>
        </w:r>
        <w:r w:rsidRPr="00EF2894">
          <w:rPr>
            <w:b/>
          </w:rPr>
          <w:fldChar w:fldCharType="separate"/>
        </w:r>
        <w:r w:rsidR="00691043">
          <w:rPr>
            <w:b/>
            <w:noProof/>
          </w:rPr>
          <w:t>3</w:t>
        </w:r>
        <w:r w:rsidRPr="00EF2894">
          <w:rPr>
            <w:b/>
          </w:rPr>
          <w:fldChar w:fldCharType="end"/>
        </w:r>
      </w:p>
    </w:sdtContent>
  </w:sdt>
  <w:p w14:paraId="2E2D57F1" w14:textId="77777777" w:rsidR="00CC7A5E" w:rsidRPr="00EF2894" w:rsidRDefault="00CA6E86">
    <w:pPr>
      <w:pStyle w:val="Piedepgina"/>
      <w:ind w:right="360"/>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348975"/>
      <w:docPartObj>
        <w:docPartGallery w:val="Page Numbers (Bottom of Page)"/>
        <w:docPartUnique/>
      </w:docPartObj>
    </w:sdtPr>
    <w:sdtEndPr/>
    <w:sdtContent>
      <w:p w14:paraId="608FA419" w14:textId="55EFFD2F" w:rsidR="00CC7A5E" w:rsidRPr="0083550F" w:rsidRDefault="00EF652C" w:rsidP="0083550F">
        <w:pPr>
          <w:pStyle w:val="Piedepgina"/>
          <w:jc w:val="right"/>
        </w:pPr>
        <w:r w:rsidRPr="0083550F">
          <w:fldChar w:fldCharType="begin"/>
        </w:r>
        <w:r w:rsidRPr="0083550F">
          <w:instrText>PAGE   \* MERGEFORMAT</w:instrText>
        </w:r>
        <w:r w:rsidRPr="0083550F">
          <w:fldChar w:fldCharType="separate"/>
        </w:r>
        <w:r w:rsidR="00691043">
          <w:rPr>
            <w:noProof/>
          </w:rPr>
          <w:t>1</w:t>
        </w:r>
        <w:r w:rsidRPr="0083550F">
          <w:fldChar w:fldCharType="end"/>
        </w:r>
      </w:p>
    </w:sdtContent>
  </w:sdt>
  <w:p w14:paraId="019744AD" w14:textId="77777777" w:rsidR="00CC7A5E" w:rsidRDefault="00CA6E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7AE96" w14:textId="77777777" w:rsidR="00CA6E86" w:rsidRDefault="00CA6E86" w:rsidP="003D4969">
      <w:r>
        <w:separator/>
      </w:r>
    </w:p>
  </w:footnote>
  <w:footnote w:type="continuationSeparator" w:id="0">
    <w:p w14:paraId="2EC2218D" w14:textId="77777777" w:rsidR="00CA6E86" w:rsidRDefault="00CA6E86" w:rsidP="003D4969">
      <w:r>
        <w:continuationSeparator/>
      </w:r>
    </w:p>
  </w:footnote>
  <w:footnote w:id="1">
    <w:p w14:paraId="1D5315DD" w14:textId="3C8E3417" w:rsidR="005A2616" w:rsidRPr="005A2616" w:rsidRDefault="005A2616" w:rsidP="005A2616">
      <w:pPr>
        <w:pStyle w:val="Textonotapie"/>
        <w:jc w:val="both"/>
        <w:rPr>
          <w:rFonts w:ascii="Arial Narrow" w:hAnsi="Arial Narrow"/>
          <w:lang w:val="es-CO"/>
        </w:rPr>
      </w:pPr>
      <w:r w:rsidRPr="005A2616">
        <w:rPr>
          <w:rStyle w:val="Refdenotaalpie"/>
          <w:rFonts w:ascii="Arial Narrow" w:hAnsi="Arial Narrow"/>
        </w:rPr>
        <w:footnoteRef/>
      </w:r>
      <w:r w:rsidRPr="005A2616">
        <w:rPr>
          <w:rFonts w:ascii="Arial Narrow" w:hAnsi="Arial Narrow"/>
          <w:lang w:val="es-CO"/>
        </w:rPr>
        <w:t xml:space="preserve"> Consejo Superior de la Judicatura. Sala Jurisdiccional Disciplinaria. Autos del 6 de noviembre de 2014 y del 11 de marzo de 2020.  </w:t>
      </w:r>
    </w:p>
  </w:footnote>
  <w:footnote w:id="2">
    <w:p w14:paraId="16887B13" w14:textId="1052364E" w:rsidR="005A2616" w:rsidRPr="005A2616" w:rsidRDefault="005A2616" w:rsidP="005A2616">
      <w:pPr>
        <w:pStyle w:val="Textonotapie"/>
        <w:jc w:val="both"/>
        <w:rPr>
          <w:rFonts w:ascii="Arial Narrow" w:hAnsi="Arial Narrow"/>
        </w:rPr>
      </w:pPr>
      <w:r w:rsidRPr="005A2616">
        <w:rPr>
          <w:rStyle w:val="Refdenotaalpie"/>
          <w:rFonts w:ascii="Arial Narrow" w:hAnsi="Arial Narrow"/>
        </w:rPr>
        <w:footnoteRef/>
      </w:r>
      <w:r w:rsidRPr="005A2616">
        <w:rPr>
          <w:rFonts w:ascii="Arial Narrow" w:hAnsi="Arial Narrow"/>
        </w:rPr>
        <w:t xml:space="preserve"> </w:t>
      </w:r>
      <w:r w:rsidRPr="005A2616">
        <w:rPr>
          <w:rFonts w:ascii="Arial Narrow" w:hAnsi="Arial Narrow"/>
          <w:lang w:val="es-CO"/>
        </w:rPr>
        <w:t xml:space="preserve">AUTO Nº 235 DE 2023 Referencia: expediente CJU-2254 Conflicto de jurisdicciones entre el Juzgado Único Laboral del Circuito de El Banco, Magdalena y el Juzgado Noveno Administrativo Oral del Circuito Judicial de Santa  </w:t>
      </w:r>
    </w:p>
  </w:footnote>
  <w:footnote w:id="3">
    <w:p w14:paraId="4841B7D3" w14:textId="434A8F17" w:rsidR="005A2616" w:rsidRDefault="005A2616" w:rsidP="005A2616">
      <w:pPr>
        <w:pStyle w:val="Textonotapie"/>
        <w:jc w:val="both"/>
      </w:pPr>
      <w:r w:rsidRPr="005A2616">
        <w:rPr>
          <w:rStyle w:val="Refdenotaalpie"/>
          <w:rFonts w:ascii="Arial Narrow" w:hAnsi="Arial Narrow"/>
        </w:rPr>
        <w:footnoteRef/>
      </w:r>
      <w:r w:rsidRPr="005A2616">
        <w:rPr>
          <w:rFonts w:ascii="Arial Narrow" w:hAnsi="Arial Narrow"/>
        </w:rPr>
        <w:t xml:space="preserve"> </w:t>
      </w:r>
      <w:r w:rsidRPr="005A2616">
        <w:rPr>
          <w:rFonts w:ascii="Arial Narrow" w:hAnsi="Arial Narrow"/>
          <w:lang w:val="es-CO"/>
        </w:rPr>
        <w:t>Auto del 28 de marzo de 2019 Sección Segunda Subsección A del Consejo de estado, Consejero William Hernández Gómez, en el proceso contra el señor Héctor José Vázquez, demandante la Administradora Colombiana de Pensiones – Colpensiones.</w:t>
      </w:r>
      <w:r w:rsidRPr="005A2616">
        <w:rPr>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B9B" w14:textId="77777777" w:rsidR="00CC7A5E" w:rsidRPr="00871986" w:rsidRDefault="00EF652C" w:rsidP="00CC7A5E">
    <w:pPr>
      <w:pStyle w:val="Encabezado"/>
      <w:jc w:val="center"/>
      <w:rPr>
        <w:rFonts w:ascii="Arial" w:hAnsi="Arial"/>
        <w:i/>
        <w:sz w:val="16"/>
        <w:szCs w:val="16"/>
        <w:lang w:val="es-MX"/>
      </w:rPr>
    </w:pPr>
    <w:r w:rsidRPr="00871986">
      <w:rPr>
        <w:rFonts w:ascii="Arial" w:hAnsi="Arial"/>
        <w:i/>
        <w:sz w:val="16"/>
        <w:szCs w:val="16"/>
        <w:lang w:val="es-MX"/>
      </w:rPr>
      <w:t xml:space="preserve">Juzgado Diecisiete Administrativo </w:t>
    </w:r>
    <w:r>
      <w:rPr>
        <w:rFonts w:ascii="Arial" w:hAnsi="Arial"/>
        <w:i/>
        <w:sz w:val="16"/>
        <w:szCs w:val="16"/>
        <w:lang w:val="es-MX"/>
      </w:rPr>
      <w:t>Oral</w:t>
    </w:r>
    <w:r w:rsidRPr="00871986">
      <w:rPr>
        <w:rFonts w:ascii="Arial" w:hAnsi="Arial"/>
        <w:i/>
        <w:sz w:val="16"/>
        <w:szCs w:val="16"/>
        <w:lang w:val="es-MX"/>
      </w:rPr>
      <w:t xml:space="preserve"> Bogotá</w:t>
    </w:r>
  </w:p>
  <w:p w14:paraId="59C39FB5" w14:textId="477940A4" w:rsidR="00CC7A5E" w:rsidRPr="00871986" w:rsidRDefault="00EF652C" w:rsidP="00CC7A5E">
    <w:pPr>
      <w:pStyle w:val="Encabezado"/>
      <w:jc w:val="center"/>
      <w:rPr>
        <w:rFonts w:ascii="Arial" w:hAnsi="Arial"/>
        <w:i/>
        <w:sz w:val="16"/>
        <w:szCs w:val="16"/>
        <w:lang w:val="es-MX"/>
      </w:rPr>
    </w:pPr>
    <w:r w:rsidRPr="00871986">
      <w:rPr>
        <w:rFonts w:ascii="Arial" w:hAnsi="Arial"/>
        <w:i/>
        <w:sz w:val="16"/>
        <w:szCs w:val="16"/>
        <w:lang w:val="es-MX"/>
      </w:rPr>
      <w:t>Expediente 20</w:t>
    </w:r>
    <w:r w:rsidR="00CF33B1">
      <w:rPr>
        <w:rFonts w:ascii="Arial" w:hAnsi="Arial"/>
        <w:i/>
        <w:sz w:val="16"/>
        <w:szCs w:val="16"/>
        <w:lang w:val="es-MX"/>
      </w:rPr>
      <w:t>2</w:t>
    </w:r>
    <w:r w:rsidR="00A4301F">
      <w:rPr>
        <w:rFonts w:ascii="Arial" w:hAnsi="Arial"/>
        <w:i/>
        <w:sz w:val="16"/>
        <w:szCs w:val="16"/>
        <w:lang w:val="es-MX"/>
      </w:rPr>
      <w:t>3</w:t>
    </w:r>
    <w:r w:rsidRPr="00871986">
      <w:rPr>
        <w:rFonts w:ascii="Arial" w:hAnsi="Arial"/>
        <w:i/>
        <w:sz w:val="16"/>
        <w:szCs w:val="16"/>
        <w:lang w:val="es-MX"/>
      </w:rPr>
      <w:t xml:space="preserve"> –</w:t>
    </w:r>
    <w:r>
      <w:rPr>
        <w:rFonts w:ascii="Arial" w:hAnsi="Arial"/>
        <w:i/>
        <w:sz w:val="16"/>
        <w:szCs w:val="16"/>
        <w:lang w:val="es-MX"/>
      </w:rPr>
      <w:t xml:space="preserve"> 00</w:t>
    </w:r>
    <w:r w:rsidR="000B6CF4">
      <w:rPr>
        <w:rFonts w:ascii="Arial" w:hAnsi="Arial"/>
        <w:i/>
        <w:sz w:val="16"/>
        <w:szCs w:val="16"/>
        <w:lang w:val="es-MX"/>
      </w:rPr>
      <w:t>136</w:t>
    </w:r>
  </w:p>
  <w:p w14:paraId="40D2B7A6" w14:textId="77777777" w:rsidR="00CC7A5E" w:rsidRDefault="00EF652C" w:rsidP="007F4FD3">
    <w:pPr>
      <w:pStyle w:val="Encabezado"/>
      <w:jc w:val="center"/>
      <w:rPr>
        <w:rFonts w:ascii="Arial" w:hAnsi="Arial"/>
        <w:i/>
        <w:sz w:val="16"/>
        <w:szCs w:val="16"/>
        <w:lang w:val="es-MX"/>
      </w:rPr>
    </w:pPr>
    <w:r w:rsidRPr="00871986">
      <w:rPr>
        <w:rFonts w:ascii="Arial" w:hAnsi="Arial"/>
        <w:i/>
        <w:sz w:val="16"/>
        <w:szCs w:val="16"/>
        <w:lang w:val="es-MX"/>
      </w:rPr>
      <w:t xml:space="preserve">Demandante: </w:t>
    </w:r>
    <w:r>
      <w:rPr>
        <w:rFonts w:ascii="Arial" w:hAnsi="Arial"/>
        <w:i/>
        <w:sz w:val="16"/>
        <w:szCs w:val="16"/>
        <w:lang w:val="es-MX"/>
      </w:rPr>
      <w:t>C</w:t>
    </w:r>
    <w:r w:rsidR="009E54E2">
      <w:rPr>
        <w:rFonts w:ascii="Arial" w:hAnsi="Arial"/>
        <w:i/>
        <w:sz w:val="16"/>
        <w:szCs w:val="16"/>
        <w:lang w:val="es-MX"/>
      </w:rPr>
      <w:t>OLPENSIONES</w:t>
    </w:r>
    <w:r w:rsidRPr="00872A35">
      <w:rPr>
        <w:rFonts w:ascii="Arial" w:hAnsi="Arial"/>
        <w:i/>
        <w:sz w:val="16"/>
        <w:szCs w:val="16"/>
        <w:lang w:val="es-MX"/>
      </w:rPr>
      <w:t>.</w:t>
    </w:r>
  </w:p>
  <w:p w14:paraId="6EDC2D6C" w14:textId="77777777" w:rsidR="00CC7A5E" w:rsidRDefault="00CA6E86" w:rsidP="007F4FD3">
    <w:pPr>
      <w:pStyle w:val="Encabezado"/>
      <w:jc w:val="center"/>
      <w:rPr>
        <w:rFonts w:ascii="Arial" w:hAnsi="Arial"/>
        <w:i/>
        <w:lang w:val="es-MX"/>
      </w:rPr>
    </w:pPr>
  </w:p>
  <w:p w14:paraId="0FC78B70" w14:textId="77777777" w:rsidR="001235CC" w:rsidRPr="00130713" w:rsidRDefault="00CA6E86" w:rsidP="007F4FD3">
    <w:pPr>
      <w:pStyle w:val="Encabezado"/>
      <w:jc w:val="center"/>
      <w:rPr>
        <w:rFonts w:ascii="Arial" w:hAnsi="Arial"/>
        <w:i/>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AB1"/>
    <w:multiLevelType w:val="hybridMultilevel"/>
    <w:tmpl w:val="506EF6C4"/>
    <w:lvl w:ilvl="0" w:tplc="30523332">
      <w:numFmt w:val="bullet"/>
      <w:lvlText w:val="-"/>
      <w:lvlJc w:val="left"/>
      <w:pPr>
        <w:ind w:left="720" w:hanging="360"/>
      </w:pPr>
      <w:rPr>
        <w:rFonts w:ascii="Arial Narrow" w:eastAsia="Times New Roman"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CE6452A"/>
    <w:multiLevelType w:val="hybridMultilevel"/>
    <w:tmpl w:val="0A2C78AE"/>
    <w:lvl w:ilvl="0" w:tplc="E58E35C4">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969"/>
    <w:rsid w:val="00012F8B"/>
    <w:rsid w:val="000179F9"/>
    <w:rsid w:val="00023C16"/>
    <w:rsid w:val="00030B74"/>
    <w:rsid w:val="0003102E"/>
    <w:rsid w:val="00042E1C"/>
    <w:rsid w:val="00057598"/>
    <w:rsid w:val="00062467"/>
    <w:rsid w:val="000A6A77"/>
    <w:rsid w:val="000B2C4C"/>
    <w:rsid w:val="000B3960"/>
    <w:rsid w:val="000B6CF4"/>
    <w:rsid w:val="000C0867"/>
    <w:rsid w:val="00106F01"/>
    <w:rsid w:val="00111C01"/>
    <w:rsid w:val="00111F6A"/>
    <w:rsid w:val="00136668"/>
    <w:rsid w:val="0016002F"/>
    <w:rsid w:val="00167770"/>
    <w:rsid w:val="001703F6"/>
    <w:rsid w:val="00173E1B"/>
    <w:rsid w:val="001A2388"/>
    <w:rsid w:val="001B793F"/>
    <w:rsid w:val="001D0D28"/>
    <w:rsid w:val="001E393A"/>
    <w:rsid w:val="001F2A11"/>
    <w:rsid w:val="001F4CC9"/>
    <w:rsid w:val="00210561"/>
    <w:rsid w:val="002307A7"/>
    <w:rsid w:val="00240150"/>
    <w:rsid w:val="0026343D"/>
    <w:rsid w:val="002659FA"/>
    <w:rsid w:val="0026709B"/>
    <w:rsid w:val="00273617"/>
    <w:rsid w:val="002828C8"/>
    <w:rsid w:val="002976B6"/>
    <w:rsid w:val="002A3E35"/>
    <w:rsid w:val="002B05FC"/>
    <w:rsid w:val="002B654D"/>
    <w:rsid w:val="002C0CD1"/>
    <w:rsid w:val="0031271B"/>
    <w:rsid w:val="003233E9"/>
    <w:rsid w:val="00330A6E"/>
    <w:rsid w:val="00335A8A"/>
    <w:rsid w:val="00337F46"/>
    <w:rsid w:val="00346998"/>
    <w:rsid w:val="0035292A"/>
    <w:rsid w:val="00376909"/>
    <w:rsid w:val="003832E8"/>
    <w:rsid w:val="003B18BE"/>
    <w:rsid w:val="003B4539"/>
    <w:rsid w:val="003D1E85"/>
    <w:rsid w:val="003D21E0"/>
    <w:rsid w:val="003D4969"/>
    <w:rsid w:val="003F24E0"/>
    <w:rsid w:val="00413662"/>
    <w:rsid w:val="0043649B"/>
    <w:rsid w:val="00462D09"/>
    <w:rsid w:val="004721A7"/>
    <w:rsid w:val="004A35A7"/>
    <w:rsid w:val="004D3CBA"/>
    <w:rsid w:val="004D766B"/>
    <w:rsid w:val="00511FC4"/>
    <w:rsid w:val="00520326"/>
    <w:rsid w:val="005207BE"/>
    <w:rsid w:val="0054254A"/>
    <w:rsid w:val="00553B9D"/>
    <w:rsid w:val="00556DE6"/>
    <w:rsid w:val="005651AD"/>
    <w:rsid w:val="0056637E"/>
    <w:rsid w:val="0058356B"/>
    <w:rsid w:val="005A0415"/>
    <w:rsid w:val="005A2616"/>
    <w:rsid w:val="005C686A"/>
    <w:rsid w:val="005D3EE4"/>
    <w:rsid w:val="005D654D"/>
    <w:rsid w:val="005D7580"/>
    <w:rsid w:val="005E08C6"/>
    <w:rsid w:val="005E0C8A"/>
    <w:rsid w:val="005F037E"/>
    <w:rsid w:val="00606663"/>
    <w:rsid w:val="00610B1C"/>
    <w:rsid w:val="00613925"/>
    <w:rsid w:val="00644DDF"/>
    <w:rsid w:val="006634B3"/>
    <w:rsid w:val="006812DB"/>
    <w:rsid w:val="006908B5"/>
    <w:rsid w:val="00691043"/>
    <w:rsid w:val="006934CB"/>
    <w:rsid w:val="006B0576"/>
    <w:rsid w:val="006B1853"/>
    <w:rsid w:val="006C6AFB"/>
    <w:rsid w:val="00726F25"/>
    <w:rsid w:val="0072767A"/>
    <w:rsid w:val="0073638C"/>
    <w:rsid w:val="0074042D"/>
    <w:rsid w:val="00756833"/>
    <w:rsid w:val="00756AD2"/>
    <w:rsid w:val="00770FAD"/>
    <w:rsid w:val="00783D73"/>
    <w:rsid w:val="007A355A"/>
    <w:rsid w:val="007B3D6C"/>
    <w:rsid w:val="007B5923"/>
    <w:rsid w:val="007C5E8A"/>
    <w:rsid w:val="007D3107"/>
    <w:rsid w:val="007F7B46"/>
    <w:rsid w:val="00821803"/>
    <w:rsid w:val="00822E9C"/>
    <w:rsid w:val="00832FBD"/>
    <w:rsid w:val="0086204E"/>
    <w:rsid w:val="00897844"/>
    <w:rsid w:val="008A1D00"/>
    <w:rsid w:val="008A5158"/>
    <w:rsid w:val="008C123E"/>
    <w:rsid w:val="008C1AA1"/>
    <w:rsid w:val="009108B5"/>
    <w:rsid w:val="009169AF"/>
    <w:rsid w:val="00927FCD"/>
    <w:rsid w:val="0094364A"/>
    <w:rsid w:val="0095321B"/>
    <w:rsid w:val="00981723"/>
    <w:rsid w:val="00986F9A"/>
    <w:rsid w:val="009B3113"/>
    <w:rsid w:val="009D007F"/>
    <w:rsid w:val="009E54E2"/>
    <w:rsid w:val="009F2C7C"/>
    <w:rsid w:val="00A20F60"/>
    <w:rsid w:val="00A221E5"/>
    <w:rsid w:val="00A367C6"/>
    <w:rsid w:val="00A4301F"/>
    <w:rsid w:val="00A5681B"/>
    <w:rsid w:val="00AD4F73"/>
    <w:rsid w:val="00AD4F9B"/>
    <w:rsid w:val="00AF3884"/>
    <w:rsid w:val="00AF738F"/>
    <w:rsid w:val="00B077E9"/>
    <w:rsid w:val="00B30FBD"/>
    <w:rsid w:val="00B33D19"/>
    <w:rsid w:val="00B506E4"/>
    <w:rsid w:val="00B55B02"/>
    <w:rsid w:val="00B6414C"/>
    <w:rsid w:val="00B7715D"/>
    <w:rsid w:val="00B96ECE"/>
    <w:rsid w:val="00BA23DD"/>
    <w:rsid w:val="00BA69FF"/>
    <w:rsid w:val="00BB527D"/>
    <w:rsid w:val="00BE19C3"/>
    <w:rsid w:val="00C516C3"/>
    <w:rsid w:val="00C52C34"/>
    <w:rsid w:val="00C63932"/>
    <w:rsid w:val="00C71188"/>
    <w:rsid w:val="00C9527B"/>
    <w:rsid w:val="00CA6E86"/>
    <w:rsid w:val="00CC2F95"/>
    <w:rsid w:val="00CC767D"/>
    <w:rsid w:val="00CD5831"/>
    <w:rsid w:val="00CF33B1"/>
    <w:rsid w:val="00D04872"/>
    <w:rsid w:val="00D24395"/>
    <w:rsid w:val="00D33943"/>
    <w:rsid w:val="00D34B8E"/>
    <w:rsid w:val="00D4279C"/>
    <w:rsid w:val="00D436E6"/>
    <w:rsid w:val="00D6260D"/>
    <w:rsid w:val="00D703D1"/>
    <w:rsid w:val="00D76AE6"/>
    <w:rsid w:val="00D92BB8"/>
    <w:rsid w:val="00DA1B54"/>
    <w:rsid w:val="00DC55F3"/>
    <w:rsid w:val="00DD410D"/>
    <w:rsid w:val="00DD7E6A"/>
    <w:rsid w:val="00E148DA"/>
    <w:rsid w:val="00E2782B"/>
    <w:rsid w:val="00E4167C"/>
    <w:rsid w:val="00E74B97"/>
    <w:rsid w:val="00E75736"/>
    <w:rsid w:val="00E763A2"/>
    <w:rsid w:val="00EB18A2"/>
    <w:rsid w:val="00EC0D4C"/>
    <w:rsid w:val="00EC44E5"/>
    <w:rsid w:val="00EE15E2"/>
    <w:rsid w:val="00EF652C"/>
    <w:rsid w:val="00F45014"/>
    <w:rsid w:val="00F51103"/>
    <w:rsid w:val="00F625C9"/>
    <w:rsid w:val="00F6680E"/>
    <w:rsid w:val="00FA4AB4"/>
    <w:rsid w:val="00FC594B"/>
    <w:rsid w:val="00FD6FDF"/>
    <w:rsid w:val="00FE4F1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EFC7"/>
  <w15:chartTrackingRefBased/>
  <w15:docId w15:val="{DED7996C-6522-45AD-AB7D-9AC4A8E3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969"/>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D4969"/>
    <w:pPr>
      <w:tabs>
        <w:tab w:val="center" w:pos="4252"/>
        <w:tab w:val="right" w:pos="8504"/>
      </w:tabs>
    </w:pPr>
    <w:rPr>
      <w:lang w:val="es-ES_tradnl"/>
    </w:rPr>
  </w:style>
  <w:style w:type="character" w:customStyle="1" w:styleId="EncabezadoCar">
    <w:name w:val="Encabezado Car"/>
    <w:basedOn w:val="Fuentedeprrafopredeter"/>
    <w:link w:val="Encabezado"/>
    <w:rsid w:val="003D4969"/>
    <w:rPr>
      <w:rFonts w:ascii="Times New Roman" w:eastAsia="Times New Roman" w:hAnsi="Times New Roman" w:cs="Times New Roman"/>
      <w:sz w:val="20"/>
      <w:szCs w:val="20"/>
      <w:lang w:val="es-ES_tradnl" w:eastAsia="es-CO"/>
    </w:rPr>
  </w:style>
  <w:style w:type="paragraph" w:styleId="Piedepgina">
    <w:name w:val="footer"/>
    <w:basedOn w:val="Normal"/>
    <w:link w:val="PiedepginaCar"/>
    <w:uiPriority w:val="99"/>
    <w:rsid w:val="003D4969"/>
    <w:pPr>
      <w:tabs>
        <w:tab w:val="center" w:pos="4252"/>
        <w:tab w:val="right" w:pos="8504"/>
      </w:tabs>
    </w:pPr>
  </w:style>
  <w:style w:type="character" w:customStyle="1" w:styleId="PiedepginaCar">
    <w:name w:val="Pie de página Car"/>
    <w:basedOn w:val="Fuentedeprrafopredeter"/>
    <w:link w:val="Piedepgina"/>
    <w:uiPriority w:val="99"/>
    <w:rsid w:val="003D4969"/>
    <w:rPr>
      <w:rFonts w:ascii="Times New Roman" w:eastAsia="Times New Roman" w:hAnsi="Times New Roman" w:cs="Times New Roman"/>
      <w:sz w:val="20"/>
      <w:szCs w:val="20"/>
      <w:lang w:eastAsia="es-CO"/>
    </w:rPr>
  </w:style>
  <w:style w:type="paragraph" w:styleId="Prrafodelista">
    <w:name w:val="List Paragraph"/>
    <w:basedOn w:val="Normal"/>
    <w:uiPriority w:val="34"/>
    <w:qFormat/>
    <w:rsid w:val="003D4969"/>
    <w:pPr>
      <w:ind w:left="720"/>
      <w:contextualSpacing/>
    </w:pPr>
    <w:rPr>
      <w:sz w:val="24"/>
      <w:szCs w:val="24"/>
      <w:lang w:eastAsia="es-ES"/>
    </w:rPr>
  </w:style>
  <w:style w:type="paragraph" w:customStyle="1" w:styleId="Textoindependiente21">
    <w:name w:val="Texto independiente 21"/>
    <w:basedOn w:val="Normal"/>
    <w:rsid w:val="003D4969"/>
    <w:pPr>
      <w:overflowPunct w:val="0"/>
      <w:autoSpaceDE w:val="0"/>
      <w:autoSpaceDN w:val="0"/>
      <w:adjustRightInd w:val="0"/>
      <w:spacing w:line="360" w:lineRule="auto"/>
      <w:ind w:firstLine="1701"/>
      <w:jc w:val="both"/>
      <w:textAlignment w:val="baseline"/>
    </w:pPr>
    <w:rPr>
      <w:rFonts w:ascii="Arial" w:hAnsi="Arial"/>
      <w:i/>
      <w:lang w:val="es-ES_tradnl" w:eastAsia="es-E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ootnote referenc,Footnote reference"/>
    <w:basedOn w:val="Normal"/>
    <w:link w:val="TextonotapieCar"/>
    <w:unhideWhenUsed/>
    <w:qFormat/>
    <w:rsid w:val="003D4969"/>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
    <w:basedOn w:val="Fuentedeprrafopredeter"/>
    <w:link w:val="Textonotapie"/>
    <w:rsid w:val="003D4969"/>
    <w:rPr>
      <w:rFonts w:ascii="Times New Roman" w:eastAsia="Times New Roman" w:hAnsi="Times New Roman" w:cs="Times New Roman"/>
      <w:sz w:val="20"/>
      <w:szCs w:val="20"/>
      <w:lang w:eastAsia="es-CO"/>
    </w:rPr>
  </w:style>
  <w:style w:type="character" w:styleId="Refdenotaalpie">
    <w:name w:val="footnote reference"/>
    <w:aliases w:val="Texto de nota al pie,Ref. de nota al pie 2,referencia nota al pie,Appel note de bas de page,Footnotes refss,Footnote number,BVI fnr,4_G,16 Point,Superscript 6 Point,Texto nota al pie,Pie de Página,FC,Texto de nota al pi,Nota de pie,F"/>
    <w:basedOn w:val="Fuentedeprrafopredeter"/>
    <w:unhideWhenUsed/>
    <w:qFormat/>
    <w:rsid w:val="003D4969"/>
    <w:rPr>
      <w:vertAlign w:val="superscript"/>
    </w:rPr>
  </w:style>
  <w:style w:type="paragraph" w:customStyle="1" w:styleId="Textoindependiente22">
    <w:name w:val="Texto independiente 22"/>
    <w:basedOn w:val="Normal"/>
    <w:rsid w:val="000179F9"/>
    <w:pPr>
      <w:overflowPunct w:val="0"/>
      <w:autoSpaceDE w:val="0"/>
      <w:autoSpaceDN w:val="0"/>
      <w:adjustRightInd w:val="0"/>
      <w:spacing w:line="360" w:lineRule="auto"/>
      <w:ind w:firstLine="1701"/>
      <w:jc w:val="both"/>
    </w:pPr>
    <w:rPr>
      <w:rFonts w:ascii="Arial" w:hAnsi="Arial"/>
      <w:i/>
      <w:sz w:val="24"/>
      <w:lang w:val="es-ES_tradnl" w:eastAsia="es-ES"/>
    </w:rPr>
  </w:style>
  <w:style w:type="paragraph" w:styleId="Textodeglobo">
    <w:name w:val="Balloon Text"/>
    <w:basedOn w:val="Normal"/>
    <w:link w:val="TextodegloboCar"/>
    <w:uiPriority w:val="99"/>
    <w:semiHidden/>
    <w:unhideWhenUsed/>
    <w:rsid w:val="00AD4F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4F73"/>
    <w:rPr>
      <w:rFonts w:ascii="Segoe UI" w:eastAsia="Times New Roman" w:hAnsi="Segoe UI" w:cs="Segoe UI"/>
      <w:sz w:val="18"/>
      <w:szCs w:val="18"/>
      <w:lang w:eastAsia="es-CO"/>
    </w:rPr>
  </w:style>
  <w:style w:type="character" w:styleId="Hipervnculo">
    <w:name w:val="Hyperlink"/>
    <w:basedOn w:val="Fuentedeprrafopredeter"/>
    <w:uiPriority w:val="99"/>
    <w:unhideWhenUsed/>
    <w:rsid w:val="00CC2F95"/>
    <w:rPr>
      <w:color w:val="0563C1" w:themeColor="hyperlink"/>
      <w:u w:val="single"/>
    </w:rPr>
  </w:style>
  <w:style w:type="paragraph" w:styleId="Sinespaciado">
    <w:name w:val="No Spacing"/>
    <w:link w:val="SinespaciadoCar"/>
    <w:qFormat/>
    <w:rsid w:val="00F45014"/>
    <w:pPr>
      <w:spacing w:after="0" w:line="240" w:lineRule="auto"/>
    </w:pPr>
    <w:rPr>
      <w:rFonts w:ascii="Calibri" w:eastAsia="Times New Roman" w:hAnsi="Calibri" w:cs="Calibri"/>
      <w:lang w:val="es-CO"/>
    </w:rPr>
  </w:style>
  <w:style w:type="character" w:customStyle="1" w:styleId="SinespaciadoCar">
    <w:name w:val="Sin espaciado Car"/>
    <w:link w:val="Sinespaciado"/>
    <w:rsid w:val="00F45014"/>
    <w:rPr>
      <w:rFonts w:ascii="Calibri" w:eastAsia="Times New Roman" w:hAnsi="Calibri" w:cs="Calibri"/>
      <w:lang w:val="es-CO"/>
    </w:rPr>
  </w:style>
  <w:style w:type="paragraph" w:styleId="NormalWeb">
    <w:name w:val="Normal (Web)"/>
    <w:basedOn w:val="Normal"/>
    <w:uiPriority w:val="99"/>
    <w:rsid w:val="00F45014"/>
    <w:pPr>
      <w:overflowPunct w:val="0"/>
      <w:autoSpaceDE w:val="0"/>
      <w:autoSpaceDN w:val="0"/>
      <w:adjustRightInd w:val="0"/>
      <w:spacing w:before="100" w:after="100"/>
    </w:pPr>
    <w:rPr>
      <w:color w:val="000000"/>
      <w:sz w:val="24"/>
      <w:lang w:eastAsia="es-ES"/>
    </w:rPr>
  </w:style>
  <w:style w:type="character" w:customStyle="1" w:styleId="UnresolvedMention">
    <w:name w:val="Unresolved Mention"/>
    <w:basedOn w:val="Fuentedeprrafopredeter"/>
    <w:uiPriority w:val="99"/>
    <w:semiHidden/>
    <w:unhideWhenUsed/>
    <w:rsid w:val="008C1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8101">
      <w:bodyDiv w:val="1"/>
      <w:marLeft w:val="0"/>
      <w:marRight w:val="0"/>
      <w:marTop w:val="0"/>
      <w:marBottom w:val="0"/>
      <w:divBdr>
        <w:top w:val="none" w:sz="0" w:space="0" w:color="auto"/>
        <w:left w:val="none" w:sz="0" w:space="0" w:color="auto"/>
        <w:bottom w:val="none" w:sz="0" w:space="0" w:color="auto"/>
        <w:right w:val="none" w:sz="0" w:space="0" w:color="auto"/>
      </w:divBdr>
      <w:divsChild>
        <w:div w:id="401946641">
          <w:marLeft w:val="0"/>
          <w:marRight w:val="0"/>
          <w:marTop w:val="0"/>
          <w:marBottom w:val="0"/>
          <w:divBdr>
            <w:top w:val="none" w:sz="0" w:space="0" w:color="auto"/>
            <w:left w:val="none" w:sz="0" w:space="0" w:color="auto"/>
            <w:bottom w:val="none" w:sz="0" w:space="0" w:color="auto"/>
            <w:right w:val="none" w:sz="0" w:space="0" w:color="auto"/>
          </w:divBdr>
          <w:divsChild>
            <w:div w:id="1666517707">
              <w:marLeft w:val="0"/>
              <w:marRight w:val="0"/>
              <w:marTop w:val="0"/>
              <w:marBottom w:val="0"/>
              <w:divBdr>
                <w:top w:val="none" w:sz="0" w:space="0" w:color="auto"/>
                <w:left w:val="none" w:sz="0" w:space="0" w:color="auto"/>
                <w:bottom w:val="none" w:sz="0" w:space="0" w:color="auto"/>
                <w:right w:val="none" w:sz="0" w:space="0" w:color="auto"/>
              </w:divBdr>
              <w:divsChild>
                <w:div w:id="9022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22074">
      <w:bodyDiv w:val="1"/>
      <w:marLeft w:val="0"/>
      <w:marRight w:val="0"/>
      <w:marTop w:val="0"/>
      <w:marBottom w:val="0"/>
      <w:divBdr>
        <w:top w:val="none" w:sz="0" w:space="0" w:color="auto"/>
        <w:left w:val="none" w:sz="0" w:space="0" w:color="auto"/>
        <w:bottom w:val="none" w:sz="0" w:space="0" w:color="auto"/>
        <w:right w:val="none" w:sz="0" w:space="0" w:color="auto"/>
      </w:divBdr>
    </w:div>
    <w:div w:id="340469025">
      <w:bodyDiv w:val="1"/>
      <w:marLeft w:val="0"/>
      <w:marRight w:val="0"/>
      <w:marTop w:val="0"/>
      <w:marBottom w:val="0"/>
      <w:divBdr>
        <w:top w:val="none" w:sz="0" w:space="0" w:color="auto"/>
        <w:left w:val="none" w:sz="0" w:space="0" w:color="auto"/>
        <w:bottom w:val="none" w:sz="0" w:space="0" w:color="auto"/>
        <w:right w:val="none" w:sz="0" w:space="0" w:color="auto"/>
      </w:divBdr>
      <w:divsChild>
        <w:div w:id="591856741">
          <w:marLeft w:val="0"/>
          <w:marRight w:val="0"/>
          <w:marTop w:val="0"/>
          <w:marBottom w:val="0"/>
          <w:divBdr>
            <w:top w:val="none" w:sz="0" w:space="0" w:color="auto"/>
            <w:left w:val="none" w:sz="0" w:space="0" w:color="auto"/>
            <w:bottom w:val="none" w:sz="0" w:space="0" w:color="auto"/>
            <w:right w:val="none" w:sz="0" w:space="0" w:color="auto"/>
          </w:divBdr>
          <w:divsChild>
            <w:div w:id="2016153085">
              <w:marLeft w:val="0"/>
              <w:marRight w:val="0"/>
              <w:marTop w:val="0"/>
              <w:marBottom w:val="0"/>
              <w:divBdr>
                <w:top w:val="none" w:sz="0" w:space="0" w:color="auto"/>
                <w:left w:val="none" w:sz="0" w:space="0" w:color="auto"/>
                <w:bottom w:val="none" w:sz="0" w:space="0" w:color="auto"/>
                <w:right w:val="none" w:sz="0" w:space="0" w:color="auto"/>
              </w:divBdr>
              <w:divsChild>
                <w:div w:id="209658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949315">
      <w:bodyDiv w:val="1"/>
      <w:marLeft w:val="0"/>
      <w:marRight w:val="0"/>
      <w:marTop w:val="0"/>
      <w:marBottom w:val="0"/>
      <w:divBdr>
        <w:top w:val="none" w:sz="0" w:space="0" w:color="auto"/>
        <w:left w:val="none" w:sz="0" w:space="0" w:color="auto"/>
        <w:bottom w:val="none" w:sz="0" w:space="0" w:color="auto"/>
        <w:right w:val="none" w:sz="0" w:space="0" w:color="auto"/>
      </w:divBdr>
      <w:divsChild>
        <w:div w:id="1007950921">
          <w:marLeft w:val="0"/>
          <w:marRight w:val="0"/>
          <w:marTop w:val="0"/>
          <w:marBottom w:val="0"/>
          <w:divBdr>
            <w:top w:val="none" w:sz="0" w:space="0" w:color="auto"/>
            <w:left w:val="none" w:sz="0" w:space="0" w:color="auto"/>
            <w:bottom w:val="none" w:sz="0" w:space="0" w:color="auto"/>
            <w:right w:val="none" w:sz="0" w:space="0" w:color="auto"/>
          </w:divBdr>
          <w:divsChild>
            <w:div w:id="762141827">
              <w:marLeft w:val="0"/>
              <w:marRight w:val="0"/>
              <w:marTop w:val="0"/>
              <w:marBottom w:val="0"/>
              <w:divBdr>
                <w:top w:val="none" w:sz="0" w:space="0" w:color="auto"/>
                <w:left w:val="none" w:sz="0" w:space="0" w:color="auto"/>
                <w:bottom w:val="none" w:sz="0" w:space="0" w:color="auto"/>
                <w:right w:val="none" w:sz="0" w:space="0" w:color="auto"/>
              </w:divBdr>
              <w:divsChild>
                <w:div w:id="12141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626">
      <w:bodyDiv w:val="1"/>
      <w:marLeft w:val="0"/>
      <w:marRight w:val="0"/>
      <w:marTop w:val="0"/>
      <w:marBottom w:val="0"/>
      <w:divBdr>
        <w:top w:val="none" w:sz="0" w:space="0" w:color="auto"/>
        <w:left w:val="none" w:sz="0" w:space="0" w:color="auto"/>
        <w:bottom w:val="none" w:sz="0" w:space="0" w:color="auto"/>
        <w:right w:val="none" w:sz="0" w:space="0" w:color="auto"/>
      </w:divBdr>
    </w:div>
    <w:div w:id="889145342">
      <w:bodyDiv w:val="1"/>
      <w:marLeft w:val="0"/>
      <w:marRight w:val="0"/>
      <w:marTop w:val="0"/>
      <w:marBottom w:val="0"/>
      <w:divBdr>
        <w:top w:val="none" w:sz="0" w:space="0" w:color="auto"/>
        <w:left w:val="none" w:sz="0" w:space="0" w:color="auto"/>
        <w:bottom w:val="none" w:sz="0" w:space="0" w:color="auto"/>
        <w:right w:val="none" w:sz="0" w:space="0" w:color="auto"/>
      </w:divBdr>
    </w:div>
    <w:div w:id="902176238">
      <w:bodyDiv w:val="1"/>
      <w:marLeft w:val="0"/>
      <w:marRight w:val="0"/>
      <w:marTop w:val="0"/>
      <w:marBottom w:val="0"/>
      <w:divBdr>
        <w:top w:val="none" w:sz="0" w:space="0" w:color="auto"/>
        <w:left w:val="none" w:sz="0" w:space="0" w:color="auto"/>
        <w:bottom w:val="none" w:sz="0" w:space="0" w:color="auto"/>
        <w:right w:val="none" w:sz="0" w:space="0" w:color="auto"/>
      </w:divBdr>
    </w:div>
    <w:div w:id="991060604">
      <w:bodyDiv w:val="1"/>
      <w:marLeft w:val="0"/>
      <w:marRight w:val="0"/>
      <w:marTop w:val="0"/>
      <w:marBottom w:val="0"/>
      <w:divBdr>
        <w:top w:val="none" w:sz="0" w:space="0" w:color="auto"/>
        <w:left w:val="none" w:sz="0" w:space="0" w:color="auto"/>
        <w:bottom w:val="none" w:sz="0" w:space="0" w:color="auto"/>
        <w:right w:val="none" w:sz="0" w:space="0" w:color="auto"/>
      </w:divBdr>
      <w:divsChild>
        <w:div w:id="913126622">
          <w:marLeft w:val="0"/>
          <w:marRight w:val="0"/>
          <w:marTop w:val="0"/>
          <w:marBottom w:val="0"/>
          <w:divBdr>
            <w:top w:val="none" w:sz="0" w:space="0" w:color="auto"/>
            <w:left w:val="none" w:sz="0" w:space="0" w:color="auto"/>
            <w:bottom w:val="none" w:sz="0" w:space="0" w:color="auto"/>
            <w:right w:val="none" w:sz="0" w:space="0" w:color="auto"/>
          </w:divBdr>
        </w:div>
      </w:divsChild>
    </w:div>
    <w:div w:id="1155338990">
      <w:bodyDiv w:val="1"/>
      <w:marLeft w:val="0"/>
      <w:marRight w:val="0"/>
      <w:marTop w:val="0"/>
      <w:marBottom w:val="0"/>
      <w:divBdr>
        <w:top w:val="none" w:sz="0" w:space="0" w:color="auto"/>
        <w:left w:val="none" w:sz="0" w:space="0" w:color="auto"/>
        <w:bottom w:val="none" w:sz="0" w:space="0" w:color="auto"/>
        <w:right w:val="none" w:sz="0" w:space="0" w:color="auto"/>
      </w:divBdr>
      <w:divsChild>
        <w:div w:id="1543640100">
          <w:marLeft w:val="0"/>
          <w:marRight w:val="0"/>
          <w:marTop w:val="0"/>
          <w:marBottom w:val="0"/>
          <w:divBdr>
            <w:top w:val="none" w:sz="0" w:space="0" w:color="auto"/>
            <w:left w:val="none" w:sz="0" w:space="0" w:color="auto"/>
            <w:bottom w:val="none" w:sz="0" w:space="0" w:color="auto"/>
            <w:right w:val="none" w:sz="0" w:space="0" w:color="auto"/>
          </w:divBdr>
          <w:divsChild>
            <w:div w:id="1886210856">
              <w:marLeft w:val="0"/>
              <w:marRight w:val="0"/>
              <w:marTop w:val="0"/>
              <w:marBottom w:val="0"/>
              <w:divBdr>
                <w:top w:val="none" w:sz="0" w:space="0" w:color="auto"/>
                <w:left w:val="none" w:sz="0" w:space="0" w:color="auto"/>
                <w:bottom w:val="none" w:sz="0" w:space="0" w:color="auto"/>
                <w:right w:val="none" w:sz="0" w:space="0" w:color="auto"/>
              </w:divBdr>
              <w:divsChild>
                <w:div w:id="27416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489473">
      <w:bodyDiv w:val="1"/>
      <w:marLeft w:val="0"/>
      <w:marRight w:val="0"/>
      <w:marTop w:val="0"/>
      <w:marBottom w:val="0"/>
      <w:divBdr>
        <w:top w:val="none" w:sz="0" w:space="0" w:color="auto"/>
        <w:left w:val="none" w:sz="0" w:space="0" w:color="auto"/>
        <w:bottom w:val="none" w:sz="0" w:space="0" w:color="auto"/>
        <w:right w:val="none" w:sz="0" w:space="0" w:color="auto"/>
      </w:divBdr>
    </w:div>
    <w:div w:id="1270312541">
      <w:bodyDiv w:val="1"/>
      <w:marLeft w:val="0"/>
      <w:marRight w:val="0"/>
      <w:marTop w:val="0"/>
      <w:marBottom w:val="0"/>
      <w:divBdr>
        <w:top w:val="none" w:sz="0" w:space="0" w:color="auto"/>
        <w:left w:val="none" w:sz="0" w:space="0" w:color="auto"/>
        <w:bottom w:val="none" w:sz="0" w:space="0" w:color="auto"/>
        <w:right w:val="none" w:sz="0" w:space="0" w:color="auto"/>
      </w:divBdr>
    </w:div>
    <w:div w:id="1538621026">
      <w:bodyDiv w:val="1"/>
      <w:marLeft w:val="0"/>
      <w:marRight w:val="0"/>
      <w:marTop w:val="0"/>
      <w:marBottom w:val="0"/>
      <w:divBdr>
        <w:top w:val="none" w:sz="0" w:space="0" w:color="auto"/>
        <w:left w:val="none" w:sz="0" w:space="0" w:color="auto"/>
        <w:bottom w:val="none" w:sz="0" w:space="0" w:color="auto"/>
        <w:right w:val="none" w:sz="0" w:space="0" w:color="auto"/>
      </w:divBdr>
    </w:div>
    <w:div w:id="1642227332">
      <w:bodyDiv w:val="1"/>
      <w:marLeft w:val="0"/>
      <w:marRight w:val="0"/>
      <w:marTop w:val="0"/>
      <w:marBottom w:val="0"/>
      <w:divBdr>
        <w:top w:val="none" w:sz="0" w:space="0" w:color="auto"/>
        <w:left w:val="none" w:sz="0" w:space="0" w:color="auto"/>
        <w:bottom w:val="none" w:sz="0" w:space="0" w:color="auto"/>
        <w:right w:val="none" w:sz="0" w:space="0" w:color="auto"/>
      </w:divBdr>
      <w:divsChild>
        <w:div w:id="974607662">
          <w:marLeft w:val="0"/>
          <w:marRight w:val="0"/>
          <w:marTop w:val="0"/>
          <w:marBottom w:val="0"/>
          <w:divBdr>
            <w:top w:val="none" w:sz="0" w:space="0" w:color="auto"/>
            <w:left w:val="none" w:sz="0" w:space="0" w:color="auto"/>
            <w:bottom w:val="none" w:sz="0" w:space="0" w:color="auto"/>
            <w:right w:val="none" w:sz="0" w:space="0" w:color="auto"/>
          </w:divBdr>
          <w:divsChild>
            <w:div w:id="1251429690">
              <w:marLeft w:val="0"/>
              <w:marRight w:val="0"/>
              <w:marTop w:val="0"/>
              <w:marBottom w:val="0"/>
              <w:divBdr>
                <w:top w:val="none" w:sz="0" w:space="0" w:color="auto"/>
                <w:left w:val="none" w:sz="0" w:space="0" w:color="auto"/>
                <w:bottom w:val="none" w:sz="0" w:space="0" w:color="auto"/>
                <w:right w:val="none" w:sz="0" w:space="0" w:color="auto"/>
              </w:divBdr>
              <w:divsChild>
                <w:div w:id="600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31045">
      <w:bodyDiv w:val="1"/>
      <w:marLeft w:val="0"/>
      <w:marRight w:val="0"/>
      <w:marTop w:val="0"/>
      <w:marBottom w:val="0"/>
      <w:divBdr>
        <w:top w:val="none" w:sz="0" w:space="0" w:color="auto"/>
        <w:left w:val="none" w:sz="0" w:space="0" w:color="auto"/>
        <w:bottom w:val="none" w:sz="0" w:space="0" w:color="auto"/>
        <w:right w:val="none" w:sz="0" w:space="0" w:color="auto"/>
      </w:divBdr>
    </w:div>
    <w:div w:id="1747534855">
      <w:bodyDiv w:val="1"/>
      <w:marLeft w:val="0"/>
      <w:marRight w:val="0"/>
      <w:marTop w:val="0"/>
      <w:marBottom w:val="0"/>
      <w:divBdr>
        <w:top w:val="none" w:sz="0" w:space="0" w:color="auto"/>
        <w:left w:val="none" w:sz="0" w:space="0" w:color="auto"/>
        <w:bottom w:val="none" w:sz="0" w:space="0" w:color="auto"/>
        <w:right w:val="none" w:sz="0" w:space="0" w:color="auto"/>
      </w:divBdr>
      <w:divsChild>
        <w:div w:id="2074424733">
          <w:marLeft w:val="0"/>
          <w:marRight w:val="0"/>
          <w:marTop w:val="0"/>
          <w:marBottom w:val="0"/>
          <w:divBdr>
            <w:top w:val="none" w:sz="0" w:space="0" w:color="auto"/>
            <w:left w:val="none" w:sz="0" w:space="0" w:color="auto"/>
            <w:bottom w:val="none" w:sz="0" w:space="0" w:color="auto"/>
            <w:right w:val="none" w:sz="0" w:space="0" w:color="auto"/>
          </w:divBdr>
          <w:divsChild>
            <w:div w:id="825049346">
              <w:marLeft w:val="0"/>
              <w:marRight w:val="0"/>
              <w:marTop w:val="0"/>
              <w:marBottom w:val="0"/>
              <w:divBdr>
                <w:top w:val="none" w:sz="0" w:space="0" w:color="auto"/>
                <w:left w:val="none" w:sz="0" w:space="0" w:color="auto"/>
                <w:bottom w:val="none" w:sz="0" w:space="0" w:color="auto"/>
                <w:right w:val="none" w:sz="0" w:space="0" w:color="auto"/>
              </w:divBdr>
              <w:divsChild>
                <w:div w:id="111274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8471">
      <w:bodyDiv w:val="1"/>
      <w:marLeft w:val="0"/>
      <w:marRight w:val="0"/>
      <w:marTop w:val="0"/>
      <w:marBottom w:val="0"/>
      <w:divBdr>
        <w:top w:val="none" w:sz="0" w:space="0" w:color="auto"/>
        <w:left w:val="none" w:sz="0" w:space="0" w:color="auto"/>
        <w:bottom w:val="none" w:sz="0" w:space="0" w:color="auto"/>
        <w:right w:val="none" w:sz="0" w:space="0" w:color="auto"/>
      </w:divBdr>
    </w:div>
    <w:div w:id="2081127792">
      <w:bodyDiv w:val="1"/>
      <w:marLeft w:val="0"/>
      <w:marRight w:val="0"/>
      <w:marTop w:val="0"/>
      <w:marBottom w:val="0"/>
      <w:divBdr>
        <w:top w:val="none" w:sz="0" w:space="0" w:color="auto"/>
        <w:left w:val="none" w:sz="0" w:space="0" w:color="auto"/>
        <w:bottom w:val="none" w:sz="0" w:space="0" w:color="auto"/>
        <w:right w:val="none" w:sz="0" w:space="0" w:color="auto"/>
      </w:divBdr>
      <w:divsChild>
        <w:div w:id="169023900">
          <w:marLeft w:val="0"/>
          <w:marRight w:val="0"/>
          <w:marTop w:val="0"/>
          <w:marBottom w:val="0"/>
          <w:divBdr>
            <w:top w:val="none" w:sz="0" w:space="0" w:color="auto"/>
            <w:left w:val="none" w:sz="0" w:space="0" w:color="auto"/>
            <w:bottom w:val="none" w:sz="0" w:space="0" w:color="auto"/>
            <w:right w:val="none" w:sz="0" w:space="0" w:color="auto"/>
          </w:divBdr>
        </w:div>
      </w:divsChild>
    </w:div>
    <w:div w:id="2133787432">
      <w:bodyDiv w:val="1"/>
      <w:marLeft w:val="0"/>
      <w:marRight w:val="0"/>
      <w:marTop w:val="0"/>
      <w:marBottom w:val="0"/>
      <w:divBdr>
        <w:top w:val="none" w:sz="0" w:space="0" w:color="auto"/>
        <w:left w:val="none" w:sz="0" w:space="0" w:color="auto"/>
        <w:bottom w:val="none" w:sz="0" w:space="0" w:color="auto"/>
        <w:right w:val="none" w:sz="0" w:space="0" w:color="auto"/>
      </w:divBdr>
      <w:divsChild>
        <w:div w:id="1279292421">
          <w:marLeft w:val="0"/>
          <w:marRight w:val="0"/>
          <w:marTop w:val="0"/>
          <w:marBottom w:val="0"/>
          <w:divBdr>
            <w:top w:val="none" w:sz="0" w:space="0" w:color="auto"/>
            <w:left w:val="none" w:sz="0" w:space="0" w:color="auto"/>
            <w:bottom w:val="none" w:sz="0" w:space="0" w:color="auto"/>
            <w:right w:val="none" w:sz="0" w:space="0" w:color="auto"/>
          </w:divBdr>
          <w:divsChild>
            <w:div w:id="685135887">
              <w:marLeft w:val="0"/>
              <w:marRight w:val="0"/>
              <w:marTop w:val="0"/>
              <w:marBottom w:val="0"/>
              <w:divBdr>
                <w:top w:val="none" w:sz="0" w:space="0" w:color="auto"/>
                <w:left w:val="none" w:sz="0" w:space="0" w:color="auto"/>
                <w:bottom w:val="none" w:sz="0" w:space="0" w:color="auto"/>
                <w:right w:val="none" w:sz="0" w:space="0" w:color="auto"/>
              </w:divBdr>
              <w:divsChild>
                <w:div w:id="133236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B833AD78DE5A4898A3344806747D7D" ma:contentTypeVersion="7" ma:contentTypeDescription="Crear nuevo documento." ma:contentTypeScope="" ma:versionID="22556f829b3fcd51cb3cdbe353fab43d">
  <xsd:schema xmlns:xsd="http://www.w3.org/2001/XMLSchema" xmlns:xs="http://www.w3.org/2001/XMLSchema" xmlns:p="http://schemas.microsoft.com/office/2006/metadata/properties" xmlns:ns3="c2eba3f0-cadc-431e-8e79-0aa07a036ed0" xmlns:ns4="d728cd71-2ed8-4000-b8d4-ff4ce4567f23" targetNamespace="http://schemas.microsoft.com/office/2006/metadata/properties" ma:root="true" ma:fieldsID="8424d39be7eea129eddd82c7e6672e65" ns3:_="" ns4:_="">
    <xsd:import namespace="c2eba3f0-cadc-431e-8e79-0aa07a036ed0"/>
    <xsd:import namespace="d728cd71-2ed8-4000-b8d4-ff4ce4567f2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ba3f0-cadc-431e-8e79-0aa07a036e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28cd71-2ed8-4000-b8d4-ff4ce4567f2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2eba3f0-cadc-431e-8e79-0aa07a036e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7A7DF-A16C-4689-BA9E-C3550AAA2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ba3f0-cadc-431e-8e79-0aa07a036ed0"/>
    <ds:schemaRef ds:uri="d728cd71-2ed8-4000-b8d4-ff4ce4567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0A7E-133C-4274-AC7A-902BE22416B5}">
  <ds:schemaRefs>
    <ds:schemaRef ds:uri="http://schemas.microsoft.com/sharepoint/v3/contenttype/forms"/>
  </ds:schemaRefs>
</ds:datastoreItem>
</file>

<file path=customXml/itemProps3.xml><?xml version="1.0" encoding="utf-8"?>
<ds:datastoreItem xmlns:ds="http://schemas.openxmlformats.org/officeDocument/2006/customXml" ds:itemID="{14451F38-CFE9-4E63-A6CD-48C9A5B7C95D}">
  <ds:schemaRefs>
    <ds:schemaRef ds:uri="http://schemas.microsoft.com/office/2006/metadata/properties"/>
    <ds:schemaRef ds:uri="http://schemas.microsoft.com/office/infopath/2007/PartnerControls"/>
    <ds:schemaRef ds:uri="c2eba3f0-cadc-431e-8e79-0aa07a036ed0"/>
  </ds:schemaRefs>
</ds:datastoreItem>
</file>

<file path=customXml/itemProps4.xml><?xml version="1.0" encoding="utf-8"?>
<ds:datastoreItem xmlns:ds="http://schemas.openxmlformats.org/officeDocument/2006/customXml" ds:itemID="{18619E96-23F3-4F3B-B8B3-637A89CF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1669</Words>
  <Characters>9183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Profesional 01 Juzgado 17</dc:creator>
  <cp:keywords/>
  <dc:description/>
  <cp:lastModifiedBy>Luz Matilde Adaime Cabrera</cp:lastModifiedBy>
  <cp:revision>3</cp:revision>
  <cp:lastPrinted>2020-01-31T14:55:00Z</cp:lastPrinted>
  <dcterms:created xsi:type="dcterms:W3CDTF">2024-03-12T17:35:00Z</dcterms:created>
  <dcterms:modified xsi:type="dcterms:W3CDTF">2024-03-14T17:21:00Z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0x010100E6B833AD78DE5A4898A3344806747D7D</vt:lpwstr>
  </property>
</Properties>
</file>