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487C" w:rsidRDefault="001F168A">
      <w:pPr>
        <w:spacing w:after="0"/>
        <w:jc w:val="center"/>
        <w:rPr>
          <w:rFonts w:ascii="Century Gothic" w:hAnsi="Century Gothic"/>
          <w:b/>
          <w:color w:val="000000"/>
          <w:sz w:val="24"/>
          <w:szCs w:val="24"/>
        </w:rPr>
      </w:pPr>
      <w:bookmarkStart w:id="0" w:name="_GoBack"/>
      <w:bookmarkEnd w:id="0"/>
      <w:r>
        <w:rPr>
          <w:noProof/>
          <w:lang w:val="es-CO" w:eastAsia="es-CO"/>
        </w:rPr>
        <w:drawing>
          <wp:inline distT="0" distB="0" distL="0" distR="0">
            <wp:extent cx="648335" cy="714375"/>
            <wp:effectExtent l="0" t="0" r="0" b="0"/>
            <wp:docPr id="1" name="Imagen 2"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ESCUDO"/>
                    <pic:cNvPicPr>
                      <a:picLocks noChangeAspect="1" noChangeArrowheads="1"/>
                    </pic:cNvPicPr>
                  </pic:nvPicPr>
                  <pic:blipFill>
                    <a:blip r:embed="rId8"/>
                    <a:stretch>
                      <a:fillRect/>
                    </a:stretch>
                  </pic:blipFill>
                  <pic:spPr bwMode="auto">
                    <a:xfrm>
                      <a:off x="0" y="0"/>
                      <a:ext cx="648335" cy="714375"/>
                    </a:xfrm>
                    <a:prstGeom prst="rect">
                      <a:avLst/>
                    </a:prstGeom>
                  </pic:spPr>
                </pic:pic>
              </a:graphicData>
            </a:graphic>
          </wp:inline>
        </w:drawing>
      </w:r>
    </w:p>
    <w:p w:rsidR="00A3487C" w:rsidRDefault="001F168A">
      <w:pPr>
        <w:spacing w:after="0"/>
        <w:jc w:val="center"/>
        <w:rPr>
          <w:rFonts w:ascii="Century Gothic" w:hAnsi="Century Gothic"/>
          <w:b/>
          <w:color w:val="000000"/>
          <w:sz w:val="24"/>
          <w:szCs w:val="24"/>
        </w:rPr>
      </w:pPr>
      <w:r>
        <w:rPr>
          <w:rFonts w:ascii="Century Gothic" w:hAnsi="Century Gothic"/>
          <w:b/>
          <w:color w:val="000000"/>
          <w:sz w:val="24"/>
          <w:szCs w:val="24"/>
        </w:rPr>
        <w:t xml:space="preserve">JUZGADO TERCERO ADMINISTRATIVO </w:t>
      </w:r>
    </w:p>
    <w:p w:rsidR="00A3487C" w:rsidRDefault="001F168A">
      <w:pPr>
        <w:spacing w:after="0"/>
        <w:jc w:val="center"/>
        <w:rPr>
          <w:rFonts w:ascii="Century Gothic" w:hAnsi="Century Gothic"/>
          <w:b/>
          <w:color w:val="000000"/>
          <w:sz w:val="24"/>
          <w:szCs w:val="24"/>
        </w:rPr>
      </w:pPr>
      <w:r>
        <w:rPr>
          <w:rFonts w:ascii="Century Gothic" w:hAnsi="Century Gothic"/>
          <w:b/>
          <w:color w:val="000000"/>
          <w:sz w:val="24"/>
          <w:szCs w:val="24"/>
        </w:rPr>
        <w:t>DEL CIRCUITO DE BOGOTÁ</w:t>
      </w:r>
    </w:p>
    <w:p w:rsidR="00A3487C" w:rsidRDefault="001F168A">
      <w:pPr>
        <w:spacing w:after="0"/>
        <w:jc w:val="center"/>
        <w:rPr>
          <w:rFonts w:ascii="Century Gothic" w:hAnsi="Century Gothic"/>
          <w:b/>
          <w:color w:val="000000"/>
          <w:sz w:val="24"/>
          <w:szCs w:val="24"/>
        </w:rPr>
      </w:pPr>
      <w:r>
        <w:rPr>
          <w:rFonts w:ascii="Century Gothic" w:hAnsi="Century Gothic"/>
          <w:b/>
          <w:color w:val="000000"/>
          <w:sz w:val="24"/>
          <w:szCs w:val="24"/>
        </w:rPr>
        <w:t>SECCIÓN PRIMERA</w:t>
      </w:r>
    </w:p>
    <w:p w:rsidR="00A3487C" w:rsidRDefault="00A3487C">
      <w:pPr>
        <w:pStyle w:val="Sinespaciado"/>
      </w:pPr>
    </w:p>
    <w:p w:rsidR="00A3487C" w:rsidRDefault="001F168A">
      <w:pPr>
        <w:spacing w:after="0"/>
        <w:jc w:val="both"/>
      </w:pPr>
      <w:r>
        <w:rPr>
          <w:rFonts w:ascii="Century Gothic" w:hAnsi="Century Gothic"/>
          <w:sz w:val="24"/>
          <w:szCs w:val="24"/>
        </w:rPr>
        <w:t>Bogotá, D.C., veinte (20) de abril de dos mil veinte (2020)</w:t>
      </w:r>
    </w:p>
    <w:p w:rsidR="00A3487C" w:rsidRDefault="00A3487C">
      <w:pPr>
        <w:pStyle w:val="Sinespaciado"/>
        <w:spacing w:line="360" w:lineRule="auto"/>
      </w:pPr>
    </w:p>
    <w:p w:rsidR="00A3487C" w:rsidRDefault="001F168A">
      <w:pPr>
        <w:spacing w:after="0"/>
        <w:jc w:val="both"/>
      </w:pPr>
      <w:r>
        <w:rPr>
          <w:rFonts w:ascii="Century Gothic" w:hAnsi="Century Gothic"/>
          <w:sz w:val="24"/>
          <w:szCs w:val="24"/>
        </w:rPr>
        <w:t>Expediente:</w:t>
      </w:r>
      <w:r>
        <w:rPr>
          <w:rFonts w:ascii="Century Gothic" w:hAnsi="Century Gothic"/>
          <w:sz w:val="24"/>
          <w:szCs w:val="24"/>
        </w:rPr>
        <w:tab/>
        <w:t>11001-33-34-002-2020-00067-00</w:t>
      </w:r>
    </w:p>
    <w:p w:rsidR="00A3487C" w:rsidRDefault="001F168A">
      <w:pPr>
        <w:spacing w:after="0"/>
        <w:jc w:val="both"/>
      </w:pPr>
      <w:r>
        <w:rPr>
          <w:rFonts w:ascii="Century Gothic" w:hAnsi="Century Gothic"/>
          <w:sz w:val="24"/>
          <w:szCs w:val="24"/>
        </w:rPr>
        <w:t>Demandante:</w:t>
      </w:r>
      <w:r>
        <w:rPr>
          <w:rFonts w:ascii="Century Gothic" w:hAnsi="Century Gothic"/>
          <w:sz w:val="24"/>
          <w:szCs w:val="24"/>
        </w:rPr>
        <w:tab/>
        <w:t>GREENEX S.A.S.</w:t>
      </w:r>
    </w:p>
    <w:p w:rsidR="00A3487C" w:rsidRDefault="001F168A">
      <w:pPr>
        <w:spacing w:after="0"/>
        <w:ind w:left="2124" w:hanging="2124"/>
        <w:jc w:val="both"/>
      </w:pPr>
      <w:r>
        <w:rPr>
          <w:rFonts w:ascii="Century Gothic" w:hAnsi="Century Gothic"/>
          <w:sz w:val="24"/>
          <w:szCs w:val="24"/>
        </w:rPr>
        <w:t>Demandada:</w:t>
      </w:r>
      <w:r>
        <w:rPr>
          <w:rFonts w:ascii="Century Gothic" w:hAnsi="Century Gothic"/>
          <w:sz w:val="24"/>
          <w:szCs w:val="24"/>
        </w:rPr>
        <w:tab/>
        <w:t>NUEVA EPS Y OTRO</w:t>
      </w:r>
    </w:p>
    <w:p w:rsidR="00A3487C" w:rsidRDefault="00A3487C">
      <w:pPr>
        <w:pStyle w:val="Sinespaciado"/>
      </w:pPr>
    </w:p>
    <w:p w:rsidR="00A3487C" w:rsidRDefault="001F168A">
      <w:pPr>
        <w:spacing w:after="0"/>
        <w:jc w:val="both"/>
        <w:rPr>
          <w:rFonts w:ascii="Century Gothic" w:hAnsi="Century Gothic"/>
          <w:b/>
          <w:sz w:val="24"/>
          <w:szCs w:val="24"/>
        </w:rPr>
      </w:pPr>
      <w:r>
        <w:rPr>
          <w:rFonts w:ascii="Century Gothic" w:hAnsi="Century Gothic"/>
          <w:b/>
          <w:sz w:val="24"/>
          <w:szCs w:val="24"/>
        </w:rPr>
        <w:t>ACCIÓN DE TUTELA</w:t>
      </w:r>
    </w:p>
    <w:p w:rsidR="00A3487C" w:rsidRDefault="00A3487C">
      <w:pPr>
        <w:pStyle w:val="Sinespaciado"/>
      </w:pPr>
    </w:p>
    <w:p w:rsidR="00A3487C" w:rsidRDefault="001F168A">
      <w:pPr>
        <w:spacing w:after="0"/>
        <w:jc w:val="both"/>
      </w:pPr>
      <w:r>
        <w:rPr>
          <w:rFonts w:ascii="Century Gothic" w:hAnsi="Century Gothic"/>
          <w:sz w:val="24"/>
          <w:szCs w:val="24"/>
          <w:lang w:val="es-CO"/>
        </w:rPr>
        <w:t>Procede el Despacho a resolver la solicitud de tutela presentada, por la sociedad Tu Recobro S.A.S.</w:t>
      </w:r>
      <w:r>
        <w:rPr>
          <w:rFonts w:ascii="Century Gothic" w:eastAsia="Times New Roman" w:hAnsi="Century Gothic" w:cs="Arial"/>
          <w:spacing w:val="-3"/>
          <w:sz w:val="24"/>
          <w:szCs w:val="24"/>
          <w:lang w:val="es-CO" w:eastAsia="es-ES"/>
        </w:rPr>
        <w:t>,</w:t>
      </w:r>
      <w:r>
        <w:rPr>
          <w:rFonts w:ascii="Century Gothic" w:eastAsia="Times New Roman" w:hAnsi="Century Gothic"/>
          <w:sz w:val="24"/>
          <w:szCs w:val="24"/>
          <w:lang w:val="es-CO" w:eastAsia="es-ES"/>
        </w:rPr>
        <w:t xml:space="preserve"> en representación de Greenex S.A.S.</w:t>
      </w:r>
      <w:r>
        <w:rPr>
          <w:rFonts w:ascii="Century Gothic" w:hAnsi="Century Gothic"/>
          <w:sz w:val="24"/>
          <w:szCs w:val="24"/>
          <w:lang w:val="es-CO"/>
        </w:rPr>
        <w:t xml:space="preserve">, en contra de </w:t>
      </w:r>
      <w:r>
        <w:rPr>
          <w:rFonts w:ascii="Century Gothic" w:eastAsia="Times New Roman" w:hAnsi="Century Gothic" w:cs="Arial"/>
          <w:color w:val="000000" w:themeColor="text1"/>
          <w:sz w:val="24"/>
          <w:szCs w:val="24"/>
          <w:lang w:val="es-CO" w:eastAsia="es-ES"/>
        </w:rPr>
        <w:t xml:space="preserve">la </w:t>
      </w:r>
      <w:r>
        <w:rPr>
          <w:rFonts w:ascii="Century Gothic" w:eastAsia="Times New Roman" w:hAnsi="Century Gothic" w:cs="Arial"/>
          <w:color w:val="000000" w:themeColor="text1"/>
          <w:spacing w:val="-3"/>
          <w:sz w:val="24"/>
          <w:szCs w:val="24"/>
          <w:lang w:eastAsia="es-ES"/>
        </w:rPr>
        <w:t>Nueva EPS y la Superintendencia Nacional de Salud.</w:t>
      </w:r>
    </w:p>
    <w:p w:rsidR="00A3487C" w:rsidRDefault="00A3487C">
      <w:pPr>
        <w:pStyle w:val="Sinespaciado"/>
      </w:pPr>
    </w:p>
    <w:p w:rsidR="00A3487C" w:rsidRDefault="001F168A">
      <w:pPr>
        <w:spacing w:after="0"/>
        <w:jc w:val="center"/>
        <w:rPr>
          <w:rFonts w:ascii="Century Gothic" w:hAnsi="Century Gothic"/>
          <w:b/>
          <w:sz w:val="24"/>
          <w:szCs w:val="24"/>
        </w:rPr>
      </w:pPr>
      <w:r>
        <w:rPr>
          <w:rFonts w:ascii="Century Gothic" w:hAnsi="Century Gothic"/>
          <w:b/>
          <w:sz w:val="24"/>
          <w:szCs w:val="24"/>
        </w:rPr>
        <w:t>1. ANTECEDENTES</w:t>
      </w:r>
    </w:p>
    <w:p w:rsidR="00A3487C" w:rsidRDefault="00A3487C">
      <w:pPr>
        <w:pStyle w:val="Sinespaciado"/>
      </w:pPr>
    </w:p>
    <w:p w:rsidR="00A3487C" w:rsidRDefault="001F168A">
      <w:pPr>
        <w:spacing w:after="0"/>
        <w:jc w:val="both"/>
        <w:rPr>
          <w:rFonts w:ascii="Century Gothic" w:hAnsi="Century Gothic"/>
          <w:sz w:val="24"/>
          <w:szCs w:val="24"/>
        </w:rPr>
      </w:pPr>
      <w:r>
        <w:rPr>
          <w:rFonts w:ascii="Century Gothic" w:hAnsi="Century Gothic"/>
          <w:sz w:val="24"/>
          <w:szCs w:val="24"/>
        </w:rPr>
        <w:t xml:space="preserve">El actor sustentó su solicitud en las siguientes premisas que tienen la </w:t>
      </w:r>
      <w:r w:rsidR="008A3158">
        <w:rPr>
          <w:rFonts w:ascii="Century Gothic" w:hAnsi="Century Gothic"/>
          <w:sz w:val="24"/>
          <w:szCs w:val="24"/>
        </w:rPr>
        <w:t>connotación</w:t>
      </w:r>
      <w:r>
        <w:rPr>
          <w:rFonts w:ascii="Century Gothic" w:hAnsi="Century Gothic"/>
          <w:sz w:val="24"/>
          <w:szCs w:val="24"/>
        </w:rPr>
        <w:t xml:space="preserve"> de hechos propiamente dichos: </w:t>
      </w:r>
    </w:p>
    <w:p w:rsidR="00A3487C" w:rsidRDefault="00A3487C">
      <w:pPr>
        <w:pStyle w:val="Sinespaciado"/>
      </w:pPr>
    </w:p>
    <w:p w:rsidR="00A3487C" w:rsidRDefault="001F168A">
      <w:pPr>
        <w:spacing w:after="0"/>
        <w:jc w:val="both"/>
        <w:rPr>
          <w:rFonts w:ascii="Century Gothic" w:hAnsi="Century Gothic"/>
          <w:b/>
          <w:sz w:val="24"/>
          <w:szCs w:val="24"/>
        </w:rPr>
      </w:pPr>
      <w:r>
        <w:rPr>
          <w:rFonts w:ascii="Century Gothic" w:hAnsi="Century Gothic"/>
          <w:b/>
          <w:sz w:val="24"/>
          <w:szCs w:val="24"/>
        </w:rPr>
        <w:t>1.1. Hechos</w:t>
      </w:r>
    </w:p>
    <w:p w:rsidR="00A3487C" w:rsidRDefault="00A3487C">
      <w:pPr>
        <w:pStyle w:val="Sinespaciado"/>
      </w:pPr>
    </w:p>
    <w:p w:rsidR="00A3487C" w:rsidRDefault="001F168A">
      <w:pPr>
        <w:spacing w:after="0"/>
        <w:jc w:val="both"/>
      </w:pPr>
      <w:r>
        <w:rPr>
          <w:rFonts w:ascii="Century Gothic" w:hAnsi="Century Gothic"/>
          <w:sz w:val="24"/>
          <w:szCs w:val="24"/>
          <w:lang w:val="es-CO"/>
        </w:rPr>
        <w:t>Entre la compañía Tu Recobro S.A.S. en calidad de contratista y la sociedad Greenex S.A.S. se suscribió contrato para el recobro de las prestaciones económicas que se encuentran a cargo de las diferentes EPS del país y a favor de Greenex S.A.S.</w:t>
      </w:r>
    </w:p>
    <w:p w:rsidR="00A3487C" w:rsidRDefault="00A3487C">
      <w:pPr>
        <w:spacing w:after="0" w:line="240" w:lineRule="auto"/>
        <w:jc w:val="both"/>
        <w:rPr>
          <w:rFonts w:ascii="Century Gothic" w:hAnsi="Century Gothic"/>
          <w:sz w:val="24"/>
          <w:szCs w:val="24"/>
          <w:lang w:val="es-CO"/>
        </w:rPr>
      </w:pPr>
    </w:p>
    <w:p w:rsidR="00A3487C" w:rsidRDefault="001F168A">
      <w:pPr>
        <w:spacing w:after="0"/>
        <w:jc w:val="both"/>
      </w:pPr>
      <w:r>
        <w:rPr>
          <w:rFonts w:ascii="Century Gothic" w:hAnsi="Century Gothic"/>
          <w:sz w:val="24"/>
          <w:szCs w:val="24"/>
          <w:lang w:val="es-CO"/>
        </w:rPr>
        <w:t>En desarrollo de dicho contrato, Tu Recobro S.A.S. radicó derecho de petición ante La Nueva EPS, el 11 de febrero de 2020, solicitando el pago de las prestaciones económicas a cargo de dicha entidad y en favor de Greenex S.A.S. por concepto de incapacidades y licencias pagadas a sus empleados y no reconocidas a dicha sociedad.</w:t>
      </w:r>
    </w:p>
    <w:p w:rsidR="00A3487C" w:rsidRDefault="00A3487C">
      <w:pPr>
        <w:spacing w:after="0" w:line="240" w:lineRule="auto"/>
        <w:jc w:val="both"/>
        <w:rPr>
          <w:rFonts w:ascii="Century Gothic" w:hAnsi="Century Gothic"/>
          <w:sz w:val="24"/>
          <w:szCs w:val="24"/>
          <w:lang w:val="es-CO"/>
        </w:rPr>
      </w:pPr>
    </w:p>
    <w:p w:rsidR="00A3487C" w:rsidRDefault="001F168A">
      <w:pPr>
        <w:spacing w:after="0"/>
        <w:jc w:val="both"/>
      </w:pPr>
      <w:r>
        <w:rPr>
          <w:rFonts w:ascii="Century Gothic" w:hAnsi="Century Gothic"/>
          <w:sz w:val="24"/>
          <w:szCs w:val="24"/>
          <w:lang w:val="es-CO"/>
        </w:rPr>
        <w:t>Dicha petición no fue resuelta de fondo, en tanto que pese a entregarse los estados de cuenta solicitados, no se hizo mención alguna a todo lo requerido en el numeral primero, segundo y tercero.</w:t>
      </w:r>
    </w:p>
    <w:p w:rsidR="00A3487C" w:rsidRDefault="00A3487C">
      <w:pPr>
        <w:spacing w:after="0"/>
        <w:jc w:val="both"/>
        <w:rPr>
          <w:rFonts w:ascii="Century Gothic" w:hAnsi="Century Gothic"/>
          <w:sz w:val="24"/>
          <w:szCs w:val="24"/>
          <w:lang w:val="es-CO"/>
        </w:rPr>
      </w:pPr>
    </w:p>
    <w:p w:rsidR="00A3487C" w:rsidRDefault="001F168A">
      <w:pPr>
        <w:spacing w:after="0"/>
        <w:jc w:val="both"/>
      </w:pPr>
      <w:r>
        <w:rPr>
          <w:rFonts w:ascii="Century Gothic" w:hAnsi="Century Gothic"/>
          <w:sz w:val="24"/>
          <w:szCs w:val="24"/>
          <w:lang w:val="es-CO"/>
        </w:rPr>
        <w:t xml:space="preserve">A la fecha, La Nueva EPS no ha reconocido ni liquidado los valores correspondientes a incapacidades y licencias pagadas por Greenex S.A.S. a sus trabajadores y que corresponde asumir a dicha entidad promotora de salud. </w:t>
      </w:r>
    </w:p>
    <w:p w:rsidR="00A3487C" w:rsidRDefault="00A3487C">
      <w:pPr>
        <w:spacing w:after="0" w:line="240" w:lineRule="auto"/>
        <w:jc w:val="both"/>
        <w:rPr>
          <w:rFonts w:ascii="Century Gothic" w:hAnsi="Century Gothic"/>
          <w:sz w:val="24"/>
          <w:szCs w:val="24"/>
          <w:lang w:val="es-CO"/>
        </w:rPr>
      </w:pPr>
    </w:p>
    <w:p w:rsidR="00A3487C" w:rsidRDefault="001F168A">
      <w:pPr>
        <w:pStyle w:val="Prrafodelista"/>
        <w:numPr>
          <w:ilvl w:val="1"/>
          <w:numId w:val="1"/>
        </w:numPr>
        <w:spacing w:after="0" w:line="240" w:lineRule="auto"/>
        <w:contextualSpacing/>
        <w:jc w:val="both"/>
        <w:rPr>
          <w:rFonts w:ascii="Century Gothic" w:hAnsi="Century Gothic" w:cs="Arial"/>
          <w:b/>
          <w:sz w:val="24"/>
          <w:szCs w:val="24"/>
        </w:rPr>
      </w:pPr>
      <w:r>
        <w:rPr>
          <w:rFonts w:ascii="Century Gothic" w:hAnsi="Century Gothic" w:cs="Arial"/>
          <w:b/>
          <w:sz w:val="24"/>
          <w:szCs w:val="24"/>
        </w:rPr>
        <w:lastRenderedPageBreak/>
        <w:t>Pretensiones</w:t>
      </w:r>
    </w:p>
    <w:p w:rsidR="00A3487C" w:rsidRDefault="00A3487C">
      <w:pPr>
        <w:spacing w:after="0" w:line="240" w:lineRule="auto"/>
        <w:ind w:right="51"/>
        <w:jc w:val="both"/>
        <w:rPr>
          <w:rFonts w:ascii="Century Gothic" w:hAnsi="Century Gothic" w:cs="Arial"/>
          <w:i/>
          <w:sz w:val="24"/>
          <w:szCs w:val="24"/>
        </w:rPr>
      </w:pPr>
    </w:p>
    <w:p w:rsidR="00A3487C" w:rsidRDefault="001F168A">
      <w:pPr>
        <w:spacing w:after="0"/>
        <w:ind w:right="50"/>
        <w:jc w:val="both"/>
      </w:pPr>
      <w:r>
        <w:rPr>
          <w:rFonts w:ascii="Century Gothic" w:eastAsia="Century Gothic" w:hAnsi="Century Gothic" w:cs="Arial"/>
          <w:color w:val="000000" w:themeColor="text1"/>
          <w:sz w:val="24"/>
          <w:szCs w:val="24"/>
          <w:lang w:eastAsia="es-ES"/>
        </w:rPr>
        <w:t xml:space="preserve">Se amparen los derechos fundamentales de petición y mínimo vital en conexidad con el derecho a la seguridad social de la sociedad Greenex S.A.S., y se ordene a la Nueva EPS, cumplir los términos dictados en la Ley 1755 de 2015 y el </w:t>
      </w:r>
      <w:r w:rsidR="0004088B">
        <w:rPr>
          <w:rFonts w:ascii="Century Gothic" w:eastAsia="Century Gothic" w:hAnsi="Century Gothic" w:cs="Arial"/>
          <w:color w:val="000000" w:themeColor="text1"/>
          <w:sz w:val="24"/>
          <w:szCs w:val="24"/>
          <w:lang w:eastAsia="es-ES"/>
        </w:rPr>
        <w:t>artículo</w:t>
      </w:r>
      <w:r>
        <w:rPr>
          <w:rFonts w:ascii="Century Gothic" w:eastAsia="Century Gothic" w:hAnsi="Century Gothic" w:cs="Arial"/>
          <w:color w:val="000000" w:themeColor="text1"/>
          <w:sz w:val="24"/>
          <w:szCs w:val="24"/>
          <w:lang w:eastAsia="es-ES"/>
        </w:rPr>
        <w:t xml:space="preserve"> 24 del Decreto 4023 de 2011, dan</w:t>
      </w:r>
      <w:r w:rsidR="0004088B">
        <w:rPr>
          <w:rFonts w:ascii="Century Gothic" w:eastAsia="Century Gothic" w:hAnsi="Century Gothic" w:cs="Arial"/>
          <w:color w:val="000000" w:themeColor="text1"/>
          <w:sz w:val="24"/>
          <w:szCs w:val="24"/>
          <w:lang w:eastAsia="es-ES"/>
        </w:rPr>
        <w:t>d</w:t>
      </w:r>
      <w:r>
        <w:rPr>
          <w:rFonts w:ascii="Century Gothic" w:eastAsia="Century Gothic" w:hAnsi="Century Gothic" w:cs="Arial"/>
          <w:color w:val="000000" w:themeColor="text1"/>
          <w:sz w:val="24"/>
          <w:szCs w:val="24"/>
          <w:lang w:eastAsia="es-ES"/>
        </w:rPr>
        <w:t>o respuesta a cada uno de los puntos del derecho de petición radicado.</w:t>
      </w:r>
    </w:p>
    <w:p w:rsidR="00A3487C" w:rsidRDefault="00A3487C">
      <w:pPr>
        <w:spacing w:after="0"/>
        <w:ind w:right="50"/>
        <w:jc w:val="both"/>
        <w:rPr>
          <w:rFonts w:ascii="Century Gothic" w:eastAsia="Century Gothic" w:hAnsi="Century Gothic" w:cs="Arial"/>
          <w:color w:val="000000" w:themeColor="text1"/>
          <w:sz w:val="24"/>
          <w:szCs w:val="24"/>
          <w:lang w:eastAsia="es-ES"/>
        </w:rPr>
      </w:pPr>
    </w:p>
    <w:p w:rsidR="00A3487C" w:rsidRDefault="001F168A">
      <w:pPr>
        <w:spacing w:after="0"/>
        <w:ind w:right="50"/>
        <w:jc w:val="both"/>
      </w:pPr>
      <w:r>
        <w:rPr>
          <w:rFonts w:ascii="Century Gothic" w:eastAsia="Century Gothic" w:hAnsi="Century Gothic" w:cs="Arial"/>
          <w:color w:val="000000" w:themeColor="text1"/>
          <w:sz w:val="24"/>
          <w:szCs w:val="24"/>
          <w:lang w:eastAsia="es-ES"/>
        </w:rPr>
        <w:t xml:space="preserve">Así mismo, se ordene a la Superintendencia Nacional de Salud, adelante en contra de la Nueva EPS las actuaciones administrativas por el incumplimiento de la Nueva EPS de sus obligaciones legales, además de todas aquellas necesarias para lograr el cese de la </w:t>
      </w:r>
      <w:r w:rsidR="0004088B">
        <w:rPr>
          <w:rFonts w:ascii="Century Gothic" w:eastAsia="Century Gothic" w:hAnsi="Century Gothic" w:cs="Arial"/>
          <w:color w:val="000000" w:themeColor="text1"/>
          <w:sz w:val="24"/>
          <w:szCs w:val="24"/>
          <w:lang w:eastAsia="es-ES"/>
        </w:rPr>
        <w:t>vulneración</w:t>
      </w:r>
      <w:r>
        <w:rPr>
          <w:rFonts w:ascii="Century Gothic" w:eastAsia="Century Gothic" w:hAnsi="Century Gothic" w:cs="Arial"/>
          <w:color w:val="000000" w:themeColor="text1"/>
          <w:sz w:val="24"/>
          <w:szCs w:val="24"/>
          <w:lang w:eastAsia="es-ES"/>
        </w:rPr>
        <w:t xml:space="preserve"> de los derechos </w:t>
      </w:r>
      <w:r w:rsidR="0004088B">
        <w:rPr>
          <w:rFonts w:ascii="Century Gothic" w:eastAsia="Century Gothic" w:hAnsi="Century Gothic" w:cs="Arial"/>
          <w:color w:val="000000" w:themeColor="text1"/>
          <w:sz w:val="24"/>
          <w:szCs w:val="24"/>
          <w:lang w:eastAsia="es-ES"/>
        </w:rPr>
        <w:t>fundamentales</w:t>
      </w:r>
      <w:r>
        <w:rPr>
          <w:rFonts w:ascii="Century Gothic" w:eastAsia="Century Gothic" w:hAnsi="Century Gothic" w:cs="Arial"/>
          <w:color w:val="000000" w:themeColor="text1"/>
          <w:sz w:val="24"/>
          <w:szCs w:val="24"/>
          <w:lang w:eastAsia="es-ES"/>
        </w:rPr>
        <w:t xml:space="preserve"> de Greenex S.A.S.</w:t>
      </w:r>
    </w:p>
    <w:p w:rsidR="00A3487C" w:rsidRDefault="00A3487C">
      <w:pPr>
        <w:spacing w:after="0" w:line="240" w:lineRule="auto"/>
        <w:ind w:left="284" w:right="284"/>
        <w:jc w:val="both"/>
        <w:rPr>
          <w:rFonts w:ascii="Century Gothic" w:hAnsi="Century Gothic" w:cs="Arial"/>
          <w:i/>
          <w:sz w:val="24"/>
          <w:szCs w:val="24"/>
        </w:rPr>
      </w:pPr>
    </w:p>
    <w:p w:rsidR="00A3487C" w:rsidRDefault="001F168A">
      <w:pPr>
        <w:spacing w:after="0" w:line="240" w:lineRule="auto"/>
        <w:ind w:right="510"/>
        <w:jc w:val="both"/>
        <w:rPr>
          <w:rFonts w:ascii="Century Gothic" w:hAnsi="Century Gothic" w:cs="Arial"/>
          <w:b/>
          <w:sz w:val="24"/>
          <w:szCs w:val="24"/>
        </w:rPr>
      </w:pPr>
      <w:r>
        <w:rPr>
          <w:rFonts w:ascii="Century Gothic" w:hAnsi="Century Gothic" w:cs="Arial"/>
          <w:b/>
          <w:sz w:val="24"/>
          <w:szCs w:val="24"/>
        </w:rPr>
        <w:t xml:space="preserve">1.3 </w:t>
      </w:r>
      <w:r>
        <w:rPr>
          <w:rFonts w:ascii="Century Gothic" w:hAnsi="Century Gothic" w:cs="Arial"/>
          <w:b/>
          <w:sz w:val="24"/>
          <w:szCs w:val="24"/>
          <w:lang w:val="es-CO"/>
        </w:rPr>
        <w:t>Derechos invocados como vulnerados</w:t>
      </w:r>
    </w:p>
    <w:p w:rsidR="00A3487C" w:rsidRDefault="00A3487C">
      <w:pPr>
        <w:spacing w:after="0" w:line="240" w:lineRule="auto"/>
        <w:jc w:val="both"/>
        <w:rPr>
          <w:rFonts w:ascii="Century Gothic" w:hAnsi="Century Gothic" w:cs="Arial"/>
          <w:b/>
          <w:sz w:val="24"/>
          <w:szCs w:val="24"/>
          <w:lang w:val="es-CO"/>
        </w:rPr>
      </w:pPr>
    </w:p>
    <w:p w:rsidR="00A3487C" w:rsidRDefault="001F168A">
      <w:pPr>
        <w:spacing w:after="0"/>
        <w:jc w:val="both"/>
      </w:pPr>
      <w:r>
        <w:rPr>
          <w:rFonts w:ascii="Century Gothic" w:hAnsi="Century Gothic" w:cs="Arial"/>
          <w:sz w:val="24"/>
          <w:szCs w:val="24"/>
          <w:lang w:val="es-CO"/>
        </w:rPr>
        <w:t>La accionante sost</w:t>
      </w:r>
      <w:r w:rsidR="0004088B">
        <w:rPr>
          <w:rFonts w:ascii="Century Gothic" w:hAnsi="Century Gothic" w:cs="Arial"/>
          <w:sz w:val="24"/>
          <w:szCs w:val="24"/>
          <w:lang w:val="es-CO"/>
        </w:rPr>
        <w:t>iene</w:t>
      </w:r>
      <w:r>
        <w:rPr>
          <w:rFonts w:ascii="Century Gothic" w:hAnsi="Century Gothic" w:cs="Arial"/>
          <w:sz w:val="24"/>
          <w:szCs w:val="24"/>
          <w:lang w:val="es-CO"/>
        </w:rPr>
        <w:t xml:space="preserve"> que </w:t>
      </w:r>
      <w:r>
        <w:rPr>
          <w:rFonts w:ascii="Century Gothic" w:hAnsi="Century Gothic" w:cs="Arial"/>
          <w:sz w:val="24"/>
          <w:szCs w:val="24"/>
        </w:rPr>
        <w:t>las convocadas vulneraron sus derechos fundamentales de petición, debido proceso, y mínimo vital en conexidad con el dere</w:t>
      </w:r>
      <w:r w:rsidR="0004088B">
        <w:rPr>
          <w:rFonts w:ascii="Century Gothic" w:hAnsi="Century Gothic" w:cs="Arial"/>
          <w:sz w:val="24"/>
          <w:szCs w:val="24"/>
        </w:rPr>
        <w:t>c</w:t>
      </w:r>
      <w:r>
        <w:rPr>
          <w:rFonts w:ascii="Century Gothic" w:hAnsi="Century Gothic" w:cs="Arial"/>
          <w:sz w:val="24"/>
          <w:szCs w:val="24"/>
        </w:rPr>
        <w:t>ho a la seguridad social de la sociedad Greenex S.A.S.</w:t>
      </w:r>
    </w:p>
    <w:p w:rsidR="00A3487C" w:rsidRDefault="00A3487C">
      <w:pPr>
        <w:spacing w:after="0" w:line="240" w:lineRule="auto"/>
        <w:jc w:val="both"/>
        <w:rPr>
          <w:rFonts w:ascii="Century Gothic" w:hAnsi="Century Gothic" w:cs="Arial"/>
          <w:sz w:val="24"/>
          <w:szCs w:val="24"/>
        </w:rPr>
      </w:pPr>
    </w:p>
    <w:p w:rsidR="00A3487C" w:rsidRDefault="001F168A">
      <w:pPr>
        <w:spacing w:after="0" w:line="240" w:lineRule="auto"/>
        <w:jc w:val="both"/>
        <w:rPr>
          <w:rFonts w:ascii="Century Gothic" w:hAnsi="Century Gothic" w:cs="Arial"/>
          <w:b/>
          <w:sz w:val="24"/>
          <w:szCs w:val="24"/>
          <w:lang w:val="es-CO"/>
        </w:rPr>
      </w:pPr>
      <w:r>
        <w:rPr>
          <w:rFonts w:ascii="Century Gothic" w:hAnsi="Century Gothic" w:cs="Arial"/>
          <w:b/>
          <w:sz w:val="24"/>
          <w:szCs w:val="24"/>
          <w:lang w:val="es-CO"/>
        </w:rPr>
        <w:t>1.4 Trámite procesal.</w:t>
      </w:r>
    </w:p>
    <w:p w:rsidR="00A3487C" w:rsidRDefault="00A3487C">
      <w:pPr>
        <w:spacing w:after="0" w:line="240" w:lineRule="auto"/>
        <w:ind w:left="765"/>
        <w:jc w:val="both"/>
        <w:rPr>
          <w:rFonts w:ascii="Century Gothic" w:hAnsi="Century Gothic" w:cs="Arial"/>
          <w:b/>
          <w:sz w:val="24"/>
          <w:szCs w:val="24"/>
          <w:lang w:val="es-CO"/>
        </w:rPr>
      </w:pPr>
    </w:p>
    <w:p w:rsidR="00A3487C" w:rsidRDefault="001F168A">
      <w:pPr>
        <w:spacing w:after="0"/>
        <w:jc w:val="both"/>
      </w:pPr>
      <w:r>
        <w:rPr>
          <w:rFonts w:ascii="Century Gothic" w:hAnsi="Century Gothic" w:cs="Arial"/>
          <w:color w:val="000000" w:themeColor="text1"/>
          <w:sz w:val="24"/>
          <w:szCs w:val="24"/>
          <w:lang w:val="es-CO"/>
        </w:rPr>
        <w:t xml:space="preserve">Mediante acta individual de reparto, </w:t>
      </w:r>
      <w:r>
        <w:rPr>
          <w:rFonts w:ascii="Century Gothic" w:eastAsia="Calibri" w:hAnsi="Century Gothic" w:cs="Arial"/>
          <w:color w:val="000000" w:themeColor="text1"/>
          <w:sz w:val="24"/>
          <w:szCs w:val="24"/>
          <w:lang w:val="es-CO"/>
        </w:rPr>
        <w:t>del 31 de marzo de 2020</w:t>
      </w:r>
      <w:r>
        <w:rPr>
          <w:rFonts w:ascii="Century Gothic" w:hAnsi="Century Gothic" w:cs="Arial"/>
          <w:color w:val="000000" w:themeColor="text1"/>
          <w:sz w:val="24"/>
          <w:szCs w:val="24"/>
          <w:lang w:val="es-CO"/>
        </w:rPr>
        <w:t xml:space="preserve">, correspondió a este Despacho el conocimiento de la presente acción de tutela, la cual fue admitida </w:t>
      </w:r>
      <w:r w:rsidR="00425AD9">
        <w:rPr>
          <w:rFonts w:ascii="Century Gothic" w:hAnsi="Century Gothic" w:cs="Arial"/>
          <w:color w:val="000000" w:themeColor="text1"/>
          <w:sz w:val="24"/>
          <w:szCs w:val="24"/>
          <w:lang w:val="es-CO"/>
        </w:rPr>
        <w:t>por</w:t>
      </w:r>
      <w:r>
        <w:rPr>
          <w:rFonts w:ascii="Century Gothic" w:hAnsi="Century Gothic" w:cs="Arial"/>
          <w:color w:val="000000" w:themeColor="text1"/>
          <w:sz w:val="24"/>
          <w:szCs w:val="24"/>
          <w:lang w:val="es-CO"/>
        </w:rPr>
        <w:t xml:space="preserve"> auto del 2 de </w:t>
      </w:r>
      <w:r>
        <w:rPr>
          <w:rFonts w:ascii="Century Gothic" w:eastAsia="Calibri" w:hAnsi="Century Gothic" w:cs="Arial"/>
          <w:color w:val="000000" w:themeColor="text1"/>
          <w:sz w:val="24"/>
          <w:szCs w:val="24"/>
          <w:lang w:val="es-CO"/>
        </w:rPr>
        <w:t>abril</w:t>
      </w:r>
      <w:r>
        <w:rPr>
          <w:rFonts w:ascii="Century Gothic" w:hAnsi="Century Gothic" w:cs="Arial"/>
          <w:color w:val="000000" w:themeColor="text1"/>
          <w:sz w:val="24"/>
          <w:szCs w:val="24"/>
          <w:lang w:val="es-CO"/>
        </w:rPr>
        <w:t xml:space="preserve"> de 2020, providencia que fue notificada vía correo electrónico a las entidades accionadas. </w:t>
      </w:r>
    </w:p>
    <w:p w:rsidR="00A3487C" w:rsidRDefault="00A3487C">
      <w:pPr>
        <w:spacing w:after="0"/>
        <w:jc w:val="both"/>
        <w:rPr>
          <w:rFonts w:ascii="Century Gothic" w:eastAsia="Batang;바탕" w:hAnsi="Century Gothic" w:cs="Century Gothic"/>
          <w:sz w:val="24"/>
          <w:szCs w:val="24"/>
          <w:lang w:eastAsia="es-MX"/>
        </w:rPr>
      </w:pPr>
    </w:p>
    <w:p w:rsidR="00A3487C" w:rsidRDefault="001F168A">
      <w:pPr>
        <w:spacing w:after="0"/>
        <w:jc w:val="both"/>
      </w:pPr>
      <w:r>
        <w:rPr>
          <w:rFonts w:ascii="Century Gothic" w:hAnsi="Century Gothic" w:cs="Century Gothic"/>
          <w:sz w:val="24"/>
          <w:szCs w:val="24"/>
          <w:lang w:val="es-CO"/>
        </w:rPr>
        <w:t>En dicho proveído, se requirió a la accionante para que allegara documento que acredite la representación legal del poderdante, so pena de declarar la falta de legitimación en la causa por activa, se ordenó correr traslado por el término de dos días, al Presidente de la Nueva EPS y al Superintendente Nacional de Salud, para que manifestaran lo de su cargo y all</w:t>
      </w:r>
      <w:r w:rsidR="00425AD9">
        <w:rPr>
          <w:rFonts w:ascii="Century Gothic" w:hAnsi="Century Gothic" w:cs="Century Gothic"/>
          <w:sz w:val="24"/>
          <w:szCs w:val="24"/>
          <w:lang w:val="es-CO"/>
        </w:rPr>
        <w:t>egaran las pruebas que considerara</w:t>
      </w:r>
      <w:r>
        <w:rPr>
          <w:rFonts w:ascii="Century Gothic" w:hAnsi="Century Gothic" w:cs="Century Gothic"/>
          <w:sz w:val="24"/>
          <w:szCs w:val="24"/>
          <w:lang w:val="es-CO"/>
        </w:rPr>
        <w:t>n pertinentes.</w:t>
      </w:r>
    </w:p>
    <w:p w:rsidR="00A3487C" w:rsidRDefault="00A3487C">
      <w:pPr>
        <w:pStyle w:val="Sinespaciado"/>
        <w:rPr>
          <w:rFonts w:ascii="Century Gothic" w:hAnsi="Century Gothic" w:cs="Century Gothic"/>
          <w:sz w:val="24"/>
          <w:szCs w:val="24"/>
          <w:lang w:val="es-CO"/>
        </w:rPr>
      </w:pPr>
    </w:p>
    <w:p w:rsidR="00A3487C" w:rsidRDefault="001F168A">
      <w:pPr>
        <w:spacing w:after="0"/>
        <w:jc w:val="both"/>
      </w:pPr>
      <w:r>
        <w:rPr>
          <w:rFonts w:ascii="Century Gothic" w:hAnsi="Century Gothic" w:cs="Century Gothic"/>
          <w:color w:val="000000" w:themeColor="text1"/>
          <w:sz w:val="24"/>
          <w:szCs w:val="24"/>
          <w:lang w:val="es-CO"/>
        </w:rPr>
        <w:t>Vencido el término otorgado, la sociedad Tu Recobro S.A.S. allegó certificado de existencia y representación legal de la sociedad Greenex S.A.S., y tanto la Superintendencia Nacional de Salud como la Nueva EPS rindieron el informe solicitado.</w:t>
      </w:r>
    </w:p>
    <w:p w:rsidR="00A3487C" w:rsidRDefault="00A3487C">
      <w:pPr>
        <w:pStyle w:val="Prrafodelista"/>
        <w:spacing w:after="0" w:line="240" w:lineRule="auto"/>
        <w:contextualSpacing/>
        <w:jc w:val="both"/>
        <w:rPr>
          <w:rFonts w:ascii="Century Gothic" w:hAnsi="Century Gothic" w:cs="Arial"/>
          <w:b/>
          <w:sz w:val="24"/>
          <w:szCs w:val="24"/>
          <w:lang w:val="es-CO"/>
        </w:rPr>
      </w:pPr>
    </w:p>
    <w:p w:rsidR="00A3487C" w:rsidRDefault="001F168A">
      <w:pPr>
        <w:pStyle w:val="Prrafodelista"/>
        <w:numPr>
          <w:ilvl w:val="1"/>
          <w:numId w:val="2"/>
        </w:numPr>
        <w:spacing w:after="0" w:line="240" w:lineRule="auto"/>
        <w:contextualSpacing/>
        <w:jc w:val="both"/>
        <w:rPr>
          <w:rFonts w:ascii="Century Gothic" w:hAnsi="Century Gothic" w:cs="Arial"/>
          <w:b/>
          <w:sz w:val="24"/>
          <w:szCs w:val="24"/>
          <w:lang w:val="es-CO"/>
        </w:rPr>
      </w:pPr>
      <w:r>
        <w:rPr>
          <w:rFonts w:ascii="Century Gothic" w:hAnsi="Century Gothic" w:cs="Arial"/>
          <w:b/>
          <w:sz w:val="24"/>
          <w:szCs w:val="24"/>
          <w:lang w:val="es-CO"/>
        </w:rPr>
        <w:t>Contestación de la acción</w:t>
      </w:r>
    </w:p>
    <w:p w:rsidR="00425AD9" w:rsidRDefault="00425AD9">
      <w:pPr>
        <w:spacing w:after="0"/>
        <w:jc w:val="both"/>
        <w:rPr>
          <w:rFonts w:ascii="Century Gothic" w:hAnsi="Century Gothic"/>
          <w:sz w:val="24"/>
          <w:szCs w:val="24"/>
        </w:rPr>
      </w:pPr>
    </w:p>
    <w:p w:rsidR="00A3487C" w:rsidRDefault="001F168A">
      <w:pPr>
        <w:spacing w:after="0"/>
        <w:jc w:val="both"/>
      </w:pPr>
      <w:r>
        <w:rPr>
          <w:rFonts w:ascii="Century Gothic" w:hAnsi="Century Gothic"/>
          <w:sz w:val="24"/>
          <w:szCs w:val="24"/>
        </w:rPr>
        <w:t xml:space="preserve">La </w:t>
      </w:r>
      <w:r>
        <w:rPr>
          <w:rFonts w:ascii="Century Gothic" w:hAnsi="Century Gothic"/>
          <w:b/>
          <w:bCs/>
          <w:sz w:val="24"/>
          <w:szCs w:val="24"/>
        </w:rPr>
        <w:t xml:space="preserve">NUEVA EPS </w:t>
      </w:r>
      <w:r>
        <w:rPr>
          <w:rFonts w:ascii="Century Gothic" w:hAnsi="Century Gothic"/>
          <w:sz w:val="24"/>
          <w:szCs w:val="24"/>
        </w:rPr>
        <w:t xml:space="preserve">informó en primer lugar que, de conformidad con la </w:t>
      </w:r>
      <w:r w:rsidRPr="00425AD9">
        <w:rPr>
          <w:rFonts w:ascii="Century Gothic" w:hAnsi="Century Gothic"/>
          <w:sz w:val="24"/>
          <w:szCs w:val="24"/>
        </w:rPr>
        <w:t xml:space="preserve">estructura organizacional de la entidad, </w:t>
      </w:r>
      <w:r w:rsidRPr="00425AD9">
        <w:rPr>
          <w:rFonts w:ascii="Century Gothic" w:hAnsi="Century Gothic" w:cs="Arial"/>
          <w:sz w:val="24"/>
          <w:szCs w:val="24"/>
        </w:rPr>
        <w:t>el responsable del cumplimiento</w:t>
      </w:r>
      <w:r>
        <w:rPr>
          <w:rFonts w:ascii="Century Gothic" w:hAnsi="Century Gothic" w:cs="Arial"/>
          <w:sz w:val="24"/>
          <w:szCs w:val="24"/>
        </w:rPr>
        <w:t xml:space="preserve"> del fallo de tutela que se deba emitir</w:t>
      </w:r>
      <w:r w:rsidR="00425AD9">
        <w:rPr>
          <w:rFonts w:ascii="Century Gothic" w:hAnsi="Century Gothic" w:cs="Arial"/>
          <w:sz w:val="24"/>
          <w:szCs w:val="24"/>
        </w:rPr>
        <w:t>,</w:t>
      </w:r>
      <w:r>
        <w:rPr>
          <w:rFonts w:ascii="Century Gothic" w:hAnsi="Century Gothic" w:cs="Arial"/>
          <w:sz w:val="24"/>
          <w:szCs w:val="24"/>
        </w:rPr>
        <w:t xml:space="preserve"> e</w:t>
      </w:r>
      <w:r w:rsidR="00425AD9">
        <w:rPr>
          <w:rFonts w:ascii="Century Gothic" w:hAnsi="Century Gothic" w:cs="Arial"/>
          <w:sz w:val="24"/>
          <w:szCs w:val="24"/>
        </w:rPr>
        <w:t>n</w:t>
      </w:r>
      <w:r>
        <w:rPr>
          <w:rFonts w:ascii="Century Gothic" w:hAnsi="Century Gothic" w:cs="Arial"/>
          <w:sz w:val="24"/>
          <w:szCs w:val="24"/>
        </w:rPr>
        <w:t xml:space="preserve"> el presente caso corresponde </w:t>
      </w:r>
      <w:r>
        <w:rPr>
          <w:rFonts w:ascii="Arial" w:hAnsi="Arial" w:cs="Arial"/>
          <w:sz w:val="24"/>
          <w:szCs w:val="24"/>
        </w:rPr>
        <w:t xml:space="preserve">al </w:t>
      </w:r>
      <w:r>
        <w:rPr>
          <w:rFonts w:ascii="Century Gothic" w:hAnsi="Century Gothic" w:cs="Arial"/>
          <w:sz w:val="24"/>
          <w:szCs w:val="24"/>
        </w:rPr>
        <w:t xml:space="preserve">director de prestaciones económicas, doctor César Alfonso Grimaldo Duque, y su </w:t>
      </w:r>
      <w:r>
        <w:rPr>
          <w:rFonts w:ascii="Century Gothic" w:hAnsi="Century Gothic" w:cs="Arial"/>
          <w:sz w:val="24"/>
          <w:szCs w:val="24"/>
        </w:rPr>
        <w:lastRenderedPageBreak/>
        <w:t>superior jerárquico</w:t>
      </w:r>
      <w:r w:rsidR="00425AD9">
        <w:rPr>
          <w:rFonts w:ascii="Century Gothic" w:hAnsi="Century Gothic" w:cs="Arial"/>
          <w:sz w:val="24"/>
          <w:szCs w:val="24"/>
        </w:rPr>
        <w:t>,</w:t>
      </w:r>
      <w:r>
        <w:rPr>
          <w:rFonts w:ascii="Century Gothic" w:hAnsi="Century Gothic" w:cs="Arial"/>
          <w:sz w:val="24"/>
          <w:szCs w:val="24"/>
        </w:rPr>
        <w:t xml:space="preserve"> gerente de recaudo y compensación, doctor</w:t>
      </w:r>
      <w:r>
        <w:rPr>
          <w:rFonts w:ascii="Century Gothic" w:hAnsi="Century Gothic" w:cs="Arial"/>
          <w:b/>
          <w:sz w:val="24"/>
          <w:szCs w:val="24"/>
        </w:rPr>
        <w:t xml:space="preserve"> </w:t>
      </w:r>
      <w:r>
        <w:rPr>
          <w:rFonts w:ascii="Century Gothic" w:hAnsi="Century Gothic" w:cs="Arial"/>
          <w:sz w:val="24"/>
          <w:szCs w:val="24"/>
        </w:rPr>
        <w:t xml:space="preserve">Seird </w:t>
      </w:r>
      <w:r w:rsidR="008A3158">
        <w:rPr>
          <w:rFonts w:ascii="Century Gothic" w:hAnsi="Century Gothic" w:cs="Arial"/>
          <w:sz w:val="24"/>
          <w:szCs w:val="24"/>
        </w:rPr>
        <w:t>Núñez</w:t>
      </w:r>
      <w:r>
        <w:rPr>
          <w:rFonts w:ascii="Century Gothic" w:hAnsi="Century Gothic" w:cs="Arial"/>
          <w:sz w:val="24"/>
          <w:szCs w:val="24"/>
        </w:rPr>
        <w:t xml:space="preserve"> Gallo. </w:t>
      </w:r>
    </w:p>
    <w:p w:rsidR="00A3487C" w:rsidRDefault="00A3487C">
      <w:pPr>
        <w:spacing w:after="0"/>
        <w:jc w:val="both"/>
        <w:rPr>
          <w:rFonts w:ascii="Century Gothic" w:hAnsi="Century Gothic"/>
          <w:sz w:val="24"/>
          <w:szCs w:val="24"/>
        </w:rPr>
      </w:pPr>
    </w:p>
    <w:p w:rsidR="00A3487C" w:rsidRDefault="001F168A">
      <w:pPr>
        <w:spacing w:after="0"/>
        <w:jc w:val="both"/>
      </w:pPr>
      <w:r>
        <w:rPr>
          <w:rFonts w:ascii="Century Gothic" w:hAnsi="Century Gothic"/>
          <w:sz w:val="24"/>
          <w:szCs w:val="24"/>
        </w:rPr>
        <w:t xml:space="preserve">Por otro lado, solicita se niegue el amparo </w:t>
      </w:r>
      <w:r w:rsidR="00425AD9">
        <w:rPr>
          <w:rFonts w:ascii="Century Gothic" w:hAnsi="Century Gothic"/>
          <w:sz w:val="24"/>
          <w:szCs w:val="24"/>
        </w:rPr>
        <w:t xml:space="preserve">solicitado, pues considera que </w:t>
      </w:r>
      <w:r>
        <w:rPr>
          <w:rFonts w:ascii="Century Gothic" w:hAnsi="Century Gothic"/>
          <w:sz w:val="24"/>
          <w:szCs w:val="24"/>
        </w:rPr>
        <w:t>existe</w:t>
      </w:r>
      <w:r w:rsidR="00425AD9">
        <w:rPr>
          <w:rFonts w:ascii="Century Gothic" w:hAnsi="Century Gothic"/>
          <w:sz w:val="24"/>
          <w:szCs w:val="24"/>
        </w:rPr>
        <w:t xml:space="preserve"> falta de legitimación en la ca</w:t>
      </w:r>
      <w:r>
        <w:rPr>
          <w:rFonts w:ascii="Century Gothic" w:hAnsi="Century Gothic"/>
          <w:sz w:val="24"/>
          <w:szCs w:val="24"/>
        </w:rPr>
        <w:t>u</w:t>
      </w:r>
      <w:r w:rsidR="00425AD9">
        <w:rPr>
          <w:rFonts w:ascii="Century Gothic" w:hAnsi="Century Gothic"/>
          <w:sz w:val="24"/>
          <w:szCs w:val="24"/>
        </w:rPr>
        <w:t>s</w:t>
      </w:r>
      <w:r>
        <w:rPr>
          <w:rFonts w:ascii="Century Gothic" w:hAnsi="Century Gothic"/>
          <w:sz w:val="24"/>
          <w:szCs w:val="24"/>
        </w:rPr>
        <w:t xml:space="preserve">a por activa, en tanto que </w:t>
      </w:r>
      <w:r w:rsidR="00425AD9">
        <w:rPr>
          <w:rFonts w:ascii="Century Gothic" w:hAnsi="Century Gothic"/>
          <w:sz w:val="24"/>
          <w:szCs w:val="24"/>
        </w:rPr>
        <w:t>tratándose</w:t>
      </w:r>
      <w:r>
        <w:rPr>
          <w:rFonts w:ascii="Century Gothic" w:hAnsi="Century Gothic"/>
          <w:sz w:val="24"/>
          <w:szCs w:val="24"/>
        </w:rPr>
        <w:t xml:space="preserve"> </w:t>
      </w:r>
      <w:r>
        <w:rPr>
          <w:rFonts w:ascii="Century Gothic" w:hAnsi="Century Gothic" w:cs="Arial"/>
          <w:sz w:val="24"/>
          <w:szCs w:val="24"/>
        </w:rPr>
        <w:t xml:space="preserve">de personas jurídicas, las mismas solo podrán actuar mediante su representante legal o apoderado judicial debidamente facultado para </w:t>
      </w:r>
      <w:r w:rsidR="00425AD9">
        <w:rPr>
          <w:rFonts w:ascii="Century Gothic" w:hAnsi="Century Gothic" w:cs="Arial"/>
          <w:sz w:val="24"/>
          <w:szCs w:val="24"/>
        </w:rPr>
        <w:t>ejercer</w:t>
      </w:r>
      <w:r>
        <w:rPr>
          <w:rFonts w:ascii="Century Gothic" w:hAnsi="Century Gothic" w:cs="Arial"/>
          <w:sz w:val="24"/>
          <w:szCs w:val="24"/>
        </w:rPr>
        <w:t xml:space="preserve"> representación, esto es, con poder que debe expresar de forma clara los nombres y datos de id</w:t>
      </w:r>
      <w:r w:rsidR="00425AD9">
        <w:rPr>
          <w:rFonts w:ascii="Century Gothic" w:hAnsi="Century Gothic" w:cs="Arial"/>
          <w:sz w:val="24"/>
          <w:szCs w:val="24"/>
        </w:rPr>
        <w:t>entificación tanto del poder</w:t>
      </w:r>
      <w:r>
        <w:rPr>
          <w:rFonts w:ascii="Century Gothic" w:hAnsi="Century Gothic" w:cs="Arial"/>
          <w:sz w:val="24"/>
          <w:szCs w:val="24"/>
        </w:rPr>
        <w:t>dante como del apoderado, la persona natural o jurídica contra la cual se va a incoar la acción de Tutela, el acto o documento causa del litigio y el derecho fundamental que se pretende proteger, así como debe ser otorgado a</w:t>
      </w:r>
      <w:r w:rsidR="00425AD9">
        <w:rPr>
          <w:rFonts w:ascii="Century Gothic" w:hAnsi="Century Gothic" w:cs="Arial"/>
          <w:sz w:val="24"/>
          <w:szCs w:val="24"/>
        </w:rPr>
        <w:t xml:space="preserve"> un profesional de derecho acredi</w:t>
      </w:r>
      <w:r>
        <w:rPr>
          <w:rFonts w:ascii="Century Gothic" w:hAnsi="Century Gothic" w:cs="Arial"/>
          <w:sz w:val="24"/>
          <w:szCs w:val="24"/>
        </w:rPr>
        <w:t xml:space="preserve">tado. </w:t>
      </w:r>
    </w:p>
    <w:p w:rsidR="00A3487C" w:rsidRDefault="00A3487C">
      <w:pPr>
        <w:tabs>
          <w:tab w:val="left" w:pos="709"/>
        </w:tabs>
        <w:spacing w:after="29"/>
        <w:ind w:left="360"/>
        <w:rPr>
          <w:rFonts w:ascii="Arial" w:hAnsi="Arial" w:cs="Arial"/>
        </w:rPr>
      </w:pPr>
    </w:p>
    <w:p w:rsidR="00A3487C" w:rsidRDefault="001F168A">
      <w:pPr>
        <w:spacing w:after="0"/>
        <w:jc w:val="both"/>
      </w:pPr>
      <w:r>
        <w:rPr>
          <w:rFonts w:ascii="Century Gothic" w:hAnsi="Century Gothic" w:cs="Arial"/>
          <w:sz w:val="24"/>
          <w:szCs w:val="24"/>
        </w:rPr>
        <w:t>No obstante, considera que el mandato conferido en el presente caso al señor Juan Carlos Machuca Vargas, omite los anteriores requisitos, toda vez que es un tercero que no reclama un derecho fundamental propio o de sus trabajadores, el mismo no es especifico, no se puntualiza el accionado, no menciona el derecho fundamental que se pretende hacer valer, ni se acredita la calidad de abogado.</w:t>
      </w:r>
    </w:p>
    <w:p w:rsidR="00A3487C" w:rsidRDefault="00A3487C">
      <w:pPr>
        <w:spacing w:after="0"/>
        <w:jc w:val="both"/>
        <w:rPr>
          <w:rFonts w:ascii="Arial" w:hAnsi="Arial" w:cs="Arial"/>
          <w:sz w:val="24"/>
          <w:szCs w:val="24"/>
        </w:rPr>
      </w:pPr>
    </w:p>
    <w:p w:rsidR="00A3487C" w:rsidRDefault="001F168A">
      <w:pPr>
        <w:spacing w:after="0"/>
        <w:jc w:val="both"/>
        <w:rPr>
          <w:rFonts w:ascii="Century Gothic" w:hAnsi="Century Gothic"/>
        </w:rPr>
      </w:pPr>
      <w:r>
        <w:rPr>
          <w:rFonts w:ascii="Century Gothic" w:hAnsi="Century Gothic" w:cs="Arial"/>
          <w:sz w:val="24"/>
          <w:szCs w:val="24"/>
        </w:rPr>
        <w:t xml:space="preserve">Finalmente, señala que no existe </w:t>
      </w:r>
      <w:r w:rsidR="00DF4C37">
        <w:rPr>
          <w:rFonts w:ascii="Century Gothic" w:hAnsi="Century Gothic" w:cs="Arial"/>
          <w:sz w:val="24"/>
          <w:szCs w:val="24"/>
        </w:rPr>
        <w:t>vulneración al derecho fu</w:t>
      </w:r>
      <w:r>
        <w:rPr>
          <w:rFonts w:ascii="Century Gothic" w:hAnsi="Century Gothic" w:cs="Arial"/>
          <w:sz w:val="24"/>
          <w:szCs w:val="24"/>
        </w:rPr>
        <w:t>n</w:t>
      </w:r>
      <w:r w:rsidR="00DF4C37">
        <w:rPr>
          <w:rFonts w:ascii="Century Gothic" w:hAnsi="Century Gothic" w:cs="Arial"/>
          <w:sz w:val="24"/>
          <w:szCs w:val="24"/>
        </w:rPr>
        <w:t>d</w:t>
      </w:r>
      <w:r>
        <w:rPr>
          <w:rFonts w:ascii="Century Gothic" w:hAnsi="Century Gothic" w:cs="Arial"/>
          <w:sz w:val="24"/>
          <w:szCs w:val="24"/>
        </w:rPr>
        <w:t xml:space="preserve">amental de petición, por cuanto de sus elementos </w:t>
      </w:r>
      <w:r w:rsidR="00DF4C37">
        <w:rPr>
          <w:rFonts w:ascii="Century Gothic" w:hAnsi="Century Gothic" w:cs="Arial"/>
          <w:sz w:val="24"/>
          <w:szCs w:val="24"/>
        </w:rPr>
        <w:t>esenciales</w:t>
      </w:r>
      <w:r>
        <w:rPr>
          <w:rFonts w:ascii="Century Gothic" w:hAnsi="Century Gothic" w:cs="Arial"/>
          <w:sz w:val="24"/>
          <w:szCs w:val="24"/>
        </w:rPr>
        <w:t xml:space="preserve"> no se deriva que la res</w:t>
      </w:r>
      <w:r w:rsidR="00DF4C37">
        <w:rPr>
          <w:rFonts w:ascii="Century Gothic" w:hAnsi="Century Gothic" w:cs="Arial"/>
          <w:sz w:val="24"/>
          <w:szCs w:val="24"/>
        </w:rPr>
        <w:t>p</w:t>
      </w:r>
      <w:r>
        <w:rPr>
          <w:rFonts w:ascii="Century Gothic" w:hAnsi="Century Gothic" w:cs="Arial"/>
          <w:sz w:val="24"/>
          <w:szCs w:val="24"/>
        </w:rPr>
        <w:t>uesta al mismo deba ser positiva a las pretensiones</w:t>
      </w:r>
      <w:r>
        <w:rPr>
          <w:rFonts w:ascii="Century Gothic" w:hAnsi="Century Gothic"/>
          <w:sz w:val="24"/>
          <w:szCs w:val="24"/>
          <w:lang w:val="es-CO"/>
        </w:rPr>
        <w:t>.</w:t>
      </w:r>
    </w:p>
    <w:p w:rsidR="00A3487C" w:rsidRDefault="00A3487C">
      <w:pPr>
        <w:pStyle w:val="Sinespaciado"/>
        <w:spacing w:line="276" w:lineRule="auto"/>
        <w:jc w:val="both"/>
        <w:rPr>
          <w:rFonts w:ascii="Century Gothic" w:hAnsi="Century Gothic"/>
          <w:sz w:val="24"/>
          <w:szCs w:val="24"/>
        </w:rPr>
      </w:pPr>
    </w:p>
    <w:p w:rsidR="00A3487C" w:rsidRDefault="001F168A">
      <w:pPr>
        <w:pStyle w:val="Sinespaciado"/>
        <w:spacing w:line="276" w:lineRule="auto"/>
        <w:jc w:val="both"/>
        <w:rPr>
          <w:rFonts w:ascii="Century Gothic" w:hAnsi="Century Gothic"/>
          <w:sz w:val="24"/>
          <w:szCs w:val="24"/>
        </w:rPr>
      </w:pPr>
      <w:r>
        <w:rPr>
          <w:rFonts w:ascii="Century Gothic" w:hAnsi="Century Gothic"/>
          <w:sz w:val="24"/>
          <w:szCs w:val="24"/>
        </w:rPr>
        <w:t xml:space="preserve">Por su parte, la </w:t>
      </w:r>
      <w:r>
        <w:rPr>
          <w:rFonts w:ascii="Century Gothic" w:hAnsi="Century Gothic"/>
          <w:b/>
          <w:bCs/>
          <w:sz w:val="24"/>
          <w:szCs w:val="24"/>
        </w:rPr>
        <w:t xml:space="preserve">Superintendencia Nacional de Salud </w:t>
      </w:r>
      <w:r>
        <w:rPr>
          <w:rFonts w:ascii="Century Gothic" w:hAnsi="Century Gothic"/>
          <w:sz w:val="24"/>
          <w:szCs w:val="24"/>
        </w:rPr>
        <w:t>señaló,</w:t>
      </w:r>
      <w:r w:rsidR="00DF4C37">
        <w:rPr>
          <w:rFonts w:ascii="Century Gothic" w:hAnsi="Century Gothic"/>
          <w:sz w:val="24"/>
          <w:szCs w:val="24"/>
        </w:rPr>
        <w:t xml:space="preserve"> previo recuento de la normativi</w:t>
      </w:r>
      <w:r>
        <w:rPr>
          <w:rFonts w:ascii="Century Gothic" w:hAnsi="Century Gothic"/>
          <w:sz w:val="24"/>
          <w:szCs w:val="24"/>
        </w:rPr>
        <w:t>dad en materia de aportes al sistema general de seguridad social en salud, reconocimiento, liquidación y pago de prestaciones económicas correspondientes a incapacidades laborales o comunes y licencias de maternidad y pater</w:t>
      </w:r>
      <w:r w:rsidR="00DF4C37">
        <w:rPr>
          <w:rFonts w:ascii="Century Gothic" w:hAnsi="Century Gothic"/>
          <w:sz w:val="24"/>
          <w:szCs w:val="24"/>
        </w:rPr>
        <w:t>n</w:t>
      </w:r>
      <w:r>
        <w:rPr>
          <w:rFonts w:ascii="Century Gothic" w:hAnsi="Century Gothic"/>
          <w:sz w:val="24"/>
          <w:szCs w:val="24"/>
        </w:rPr>
        <w:t xml:space="preserve">idad, que carece de legitimación en la casusa por pasiva frente a las pretensiones de la accionante, </w:t>
      </w:r>
      <w:r w:rsidR="00F72AEC">
        <w:rPr>
          <w:rFonts w:ascii="Century Gothic" w:hAnsi="Century Gothic"/>
          <w:sz w:val="24"/>
          <w:szCs w:val="24"/>
        </w:rPr>
        <w:t>pues</w:t>
      </w:r>
      <w:r>
        <w:rPr>
          <w:rFonts w:ascii="Century Gothic" w:hAnsi="Century Gothic"/>
          <w:sz w:val="24"/>
          <w:szCs w:val="24"/>
        </w:rPr>
        <w:t xml:space="preserve"> por un lado el dere</w:t>
      </w:r>
      <w:r w:rsidR="00DF4C37">
        <w:rPr>
          <w:rFonts w:ascii="Century Gothic" w:hAnsi="Century Gothic"/>
          <w:sz w:val="24"/>
          <w:szCs w:val="24"/>
        </w:rPr>
        <w:t>c</w:t>
      </w:r>
      <w:r>
        <w:rPr>
          <w:rFonts w:ascii="Century Gothic" w:hAnsi="Century Gothic"/>
          <w:sz w:val="24"/>
          <w:szCs w:val="24"/>
        </w:rPr>
        <w:t>ho de petición objeto de controversia no fue dirig</w:t>
      </w:r>
      <w:r w:rsidR="00DF4C37">
        <w:rPr>
          <w:rFonts w:ascii="Century Gothic" w:hAnsi="Century Gothic"/>
          <w:sz w:val="24"/>
          <w:szCs w:val="24"/>
        </w:rPr>
        <w:t>id</w:t>
      </w:r>
      <w:r>
        <w:rPr>
          <w:rFonts w:ascii="Century Gothic" w:hAnsi="Century Gothic"/>
          <w:sz w:val="24"/>
          <w:szCs w:val="24"/>
        </w:rPr>
        <w:t>o a dicha entidad, ni tampoc</w:t>
      </w:r>
      <w:r w:rsidR="00DF4C37">
        <w:rPr>
          <w:rFonts w:ascii="Century Gothic" w:hAnsi="Century Gothic"/>
          <w:sz w:val="24"/>
          <w:szCs w:val="24"/>
        </w:rPr>
        <w:t>o</w:t>
      </w:r>
      <w:r>
        <w:rPr>
          <w:rFonts w:ascii="Century Gothic" w:hAnsi="Century Gothic"/>
          <w:sz w:val="24"/>
          <w:szCs w:val="24"/>
        </w:rPr>
        <w:t xml:space="preserve"> esta es</w:t>
      </w:r>
      <w:r w:rsidR="00F72AEC">
        <w:rPr>
          <w:rFonts w:ascii="Century Gothic" w:hAnsi="Century Gothic"/>
          <w:sz w:val="24"/>
          <w:szCs w:val="24"/>
        </w:rPr>
        <w:t xml:space="preserve"> el</w:t>
      </w:r>
      <w:r>
        <w:rPr>
          <w:rFonts w:ascii="Century Gothic" w:hAnsi="Century Gothic"/>
          <w:sz w:val="24"/>
          <w:szCs w:val="24"/>
        </w:rPr>
        <w:t xml:space="preserve"> superior </w:t>
      </w:r>
      <w:r w:rsidR="00F72AEC">
        <w:rPr>
          <w:rFonts w:ascii="Century Gothic" w:hAnsi="Century Gothic"/>
          <w:sz w:val="24"/>
          <w:szCs w:val="24"/>
        </w:rPr>
        <w:t>jerárquico</w:t>
      </w:r>
      <w:r>
        <w:rPr>
          <w:rFonts w:ascii="Century Gothic" w:hAnsi="Century Gothic"/>
          <w:sz w:val="24"/>
          <w:szCs w:val="24"/>
        </w:rPr>
        <w:t xml:space="preserve"> de las entidades frente a las cuales ejerce inspección, vigilancia y control, y por otro,</w:t>
      </w:r>
      <w:r w:rsidR="00F72AEC">
        <w:rPr>
          <w:rFonts w:ascii="Century Gothic" w:hAnsi="Century Gothic"/>
          <w:sz w:val="24"/>
          <w:szCs w:val="24"/>
        </w:rPr>
        <w:t xml:space="preserve"> porque señala que de conformidad</w:t>
      </w:r>
      <w:r>
        <w:rPr>
          <w:rFonts w:ascii="Century Gothic" w:hAnsi="Century Gothic"/>
          <w:sz w:val="24"/>
          <w:szCs w:val="24"/>
        </w:rPr>
        <w:t xml:space="preserve"> con lo dispuesto en el artículo 6 de la Ley 1949 de 2019</w:t>
      </w:r>
      <w:r w:rsidR="00F72AEC">
        <w:rPr>
          <w:rFonts w:ascii="Century Gothic" w:hAnsi="Century Gothic"/>
          <w:sz w:val="24"/>
          <w:szCs w:val="24"/>
        </w:rPr>
        <w:t>,</w:t>
      </w:r>
      <w:r>
        <w:rPr>
          <w:rFonts w:ascii="Century Gothic" w:hAnsi="Century Gothic"/>
          <w:sz w:val="24"/>
          <w:szCs w:val="24"/>
        </w:rPr>
        <w:t xml:space="preserve"> no está dentro de las funciones jurisdiccionales de la Superintendencia Nacional de Salud, el conocer y decidir sobre el reconocimiento y pago de prestaciones económicas por parte de las EPS o del empleador.</w:t>
      </w:r>
    </w:p>
    <w:p w:rsidR="00A3487C" w:rsidRDefault="00A3487C">
      <w:pPr>
        <w:pStyle w:val="Sinespaciado"/>
        <w:spacing w:line="276" w:lineRule="auto"/>
        <w:jc w:val="both"/>
        <w:rPr>
          <w:rFonts w:ascii="Century Gothic" w:hAnsi="Century Gothic"/>
          <w:sz w:val="24"/>
          <w:szCs w:val="24"/>
        </w:rPr>
      </w:pPr>
    </w:p>
    <w:p w:rsidR="00A3487C" w:rsidRDefault="001F168A">
      <w:pPr>
        <w:pStyle w:val="Sinespaciado"/>
        <w:spacing w:line="276" w:lineRule="auto"/>
        <w:jc w:val="both"/>
        <w:rPr>
          <w:rFonts w:ascii="Century Gothic" w:hAnsi="Century Gothic"/>
          <w:sz w:val="24"/>
          <w:szCs w:val="24"/>
        </w:rPr>
      </w:pPr>
      <w:r>
        <w:rPr>
          <w:rFonts w:ascii="Century Gothic" w:hAnsi="Century Gothic"/>
          <w:sz w:val="24"/>
          <w:szCs w:val="24"/>
        </w:rPr>
        <w:t xml:space="preserve">Así, indicó que </w:t>
      </w:r>
      <w:r>
        <w:rPr>
          <w:rFonts w:ascii="Century Gothic" w:eastAsiaTheme="minorHAnsi" w:hAnsi="Century Gothic"/>
          <w:sz w:val="24"/>
          <w:szCs w:val="24"/>
          <w:lang w:val="es-ES_tradnl"/>
        </w:rPr>
        <w:t>como</w:t>
      </w:r>
      <w:r>
        <w:rPr>
          <w:rFonts w:ascii="Century Gothic" w:hAnsi="Century Gothic"/>
          <w:sz w:val="24"/>
          <w:szCs w:val="24"/>
        </w:rPr>
        <w:t xml:space="preserve"> la accionante no había radicado en esa entidad ninguna solicitud anterior a la entrada en vigor de la ley 1949 de 2019, relacionada con las prestaciones económicas, no existe la competencia Legal para que dicha Superintendencia, conozca de ese asunto, ni el Juez de tutela puede asignarla por esta vía, en contra de los preceptos legalmente establecidos. </w:t>
      </w:r>
    </w:p>
    <w:p w:rsidR="00A3487C" w:rsidRDefault="00A3487C">
      <w:pPr>
        <w:pStyle w:val="Sinespaciado"/>
        <w:spacing w:line="276" w:lineRule="auto"/>
        <w:jc w:val="both"/>
        <w:rPr>
          <w:rFonts w:ascii="Century Gothic" w:hAnsi="Century Gothic"/>
          <w:sz w:val="24"/>
          <w:szCs w:val="24"/>
        </w:rPr>
      </w:pPr>
    </w:p>
    <w:p w:rsidR="00A3487C" w:rsidRDefault="001F168A">
      <w:pPr>
        <w:spacing w:after="0"/>
        <w:jc w:val="center"/>
        <w:rPr>
          <w:rFonts w:ascii="Century Gothic" w:hAnsi="Century Gothic"/>
          <w:b/>
          <w:sz w:val="24"/>
          <w:szCs w:val="24"/>
        </w:rPr>
      </w:pPr>
      <w:r>
        <w:rPr>
          <w:rFonts w:ascii="Century Gothic" w:hAnsi="Century Gothic"/>
          <w:b/>
          <w:sz w:val="24"/>
          <w:szCs w:val="24"/>
        </w:rPr>
        <w:t>2. CONSIDERACIONES</w:t>
      </w:r>
    </w:p>
    <w:p w:rsidR="00A3487C" w:rsidRDefault="00A3487C">
      <w:pPr>
        <w:pStyle w:val="Sinespaciado"/>
      </w:pPr>
    </w:p>
    <w:p w:rsidR="00A3487C" w:rsidRDefault="001F168A">
      <w:pPr>
        <w:spacing w:after="0"/>
        <w:jc w:val="both"/>
        <w:rPr>
          <w:rFonts w:ascii="Century Gothic" w:hAnsi="Century Gothic"/>
          <w:sz w:val="24"/>
          <w:szCs w:val="24"/>
          <w:lang w:val="es-CO"/>
        </w:rPr>
      </w:pPr>
      <w:r>
        <w:rPr>
          <w:rFonts w:ascii="Century Gothic" w:hAnsi="Century Gothic"/>
          <w:sz w:val="24"/>
          <w:szCs w:val="24"/>
          <w:lang w:val="es-CO"/>
        </w:rPr>
        <w:t>De acuerdo con lo establecido en el artículo 86 de la Constitución Política, la acción de tutela se ejerce para reclamar de la jurisdicción, protección inmediata de los derechos constitucionales fundamentales, cuando se vean amenazados o vulnerados por cualquier acción u omisión de las autoridades públicas o de los particulares mediante un procedimiento preferente y sumario.</w:t>
      </w:r>
    </w:p>
    <w:p w:rsidR="00A3487C" w:rsidRDefault="00A3487C">
      <w:pPr>
        <w:spacing w:after="0"/>
        <w:jc w:val="both"/>
        <w:rPr>
          <w:rFonts w:ascii="Century Gothic" w:hAnsi="Century Gothic"/>
          <w:sz w:val="24"/>
          <w:szCs w:val="24"/>
          <w:lang w:val="es-CO"/>
        </w:rPr>
      </w:pPr>
    </w:p>
    <w:p w:rsidR="00A3487C" w:rsidRDefault="001F168A">
      <w:pPr>
        <w:spacing w:after="0"/>
        <w:jc w:val="both"/>
        <w:rPr>
          <w:rFonts w:ascii="Century Gothic" w:hAnsi="Century Gothic"/>
          <w:b/>
          <w:sz w:val="24"/>
          <w:szCs w:val="24"/>
          <w:lang w:val="es-CO"/>
        </w:rPr>
      </w:pPr>
      <w:r>
        <w:rPr>
          <w:rFonts w:ascii="Century Gothic" w:hAnsi="Century Gothic"/>
          <w:b/>
          <w:sz w:val="24"/>
          <w:szCs w:val="24"/>
          <w:lang w:val="es-CO"/>
        </w:rPr>
        <w:t>2.1. Problema jurídico a resolver</w:t>
      </w:r>
    </w:p>
    <w:p w:rsidR="00A3487C" w:rsidRDefault="00A3487C">
      <w:pPr>
        <w:pStyle w:val="Sinespaciado"/>
        <w:rPr>
          <w:lang w:val="es-CO"/>
        </w:rPr>
      </w:pPr>
    </w:p>
    <w:p w:rsidR="00A3487C" w:rsidRDefault="001F168A">
      <w:pPr>
        <w:spacing w:after="0"/>
        <w:jc w:val="both"/>
      </w:pPr>
      <w:r>
        <w:rPr>
          <w:rFonts w:ascii="Century Gothic" w:hAnsi="Century Gothic" w:cs="Arial"/>
          <w:sz w:val="24"/>
          <w:szCs w:val="24"/>
        </w:rPr>
        <w:t>¿La sociedad Tu Rec</w:t>
      </w:r>
      <w:r w:rsidR="00F72AEC">
        <w:rPr>
          <w:rFonts w:ascii="Century Gothic" w:hAnsi="Century Gothic" w:cs="Arial"/>
          <w:sz w:val="24"/>
          <w:szCs w:val="24"/>
        </w:rPr>
        <w:t>o</w:t>
      </w:r>
      <w:r>
        <w:rPr>
          <w:rFonts w:ascii="Century Gothic" w:hAnsi="Century Gothic" w:cs="Arial"/>
          <w:sz w:val="24"/>
          <w:szCs w:val="24"/>
        </w:rPr>
        <w:t>bro S.A.S. se encuentra legitimada en la causa para ejercer la presente acción y solicitar la protección de los derecho</w:t>
      </w:r>
      <w:r w:rsidR="008A3158">
        <w:rPr>
          <w:rFonts w:ascii="Century Gothic" w:hAnsi="Century Gothic" w:cs="Arial"/>
          <w:sz w:val="24"/>
          <w:szCs w:val="24"/>
        </w:rPr>
        <w:t>s</w:t>
      </w:r>
      <w:r>
        <w:rPr>
          <w:rFonts w:ascii="Century Gothic" w:hAnsi="Century Gothic" w:cs="Arial"/>
          <w:sz w:val="24"/>
          <w:szCs w:val="24"/>
        </w:rPr>
        <w:t xml:space="preserve"> fundamentales invocados?</w:t>
      </w:r>
    </w:p>
    <w:p w:rsidR="00A3487C" w:rsidRDefault="00A3487C">
      <w:pPr>
        <w:spacing w:after="0"/>
        <w:jc w:val="both"/>
        <w:rPr>
          <w:rFonts w:ascii="Century Gothic" w:hAnsi="Century Gothic" w:cs="Arial"/>
          <w:sz w:val="24"/>
          <w:szCs w:val="24"/>
        </w:rPr>
      </w:pPr>
    </w:p>
    <w:p w:rsidR="00A3487C" w:rsidRDefault="001F168A">
      <w:pPr>
        <w:spacing w:after="0"/>
        <w:jc w:val="both"/>
      </w:pPr>
      <w:r>
        <w:rPr>
          <w:rFonts w:ascii="Century Gothic" w:hAnsi="Century Gothic" w:cs="Arial"/>
          <w:sz w:val="24"/>
          <w:szCs w:val="24"/>
        </w:rPr>
        <w:t>¿Vulneró, la Nueva EPS los derechos fundamentales de petición, debido proceso y mínimo vital en conexidad con la seguridad social, de la sociedad Greenex S.A.S.</w:t>
      </w:r>
      <w:r>
        <w:rPr>
          <w:rFonts w:ascii="Century Gothic" w:hAnsi="Century Gothic"/>
          <w:sz w:val="24"/>
          <w:szCs w:val="24"/>
        </w:rPr>
        <w:t xml:space="preserve">, </w:t>
      </w:r>
      <w:r>
        <w:rPr>
          <w:rFonts w:ascii="Century Gothic" w:eastAsia="Batang" w:hAnsi="Century Gothic" w:cs="Century Gothic"/>
          <w:sz w:val="24"/>
          <w:szCs w:val="24"/>
        </w:rPr>
        <w:t xml:space="preserve">por no dar respuesta de fondo a la petición radicada el </w:t>
      </w:r>
      <w:r w:rsidR="00482BD9">
        <w:rPr>
          <w:rFonts w:ascii="Century Gothic" w:eastAsia="Batang" w:hAnsi="Century Gothic" w:cs="Century Gothic"/>
          <w:sz w:val="24"/>
          <w:szCs w:val="24"/>
        </w:rPr>
        <w:t>11</w:t>
      </w:r>
      <w:r>
        <w:rPr>
          <w:rFonts w:ascii="Century Gothic" w:eastAsia="Batang" w:hAnsi="Century Gothic" w:cs="Century Gothic"/>
          <w:sz w:val="24"/>
          <w:szCs w:val="24"/>
        </w:rPr>
        <w:t xml:space="preserve"> de febrero de 2020 y abstenerse de reintegrar a dicha sociedad, los valores correspondientes a incapacidades y licencias pagadas a sus empleados</w:t>
      </w:r>
      <w:r>
        <w:rPr>
          <w:rFonts w:ascii="Century Gothic" w:hAnsi="Century Gothic" w:cs="Arial"/>
          <w:sz w:val="24"/>
          <w:szCs w:val="24"/>
        </w:rPr>
        <w:t>?</w:t>
      </w:r>
    </w:p>
    <w:p w:rsidR="00A3487C" w:rsidRDefault="00A3487C">
      <w:pPr>
        <w:spacing w:after="0"/>
        <w:jc w:val="both"/>
        <w:rPr>
          <w:rFonts w:ascii="Century Gothic" w:hAnsi="Century Gothic" w:cs="Arial"/>
          <w:sz w:val="24"/>
          <w:szCs w:val="24"/>
        </w:rPr>
      </w:pPr>
    </w:p>
    <w:p w:rsidR="00A3487C" w:rsidRDefault="001F168A">
      <w:pPr>
        <w:spacing w:after="0"/>
        <w:jc w:val="both"/>
        <w:rPr>
          <w:rFonts w:ascii="Century Gothic" w:hAnsi="Century Gothic" w:cs="Arial"/>
          <w:sz w:val="24"/>
          <w:szCs w:val="24"/>
        </w:rPr>
      </w:pPr>
      <w:r>
        <w:rPr>
          <w:rFonts w:ascii="Century Gothic" w:hAnsi="Century Gothic" w:cs="Arial"/>
          <w:sz w:val="24"/>
          <w:szCs w:val="24"/>
        </w:rPr>
        <w:t>¿La Superintendencia Nacional de Salud se encuentra legitimada en la ca</w:t>
      </w:r>
      <w:r w:rsidR="00482BD9">
        <w:rPr>
          <w:rFonts w:ascii="Century Gothic" w:hAnsi="Century Gothic" w:cs="Arial"/>
          <w:sz w:val="24"/>
          <w:szCs w:val="24"/>
        </w:rPr>
        <w:t>u</w:t>
      </w:r>
      <w:r>
        <w:rPr>
          <w:rFonts w:ascii="Century Gothic" w:hAnsi="Century Gothic" w:cs="Arial"/>
          <w:sz w:val="24"/>
          <w:szCs w:val="24"/>
        </w:rPr>
        <w:t>sa por pasiva, atendiendo a las pretensiones de la acción de tutela que aquí nos ocupa?</w:t>
      </w:r>
    </w:p>
    <w:p w:rsidR="00A3487C" w:rsidRDefault="00A3487C">
      <w:pPr>
        <w:spacing w:after="0"/>
        <w:jc w:val="both"/>
        <w:rPr>
          <w:rFonts w:ascii="Century Gothic" w:hAnsi="Century Gothic"/>
          <w:sz w:val="24"/>
          <w:szCs w:val="24"/>
          <w:lang w:val="es-CO"/>
        </w:rPr>
      </w:pPr>
    </w:p>
    <w:p w:rsidR="00A3487C" w:rsidRDefault="001F168A">
      <w:pPr>
        <w:numPr>
          <w:ilvl w:val="1"/>
          <w:numId w:val="4"/>
        </w:numPr>
        <w:spacing w:after="0"/>
        <w:jc w:val="both"/>
        <w:rPr>
          <w:rFonts w:ascii="Century Gothic" w:hAnsi="Century Gothic" w:cs="Century Gothic"/>
          <w:b/>
          <w:bCs/>
          <w:sz w:val="24"/>
          <w:szCs w:val="24"/>
        </w:rPr>
      </w:pPr>
      <w:r>
        <w:rPr>
          <w:rFonts w:ascii="Century Gothic" w:hAnsi="Century Gothic" w:cs="Century Gothic"/>
          <w:b/>
          <w:bCs/>
          <w:sz w:val="24"/>
          <w:szCs w:val="24"/>
        </w:rPr>
        <w:t>Legitimación en la causa por activa en la acción de tutela</w:t>
      </w:r>
    </w:p>
    <w:p w:rsidR="00A3487C" w:rsidRDefault="00A3487C">
      <w:pPr>
        <w:pStyle w:val="Sinespaciado"/>
        <w:spacing w:line="276" w:lineRule="auto"/>
        <w:rPr>
          <w:rFonts w:ascii="Century Gothic" w:hAnsi="Century Gothic" w:cs="Century Gothic"/>
          <w:b/>
          <w:bCs/>
          <w:sz w:val="24"/>
          <w:szCs w:val="24"/>
          <w:lang w:val="es-ES_tradnl" w:eastAsia="es-ES"/>
        </w:rPr>
      </w:pPr>
    </w:p>
    <w:p w:rsidR="00A3487C" w:rsidRDefault="001F168A">
      <w:pPr>
        <w:pStyle w:val="Prrafodelista"/>
        <w:spacing w:after="0"/>
        <w:ind w:left="0"/>
        <w:jc w:val="both"/>
      </w:pPr>
      <w:r>
        <w:rPr>
          <w:rFonts w:ascii="Century Gothic" w:hAnsi="Century Gothic" w:cs="Century Gothic"/>
          <w:sz w:val="24"/>
          <w:szCs w:val="24"/>
        </w:rPr>
        <w:t>En este punto, el Despacho trae a colación sentencia de la Corte Constitucional T-430 de 2017</w:t>
      </w:r>
      <w:r>
        <w:rPr>
          <w:rStyle w:val="Ancladenotaalpie"/>
          <w:rFonts w:ascii="Century Gothic" w:hAnsi="Century Gothic" w:cs="Century Gothic"/>
          <w:sz w:val="24"/>
          <w:szCs w:val="24"/>
        </w:rPr>
        <w:footnoteReference w:id="1"/>
      </w:r>
      <w:r>
        <w:rPr>
          <w:rFonts w:ascii="Century Gothic" w:hAnsi="Century Gothic" w:cs="Century Gothic"/>
          <w:sz w:val="24"/>
          <w:szCs w:val="24"/>
        </w:rPr>
        <w:t>, en la cual, dicha corporación analiza los requisitos para el ejercicio de la acción de tutela y en lo que aquí nos ocupa, la legitimación en la causa por activa.</w:t>
      </w:r>
    </w:p>
    <w:p w:rsidR="00A3487C" w:rsidRDefault="00A3487C">
      <w:pPr>
        <w:pStyle w:val="Sinespaciado"/>
        <w:spacing w:line="276" w:lineRule="auto"/>
      </w:pPr>
    </w:p>
    <w:p w:rsidR="00A3487C" w:rsidRDefault="001F168A">
      <w:pPr>
        <w:tabs>
          <w:tab w:val="left" w:pos="7080"/>
          <w:tab w:val="left" w:pos="7655"/>
        </w:tabs>
        <w:spacing w:after="0"/>
        <w:jc w:val="both"/>
      </w:pPr>
      <w:r>
        <w:rPr>
          <w:rFonts w:ascii="Century Gothic" w:hAnsi="Century Gothic" w:cs="Century Gothic"/>
          <w:sz w:val="24"/>
          <w:szCs w:val="24"/>
        </w:rPr>
        <w:t>Dispuso que, la legitimación en la causa por activa es un presupuesto esencial de la procedencia de la acción de tutela, puesto que al Juez le corresponde verificar de manera precisa, quién es el titular del derecho fundamental que está siendo vulnerado; advirtiendo que, tratándose de un tercero debe hacerlo invocando y acreditando la calidad de apoderado, agente oficiosos o Ministerio Público.</w:t>
      </w:r>
    </w:p>
    <w:p w:rsidR="00A3487C" w:rsidRDefault="00A3487C">
      <w:pPr>
        <w:pStyle w:val="Sinespaciado"/>
        <w:spacing w:line="276" w:lineRule="auto"/>
        <w:rPr>
          <w:rFonts w:ascii="Century Gothic" w:hAnsi="Century Gothic" w:cs="Century Gothic"/>
          <w:sz w:val="24"/>
          <w:szCs w:val="24"/>
        </w:rPr>
      </w:pPr>
    </w:p>
    <w:p w:rsidR="00A3487C" w:rsidRDefault="001F168A">
      <w:pPr>
        <w:pStyle w:val="Textoindependiente"/>
        <w:tabs>
          <w:tab w:val="left" w:pos="7080"/>
          <w:tab w:val="left" w:pos="7655"/>
        </w:tabs>
        <w:spacing w:after="0" w:line="276" w:lineRule="auto"/>
        <w:ind w:right="51"/>
        <w:jc w:val="both"/>
        <w:rPr>
          <w:rFonts w:ascii="Century Gothic" w:hAnsi="Century Gothic"/>
          <w:sz w:val="24"/>
          <w:szCs w:val="24"/>
        </w:rPr>
      </w:pPr>
      <w:r>
        <w:rPr>
          <w:rFonts w:ascii="Century Gothic" w:hAnsi="Century Gothic" w:cs="Century Gothic"/>
          <w:bCs/>
          <w:color w:val="000000"/>
          <w:sz w:val="24"/>
          <w:szCs w:val="24"/>
        </w:rPr>
        <w:t xml:space="preserve">Respecto de la figura del representante, refirió la Corte Constitucional que tratándose de </w:t>
      </w:r>
      <w:r>
        <w:rPr>
          <w:rFonts w:ascii="Century Gothic" w:hAnsi="Century Gothic" w:cs="Century Gothic"/>
          <w:b/>
          <w:bCs/>
          <w:color w:val="000000"/>
          <w:sz w:val="24"/>
          <w:szCs w:val="24"/>
        </w:rPr>
        <w:t xml:space="preserve">personas jurídicas, </w:t>
      </w:r>
      <w:r>
        <w:rPr>
          <w:rFonts w:ascii="Century Gothic" w:hAnsi="Century Gothic" w:cs="Century Gothic"/>
          <w:color w:val="000000"/>
          <w:sz w:val="24"/>
          <w:szCs w:val="24"/>
        </w:rPr>
        <w:t xml:space="preserve">estas deben actuar a través de su representante legal directamente, o mediante </w:t>
      </w:r>
      <w:r>
        <w:rPr>
          <w:rFonts w:ascii="Century Gothic" w:hAnsi="Century Gothic" w:cs="Century Gothic"/>
          <w:bCs/>
          <w:color w:val="000000"/>
          <w:sz w:val="24"/>
          <w:szCs w:val="24"/>
        </w:rPr>
        <w:t>representante judicial, quien debe se</w:t>
      </w:r>
      <w:r w:rsidR="001B4D76">
        <w:rPr>
          <w:rFonts w:ascii="Century Gothic" w:hAnsi="Century Gothic" w:cs="Century Gothic"/>
          <w:bCs/>
          <w:color w:val="000000"/>
          <w:sz w:val="24"/>
          <w:szCs w:val="24"/>
        </w:rPr>
        <w:t>r</w:t>
      </w:r>
      <w:r>
        <w:rPr>
          <w:rFonts w:ascii="Century Gothic" w:hAnsi="Century Gothic" w:cs="Century Gothic"/>
          <w:bCs/>
          <w:color w:val="000000"/>
          <w:sz w:val="24"/>
          <w:szCs w:val="24"/>
        </w:rPr>
        <w:t xml:space="preserve"> un abogado debidamente inscrito que actúa en virtud de un poder especial o, en su defecto un poder general, que le ha concedido el titular de los derechos para interponer la acción de tutela específicamente, el cual debe cumplir las exigencias legales y además, en el entendido que el</w:t>
      </w:r>
      <w:r>
        <w:rPr>
          <w:rFonts w:ascii="Century Gothic" w:hAnsi="Century Gothic"/>
          <w:i/>
          <w:color w:val="000000"/>
          <w:sz w:val="24"/>
          <w:szCs w:val="24"/>
        </w:rPr>
        <w:t xml:space="preserve"> </w:t>
      </w:r>
      <w:r>
        <w:rPr>
          <w:rFonts w:ascii="Century Gothic" w:hAnsi="Century Gothic"/>
          <w:color w:val="000000"/>
          <w:sz w:val="24"/>
          <w:szCs w:val="24"/>
        </w:rPr>
        <w:t>poder o mandato conferido para la promoción o para la defensa de los intereses en un determinado proceso no se entiende conferido</w:t>
      </w:r>
      <w:r>
        <w:rPr>
          <w:rFonts w:ascii="Century Gothic" w:hAnsi="Century Gothic"/>
          <w:b/>
          <w:color w:val="000000"/>
          <w:sz w:val="24"/>
          <w:szCs w:val="24"/>
          <w:u w:val="single"/>
          <w:bdr w:val="dotted" w:sz="2" w:space="1" w:color="6C6C6C"/>
        </w:rPr>
        <w:t xml:space="preserve"> </w:t>
      </w:r>
      <w:r>
        <w:rPr>
          <w:rFonts w:ascii="Century Gothic" w:hAnsi="Century Gothic"/>
          <w:color w:val="000000"/>
          <w:sz w:val="24"/>
          <w:szCs w:val="24"/>
        </w:rPr>
        <w:t>para la promoción de procesos diferentes, así los hechos que le den fundamento a estos tengan origen en el proceso inicial.</w:t>
      </w:r>
    </w:p>
    <w:p w:rsidR="00A3487C" w:rsidRDefault="00A3487C">
      <w:pPr>
        <w:tabs>
          <w:tab w:val="left" w:pos="7080"/>
          <w:tab w:val="left" w:pos="7655"/>
        </w:tabs>
        <w:spacing w:after="0"/>
        <w:ind w:right="51"/>
        <w:jc w:val="both"/>
        <w:rPr>
          <w:rFonts w:ascii="Times New Roman;serif" w:hAnsi="Times New Roman;serif" w:cs="Century Gothic"/>
          <w:bCs/>
          <w:color w:val="000000"/>
          <w:sz w:val="27"/>
          <w:szCs w:val="24"/>
        </w:rPr>
      </w:pPr>
    </w:p>
    <w:p w:rsidR="00A3487C" w:rsidRDefault="001F168A">
      <w:pPr>
        <w:tabs>
          <w:tab w:val="left" w:pos="7080"/>
          <w:tab w:val="left" w:pos="7655"/>
        </w:tabs>
        <w:spacing w:after="0"/>
        <w:ind w:right="51"/>
        <w:jc w:val="both"/>
      </w:pPr>
      <w:r>
        <w:rPr>
          <w:rFonts w:ascii="Century Gothic" w:hAnsi="Century Gothic" w:cs="Century Gothic"/>
          <w:bCs/>
          <w:sz w:val="24"/>
          <w:szCs w:val="24"/>
        </w:rPr>
        <w:t xml:space="preserve">Así las cosas, señaló que, cuando el amparo del derecho fundamental de petición lo invoca un tercero, que en representación de su poderdante y en virtud de dicho mandato, ha ejercido el derecho de petición, no se requiere de poder especial para interponer la acción de tutela, </w:t>
      </w:r>
      <w:r>
        <w:rPr>
          <w:rFonts w:ascii="Century Gothic" w:hAnsi="Century Gothic" w:cs="Century Gothic"/>
          <w:b/>
          <w:bCs/>
          <w:sz w:val="24"/>
          <w:szCs w:val="24"/>
        </w:rPr>
        <w:t>pues se entiende que la petición objeto material del amparo, fue interpuesta directamente por aquel</w:t>
      </w:r>
      <w:r>
        <w:rPr>
          <w:rFonts w:ascii="Century Gothic" w:hAnsi="Century Gothic" w:cs="Century Gothic"/>
          <w:bCs/>
          <w:sz w:val="24"/>
          <w:szCs w:val="24"/>
        </w:rPr>
        <w:t xml:space="preserve"> y por tanto, el derecho subjetivo que presuntamente está siendo vulnerado es el suyo y no el de su poderdante. </w:t>
      </w:r>
    </w:p>
    <w:p w:rsidR="00A3487C" w:rsidRDefault="00A3487C">
      <w:pPr>
        <w:tabs>
          <w:tab w:val="left" w:pos="7080"/>
          <w:tab w:val="left" w:pos="7655"/>
        </w:tabs>
        <w:spacing w:after="0"/>
        <w:ind w:right="51"/>
        <w:jc w:val="both"/>
        <w:rPr>
          <w:rFonts w:ascii="Century Gothic" w:hAnsi="Century Gothic" w:cs="Century Gothic"/>
          <w:bCs/>
          <w:sz w:val="24"/>
          <w:szCs w:val="24"/>
        </w:rPr>
      </w:pPr>
    </w:p>
    <w:p w:rsidR="00A3487C" w:rsidRDefault="001F168A">
      <w:pPr>
        <w:pStyle w:val="Sinespaciado"/>
        <w:spacing w:line="276" w:lineRule="auto"/>
        <w:jc w:val="both"/>
      </w:pPr>
      <w:r>
        <w:rPr>
          <w:rFonts w:ascii="Century Gothic" w:hAnsi="Century Gothic" w:cs="Century Gothic"/>
          <w:bCs/>
          <w:sz w:val="24"/>
          <w:szCs w:val="24"/>
        </w:rPr>
        <w:t xml:space="preserve">En efecto, dijo, en estos casos, si bien el accionante a través de la petición pretende defender los intereses de quien representa, lo cierto es que, </w:t>
      </w:r>
      <w:r>
        <w:rPr>
          <w:rFonts w:ascii="Century Gothic" w:hAnsi="Century Gothic" w:cs="Century Gothic"/>
          <w:iCs/>
          <w:sz w:val="24"/>
          <w:szCs w:val="24"/>
        </w:rPr>
        <w:t>si este se encuentra facultado para interponer la citada solicitud, como quiera que exista mandato para ello; la petición interpuesta, es el reflejo de la representación que el accionante ejerce, y por tanto es quien se encuentra legitimado en la casusa por activa en la acción de tutela que pretende la protección de dicho derecho fundamental (el de petición).</w:t>
      </w:r>
    </w:p>
    <w:p w:rsidR="00A3487C" w:rsidRDefault="00A3487C">
      <w:pPr>
        <w:pStyle w:val="Sinespaciado"/>
        <w:spacing w:line="276" w:lineRule="auto"/>
        <w:rPr>
          <w:rFonts w:ascii="Century Gothic" w:hAnsi="Century Gothic" w:cs="Century Gothic"/>
          <w:iCs/>
          <w:sz w:val="24"/>
          <w:szCs w:val="24"/>
        </w:rPr>
      </w:pPr>
    </w:p>
    <w:p w:rsidR="00A3487C" w:rsidRDefault="001F168A">
      <w:pPr>
        <w:pStyle w:val="Sinespaciado"/>
        <w:spacing w:line="276" w:lineRule="auto"/>
        <w:jc w:val="both"/>
        <w:rPr>
          <w:rFonts w:ascii="Century Gothic" w:hAnsi="Century Gothic" w:cs="Arial"/>
          <w:b/>
          <w:sz w:val="24"/>
          <w:szCs w:val="24"/>
          <w:lang w:val="es-CO"/>
        </w:rPr>
      </w:pPr>
      <w:r>
        <w:rPr>
          <w:rFonts w:ascii="Century Gothic" w:hAnsi="Century Gothic" w:cs="Century Gothic"/>
          <w:iCs/>
          <w:sz w:val="24"/>
          <w:szCs w:val="24"/>
          <w:lang w:val="es-CO" w:eastAsia="es-ES"/>
        </w:rPr>
        <w:t xml:space="preserve">Sin embargo, </w:t>
      </w:r>
      <w:r>
        <w:rPr>
          <w:rFonts w:ascii="Century Gothic" w:hAnsi="Century Gothic" w:cs="Century Gothic"/>
          <w:b/>
          <w:bCs/>
          <w:iCs/>
          <w:sz w:val="24"/>
          <w:szCs w:val="24"/>
          <w:lang w:val="es-CO" w:eastAsia="es-ES"/>
        </w:rPr>
        <w:t>no sucede lo mismo, en relación con otros derechos</w:t>
      </w:r>
      <w:r>
        <w:rPr>
          <w:rFonts w:ascii="Century Gothic" w:hAnsi="Century Gothic" w:cs="Century Gothic"/>
          <w:iCs/>
          <w:sz w:val="24"/>
          <w:szCs w:val="24"/>
          <w:lang w:val="es-CO" w:eastAsia="es-ES"/>
        </w:rPr>
        <w:t>, pues cuando una persona acude ante los Jueces de la República, lo hace con la finalidad de que se le reconozca y proteja determinado derecho sustancial, del cual es titular</w:t>
      </w:r>
      <w:r>
        <w:rPr>
          <w:rStyle w:val="Ancladenotaalpie"/>
          <w:rFonts w:ascii="Century Gothic" w:hAnsi="Century Gothic" w:cs="Century Gothic"/>
          <w:iCs/>
          <w:sz w:val="24"/>
          <w:szCs w:val="24"/>
          <w:lang w:val="es-CO" w:eastAsia="es-ES"/>
        </w:rPr>
        <w:footnoteReference w:id="2"/>
      </w:r>
      <w:r>
        <w:rPr>
          <w:rFonts w:ascii="Century Gothic" w:hAnsi="Century Gothic" w:cs="Century Gothic"/>
          <w:iCs/>
          <w:sz w:val="24"/>
          <w:szCs w:val="24"/>
          <w:lang w:val="es-CO" w:eastAsia="es-ES"/>
        </w:rPr>
        <w:t xml:space="preserve">, y si bien, para ello, en caso de personas jurídicas debe actuar a través de apoderado judicial, cuando lo hace directamente el representante legal, </w:t>
      </w:r>
      <w:r>
        <w:rPr>
          <w:rFonts w:ascii="Century Gothic" w:hAnsi="Century Gothic" w:cs="Century Gothic"/>
          <w:b/>
          <w:bCs/>
          <w:iCs/>
          <w:sz w:val="24"/>
          <w:szCs w:val="24"/>
          <w:lang w:val="es-CO" w:eastAsia="es-ES"/>
        </w:rPr>
        <w:t>esto no significa que en virtud del poder que se confiera, se traslade también, los derechos subjetivos que en su nombre va a defender</w:t>
      </w:r>
      <w:r>
        <w:rPr>
          <w:rFonts w:ascii="Century Gothic" w:hAnsi="Century Gothic" w:cs="Century Gothic"/>
          <w:iCs/>
          <w:sz w:val="24"/>
          <w:szCs w:val="24"/>
          <w:lang w:val="es-CO" w:eastAsia="es-ES"/>
        </w:rPr>
        <w:t>; razón por la cual, quien se encuentra legitimado en la casusa por activa, para reclamar la protección de esos derechos fundamentales, es el titular de los mimos, esto es, la persona jurídica</w:t>
      </w:r>
      <w:r>
        <w:rPr>
          <w:rFonts w:ascii="Century Gothic" w:hAnsi="Century Gothic" w:cs="Century Gothic"/>
          <w:sz w:val="24"/>
          <w:szCs w:val="24"/>
          <w:lang w:val="es-CO" w:eastAsia="es-ES"/>
        </w:rPr>
        <w:t>, claro está</w:t>
      </w:r>
      <w:r w:rsidR="00121AB8">
        <w:rPr>
          <w:rFonts w:ascii="Century Gothic" w:hAnsi="Century Gothic" w:cs="Century Gothic"/>
          <w:sz w:val="24"/>
          <w:szCs w:val="24"/>
          <w:lang w:val="es-CO" w:eastAsia="es-ES"/>
        </w:rPr>
        <w:t>,</w:t>
      </w:r>
      <w:r>
        <w:rPr>
          <w:rFonts w:ascii="Century Gothic" w:hAnsi="Century Gothic" w:cs="Century Gothic"/>
          <w:sz w:val="24"/>
          <w:szCs w:val="24"/>
          <w:lang w:val="es-CO" w:eastAsia="es-ES"/>
        </w:rPr>
        <w:t xml:space="preserve"> siempre que se trate de derechos de los que </w:t>
      </w:r>
      <w:r w:rsidR="00121AB8">
        <w:rPr>
          <w:rFonts w:ascii="Century Gothic" w:hAnsi="Century Gothic" w:cs="Century Gothic"/>
          <w:sz w:val="24"/>
          <w:szCs w:val="24"/>
          <w:lang w:val="es-CO" w:eastAsia="es-ES"/>
        </w:rPr>
        <w:t>pueda ser titular, por lo que en</w:t>
      </w:r>
      <w:r>
        <w:rPr>
          <w:rFonts w:ascii="Century Gothic" w:hAnsi="Century Gothic" w:cs="Century Gothic"/>
          <w:sz w:val="24"/>
          <w:szCs w:val="24"/>
          <w:lang w:val="es-CO" w:eastAsia="es-ES"/>
        </w:rPr>
        <w:t xml:space="preserve"> esos casos se requerirá que el tercero que invoca el derecho en favor de otro, acredite la calidad de apoderado, agente oficiosos o Ministerio Público.</w:t>
      </w:r>
    </w:p>
    <w:p w:rsidR="00A3487C" w:rsidRDefault="00A3487C">
      <w:pPr>
        <w:spacing w:after="0"/>
        <w:jc w:val="both"/>
        <w:rPr>
          <w:rFonts w:ascii="Century Gothic" w:hAnsi="Century Gothic"/>
          <w:b/>
          <w:sz w:val="24"/>
          <w:szCs w:val="24"/>
          <w:lang w:val="es-CO"/>
        </w:rPr>
      </w:pPr>
    </w:p>
    <w:p w:rsidR="00A3487C" w:rsidRDefault="001F168A">
      <w:pPr>
        <w:pStyle w:val="Sinespaciado"/>
        <w:spacing w:line="276" w:lineRule="auto"/>
        <w:jc w:val="both"/>
        <w:rPr>
          <w:rFonts w:ascii="Century Gothic" w:hAnsi="Century Gothic"/>
        </w:rPr>
      </w:pPr>
      <w:r>
        <w:rPr>
          <w:rFonts w:ascii="Century Gothic" w:hAnsi="Century Gothic" w:cs="Arial"/>
          <w:b/>
          <w:sz w:val="24"/>
          <w:szCs w:val="24"/>
          <w:lang w:val="es-CO"/>
        </w:rPr>
        <w:t>2.3 Del derecho de Petición</w:t>
      </w:r>
    </w:p>
    <w:p w:rsidR="00A3487C" w:rsidRDefault="00A3487C">
      <w:pPr>
        <w:pStyle w:val="Sinespaciado"/>
        <w:spacing w:line="276" w:lineRule="auto"/>
        <w:jc w:val="both"/>
        <w:rPr>
          <w:rFonts w:ascii="Century Gothic" w:hAnsi="Century Gothic" w:cs="Arial"/>
          <w:b/>
          <w:sz w:val="24"/>
          <w:szCs w:val="24"/>
          <w:lang w:val="es-CO"/>
        </w:rPr>
      </w:pPr>
    </w:p>
    <w:p w:rsidR="00A3487C" w:rsidRDefault="001F168A">
      <w:pPr>
        <w:pStyle w:val="Sinespaciado"/>
        <w:spacing w:line="276" w:lineRule="auto"/>
        <w:jc w:val="both"/>
        <w:rPr>
          <w:rFonts w:ascii="Century Gothic" w:hAnsi="Century Gothic" w:cs="Arial"/>
          <w:sz w:val="24"/>
          <w:szCs w:val="24"/>
          <w:lang w:val="es-CO"/>
        </w:rPr>
      </w:pPr>
      <w:r>
        <w:rPr>
          <w:rFonts w:ascii="Century Gothic" w:hAnsi="Century Gothic" w:cs="Arial"/>
          <w:sz w:val="24"/>
          <w:szCs w:val="24"/>
          <w:lang w:val="es-CO"/>
        </w:rPr>
        <w:t>Para resolver si en este caso hay transgresión alguna al derecho de petición, es menester citar el contenido del artículo 23 de la Constitución Política, así:</w:t>
      </w:r>
    </w:p>
    <w:p w:rsidR="00A3487C" w:rsidRDefault="00A3487C">
      <w:pPr>
        <w:pStyle w:val="Sinespaciado"/>
        <w:rPr>
          <w:rFonts w:ascii="Century Gothic" w:hAnsi="Century Gothic" w:cs="Arial"/>
          <w:sz w:val="24"/>
          <w:szCs w:val="24"/>
          <w:lang w:val="es-CO"/>
        </w:rPr>
      </w:pPr>
    </w:p>
    <w:p w:rsidR="00A3487C" w:rsidRDefault="001F168A">
      <w:pPr>
        <w:pStyle w:val="Sinespaciado"/>
        <w:ind w:left="510" w:right="510"/>
        <w:jc w:val="both"/>
        <w:rPr>
          <w:rFonts w:ascii="Century Gothic" w:hAnsi="Century Gothic" w:cs="Arial"/>
          <w:i/>
          <w:lang w:val="es-ES_tradnl"/>
        </w:rPr>
      </w:pPr>
      <w:r>
        <w:rPr>
          <w:rFonts w:ascii="Century Gothic" w:hAnsi="Century Gothic" w:cs="Arial"/>
          <w:i/>
          <w:lang w:val="es-ES_tradnl"/>
        </w:rPr>
        <w:t>ARTÍCULO 23. Toda persona tiene derecho a presentar peticiones respetuosas a las autoridades por motivos de interés general o particular y a obtener pronta resolución. El legislador podrá reglamentar su ejercicio ante organizaciones privadas para garantizar los derechos fundamentales.</w:t>
      </w:r>
    </w:p>
    <w:p w:rsidR="00A3487C" w:rsidRDefault="00A3487C">
      <w:pPr>
        <w:pStyle w:val="Sinespaciado"/>
        <w:spacing w:line="276" w:lineRule="auto"/>
        <w:ind w:left="510" w:right="510"/>
        <w:jc w:val="both"/>
        <w:rPr>
          <w:rFonts w:ascii="Century Gothic" w:hAnsi="Century Gothic" w:cs="Arial"/>
          <w:i/>
          <w:sz w:val="24"/>
          <w:szCs w:val="24"/>
          <w:lang w:val="es-CO"/>
        </w:rPr>
      </w:pPr>
    </w:p>
    <w:p w:rsidR="00A3487C" w:rsidRDefault="001F168A">
      <w:pPr>
        <w:pStyle w:val="Sinespaciado"/>
        <w:spacing w:line="276" w:lineRule="auto"/>
        <w:jc w:val="both"/>
        <w:rPr>
          <w:rFonts w:ascii="Century Gothic" w:hAnsi="Century Gothic" w:cs="Arial"/>
          <w:sz w:val="24"/>
          <w:szCs w:val="24"/>
          <w:lang w:val="es-CO"/>
        </w:rPr>
      </w:pPr>
      <w:r>
        <w:rPr>
          <w:rFonts w:ascii="Century Gothic" w:hAnsi="Century Gothic" w:cs="Arial"/>
          <w:sz w:val="24"/>
          <w:szCs w:val="24"/>
          <w:lang w:val="es-CO"/>
        </w:rPr>
        <w:t xml:space="preserve">En concordancia con lo anterior, los artículos 13 y 14 del Código de Procedimiento Administrativo y de lo Contencioso Administrativo, modificados por el artículo 1 de la Ley 1755 de 2015, establecen que toda actuación que inicie cualquier persona ante las autoridades implica el ejercicio del derecho de petición y, por lo tanto, incluye el derecho a obtener una respuesta completa y de fondo. </w:t>
      </w:r>
    </w:p>
    <w:p w:rsidR="00A3487C" w:rsidRDefault="00A3487C">
      <w:pPr>
        <w:pStyle w:val="Sinespaciado"/>
        <w:spacing w:line="276" w:lineRule="auto"/>
        <w:rPr>
          <w:rFonts w:ascii="Century Gothic" w:hAnsi="Century Gothic" w:cs="Arial"/>
          <w:sz w:val="24"/>
          <w:szCs w:val="24"/>
          <w:lang w:val="es-CO"/>
        </w:rPr>
      </w:pPr>
    </w:p>
    <w:p w:rsidR="00A3487C" w:rsidRDefault="001F168A">
      <w:pPr>
        <w:pStyle w:val="Sinespaciado"/>
        <w:spacing w:line="276" w:lineRule="auto"/>
        <w:jc w:val="both"/>
        <w:rPr>
          <w:rFonts w:ascii="Century Gothic" w:hAnsi="Century Gothic" w:cs="Arial"/>
          <w:sz w:val="24"/>
          <w:szCs w:val="24"/>
          <w:lang w:val="es-CO"/>
        </w:rPr>
      </w:pPr>
      <w:r>
        <w:rPr>
          <w:rFonts w:ascii="Century Gothic" w:hAnsi="Century Gothic" w:cs="Arial"/>
          <w:sz w:val="24"/>
          <w:szCs w:val="24"/>
          <w:lang w:val="es-CO"/>
        </w:rPr>
        <w:t xml:space="preserve">Adicionalmente, la precitada normativa dispone que, de forma general, toda petición debe solucionarse dentro de los quince (15) días siguientes a su recepción, salvo situaciones especiales; por ejemplo, cuando se trata de solicitudes relativas a documentos e información se dispondrá de diez (10) días y cuando se trate de consultas dirigidas a una entidad sobre las materias a su cargo treinta (30) días. </w:t>
      </w:r>
    </w:p>
    <w:p w:rsidR="00A3487C" w:rsidRDefault="00A3487C">
      <w:pPr>
        <w:pStyle w:val="Sinespaciado"/>
        <w:spacing w:line="276" w:lineRule="auto"/>
        <w:rPr>
          <w:rFonts w:ascii="Century Gothic" w:hAnsi="Century Gothic" w:cs="Arial"/>
          <w:sz w:val="24"/>
          <w:szCs w:val="24"/>
          <w:lang w:val="es-CO"/>
        </w:rPr>
      </w:pPr>
    </w:p>
    <w:p w:rsidR="00A3487C" w:rsidRDefault="001F168A">
      <w:pPr>
        <w:pStyle w:val="Sinespaciado"/>
        <w:spacing w:line="276" w:lineRule="auto"/>
        <w:jc w:val="both"/>
        <w:rPr>
          <w:rFonts w:ascii="Century Gothic" w:hAnsi="Century Gothic" w:cs="Arial"/>
          <w:sz w:val="24"/>
          <w:szCs w:val="24"/>
          <w:lang w:val="es-CO"/>
        </w:rPr>
      </w:pPr>
      <w:r>
        <w:rPr>
          <w:rFonts w:ascii="Century Gothic" w:hAnsi="Century Gothic" w:cs="Arial"/>
          <w:sz w:val="24"/>
          <w:szCs w:val="24"/>
          <w:lang w:val="es-CO"/>
        </w:rPr>
        <w:t xml:space="preserve">Finalmente, el parágrafo único de referenciado artículo 14, prevé que en aquellos casos en que la autoridad no pueda resolver una solicitud en los plazos señalados, deberá informarlo al interesado y, de todas formas, atenderla dentro un plazo razonable, el cual no podrá exceder el doble del inicialmente previsto. </w:t>
      </w:r>
    </w:p>
    <w:p w:rsidR="00A3487C" w:rsidRDefault="00A3487C">
      <w:pPr>
        <w:pStyle w:val="Sinespaciado"/>
        <w:spacing w:line="276" w:lineRule="auto"/>
        <w:rPr>
          <w:rFonts w:ascii="Century Gothic" w:hAnsi="Century Gothic" w:cs="Arial"/>
          <w:sz w:val="24"/>
          <w:szCs w:val="24"/>
          <w:lang w:val="es-CO"/>
        </w:rPr>
      </w:pPr>
    </w:p>
    <w:p w:rsidR="00A3487C" w:rsidRDefault="001F168A">
      <w:pPr>
        <w:spacing w:after="0"/>
        <w:jc w:val="both"/>
        <w:rPr>
          <w:rFonts w:ascii="Century Gothic" w:hAnsi="Century Gothic"/>
          <w:b/>
          <w:sz w:val="24"/>
          <w:szCs w:val="24"/>
          <w:lang w:val="es-CO"/>
        </w:rPr>
      </w:pPr>
      <w:r>
        <w:rPr>
          <w:rFonts w:ascii="Century Gothic" w:hAnsi="Century Gothic" w:cs="Arial"/>
          <w:sz w:val="24"/>
          <w:szCs w:val="24"/>
          <w:lang w:val="es-CO"/>
        </w:rPr>
        <w:t>Por su parte, la Corte Constitucional determinó cuáles son los elementos esenciales del derecho fundamental de petición, así: (i) la formulación de la petición, esto es, la posibilidad de dirigir solicitudes respetuosas a las autoridades y particulares, sin que les sea dada la oportunidad de negarse a recibirlas y tramitarlas</w:t>
      </w:r>
      <w:r>
        <w:rPr>
          <w:rStyle w:val="Ancladenotaalpie"/>
          <w:rFonts w:ascii="Century Gothic" w:hAnsi="Century Gothic" w:cs="Arial"/>
          <w:sz w:val="24"/>
          <w:szCs w:val="24"/>
          <w:lang w:val="es-CO"/>
        </w:rPr>
        <w:footnoteReference w:id="3"/>
      </w:r>
      <w:r>
        <w:rPr>
          <w:rFonts w:ascii="Century Gothic" w:hAnsi="Century Gothic" w:cs="Arial"/>
          <w:sz w:val="24"/>
          <w:szCs w:val="24"/>
          <w:lang w:val="es-CO"/>
        </w:rPr>
        <w:t>; (ii) la pronta resolución, ello significa, la definición de fondo del asunto planteado dentro de un término razonable</w:t>
      </w:r>
      <w:r>
        <w:rPr>
          <w:rStyle w:val="Ancladenotaalpie"/>
          <w:rFonts w:ascii="Century Gothic" w:hAnsi="Century Gothic" w:cs="Arial"/>
          <w:sz w:val="24"/>
          <w:szCs w:val="24"/>
          <w:lang w:val="es-CO"/>
        </w:rPr>
        <w:footnoteReference w:id="4"/>
      </w:r>
      <w:r>
        <w:rPr>
          <w:rFonts w:ascii="Century Gothic" w:hAnsi="Century Gothic" w:cs="Arial"/>
          <w:sz w:val="24"/>
          <w:szCs w:val="24"/>
          <w:lang w:val="es-CO"/>
        </w:rPr>
        <w:t>; una respuesta de fondo, o sea, la resolución definitiva de lo pedido, sea positivo o negativo, de forma clara (inteligible y de fácil comprensión), precisa (que atienda directamente lo pedido sin reparar en información impertinente y sin incurrir en fórmulas evasivas o elusivas</w:t>
      </w:r>
      <w:r>
        <w:rPr>
          <w:rStyle w:val="Ancladenotaalpie"/>
          <w:rFonts w:ascii="Century Gothic" w:hAnsi="Century Gothic" w:cs="Arial"/>
          <w:sz w:val="24"/>
          <w:szCs w:val="24"/>
          <w:lang w:val="es-CO"/>
        </w:rPr>
        <w:footnoteReference w:id="5"/>
      </w:r>
      <w:r>
        <w:rPr>
          <w:rFonts w:ascii="Century Gothic" w:hAnsi="Century Gothic" w:cs="Arial"/>
          <w:sz w:val="24"/>
          <w:szCs w:val="24"/>
          <w:lang w:val="es-CO"/>
        </w:rPr>
        <w:t>), congruente (abarque la materia objeto de la petición y sea conforme lo solicitado) y consecuente con el trámite surtido; y (iii) la notificación al peticionario, es decir, la información efectiva del solicitante respecto de la decisión que, con motivo de su petición, se ha producido</w:t>
      </w:r>
      <w:r>
        <w:rPr>
          <w:rStyle w:val="Ancladenotaalpie"/>
          <w:rFonts w:ascii="Century Gothic" w:hAnsi="Century Gothic" w:cs="Arial"/>
          <w:sz w:val="24"/>
          <w:szCs w:val="24"/>
          <w:lang w:val="es-CO"/>
        </w:rPr>
        <w:footnoteReference w:id="6"/>
      </w:r>
      <w:r>
        <w:rPr>
          <w:rFonts w:ascii="Century Gothic" w:hAnsi="Century Gothic" w:cs="Arial"/>
          <w:sz w:val="24"/>
          <w:szCs w:val="24"/>
          <w:lang w:val="es-CO"/>
        </w:rPr>
        <w:t xml:space="preserve"> (Sentencia T – 048 de 2016</w:t>
      </w:r>
      <w:r>
        <w:rPr>
          <w:rStyle w:val="Ancladenotaalpie"/>
          <w:rFonts w:ascii="Century Gothic" w:hAnsi="Century Gothic" w:cs="Arial"/>
          <w:sz w:val="24"/>
          <w:szCs w:val="24"/>
          <w:lang w:val="es-CO"/>
        </w:rPr>
        <w:footnoteReference w:id="7"/>
      </w:r>
      <w:r>
        <w:rPr>
          <w:rFonts w:ascii="Century Gothic" w:hAnsi="Century Gothic" w:cs="Arial"/>
          <w:sz w:val="24"/>
          <w:szCs w:val="24"/>
          <w:lang w:val="es-CO"/>
        </w:rPr>
        <w:t>).</w:t>
      </w:r>
    </w:p>
    <w:p w:rsidR="00A3487C" w:rsidRDefault="00A3487C">
      <w:pPr>
        <w:pStyle w:val="Sinespaciado"/>
        <w:spacing w:line="276" w:lineRule="auto"/>
        <w:jc w:val="both"/>
        <w:rPr>
          <w:rFonts w:ascii="Century Gothic" w:hAnsi="Century Gothic"/>
          <w:sz w:val="24"/>
          <w:szCs w:val="24"/>
        </w:rPr>
      </w:pPr>
    </w:p>
    <w:p w:rsidR="00A3487C" w:rsidRDefault="001F168A">
      <w:pPr>
        <w:spacing w:after="0"/>
        <w:jc w:val="both"/>
        <w:rPr>
          <w:rFonts w:ascii="Century Gothic" w:hAnsi="Century Gothic" w:cs="Century Gothic"/>
          <w:b/>
          <w:sz w:val="24"/>
          <w:szCs w:val="24"/>
          <w:lang w:val="es-CO"/>
        </w:rPr>
      </w:pPr>
      <w:r>
        <w:rPr>
          <w:rFonts w:ascii="Century Gothic" w:hAnsi="Century Gothic" w:cs="Century Gothic"/>
          <w:b/>
          <w:sz w:val="24"/>
          <w:szCs w:val="24"/>
          <w:lang w:val="es-CO"/>
        </w:rPr>
        <w:t xml:space="preserve">2.4 Derecho al debido proceso </w:t>
      </w:r>
    </w:p>
    <w:p w:rsidR="00A3487C" w:rsidRDefault="00A3487C">
      <w:pPr>
        <w:pStyle w:val="Sinespaciado"/>
        <w:rPr>
          <w:rFonts w:ascii="Century Gothic" w:hAnsi="Century Gothic" w:cs="Century Gothic"/>
          <w:b/>
          <w:sz w:val="24"/>
          <w:szCs w:val="24"/>
          <w:lang w:val="es-CO"/>
        </w:rPr>
      </w:pPr>
    </w:p>
    <w:p w:rsidR="00A3487C" w:rsidRDefault="001F168A">
      <w:pPr>
        <w:widowControl w:val="0"/>
        <w:tabs>
          <w:tab w:val="left" w:pos="720"/>
        </w:tabs>
        <w:spacing w:after="0"/>
        <w:ind w:right="-40"/>
        <w:jc w:val="both"/>
      </w:pPr>
      <w:r>
        <w:rPr>
          <w:rFonts w:ascii="Century Gothic" w:hAnsi="Century Gothic" w:cs="Century Gothic"/>
          <w:sz w:val="24"/>
          <w:szCs w:val="24"/>
          <w:lang w:val="es-MX" w:eastAsia="es-ES"/>
        </w:rPr>
        <w:t>La jurisprudencia de la Corte Constitucional</w:t>
      </w:r>
      <w:r>
        <w:rPr>
          <w:rStyle w:val="Ancladenotaalpie"/>
          <w:rFonts w:ascii="Century Gothic" w:hAnsi="Century Gothic" w:cs="Century Gothic"/>
          <w:sz w:val="24"/>
          <w:szCs w:val="24"/>
          <w:lang w:val="es-MX" w:eastAsia="es-ES"/>
        </w:rPr>
        <w:footnoteReference w:id="8"/>
      </w:r>
      <w:r>
        <w:rPr>
          <w:rFonts w:ascii="Century Gothic" w:hAnsi="Century Gothic" w:cs="Century Gothic"/>
          <w:sz w:val="24"/>
          <w:szCs w:val="24"/>
          <w:lang w:val="es-MX" w:eastAsia="es-ES"/>
        </w:rPr>
        <w:t xml:space="preserve">, respecto al debido proceso consagrado en el artículo 29 de la Carta Política, ha dispuesto que se debe aplicar a toda clase de actuaciones judiciales y </w:t>
      </w:r>
      <w:r>
        <w:rPr>
          <w:rFonts w:ascii="Century Gothic" w:hAnsi="Century Gothic" w:cs="Century Gothic"/>
          <w:sz w:val="24"/>
          <w:szCs w:val="24"/>
          <w:u w:val="single"/>
          <w:lang w:val="es-MX" w:eastAsia="es-ES"/>
        </w:rPr>
        <w:t>administrativas</w:t>
      </w:r>
      <w:r>
        <w:rPr>
          <w:rFonts w:ascii="Century Gothic" w:hAnsi="Century Gothic" w:cs="Century Gothic"/>
          <w:sz w:val="24"/>
          <w:szCs w:val="24"/>
          <w:lang w:val="es-MX" w:eastAsia="es-ES"/>
        </w:rPr>
        <w:t xml:space="preserve"> con el fin de que todos los integrantes de la comunidad, puedan defender y preservar el valor de la justicia reconocida en el preámbulo de la Constitución, definido como: </w:t>
      </w:r>
      <w:r>
        <w:rPr>
          <w:rFonts w:ascii="Century Gothic" w:hAnsi="Century Gothic" w:cs="Century Gothic"/>
          <w:i/>
          <w:iCs/>
        </w:rPr>
        <w:t>“</w:t>
      </w:r>
      <w:r>
        <w:rPr>
          <w:rFonts w:ascii="Century Gothic" w:hAnsi="Century Gothic" w:cs="Century Gothic"/>
          <w:b/>
          <w:i/>
          <w:iCs/>
        </w:rPr>
        <w:t xml:space="preserve">(i) </w:t>
      </w:r>
      <w:r>
        <w:rPr>
          <w:rFonts w:ascii="Century Gothic" w:hAnsi="Century Gothic" w:cs="Century Gothic"/>
          <w:i/>
          <w:iCs/>
        </w:rPr>
        <w:t xml:space="preserve">el conjunto complejo de condiciones que le impone la ley a la administración, materializado en el cumplimiento de una secuencia de actos por parte de la autoridad administrativa, </w:t>
      </w:r>
      <w:r>
        <w:rPr>
          <w:rFonts w:ascii="Century Gothic" w:hAnsi="Century Gothic" w:cs="Century Gothic"/>
          <w:b/>
          <w:i/>
          <w:iCs/>
        </w:rPr>
        <w:t xml:space="preserve">(ii) </w:t>
      </w:r>
      <w:r>
        <w:rPr>
          <w:rFonts w:ascii="Century Gothic" w:hAnsi="Century Gothic" w:cs="Century Gothic"/>
          <w:i/>
          <w:iCs/>
        </w:rPr>
        <w:t xml:space="preserve">que guarda relación directa o indirecta entre sí, y </w:t>
      </w:r>
      <w:r>
        <w:rPr>
          <w:rFonts w:ascii="Century Gothic" w:hAnsi="Century Gothic" w:cs="Century Gothic"/>
          <w:b/>
          <w:i/>
          <w:iCs/>
        </w:rPr>
        <w:t xml:space="preserve">(iii) </w:t>
      </w:r>
      <w:r>
        <w:rPr>
          <w:rFonts w:ascii="Century Gothic" w:hAnsi="Century Gothic" w:cs="Century Gothic"/>
          <w:i/>
          <w:iCs/>
        </w:rPr>
        <w:t>cuyo fin está previamente determinado de manera constitucional y legal”. Ha precisado al respecto, que con dicha garantía se busca “</w:t>
      </w:r>
      <w:r>
        <w:rPr>
          <w:rFonts w:ascii="Century Gothic" w:hAnsi="Century Gothic" w:cs="Century Gothic"/>
          <w:b/>
          <w:i/>
          <w:iCs/>
        </w:rPr>
        <w:t xml:space="preserve">(i) </w:t>
      </w:r>
      <w:r>
        <w:rPr>
          <w:rFonts w:ascii="Century Gothic" w:hAnsi="Century Gothic" w:cs="Century Gothic"/>
          <w:i/>
          <w:iCs/>
        </w:rPr>
        <w:t xml:space="preserve">asegurar el ordenado funcionamiento de la administración, </w:t>
      </w:r>
      <w:r>
        <w:rPr>
          <w:rFonts w:ascii="Century Gothic" w:hAnsi="Century Gothic" w:cs="Century Gothic"/>
          <w:b/>
          <w:i/>
          <w:iCs/>
        </w:rPr>
        <w:t>(ii)</w:t>
      </w:r>
      <w:r>
        <w:rPr>
          <w:rFonts w:ascii="Century Gothic" w:hAnsi="Century Gothic" w:cs="Century Gothic"/>
          <w:i/>
          <w:iCs/>
        </w:rPr>
        <w:t xml:space="preserve"> la validez de sus propias actuaciones y, </w:t>
      </w:r>
      <w:r>
        <w:rPr>
          <w:rFonts w:ascii="Century Gothic" w:hAnsi="Century Gothic" w:cs="Century Gothic"/>
          <w:b/>
          <w:i/>
          <w:iCs/>
        </w:rPr>
        <w:t>(iii)</w:t>
      </w:r>
      <w:r>
        <w:rPr>
          <w:rFonts w:ascii="Century Gothic" w:hAnsi="Century Gothic" w:cs="Century Gothic"/>
          <w:i/>
          <w:iCs/>
        </w:rPr>
        <w:t xml:space="preserve"> resguardar el derecho a la seguridad jurídica y a la defensa de los administrados”</w:t>
      </w:r>
      <w:r>
        <w:rPr>
          <w:rStyle w:val="Ancladenotaalpie"/>
          <w:rFonts w:ascii="Century Gothic" w:hAnsi="Century Gothic" w:cs="Century Gothic"/>
          <w:i/>
          <w:iCs/>
          <w:sz w:val="24"/>
          <w:szCs w:val="24"/>
        </w:rPr>
        <w:footnoteReference w:id="9"/>
      </w:r>
    </w:p>
    <w:p w:rsidR="00A3487C" w:rsidRDefault="00A3487C">
      <w:pPr>
        <w:pStyle w:val="Sinespaciado"/>
        <w:rPr>
          <w:rFonts w:ascii="Century Gothic" w:hAnsi="Century Gothic" w:cs="Century Gothic"/>
          <w:i/>
          <w:iCs/>
          <w:sz w:val="24"/>
          <w:szCs w:val="24"/>
        </w:rPr>
      </w:pPr>
    </w:p>
    <w:p w:rsidR="00A3487C" w:rsidRDefault="001F168A">
      <w:pPr>
        <w:widowControl w:val="0"/>
        <w:tabs>
          <w:tab w:val="left" w:pos="720"/>
        </w:tabs>
        <w:spacing w:after="0"/>
        <w:ind w:right="-40"/>
        <w:jc w:val="both"/>
      </w:pPr>
      <w:r>
        <w:rPr>
          <w:rFonts w:ascii="Century Gothic" w:hAnsi="Century Gothic" w:cs="Century Gothic"/>
          <w:sz w:val="24"/>
          <w:szCs w:val="24"/>
          <w:lang w:val="es-MX" w:eastAsia="es-ES"/>
        </w:rPr>
        <w:t xml:space="preserve">Del mismo modo ha señalado que existen unas garantías mínimas en virtud del derecho al debido proceso administrativo, así: </w:t>
      </w:r>
      <w:r>
        <w:rPr>
          <w:rFonts w:ascii="Century Gothic" w:hAnsi="Century Gothic" w:cs="Century Gothic"/>
          <w:i/>
          <w:iCs/>
        </w:rPr>
        <w:t>“</w:t>
      </w:r>
      <w:r>
        <w:rPr>
          <w:rFonts w:ascii="Century Gothic" w:hAnsi="Century Gothic" w:cs="Century Gothic"/>
          <w:b/>
          <w:i/>
          <w:iCs/>
        </w:rPr>
        <w:t>(i)</w:t>
      </w:r>
      <w:r>
        <w:rPr>
          <w:rFonts w:ascii="Century Gothic" w:hAnsi="Century Gothic" w:cs="Century Gothic"/>
          <w:i/>
          <w:iCs/>
        </w:rPr>
        <w:t>ser oído durante toda la actuación,</w:t>
      </w:r>
      <w:r>
        <w:rPr>
          <w:rFonts w:ascii="Century Gothic" w:hAnsi="Century Gothic" w:cs="Century Gothic"/>
          <w:b/>
          <w:i/>
          <w:iCs/>
        </w:rPr>
        <w:t>(ii) </w:t>
      </w:r>
      <w:r>
        <w:rPr>
          <w:rFonts w:ascii="Century Gothic" w:hAnsi="Century Gothic" w:cs="Century Gothic"/>
          <w:i/>
          <w:iCs/>
        </w:rPr>
        <w:t>a la notificación oportuna y de conformidad con la ley, </w:t>
      </w:r>
      <w:r>
        <w:rPr>
          <w:rFonts w:ascii="Century Gothic" w:hAnsi="Century Gothic" w:cs="Century Gothic"/>
          <w:b/>
          <w:i/>
          <w:iCs/>
        </w:rPr>
        <w:t>(iii)</w:t>
      </w:r>
      <w:r>
        <w:rPr>
          <w:rFonts w:ascii="Century Gothic" w:hAnsi="Century Gothic" w:cs="Century Gothic"/>
          <w:i/>
          <w:iCs/>
        </w:rPr>
        <w:t> a que la actuación se surta sin dilaciones injustificadas, </w:t>
      </w:r>
      <w:r>
        <w:rPr>
          <w:rFonts w:ascii="Century Gothic" w:hAnsi="Century Gothic" w:cs="Century Gothic"/>
          <w:b/>
          <w:i/>
          <w:iCs/>
        </w:rPr>
        <w:t>(iv)</w:t>
      </w:r>
      <w:r>
        <w:rPr>
          <w:rFonts w:ascii="Century Gothic" w:hAnsi="Century Gothic" w:cs="Century Gothic"/>
          <w:i/>
          <w:iCs/>
        </w:rPr>
        <w:t> a que se permita la participación en la actuación desde su inicio hasta su culminación, </w:t>
      </w:r>
      <w:r>
        <w:rPr>
          <w:rFonts w:ascii="Century Gothic" w:hAnsi="Century Gothic" w:cs="Century Gothic"/>
          <w:b/>
          <w:i/>
          <w:iCs/>
        </w:rPr>
        <w:t>(v)</w:t>
      </w:r>
      <w:r>
        <w:rPr>
          <w:rFonts w:ascii="Century Gothic" w:hAnsi="Century Gothic" w:cs="Century Gothic"/>
          <w:i/>
          <w:iCs/>
        </w:rPr>
        <w:t> a que la actuación se adelante por autoridad competente y con el pleno respeto de las formas propias previstas en el ordenamiento jurídico, </w:t>
      </w:r>
      <w:r>
        <w:rPr>
          <w:rFonts w:ascii="Century Gothic" w:hAnsi="Century Gothic" w:cs="Century Gothic"/>
          <w:b/>
          <w:i/>
          <w:iCs/>
        </w:rPr>
        <w:t>(vi)</w:t>
      </w:r>
      <w:r>
        <w:rPr>
          <w:rFonts w:ascii="Century Gothic" w:hAnsi="Century Gothic" w:cs="Century Gothic"/>
          <w:i/>
          <w:iCs/>
        </w:rPr>
        <w:t xml:space="preserve"> a gozar de la presunción de inocencia, </w:t>
      </w:r>
      <w:r>
        <w:rPr>
          <w:rFonts w:ascii="Century Gothic" w:hAnsi="Century Gothic" w:cs="Century Gothic"/>
          <w:b/>
          <w:i/>
          <w:iCs/>
        </w:rPr>
        <w:t>(vii)</w:t>
      </w:r>
      <w:r>
        <w:rPr>
          <w:rFonts w:ascii="Century Gothic" w:hAnsi="Century Gothic" w:cs="Century Gothic"/>
          <w:i/>
          <w:iCs/>
        </w:rPr>
        <w:t xml:space="preserve"> al ejercicio del derecho de defensa y contradicción, </w:t>
      </w:r>
      <w:r>
        <w:rPr>
          <w:rFonts w:ascii="Century Gothic" w:hAnsi="Century Gothic" w:cs="Century Gothic"/>
          <w:b/>
          <w:i/>
          <w:iCs/>
        </w:rPr>
        <w:t>(viii)</w:t>
      </w:r>
      <w:r>
        <w:rPr>
          <w:rFonts w:ascii="Century Gothic" w:hAnsi="Century Gothic" w:cs="Century Gothic"/>
          <w:i/>
          <w:iCs/>
        </w:rPr>
        <w:t> a solicitar, aportar y controvertir pruebas, y </w:t>
      </w:r>
      <w:r>
        <w:rPr>
          <w:rFonts w:ascii="Century Gothic" w:hAnsi="Century Gothic" w:cs="Century Gothic"/>
          <w:b/>
          <w:i/>
          <w:iCs/>
        </w:rPr>
        <w:t>(ix) </w:t>
      </w:r>
      <w:r>
        <w:rPr>
          <w:rFonts w:ascii="Century Gothic" w:hAnsi="Century Gothic" w:cs="Century Gothic"/>
          <w:i/>
          <w:iCs/>
        </w:rPr>
        <w:t>a impugnar las decisiones y a promover la nulidad de aquellas obtenidas con violación del debido proceso.”</w:t>
      </w:r>
      <w:r>
        <w:rPr>
          <w:rStyle w:val="Ancladenotaalpie"/>
          <w:rFonts w:ascii="Century Gothic" w:hAnsi="Century Gothic" w:cs="Century Gothic"/>
          <w:i/>
          <w:iCs/>
          <w:sz w:val="24"/>
          <w:szCs w:val="24"/>
        </w:rPr>
        <w:footnoteReference w:id="10"/>
      </w:r>
    </w:p>
    <w:p w:rsidR="00A3487C" w:rsidRDefault="00A3487C">
      <w:pPr>
        <w:pStyle w:val="Sinespaciado"/>
        <w:rPr>
          <w:rFonts w:ascii="Century Gothic" w:hAnsi="Century Gothic" w:cs="Century Gothic"/>
          <w:i/>
          <w:iCs/>
          <w:sz w:val="24"/>
          <w:szCs w:val="24"/>
        </w:rPr>
      </w:pPr>
    </w:p>
    <w:p w:rsidR="00A3487C" w:rsidRDefault="001F168A">
      <w:pPr>
        <w:spacing w:after="0"/>
        <w:jc w:val="both"/>
      </w:pPr>
      <w:r>
        <w:rPr>
          <w:rFonts w:ascii="Century Gothic" w:hAnsi="Century Gothic" w:cs="Century Gothic"/>
          <w:iCs/>
          <w:sz w:val="24"/>
          <w:szCs w:val="24"/>
        </w:rPr>
        <w:t>En este orden de ideas, concluyó la Corte que cualquier transgresión a las garantías mínimas mencionadas anteriormente, atentaría contra los principios que gobiernan la actividad administrativa, (igualdad, imparcialidad, publicidad, moralidad y contradicción) y vulneraría los derechos fundamentales de las personas que acceden a la administración o de alguna forma quedan vinculadas por sus actuaciones.</w:t>
      </w:r>
    </w:p>
    <w:p w:rsidR="00A3487C" w:rsidRDefault="00A3487C">
      <w:pPr>
        <w:pStyle w:val="Sinespaciado"/>
        <w:rPr>
          <w:rFonts w:ascii="Century Gothic" w:hAnsi="Century Gothic" w:cs="Century Gothic"/>
          <w:iCs/>
          <w:sz w:val="24"/>
          <w:szCs w:val="24"/>
        </w:rPr>
      </w:pPr>
    </w:p>
    <w:p w:rsidR="00A3487C" w:rsidRDefault="001F168A">
      <w:pPr>
        <w:pStyle w:val="Sinespaciado"/>
        <w:spacing w:line="276" w:lineRule="auto"/>
        <w:jc w:val="both"/>
        <w:rPr>
          <w:rFonts w:ascii="Century Gothic" w:hAnsi="Century Gothic" w:cs="Arial"/>
          <w:sz w:val="24"/>
          <w:szCs w:val="24"/>
        </w:rPr>
      </w:pPr>
      <w:r>
        <w:rPr>
          <w:rFonts w:ascii="Century Gothic" w:hAnsi="Century Gothic" w:cs="Arial"/>
          <w:sz w:val="24"/>
          <w:szCs w:val="24"/>
        </w:rPr>
        <w:t>De acuerdo a lo expuesto, el debido proceso administrativo consagrado como derecho fundamental, se convierte en una manifestación del principio de legalidad, conforme al cual toda competencia ejercida por las autoridades públicas debe estar previamente establecida en la ley, como también las funciones que les corresponden cumplir y los trámites a seguir antes de adoptar una determinada decisión; pues el papel de dicho derecho no es cumplir con las funciones descritas, sino que además, es un medio imprescindible para la realización de los demás derechos constitucionales.</w:t>
      </w:r>
    </w:p>
    <w:p w:rsidR="00A3487C" w:rsidRDefault="00A3487C">
      <w:pPr>
        <w:pStyle w:val="Sinespaciado"/>
        <w:rPr>
          <w:rFonts w:ascii="Century Gothic" w:hAnsi="Century Gothic" w:cs="Arial"/>
          <w:sz w:val="24"/>
          <w:szCs w:val="24"/>
        </w:rPr>
      </w:pPr>
    </w:p>
    <w:p w:rsidR="00A3487C" w:rsidRDefault="001F168A">
      <w:pPr>
        <w:spacing w:after="0"/>
        <w:jc w:val="both"/>
      </w:pPr>
      <w:r>
        <w:rPr>
          <w:rFonts w:ascii="Century Gothic" w:hAnsi="Century Gothic" w:cs="Century Gothic"/>
          <w:iCs/>
          <w:color w:val="000000"/>
          <w:sz w:val="24"/>
          <w:szCs w:val="24"/>
        </w:rPr>
        <w:t xml:space="preserve">Así las cosas, para determinar si se ha vulnerado el debido proceso en la actuación administrativa, el Juez constitucional tiene el deber de revisar el trámite establecido por el legislador en cada caso, para calificar si las etapas, tiempos y formalidades han sido acatadas por la entidad observando la efectividad el derecho sustancial, permitiéndosele al administrado </w:t>
      </w:r>
      <w:r>
        <w:rPr>
          <w:rFonts w:ascii="Century Gothic" w:hAnsi="Century Gothic" w:cs="Century Gothic"/>
          <w:iCs/>
          <w:color w:val="000000"/>
          <w:sz w:val="24"/>
          <w:szCs w:val="24"/>
          <w:u w:val="single"/>
        </w:rPr>
        <w:t>hacer uso de los recursos e instrumentos existentes en cada trámite en particular, de modo tal, que si se ha desconocido lo anterior, es procedente la acción de tutela para amparar el derecho fundamental.</w:t>
      </w:r>
    </w:p>
    <w:p w:rsidR="00A3487C" w:rsidRDefault="00A3487C">
      <w:pPr>
        <w:spacing w:after="0"/>
        <w:jc w:val="both"/>
        <w:rPr>
          <w:rFonts w:ascii="Century Gothic" w:hAnsi="Century Gothic" w:cs="Century Gothic"/>
          <w:iCs/>
          <w:color w:val="000000"/>
          <w:sz w:val="24"/>
          <w:szCs w:val="24"/>
          <w:u w:val="single"/>
        </w:rPr>
      </w:pPr>
    </w:p>
    <w:p w:rsidR="00A3487C" w:rsidRDefault="001F168A">
      <w:pPr>
        <w:spacing w:after="0"/>
        <w:jc w:val="both"/>
      </w:pPr>
      <w:r>
        <w:rPr>
          <w:rFonts w:ascii="Century Gothic" w:hAnsi="Century Gothic" w:cs="Century Gothic"/>
          <w:b/>
          <w:bCs/>
          <w:iCs/>
          <w:color w:val="000000"/>
          <w:sz w:val="24"/>
          <w:szCs w:val="24"/>
        </w:rPr>
        <w:t>2.5</w:t>
      </w:r>
      <w:r>
        <w:rPr>
          <w:rFonts w:ascii="Century Gothic" w:hAnsi="Century Gothic" w:cs="Arial"/>
          <w:sz w:val="24"/>
          <w:szCs w:val="24"/>
        </w:rPr>
        <w:t xml:space="preserve"> </w:t>
      </w:r>
      <w:r>
        <w:rPr>
          <w:rFonts w:ascii="Century Gothic" w:hAnsi="Century Gothic" w:cs="Arial"/>
          <w:b/>
          <w:sz w:val="24"/>
          <w:szCs w:val="24"/>
        </w:rPr>
        <w:t>Derecho al mínimo vital</w:t>
      </w:r>
    </w:p>
    <w:p w:rsidR="00A3487C" w:rsidRDefault="00A3487C">
      <w:pPr>
        <w:pStyle w:val="Sinespaciado"/>
        <w:rPr>
          <w:rFonts w:ascii="Century Gothic" w:hAnsi="Century Gothic" w:cs="Arial"/>
          <w:b/>
          <w:sz w:val="24"/>
          <w:szCs w:val="24"/>
        </w:rPr>
      </w:pPr>
    </w:p>
    <w:p w:rsidR="00A3487C" w:rsidRDefault="001F168A">
      <w:pPr>
        <w:spacing w:after="0"/>
        <w:jc w:val="both"/>
        <w:rPr>
          <w:rFonts w:ascii="Century Gothic" w:eastAsia="Calibri" w:hAnsi="Century Gothic" w:cs="Arial"/>
          <w:sz w:val="24"/>
          <w:szCs w:val="24"/>
          <w:lang w:val="es-CO"/>
        </w:rPr>
      </w:pPr>
      <w:r>
        <w:rPr>
          <w:rFonts w:ascii="Century Gothic" w:eastAsia="Calibri" w:hAnsi="Century Gothic" w:cs="Arial"/>
          <w:sz w:val="24"/>
          <w:szCs w:val="24"/>
          <w:lang w:val="es-CO"/>
        </w:rPr>
        <w:t xml:space="preserve">La Corte Constitucional ha definido el derecho al mínimo vital (alimentos congruos) como el conjunto de condiciones básicas indispensables para garantizar la subsistencia digna de la persona y de su familia.  </w:t>
      </w:r>
    </w:p>
    <w:p w:rsidR="00A3487C" w:rsidRDefault="00A3487C">
      <w:pPr>
        <w:spacing w:after="0" w:line="240" w:lineRule="auto"/>
        <w:jc w:val="both"/>
        <w:rPr>
          <w:rFonts w:ascii="Century Gothic" w:eastAsia="Calibri" w:hAnsi="Century Gothic" w:cs="Arial"/>
          <w:sz w:val="24"/>
          <w:szCs w:val="24"/>
          <w:lang w:val="es-CO"/>
        </w:rPr>
      </w:pPr>
    </w:p>
    <w:p w:rsidR="00A3487C" w:rsidRDefault="001F168A">
      <w:pPr>
        <w:spacing w:after="0" w:line="240" w:lineRule="auto"/>
        <w:ind w:left="720" w:right="561"/>
        <w:jc w:val="both"/>
      </w:pPr>
      <w:r>
        <w:rPr>
          <w:rFonts w:ascii="Century Gothic" w:eastAsia="Calibri" w:hAnsi="Century Gothic" w:cs="Century Gothic"/>
          <w:i/>
          <w:iCs/>
          <w:color w:val="000000"/>
          <w:shd w:val="clear" w:color="auto" w:fill="FFFFFF"/>
          <w:lang w:val="es-CO"/>
        </w:rPr>
        <w:t>“El derecho al mínimo vital ha sido considerado por la jurisprudencia constitucional como una de las garantías más importantes en el Estado Social de Derecho. No solo porque se fundamenta en otros derechos como la vida (Art. 11 C.P.),  la salud (Art. 49 C.P.), el trabajo (Art. 25 C.P.) y la seguridad social (Art. 48 C.P.), sino porque en sí mismo es ese mínimo sin el cual las personas no podrían vivir dignamente. Es un concepto que no solo busca garantizarle al individuo percibir ciertos recursos, sino permitirle desarrollar un proyecto de vida igual que al común de la sociedad. De allí que también sea una medida de justicia social, propia de nuestro Estado Constitucional. En ese sentido, derecho al mínimo vital ha sido definido por la Corte como “la porción de los ingresos del trabajador o pensionado que están destinados a la financiación de sus necesidades básicas, como son la alimentación, la vivienda, el vestido, el acceso a los servicios públicos domiciliarios, la recreación, la atención en salud, prerrogativas cuya titularidad es indispensable para hacer efectivo el derecho a la dignidad humana, valor fundante del ordenamiento jurídico constitucional”. Es decir, la garantía mínima de vida.”</w:t>
      </w:r>
      <w:r>
        <w:rPr>
          <w:rStyle w:val="Ancladenotaalpie"/>
          <w:rFonts w:ascii="Century Gothic" w:eastAsia="Calibri" w:hAnsi="Century Gothic" w:cs="Century Gothic"/>
          <w:i/>
          <w:iCs/>
          <w:color w:val="000000"/>
          <w:shd w:val="clear" w:color="auto" w:fill="FFFFFF"/>
          <w:lang w:val="es-CO"/>
        </w:rPr>
        <w:footnoteReference w:id="11"/>
      </w:r>
    </w:p>
    <w:p w:rsidR="00A3487C" w:rsidRDefault="00A3487C">
      <w:pPr>
        <w:spacing w:after="0" w:line="360" w:lineRule="auto"/>
        <w:ind w:left="720" w:right="561"/>
        <w:jc w:val="both"/>
        <w:rPr>
          <w:rFonts w:ascii="Century Gothic" w:eastAsia="Calibri" w:hAnsi="Century Gothic" w:cs="Century Gothic"/>
          <w:bCs/>
          <w:i/>
          <w:iCs/>
          <w:color w:val="000000"/>
          <w:highlight w:val="white"/>
          <w:lang w:val="es-CO"/>
        </w:rPr>
      </w:pPr>
    </w:p>
    <w:p w:rsidR="00A3487C" w:rsidRDefault="001F168A">
      <w:pPr>
        <w:spacing w:after="0"/>
        <w:jc w:val="both"/>
      </w:pPr>
      <w:r>
        <w:rPr>
          <w:rFonts w:ascii="Century Gothic" w:eastAsia="Calibri" w:hAnsi="Century Gothic" w:cs="Arial"/>
          <w:iCs/>
          <w:color w:val="000000"/>
          <w:sz w:val="24"/>
          <w:szCs w:val="24"/>
          <w:lang w:val="es-CO"/>
        </w:rPr>
        <w:t>Respecto al alcance de este concepto, la Alta Corporación ha manifestado que no puede solo limitarse al aspecto monetario, toda vez que no solamente debe garantizarse la vida digna del individuo, sino que además le permita desarrollar la vida en sociedad, de lo que se colige que el mínimo vital, lleva implícita una garantía no solo cuantitativa sino cualitativa, por lo que debe examinarse cada caso concreto, con el fin de determinar su protección.</w:t>
      </w:r>
    </w:p>
    <w:p w:rsidR="00A3487C" w:rsidRDefault="00A3487C">
      <w:pPr>
        <w:spacing w:after="0" w:line="240" w:lineRule="auto"/>
        <w:jc w:val="both"/>
        <w:rPr>
          <w:rFonts w:ascii="Century Gothic" w:eastAsia="Calibri" w:hAnsi="Century Gothic" w:cs="Arial"/>
          <w:b/>
          <w:bCs/>
          <w:iCs/>
          <w:color w:val="000000"/>
          <w:sz w:val="24"/>
          <w:szCs w:val="24"/>
          <w:lang w:val="es-CO"/>
        </w:rPr>
      </w:pPr>
    </w:p>
    <w:p w:rsidR="00A3487C" w:rsidRDefault="001F168A">
      <w:pPr>
        <w:spacing w:after="0" w:line="240" w:lineRule="auto"/>
        <w:jc w:val="both"/>
      </w:pPr>
      <w:r>
        <w:rPr>
          <w:rFonts w:ascii="Century Gothic" w:hAnsi="Century Gothic"/>
          <w:b/>
          <w:bCs/>
          <w:sz w:val="24"/>
          <w:szCs w:val="24"/>
        </w:rPr>
        <w:t xml:space="preserve">2.6 </w:t>
      </w:r>
      <w:r>
        <w:rPr>
          <w:rFonts w:ascii="Century Gothic" w:hAnsi="Century Gothic" w:cs="Arial"/>
          <w:b/>
          <w:bCs/>
          <w:sz w:val="24"/>
          <w:szCs w:val="24"/>
        </w:rPr>
        <w:t>Seguridad social</w:t>
      </w:r>
    </w:p>
    <w:p w:rsidR="00A3487C" w:rsidRDefault="00A3487C">
      <w:pPr>
        <w:pStyle w:val="Sinespaciado1"/>
      </w:pPr>
    </w:p>
    <w:p w:rsidR="00A3487C" w:rsidRPr="008A3158" w:rsidRDefault="001F168A" w:rsidP="008A3158">
      <w:pPr>
        <w:tabs>
          <w:tab w:val="left" w:pos="567"/>
        </w:tabs>
        <w:overflowPunct w:val="0"/>
        <w:jc w:val="both"/>
        <w:textAlignment w:val="baseline"/>
        <w:rPr>
          <w:rFonts w:ascii="Century Gothic" w:hAnsi="Century Gothic"/>
          <w:sz w:val="24"/>
          <w:szCs w:val="24"/>
        </w:rPr>
      </w:pPr>
      <w:r w:rsidRPr="008A3158">
        <w:rPr>
          <w:rFonts w:ascii="Century Gothic" w:hAnsi="Century Gothic"/>
          <w:sz w:val="24"/>
          <w:szCs w:val="24"/>
          <w:lang w:val="es-CO"/>
        </w:rPr>
        <w:t>El artículo 48 de la Constitución Política consagra el derecho a la seguridad social bajo una doble connotación: i) como derecho fundamental; y ii) como un servicio público de carácter obligatorio que se presta bajo la dirección, coordinación y control del Estado</w:t>
      </w:r>
      <w:r w:rsidRPr="008A3158">
        <w:rPr>
          <w:rStyle w:val="Ancladenotaalpie"/>
          <w:rFonts w:ascii="Century Gothic" w:hAnsi="Century Gothic"/>
          <w:sz w:val="24"/>
          <w:szCs w:val="24"/>
          <w:lang w:val="es-CO"/>
        </w:rPr>
        <w:footnoteReference w:id="12"/>
      </w:r>
      <w:r w:rsidRPr="008A3158">
        <w:rPr>
          <w:rFonts w:ascii="Century Gothic" w:hAnsi="Century Gothic"/>
          <w:sz w:val="24"/>
          <w:szCs w:val="24"/>
          <w:lang w:val="es-CO"/>
        </w:rPr>
        <w:t xml:space="preserve">. </w:t>
      </w:r>
    </w:p>
    <w:p w:rsidR="00A3487C" w:rsidRDefault="001F168A">
      <w:pPr>
        <w:pStyle w:val="Prrafodelista"/>
        <w:tabs>
          <w:tab w:val="left" w:pos="426"/>
        </w:tabs>
        <w:overflowPunct w:val="0"/>
        <w:ind w:left="0"/>
        <w:jc w:val="both"/>
        <w:textAlignment w:val="baseline"/>
      </w:pPr>
      <w:r>
        <w:rPr>
          <w:rFonts w:ascii="Century Gothic" w:hAnsi="Century Gothic" w:cs="Arial"/>
          <w:bCs/>
          <w:sz w:val="24"/>
          <w:szCs w:val="24"/>
          <w:lang w:val="es-CO"/>
        </w:rPr>
        <w:t>Así, de conformidad con la jurisprudencia constitucional</w:t>
      </w:r>
      <w:r>
        <w:rPr>
          <w:rStyle w:val="Ancladenotaalpie"/>
          <w:rFonts w:ascii="Century Gothic" w:hAnsi="Century Gothic" w:cs="Arial"/>
          <w:bCs/>
          <w:sz w:val="24"/>
          <w:szCs w:val="24"/>
          <w:lang w:val="es-CO"/>
        </w:rPr>
        <w:footnoteReference w:id="13"/>
      </w:r>
      <w:r>
        <w:rPr>
          <w:rFonts w:ascii="Century Gothic" w:hAnsi="Century Gothic" w:cs="Arial"/>
          <w:bCs/>
          <w:sz w:val="24"/>
          <w:szCs w:val="24"/>
          <w:lang w:val="es-CO"/>
        </w:rPr>
        <w:t xml:space="preserve">, esta garantía fundamental surge como un instrumento a través del cual se le garantiza a las personas el ejercicio de sus derechos fundamentales cuando se encuentran ante la materialización de algún evento o contingencia que </w:t>
      </w:r>
      <w:r>
        <w:rPr>
          <w:rFonts w:ascii="Century Gothic" w:eastAsia="Calibri" w:hAnsi="Century Gothic" w:cs="Arial"/>
          <w:bCs/>
          <w:sz w:val="24"/>
          <w:szCs w:val="24"/>
          <w:lang w:val="es-CO"/>
        </w:rPr>
        <w:t>afecte</w:t>
      </w:r>
      <w:r>
        <w:rPr>
          <w:rFonts w:ascii="Century Gothic" w:hAnsi="Century Gothic" w:cs="Arial"/>
          <w:bCs/>
          <w:sz w:val="24"/>
          <w:szCs w:val="24"/>
          <w:lang w:val="es-CO"/>
        </w:rPr>
        <w:t xml:space="preserve"> su estado de salud, calidad de vida y capacidad económica, o que se constituya en un obstáculo para la normal consecución de sus medios mínimos de subsistencia a través del trabajo</w:t>
      </w:r>
      <w:r>
        <w:rPr>
          <w:rFonts w:ascii="Century Gothic" w:hAnsi="Century Gothic" w:cs="Arial"/>
          <w:bCs/>
          <w:i/>
          <w:sz w:val="24"/>
          <w:szCs w:val="24"/>
          <w:lang w:val="es-CO"/>
        </w:rPr>
        <w:t>.</w:t>
      </w:r>
    </w:p>
    <w:p w:rsidR="00A3487C" w:rsidRDefault="001F168A" w:rsidP="00121AB8">
      <w:pPr>
        <w:tabs>
          <w:tab w:val="left" w:pos="426"/>
        </w:tabs>
        <w:overflowPunct w:val="0"/>
        <w:jc w:val="both"/>
        <w:textAlignment w:val="baseline"/>
      </w:pPr>
      <w:r w:rsidRPr="00121AB8">
        <w:rPr>
          <w:rFonts w:ascii="Century Gothic" w:eastAsia="Calibri" w:hAnsi="Century Gothic" w:cs="Arial"/>
          <w:bCs/>
          <w:sz w:val="24"/>
          <w:szCs w:val="24"/>
          <w:lang w:val="es-CO"/>
        </w:rPr>
        <w:t xml:space="preserve">En otras palabras, </w:t>
      </w:r>
      <w:r w:rsidRPr="00121AB8">
        <w:rPr>
          <w:rFonts w:ascii="Century Gothic" w:hAnsi="Century Gothic" w:cs="Arial"/>
          <w:bCs/>
          <w:sz w:val="24"/>
          <w:szCs w:val="24"/>
          <w:lang w:val="es-CO"/>
        </w:rPr>
        <w:t xml:space="preserve">el derecho a la seguridad social busca proteger al trabajador cuando por algún evento o contingencia </w:t>
      </w:r>
      <w:r w:rsidRPr="00121AB8">
        <w:rPr>
          <w:rFonts w:ascii="Century Gothic" w:eastAsia="Calibri" w:hAnsi="Century Gothic" w:cs="Arial"/>
          <w:bCs/>
          <w:sz w:val="24"/>
          <w:szCs w:val="24"/>
          <w:lang w:val="es-CO"/>
        </w:rPr>
        <w:t>se afecta su</w:t>
      </w:r>
      <w:r w:rsidRPr="00121AB8">
        <w:rPr>
          <w:rFonts w:ascii="Century Gothic" w:hAnsi="Century Gothic" w:cs="Arial"/>
          <w:bCs/>
          <w:sz w:val="24"/>
          <w:szCs w:val="24"/>
          <w:lang w:val="es-CO"/>
        </w:rPr>
        <w:t xml:space="preserve"> salud, calidad de vida o capacidad económica, y requiera de la ayuda del Estado y de la comunidad para proveerse los medios mínimos que le garanticen una subsistencia en condiciones dignas.</w:t>
      </w:r>
    </w:p>
    <w:p w:rsidR="00A3487C" w:rsidRPr="00E45E9F" w:rsidRDefault="001F168A" w:rsidP="00E45E9F">
      <w:pPr>
        <w:tabs>
          <w:tab w:val="left" w:pos="426"/>
        </w:tabs>
        <w:overflowPunct w:val="0"/>
        <w:jc w:val="both"/>
        <w:textAlignment w:val="baseline"/>
        <w:rPr>
          <w:rFonts w:ascii="Century Gothic" w:hAnsi="Century Gothic"/>
          <w:iCs/>
          <w:sz w:val="24"/>
          <w:szCs w:val="24"/>
          <w:lang w:val="es-CO"/>
        </w:rPr>
      </w:pPr>
      <w:r w:rsidRPr="00E45E9F">
        <w:rPr>
          <w:rFonts w:ascii="Century Gothic" w:hAnsi="Century Gothic"/>
          <w:iCs/>
          <w:sz w:val="24"/>
          <w:szCs w:val="24"/>
          <w:lang w:val="es-CO"/>
        </w:rPr>
        <w:t xml:space="preserve">Ahora bien, la Corte Constitucional refirió igualmente que, aun cuando es claro que el derecho a la seguridad social ostenta un carácter fundamental, tal particularidad no puede ser confundida con la posibilidad de hacerlo efectivo, en todos los casos, por medio de la acción de tutela. </w:t>
      </w:r>
    </w:p>
    <w:p w:rsidR="00A3487C" w:rsidRDefault="001F168A">
      <w:pPr>
        <w:pStyle w:val="Prrafodelista"/>
        <w:tabs>
          <w:tab w:val="left" w:pos="426"/>
        </w:tabs>
        <w:overflowPunct w:val="0"/>
        <w:spacing w:after="29"/>
        <w:ind w:left="0"/>
        <w:jc w:val="both"/>
        <w:textAlignment w:val="baseline"/>
        <w:rPr>
          <w:rFonts w:ascii="Century Gothic" w:hAnsi="Century Gothic" w:cs="Arial"/>
          <w:bCs/>
          <w:sz w:val="24"/>
          <w:szCs w:val="24"/>
          <w:lang w:val="es-CO"/>
        </w:rPr>
      </w:pPr>
      <w:r>
        <w:rPr>
          <w:rFonts w:ascii="Century Gothic" w:eastAsia="Calibri" w:hAnsi="Century Gothic" w:cs="Arial"/>
          <w:bCs/>
          <w:iCs/>
          <w:sz w:val="24"/>
          <w:szCs w:val="24"/>
          <w:lang w:val="es-CO"/>
        </w:rPr>
        <w:t>Por ello,</w:t>
      </w:r>
      <w:r>
        <w:rPr>
          <w:rFonts w:ascii="Century Gothic" w:hAnsi="Century Gothic" w:cs="Arial"/>
          <w:bCs/>
          <w:iCs/>
          <w:sz w:val="24"/>
          <w:szCs w:val="24"/>
          <w:lang w:val="es-CO"/>
        </w:rPr>
        <w:t xml:space="preserve"> ha señalado que el legislador p</w:t>
      </w:r>
      <w:r w:rsidR="00E45E9F">
        <w:rPr>
          <w:rFonts w:ascii="Century Gothic" w:hAnsi="Century Gothic" w:cs="Arial"/>
          <w:bCs/>
          <w:iCs/>
          <w:sz w:val="24"/>
          <w:szCs w:val="24"/>
          <w:lang w:val="es-CO"/>
        </w:rPr>
        <w:t xml:space="preserve">revió los mecanismos judiciales </w:t>
      </w:r>
      <w:r>
        <w:rPr>
          <w:rFonts w:ascii="Century Gothic" w:hAnsi="Century Gothic" w:cs="Arial"/>
          <w:bCs/>
          <w:iCs/>
          <w:sz w:val="24"/>
          <w:szCs w:val="24"/>
          <w:lang w:val="es-CO"/>
        </w:rPr>
        <w:t>para la solución de las controversias relativas al reconocimiento y pago de las prestaciones que cubren las contingencias amparadas por el Sistema General de Seguridad Social (en Pensiones y salud), lo que significa que, por regla general, la acción de tutela resulta improcedente para resolver disputas de esa naturaleza</w:t>
      </w:r>
    </w:p>
    <w:p w:rsidR="00A3487C" w:rsidRDefault="00A3487C">
      <w:pPr>
        <w:pStyle w:val="Prrafodelista"/>
        <w:tabs>
          <w:tab w:val="left" w:pos="426"/>
        </w:tabs>
        <w:overflowPunct w:val="0"/>
        <w:spacing w:after="29"/>
        <w:ind w:left="0"/>
        <w:jc w:val="both"/>
        <w:textAlignment w:val="baseline"/>
        <w:rPr>
          <w:rFonts w:ascii="Century Gothic" w:hAnsi="Century Gothic" w:cs="Arial"/>
          <w:bCs/>
          <w:sz w:val="24"/>
          <w:szCs w:val="24"/>
          <w:lang w:val="es-CO"/>
        </w:rPr>
      </w:pPr>
    </w:p>
    <w:p w:rsidR="00A3487C" w:rsidRDefault="001F168A">
      <w:pPr>
        <w:pStyle w:val="Prrafodelista"/>
        <w:tabs>
          <w:tab w:val="left" w:pos="426"/>
        </w:tabs>
        <w:overflowPunct w:val="0"/>
        <w:spacing w:after="29"/>
        <w:ind w:left="0"/>
        <w:jc w:val="both"/>
        <w:textAlignment w:val="baseline"/>
        <w:rPr>
          <w:rFonts w:ascii="Century Gothic" w:hAnsi="Century Gothic" w:cs="Arial"/>
          <w:bCs/>
          <w:sz w:val="24"/>
          <w:szCs w:val="24"/>
          <w:lang w:val="es-CO"/>
        </w:rPr>
      </w:pPr>
      <w:r>
        <w:rPr>
          <w:rFonts w:ascii="Century Gothic" w:hAnsi="Century Gothic" w:cs="Arial"/>
          <w:bCs/>
          <w:iCs/>
          <w:sz w:val="24"/>
          <w:szCs w:val="24"/>
          <w:lang w:val="es-CO"/>
        </w:rPr>
        <w:t xml:space="preserve">Así entonces, sólo excepcionalmente, es </w:t>
      </w:r>
      <w:r>
        <w:rPr>
          <w:rFonts w:ascii="Century Gothic" w:eastAsia="Calibri" w:hAnsi="Century Gothic" w:cs="Arial"/>
          <w:bCs/>
          <w:iCs/>
          <w:sz w:val="24"/>
          <w:szCs w:val="24"/>
          <w:lang w:val="es-CO"/>
        </w:rPr>
        <w:t>posible</w:t>
      </w:r>
      <w:r>
        <w:rPr>
          <w:rFonts w:ascii="Century Gothic" w:hAnsi="Century Gothic" w:cs="Arial"/>
          <w:bCs/>
          <w:iCs/>
          <w:sz w:val="24"/>
          <w:szCs w:val="24"/>
          <w:lang w:val="es-CO"/>
        </w:rPr>
        <w:t xml:space="preserve"> acudir a este mecanismo constitucional para obtener el reconocimiento y pago de prestaciones sociales, en el evento en que el agotamiento de los medios ordinarios de defensa suponen una carga procesal excesiva, porque quien la solicita es un sujeto de especial protección constitucional (mecanismo principal de defensa) o se encuentra ante la inminente ocurrencia de un perjuicio irremediable (mecanismo de protección transitorio).</w:t>
      </w:r>
    </w:p>
    <w:p w:rsidR="00A3487C" w:rsidRDefault="00A3487C">
      <w:pPr>
        <w:pStyle w:val="Prrafodelista"/>
        <w:tabs>
          <w:tab w:val="left" w:pos="426"/>
        </w:tabs>
        <w:overflowPunct w:val="0"/>
        <w:spacing w:after="29"/>
        <w:ind w:left="0"/>
        <w:jc w:val="both"/>
        <w:textAlignment w:val="baseline"/>
        <w:rPr>
          <w:rFonts w:ascii="Century Gothic" w:hAnsi="Century Gothic" w:cs="Arial"/>
          <w:bCs/>
          <w:sz w:val="24"/>
          <w:szCs w:val="24"/>
          <w:lang w:val="es-CO"/>
        </w:rPr>
      </w:pPr>
    </w:p>
    <w:p w:rsidR="00A3487C" w:rsidRDefault="001F168A">
      <w:pPr>
        <w:spacing w:after="29"/>
        <w:jc w:val="both"/>
        <w:rPr>
          <w:b/>
          <w:bCs/>
        </w:rPr>
      </w:pPr>
      <w:r>
        <w:rPr>
          <w:rFonts w:ascii="Century Gothic" w:hAnsi="Century Gothic" w:cs="Arial"/>
          <w:b/>
          <w:bCs/>
          <w:sz w:val="24"/>
          <w:szCs w:val="24"/>
          <w:lang w:val="es-CO"/>
        </w:rPr>
        <w:t xml:space="preserve">2.7 </w:t>
      </w:r>
      <w:r>
        <w:rPr>
          <w:rFonts w:ascii="Century Gothic" w:hAnsi="Century Gothic" w:cs="Century Gothic"/>
          <w:b/>
          <w:bCs/>
          <w:sz w:val="24"/>
          <w:szCs w:val="24"/>
          <w:lang w:val="es-CO"/>
        </w:rPr>
        <w:t>P</w:t>
      </w:r>
      <w:r>
        <w:rPr>
          <w:rFonts w:ascii="Century Gothic" w:hAnsi="Century Gothic" w:cs="Arial"/>
          <w:b/>
          <w:bCs/>
          <w:sz w:val="24"/>
          <w:szCs w:val="24"/>
          <w:lang w:val="es-CO"/>
        </w:rPr>
        <w:t>rotección de derechos fundamental</w:t>
      </w:r>
      <w:r w:rsidR="00E45E9F">
        <w:rPr>
          <w:rFonts w:ascii="Century Gothic" w:hAnsi="Century Gothic" w:cs="Arial"/>
          <w:b/>
          <w:bCs/>
          <w:sz w:val="24"/>
          <w:szCs w:val="24"/>
          <w:lang w:val="es-CO"/>
        </w:rPr>
        <w:t>es</w:t>
      </w:r>
      <w:r>
        <w:rPr>
          <w:rFonts w:ascii="Century Gothic" w:hAnsi="Century Gothic" w:cs="Arial"/>
          <w:b/>
          <w:bCs/>
          <w:sz w:val="24"/>
          <w:szCs w:val="24"/>
          <w:lang w:val="es-CO"/>
        </w:rPr>
        <w:t xml:space="preserve"> de que son titulares las personas jurídicas </w:t>
      </w:r>
    </w:p>
    <w:p w:rsidR="00A3487C" w:rsidRDefault="00A3487C">
      <w:pPr>
        <w:pStyle w:val="Sinespaciado"/>
        <w:rPr>
          <w:rFonts w:ascii="Century Gothic" w:hAnsi="Century Gothic" w:cs="Arial"/>
          <w:b/>
        </w:rPr>
      </w:pPr>
    </w:p>
    <w:p w:rsidR="00A3487C" w:rsidRDefault="001F168A">
      <w:pPr>
        <w:spacing w:after="86"/>
        <w:ind w:right="51"/>
        <w:jc w:val="both"/>
        <w:rPr>
          <w:rFonts w:ascii="Century Gothic" w:hAnsi="Century Gothic"/>
          <w:sz w:val="24"/>
          <w:szCs w:val="24"/>
        </w:rPr>
      </w:pPr>
      <w:r>
        <w:rPr>
          <w:rFonts w:ascii="Century Gothic" w:hAnsi="Century Gothic" w:cs="Century Gothic"/>
          <w:sz w:val="24"/>
          <w:szCs w:val="24"/>
        </w:rPr>
        <w:t>En pronunciamiento efectuado por la Corte Constitucional el 28 de mayo de 2013</w:t>
      </w:r>
      <w:r>
        <w:rPr>
          <w:rStyle w:val="Ancladenotaalpie"/>
          <w:rFonts w:ascii="Century Gothic" w:hAnsi="Century Gothic" w:cs="Century Gothic"/>
          <w:sz w:val="24"/>
          <w:szCs w:val="24"/>
        </w:rPr>
        <w:footnoteReference w:id="14"/>
      </w:r>
      <w:r>
        <w:rPr>
          <w:rFonts w:ascii="Century Gothic" w:hAnsi="Century Gothic" w:cs="Century Gothic"/>
          <w:sz w:val="24"/>
          <w:szCs w:val="24"/>
        </w:rPr>
        <w:t xml:space="preserve"> y 09 de octubre de 2017</w:t>
      </w:r>
      <w:r>
        <w:rPr>
          <w:rStyle w:val="Ancladenotaalpie"/>
          <w:rFonts w:ascii="Century Gothic" w:hAnsi="Century Gothic" w:cs="Century Gothic"/>
          <w:sz w:val="24"/>
          <w:szCs w:val="24"/>
        </w:rPr>
        <w:footnoteReference w:id="15"/>
      </w:r>
      <w:r>
        <w:rPr>
          <w:rFonts w:ascii="Century Gothic" w:hAnsi="Century Gothic" w:cs="Century Gothic"/>
          <w:sz w:val="24"/>
          <w:szCs w:val="24"/>
        </w:rPr>
        <w:t>, precisó que las personas jurídicas están legitimadas para ejercer la acción de tutela debido a que son titulares de derechos constitucionales fundamentales por dos vías: directamente como titulares de aquellos derechos que por su naturaleza son predicables de estos sujetos de derechos, e indirectamente cuando la vulneración puede afectar los derechos fundamentales de la personas naturales que las integran; caso en el cual, ha de respetarse</w:t>
      </w:r>
      <w:r>
        <w:rPr>
          <w:rFonts w:ascii="Century Gothic" w:hAnsi="Century Gothic"/>
          <w:iCs/>
          <w:sz w:val="24"/>
          <w:szCs w:val="24"/>
        </w:rPr>
        <w:t xml:space="preserve"> </w:t>
      </w:r>
      <w:r>
        <w:rPr>
          <w:rFonts w:ascii="Century Gothic" w:hAnsi="Century Gothic" w:cs="Century Gothic"/>
          <w:iCs/>
          <w:sz w:val="24"/>
          <w:szCs w:val="24"/>
        </w:rPr>
        <w:t>las reglas de postulación previstas en la Constitución y en el Decreto 2591 de 1991</w:t>
      </w:r>
      <w:r>
        <w:rPr>
          <w:rFonts w:ascii="Century Gothic" w:hAnsi="Century Gothic" w:cs="Century Gothic"/>
          <w:sz w:val="24"/>
          <w:szCs w:val="24"/>
        </w:rPr>
        <w:t xml:space="preserve">. </w:t>
      </w:r>
    </w:p>
    <w:p w:rsidR="00A3487C" w:rsidRDefault="00A3487C">
      <w:pPr>
        <w:pStyle w:val="Sinespaciado"/>
        <w:rPr>
          <w:rFonts w:ascii="Century Gothic" w:hAnsi="Century Gothic" w:cs="Century Gothic"/>
        </w:rPr>
      </w:pPr>
    </w:p>
    <w:p w:rsidR="00A3487C" w:rsidRDefault="001F168A">
      <w:pPr>
        <w:ind w:right="51"/>
        <w:jc w:val="both"/>
        <w:rPr>
          <w:sz w:val="24"/>
          <w:szCs w:val="24"/>
        </w:rPr>
      </w:pPr>
      <w:r>
        <w:rPr>
          <w:rFonts w:ascii="Century Gothic" w:hAnsi="Century Gothic" w:cs="Century Gothic"/>
          <w:sz w:val="24"/>
          <w:szCs w:val="24"/>
        </w:rPr>
        <w:t xml:space="preserve">Así mismo, </w:t>
      </w:r>
      <w:r>
        <w:rPr>
          <w:rFonts w:ascii="Century Gothic" w:hAnsi="Century Gothic" w:cs="Century Gothic"/>
          <w:b/>
          <w:bCs/>
          <w:sz w:val="24"/>
          <w:szCs w:val="24"/>
        </w:rPr>
        <w:t>se debe hacer una distinción respecto de los derechos fundamentales de los cuales puede ser titular una persona jurídica, en la medida que aquellos que se refieren exclusivamente a la persona humana</w:t>
      </w:r>
      <w:r>
        <w:rPr>
          <w:rFonts w:ascii="Century Gothic" w:hAnsi="Century Gothic" w:cs="Century Gothic"/>
          <w:sz w:val="24"/>
          <w:szCs w:val="24"/>
        </w:rPr>
        <w:t xml:space="preserve">, si bien pueden ser reclamados por una persona jurídica, deberá hacerse bajo la segunda hipótesis, es decir de manera indirecta. </w:t>
      </w:r>
    </w:p>
    <w:p w:rsidR="00A3487C" w:rsidRDefault="00A3487C">
      <w:pPr>
        <w:pStyle w:val="Sinespaciado"/>
        <w:rPr>
          <w:rFonts w:ascii="Century Gothic" w:hAnsi="Century Gothic" w:cs="Century Gothic"/>
        </w:rPr>
      </w:pPr>
    </w:p>
    <w:p w:rsidR="00A3487C" w:rsidRDefault="001F168A">
      <w:pPr>
        <w:spacing w:after="86"/>
        <w:jc w:val="both"/>
        <w:rPr>
          <w:b/>
          <w:bCs/>
        </w:rPr>
      </w:pPr>
      <w:r>
        <w:rPr>
          <w:rFonts w:ascii="Century Gothic" w:hAnsi="Century Gothic" w:cs="Century Gothic"/>
          <w:sz w:val="24"/>
          <w:szCs w:val="24"/>
          <w:lang w:val="es-CO"/>
        </w:rPr>
        <w:t>Bajo ese entendido, la Corte</w:t>
      </w:r>
      <w:r>
        <w:rPr>
          <w:rStyle w:val="Ancladenotaalpie"/>
          <w:rFonts w:ascii="Century Gothic" w:hAnsi="Century Gothic" w:cs="Century Gothic"/>
          <w:sz w:val="24"/>
          <w:szCs w:val="24"/>
          <w:lang w:val="es-CO"/>
        </w:rPr>
        <w:footnoteReference w:id="16"/>
      </w:r>
      <w:r>
        <w:rPr>
          <w:rFonts w:ascii="Century Gothic" w:hAnsi="Century Gothic" w:cs="Century Gothic"/>
          <w:sz w:val="24"/>
          <w:szCs w:val="24"/>
          <w:lang w:val="es-CO"/>
        </w:rPr>
        <w:t xml:space="preserve"> dispuso que por regla general una persona jurídica tiene derecho a la igualdad, a la inviolabilidad de domicilio, petición, debido proceso, libertad de asociación, acceso a la administración de justicia y el derecho al buen nombre.</w:t>
      </w:r>
    </w:p>
    <w:p w:rsidR="00A3487C" w:rsidRDefault="00A3487C">
      <w:pPr>
        <w:pStyle w:val="Sinespaciado"/>
        <w:rPr>
          <w:lang w:val="es-CO"/>
        </w:rPr>
      </w:pPr>
    </w:p>
    <w:p w:rsidR="00A3487C" w:rsidRDefault="001F168A">
      <w:pPr>
        <w:spacing w:after="0"/>
        <w:jc w:val="both"/>
      </w:pPr>
      <w:r>
        <w:rPr>
          <w:rFonts w:ascii="Century Gothic" w:hAnsi="Century Gothic"/>
          <w:b/>
          <w:sz w:val="24"/>
          <w:szCs w:val="24"/>
          <w:lang w:val="es-CO"/>
        </w:rPr>
        <w:t>2.8 Del caso concreto</w:t>
      </w:r>
    </w:p>
    <w:p w:rsidR="00A3487C" w:rsidRDefault="00A3487C">
      <w:pPr>
        <w:pStyle w:val="Sinespaciado"/>
      </w:pPr>
    </w:p>
    <w:p w:rsidR="00A3487C" w:rsidRDefault="001F168A">
      <w:pPr>
        <w:spacing w:after="0"/>
        <w:ind w:right="50"/>
        <w:jc w:val="both"/>
        <w:rPr>
          <w:rFonts w:ascii="Century Gothic" w:eastAsia="Times New Roman" w:hAnsi="Century Gothic" w:cs="Arial"/>
          <w:color w:val="000000" w:themeColor="text1"/>
          <w:sz w:val="24"/>
          <w:szCs w:val="24"/>
        </w:rPr>
      </w:pPr>
      <w:r>
        <w:rPr>
          <w:rFonts w:ascii="Century Gothic" w:hAnsi="Century Gothic" w:cs="Arial"/>
          <w:color w:val="000000" w:themeColor="text1"/>
          <w:sz w:val="24"/>
          <w:szCs w:val="24"/>
          <w:lang w:val="es-CO"/>
        </w:rPr>
        <w:t xml:space="preserve">La sociedad </w:t>
      </w:r>
      <w:r>
        <w:rPr>
          <w:rFonts w:ascii="Century Gothic" w:eastAsia="Calibri" w:hAnsi="Century Gothic" w:cs="Arial"/>
          <w:color w:val="000000" w:themeColor="text1"/>
          <w:sz w:val="24"/>
          <w:szCs w:val="24"/>
          <w:lang w:val="es-CO"/>
        </w:rPr>
        <w:t>Tu Recobro S.A.S.</w:t>
      </w:r>
      <w:r>
        <w:rPr>
          <w:rFonts w:ascii="Century Gothic" w:hAnsi="Century Gothic" w:cs="Arial"/>
          <w:color w:val="000000" w:themeColor="text1"/>
          <w:sz w:val="24"/>
          <w:szCs w:val="24"/>
          <w:lang w:val="es-CO"/>
        </w:rPr>
        <w:t xml:space="preserve"> acudió a este mecanismo constitucional, a efectos de que le sean amparados los derechos fundamentales de petición, debido proceso y mínimo vital en conexidad con la seguridad social a la sociedad Greenex S.A.S,</w:t>
      </w:r>
      <w:r>
        <w:rPr>
          <w:rFonts w:ascii="Century Gothic" w:eastAsia="Times New Roman" w:hAnsi="Century Gothic" w:cs="Arial"/>
          <w:color w:val="000000" w:themeColor="text1"/>
          <w:sz w:val="24"/>
          <w:szCs w:val="24"/>
        </w:rPr>
        <w:t xml:space="preserve"> presuntamente vulnerados por </w:t>
      </w:r>
      <w:r>
        <w:rPr>
          <w:rFonts w:ascii="Century Gothic" w:hAnsi="Century Gothic" w:cs="Arial"/>
          <w:color w:val="000000" w:themeColor="text1"/>
          <w:sz w:val="24"/>
          <w:szCs w:val="24"/>
        </w:rPr>
        <w:t xml:space="preserve">la </w:t>
      </w:r>
      <w:r>
        <w:rPr>
          <w:rFonts w:ascii="Century Gothic" w:eastAsia="Calibri" w:hAnsi="Century Gothic" w:cs="Arial"/>
          <w:color w:val="000000" w:themeColor="text1"/>
          <w:sz w:val="24"/>
          <w:szCs w:val="24"/>
        </w:rPr>
        <w:t>Nueva EPS y por la Superintendencia Nacional de Salud</w:t>
      </w:r>
      <w:r>
        <w:rPr>
          <w:rFonts w:ascii="Century Gothic" w:hAnsi="Century Gothic" w:cs="Arial"/>
          <w:color w:val="000000" w:themeColor="text1"/>
          <w:sz w:val="24"/>
          <w:szCs w:val="24"/>
        </w:rPr>
        <w:t xml:space="preserve">, y en consecuencia, se ordene, de manera inmediata a la </w:t>
      </w:r>
      <w:r>
        <w:rPr>
          <w:rFonts w:ascii="Century Gothic" w:eastAsia="Calibri" w:hAnsi="Century Gothic" w:cs="Arial"/>
          <w:color w:val="000000" w:themeColor="text1"/>
          <w:sz w:val="24"/>
          <w:szCs w:val="24"/>
        </w:rPr>
        <w:t>Nueva EPS</w:t>
      </w:r>
      <w:r>
        <w:rPr>
          <w:rFonts w:ascii="Century Gothic" w:hAnsi="Century Gothic" w:cs="Arial"/>
          <w:color w:val="000000" w:themeColor="text1"/>
          <w:sz w:val="24"/>
          <w:szCs w:val="24"/>
        </w:rPr>
        <w:t xml:space="preserve">, </w:t>
      </w:r>
      <w:r w:rsidR="00FC7557">
        <w:rPr>
          <w:rFonts w:ascii="Century Gothic" w:eastAsia="Calibri" w:hAnsi="Century Gothic" w:cs="Arial"/>
          <w:color w:val="000000" w:themeColor="text1"/>
          <w:sz w:val="24"/>
          <w:szCs w:val="24"/>
        </w:rPr>
        <w:t>dar</w:t>
      </w:r>
      <w:r>
        <w:rPr>
          <w:rFonts w:ascii="Century Gothic" w:eastAsia="Calibri" w:hAnsi="Century Gothic" w:cs="Arial"/>
          <w:color w:val="000000" w:themeColor="text1"/>
          <w:sz w:val="24"/>
          <w:szCs w:val="24"/>
        </w:rPr>
        <w:t xml:space="preserve"> respuesta de fondo a la petición radicada el </w:t>
      </w:r>
      <w:r w:rsidR="00FC7557">
        <w:rPr>
          <w:rFonts w:ascii="Century Gothic" w:eastAsia="Calibri" w:hAnsi="Century Gothic" w:cs="Arial"/>
          <w:color w:val="000000" w:themeColor="text1"/>
          <w:sz w:val="24"/>
          <w:szCs w:val="24"/>
        </w:rPr>
        <w:t>11</w:t>
      </w:r>
      <w:r>
        <w:rPr>
          <w:rFonts w:ascii="Century Gothic" w:eastAsia="Calibri" w:hAnsi="Century Gothic" w:cs="Arial"/>
          <w:color w:val="000000" w:themeColor="text1"/>
          <w:sz w:val="24"/>
          <w:szCs w:val="24"/>
        </w:rPr>
        <w:t xml:space="preserve"> de febrero de 2020 y realice el reembolso de los dineros pagados por Greenex S.A.S a sus trabajadores por concepto de incapacidades y licencias, y por otro lado, se ordene a la Superintendencia Nacio</w:t>
      </w:r>
      <w:r w:rsidR="004513B6">
        <w:rPr>
          <w:rFonts w:ascii="Century Gothic" w:eastAsia="Calibri" w:hAnsi="Century Gothic" w:cs="Arial"/>
          <w:color w:val="000000" w:themeColor="text1"/>
          <w:sz w:val="24"/>
          <w:szCs w:val="24"/>
        </w:rPr>
        <w:t>n</w:t>
      </w:r>
      <w:r>
        <w:rPr>
          <w:rFonts w:ascii="Century Gothic" w:eastAsia="Calibri" w:hAnsi="Century Gothic" w:cs="Arial"/>
          <w:color w:val="000000" w:themeColor="text1"/>
          <w:sz w:val="24"/>
          <w:szCs w:val="24"/>
        </w:rPr>
        <w:t>al de Salud</w:t>
      </w:r>
      <w:r w:rsidR="004513B6">
        <w:rPr>
          <w:rFonts w:ascii="Century Gothic" w:eastAsia="Calibri" w:hAnsi="Century Gothic" w:cs="Arial"/>
          <w:color w:val="000000" w:themeColor="text1"/>
          <w:sz w:val="24"/>
          <w:szCs w:val="24"/>
        </w:rPr>
        <w:t>,</w:t>
      </w:r>
      <w:r>
        <w:rPr>
          <w:rFonts w:ascii="Century Gothic" w:eastAsia="Calibri" w:hAnsi="Century Gothic" w:cs="Arial"/>
          <w:color w:val="000000" w:themeColor="text1"/>
          <w:sz w:val="24"/>
          <w:szCs w:val="24"/>
        </w:rPr>
        <w:t xml:space="preserve"> adelante las actuaciones administrativas o a que haya lugar por el incumplimiento de las obligaciones legales de la EPS</w:t>
      </w:r>
      <w:r>
        <w:rPr>
          <w:rFonts w:ascii="Century Gothic" w:eastAsia="Times New Roman" w:hAnsi="Century Gothic" w:cs="Arial"/>
          <w:color w:val="000000" w:themeColor="text1"/>
          <w:sz w:val="24"/>
          <w:szCs w:val="24"/>
        </w:rPr>
        <w:t xml:space="preserve">. </w:t>
      </w:r>
    </w:p>
    <w:p w:rsidR="00A3487C" w:rsidRDefault="00A3487C">
      <w:pPr>
        <w:pStyle w:val="Sinespaciado"/>
        <w:rPr>
          <w:lang w:val="es-CO"/>
        </w:rPr>
      </w:pPr>
    </w:p>
    <w:p w:rsidR="00A3487C" w:rsidRDefault="001F168A">
      <w:pPr>
        <w:shd w:val="clear" w:color="auto" w:fill="FFFFFF"/>
        <w:spacing w:after="0" w:line="240" w:lineRule="auto"/>
        <w:jc w:val="both"/>
        <w:textAlignment w:val="baseline"/>
        <w:rPr>
          <w:rFonts w:ascii="Century Gothic" w:eastAsia="Times New Roman" w:hAnsi="Century Gothic"/>
          <w:color w:val="000000" w:themeColor="text1"/>
          <w:sz w:val="24"/>
          <w:szCs w:val="24"/>
          <w:lang w:eastAsia="es-ES"/>
        </w:rPr>
      </w:pPr>
      <w:r>
        <w:rPr>
          <w:rFonts w:ascii="Century Gothic" w:eastAsia="Times New Roman" w:hAnsi="Century Gothic"/>
          <w:color w:val="000000" w:themeColor="text1"/>
          <w:sz w:val="24"/>
          <w:szCs w:val="24"/>
          <w:lang w:eastAsia="es-ES"/>
        </w:rPr>
        <w:t>De los documentos aportados, se encuentra probado lo siguiente:</w:t>
      </w:r>
    </w:p>
    <w:p w:rsidR="00A3487C" w:rsidRDefault="00A3487C">
      <w:pPr>
        <w:shd w:val="clear" w:color="auto" w:fill="FFFFFF"/>
        <w:spacing w:after="0" w:line="240" w:lineRule="auto"/>
        <w:jc w:val="both"/>
        <w:textAlignment w:val="baseline"/>
        <w:rPr>
          <w:rFonts w:ascii="Century Gothic" w:eastAsia="Times New Roman" w:hAnsi="Century Gothic"/>
          <w:color w:val="000000" w:themeColor="text1"/>
          <w:sz w:val="24"/>
          <w:szCs w:val="24"/>
          <w:lang w:eastAsia="es-ES"/>
        </w:rPr>
      </w:pPr>
    </w:p>
    <w:p w:rsidR="00A3487C" w:rsidRDefault="001F168A">
      <w:pPr>
        <w:pStyle w:val="Prrafodelista"/>
        <w:numPr>
          <w:ilvl w:val="0"/>
          <w:numId w:val="3"/>
        </w:numPr>
        <w:spacing w:after="0"/>
        <w:contextualSpacing/>
        <w:jc w:val="both"/>
      </w:pPr>
      <w:r>
        <w:rPr>
          <w:rFonts w:ascii="Century Gothic" w:hAnsi="Century Gothic"/>
          <w:color w:val="000000" w:themeColor="text1"/>
          <w:sz w:val="24"/>
          <w:szCs w:val="24"/>
        </w:rPr>
        <w:t xml:space="preserve">La empresa Tu Recobro S.A.S., en representación de la sociedad Greenex S.A.S., presentó derecho de petición el </w:t>
      </w:r>
      <w:r w:rsidR="00B65665">
        <w:rPr>
          <w:rFonts w:ascii="Century Gothic" w:hAnsi="Century Gothic"/>
          <w:color w:val="000000" w:themeColor="text1"/>
          <w:sz w:val="24"/>
          <w:szCs w:val="24"/>
        </w:rPr>
        <w:t>día</w:t>
      </w:r>
      <w:r>
        <w:rPr>
          <w:rFonts w:ascii="Century Gothic" w:hAnsi="Century Gothic"/>
          <w:color w:val="000000" w:themeColor="text1"/>
          <w:sz w:val="24"/>
          <w:szCs w:val="24"/>
        </w:rPr>
        <w:t xml:space="preserve"> 11 de febrero de 2020, a</w:t>
      </w:r>
      <w:r w:rsidR="00B65665">
        <w:rPr>
          <w:rFonts w:ascii="Century Gothic" w:hAnsi="Century Gothic"/>
          <w:color w:val="000000" w:themeColor="text1"/>
          <w:sz w:val="24"/>
          <w:szCs w:val="24"/>
        </w:rPr>
        <w:t>nte la Nueva EPS, donde solicita</w:t>
      </w:r>
      <w:r>
        <w:rPr>
          <w:rFonts w:ascii="Century Gothic" w:hAnsi="Century Gothic"/>
          <w:color w:val="000000" w:themeColor="text1"/>
          <w:sz w:val="24"/>
          <w:szCs w:val="24"/>
        </w:rPr>
        <w:t xml:space="preserve"> en </w:t>
      </w:r>
      <w:r w:rsidR="00B65665">
        <w:rPr>
          <w:rFonts w:ascii="Century Gothic" w:hAnsi="Century Gothic"/>
          <w:color w:val="000000" w:themeColor="text1"/>
          <w:sz w:val="24"/>
          <w:szCs w:val="24"/>
        </w:rPr>
        <w:t>síntesis lo siguiente: i) P</w:t>
      </w:r>
      <w:r>
        <w:rPr>
          <w:rFonts w:ascii="Century Gothic" w:hAnsi="Century Gothic"/>
          <w:color w:val="000000" w:themeColor="text1"/>
          <w:sz w:val="24"/>
          <w:szCs w:val="24"/>
        </w:rPr>
        <w:t>roceder al pago inmediato en favor de Greenex S.A.S. (reintegro), por concepto de prestaciones económicas reconocidas y liquidadas por la entidad prestadora de salud, relativas a licencia de maternidad e incapacidades de alguno de sus trabajadores; ii) Proceder al reconocimiento y pago de intereses moratorios por haberse vencido el plazo definido en la Ley para el pago de dichas prestaciones; ii) informar fecha de pago y valor a pagar; iv) enviar estado detallado de las prestaciones pagadas y negadas.</w:t>
      </w:r>
    </w:p>
    <w:p w:rsidR="00A3487C" w:rsidRDefault="00A3487C">
      <w:pPr>
        <w:pStyle w:val="Prrafodelista"/>
        <w:spacing w:after="0"/>
        <w:contextualSpacing/>
        <w:jc w:val="both"/>
        <w:rPr>
          <w:rFonts w:ascii="Century Gothic" w:hAnsi="Century Gothic"/>
          <w:color w:val="000000" w:themeColor="text1"/>
          <w:sz w:val="24"/>
          <w:szCs w:val="24"/>
        </w:rPr>
      </w:pPr>
    </w:p>
    <w:p w:rsidR="00A3487C" w:rsidRDefault="001F168A">
      <w:pPr>
        <w:pStyle w:val="Prrafodelista"/>
        <w:numPr>
          <w:ilvl w:val="0"/>
          <w:numId w:val="3"/>
        </w:numPr>
        <w:spacing w:after="0"/>
        <w:contextualSpacing/>
        <w:jc w:val="both"/>
      </w:pPr>
      <w:r>
        <w:rPr>
          <w:rFonts w:ascii="Century Gothic" w:hAnsi="Century Gothic"/>
          <w:color w:val="000000" w:themeColor="text1"/>
          <w:sz w:val="24"/>
          <w:szCs w:val="24"/>
        </w:rPr>
        <w:t>Junto con el derecho de petición se allegó certificado de existencia y representación legal de Tu Recobro S.A.S. expedido el 27 de enero de 2020 y mandato general conferido el 19 de mayo de 2019, por el representante legal de la sociedad Greenex S.A.S. para adelantar las gestiones necesarias para el recobro de prestaciones económicas derivadas de incap</w:t>
      </w:r>
      <w:r w:rsidR="00B65665">
        <w:rPr>
          <w:rFonts w:ascii="Century Gothic" w:hAnsi="Century Gothic"/>
          <w:color w:val="000000" w:themeColor="text1"/>
          <w:sz w:val="24"/>
          <w:szCs w:val="24"/>
        </w:rPr>
        <w:t>a</w:t>
      </w:r>
      <w:r>
        <w:rPr>
          <w:rFonts w:ascii="Century Gothic" w:hAnsi="Century Gothic"/>
          <w:color w:val="000000" w:themeColor="text1"/>
          <w:sz w:val="24"/>
          <w:szCs w:val="24"/>
        </w:rPr>
        <w:t>cidades y licencias de maternidad y paternidad ante las distintas entidades promotoras de salud, documento en el que se dispuso que frente a</w:t>
      </w:r>
      <w:r w:rsidR="00B65665">
        <w:rPr>
          <w:rFonts w:ascii="Century Gothic" w:hAnsi="Century Gothic"/>
          <w:color w:val="000000" w:themeColor="text1"/>
          <w:sz w:val="24"/>
          <w:szCs w:val="24"/>
        </w:rPr>
        <w:t>c</w:t>
      </w:r>
      <w:r>
        <w:rPr>
          <w:rFonts w:ascii="Century Gothic" w:hAnsi="Century Gothic"/>
          <w:color w:val="000000" w:themeColor="text1"/>
          <w:sz w:val="24"/>
          <w:szCs w:val="24"/>
        </w:rPr>
        <w:t xml:space="preserve">ciones </w:t>
      </w:r>
      <w:r w:rsidR="00B65665">
        <w:rPr>
          <w:rFonts w:ascii="Century Gothic" w:hAnsi="Century Gothic"/>
          <w:color w:val="000000" w:themeColor="text1"/>
          <w:sz w:val="24"/>
          <w:szCs w:val="24"/>
        </w:rPr>
        <w:t xml:space="preserve">de </w:t>
      </w:r>
      <w:r>
        <w:rPr>
          <w:rFonts w:ascii="Century Gothic" w:hAnsi="Century Gothic"/>
          <w:color w:val="000000" w:themeColor="text1"/>
          <w:sz w:val="24"/>
          <w:szCs w:val="24"/>
        </w:rPr>
        <w:t>tutela</w:t>
      </w:r>
      <w:r w:rsidR="00B65665">
        <w:rPr>
          <w:rFonts w:ascii="Century Gothic" w:hAnsi="Century Gothic"/>
          <w:color w:val="000000" w:themeColor="text1"/>
          <w:sz w:val="24"/>
          <w:szCs w:val="24"/>
        </w:rPr>
        <w:t>,</w:t>
      </w:r>
      <w:r>
        <w:rPr>
          <w:rFonts w:ascii="Century Gothic" w:hAnsi="Century Gothic"/>
          <w:color w:val="000000" w:themeColor="text1"/>
          <w:sz w:val="24"/>
          <w:szCs w:val="24"/>
        </w:rPr>
        <w:t xml:space="preserve"> se facultaría</w:t>
      </w:r>
      <w:r w:rsidR="00B65665">
        <w:rPr>
          <w:rFonts w:ascii="Century Gothic" w:hAnsi="Century Gothic"/>
          <w:color w:val="000000" w:themeColor="text1"/>
          <w:sz w:val="24"/>
          <w:szCs w:val="24"/>
        </w:rPr>
        <w:t xml:space="preserve"> al abogado que dicha e</w:t>
      </w:r>
      <w:r>
        <w:rPr>
          <w:rFonts w:ascii="Century Gothic" w:hAnsi="Century Gothic"/>
          <w:color w:val="000000" w:themeColor="text1"/>
          <w:sz w:val="24"/>
          <w:szCs w:val="24"/>
        </w:rPr>
        <w:t>mpresa dispusiera para su ejercicio.</w:t>
      </w:r>
    </w:p>
    <w:p w:rsidR="00A3487C" w:rsidRDefault="00A3487C">
      <w:pPr>
        <w:pStyle w:val="Sinespaciado"/>
        <w:spacing w:line="276" w:lineRule="auto"/>
        <w:jc w:val="both"/>
        <w:rPr>
          <w:rFonts w:ascii="Century Gothic" w:hAnsi="Century Gothic" w:cs="Century Gothic"/>
          <w:sz w:val="24"/>
          <w:szCs w:val="24"/>
          <w:lang w:eastAsia="es-ES"/>
        </w:rPr>
      </w:pPr>
    </w:p>
    <w:p w:rsidR="00A3487C" w:rsidRDefault="001F168A">
      <w:pPr>
        <w:pStyle w:val="Sinespaciado"/>
        <w:spacing w:line="276" w:lineRule="auto"/>
        <w:jc w:val="both"/>
      </w:pPr>
      <w:r>
        <w:rPr>
          <w:rFonts w:ascii="Century Gothic" w:hAnsi="Century Gothic" w:cs="Century Gothic"/>
          <w:sz w:val="24"/>
          <w:szCs w:val="24"/>
          <w:lang w:eastAsia="es-ES"/>
        </w:rPr>
        <w:t>Lo primero que debe señalar el Despacho es que conforme lo expuesto en el punto 2.2 de premisas jurídicas de ésta providencia, ante la ausencia de poder especial o general otorgado por la sociedad Greenex S.A.S., a un profesional del derecho que pueda ejercer su representación judicial, quien se encuentra legitimado en la causa por activa en el presente asunto es la sociedad Tu Recobro S.A.S.</w:t>
      </w:r>
      <w:r>
        <w:rPr>
          <w:rFonts w:ascii="Century Gothic" w:hAnsi="Century Gothic" w:cs="Arial"/>
          <w:sz w:val="24"/>
          <w:szCs w:val="24"/>
        </w:rPr>
        <w:t xml:space="preserve">, en la medida en que </w:t>
      </w:r>
      <w:r>
        <w:rPr>
          <w:rFonts w:ascii="Century Gothic" w:hAnsi="Century Gothic" w:cs="Century Gothic"/>
          <w:bCs/>
          <w:sz w:val="24"/>
          <w:szCs w:val="24"/>
        </w:rPr>
        <w:t>la petición objeto material de amparo, fue interpuesta directamente por él; y si bien por medio de dicha petición pretende defender los intereses de la sociedad Greenex S.A.S., lo cierto es que es dicha petición es interpue</w:t>
      </w:r>
      <w:r w:rsidR="00B3010C">
        <w:rPr>
          <w:rFonts w:ascii="Century Gothic" w:hAnsi="Century Gothic" w:cs="Century Gothic"/>
          <w:bCs/>
          <w:sz w:val="24"/>
          <w:szCs w:val="24"/>
        </w:rPr>
        <w:t>sta en ejercicio del mandato y/</w:t>
      </w:r>
      <w:r>
        <w:rPr>
          <w:rFonts w:ascii="Century Gothic" w:hAnsi="Century Gothic" w:cs="Century Gothic"/>
          <w:bCs/>
          <w:sz w:val="24"/>
          <w:szCs w:val="24"/>
        </w:rPr>
        <w:t>o</w:t>
      </w:r>
      <w:r w:rsidR="00B3010C">
        <w:rPr>
          <w:rFonts w:ascii="Century Gothic" w:hAnsi="Century Gothic" w:cs="Century Gothic"/>
          <w:bCs/>
          <w:sz w:val="24"/>
          <w:szCs w:val="24"/>
        </w:rPr>
        <w:t xml:space="preserve"> </w:t>
      </w:r>
      <w:r>
        <w:rPr>
          <w:rFonts w:ascii="Century Gothic" w:hAnsi="Century Gothic" w:cs="Century Gothic"/>
          <w:bCs/>
          <w:sz w:val="24"/>
          <w:szCs w:val="24"/>
        </w:rPr>
        <w:t>autorización otorgada para adelantar las acciones necesarias ante las distintas EPS, relativas al recobro de incapacidades y licencias de maternidad y paternidad, es decir, es el reflejo de la autorización</w:t>
      </w:r>
      <w:r>
        <w:rPr>
          <w:rFonts w:ascii="Century Gothic" w:hAnsi="Century Gothic" w:cs="Century Gothic"/>
          <w:iCs/>
          <w:sz w:val="24"/>
          <w:szCs w:val="24"/>
        </w:rPr>
        <w:t xml:space="preserve"> que el accionante ejerce para ese específico fin;</w:t>
      </w:r>
      <w:r>
        <w:rPr>
          <w:rFonts w:ascii="Century Gothic" w:hAnsi="Century Gothic" w:cs="Century Gothic"/>
          <w:bCs/>
          <w:sz w:val="24"/>
          <w:szCs w:val="24"/>
        </w:rPr>
        <w:t xml:space="preserve"> lo que, en los términos de la jurisprudencia antes citada, necesariamente lleva a concluir que el derecho subjetivo que presuntamente está siendo vulnerado es el de ésta y no el de quien actúa en el presente asunto como accionante.</w:t>
      </w:r>
    </w:p>
    <w:p w:rsidR="00A3487C" w:rsidRDefault="00A3487C">
      <w:pPr>
        <w:pStyle w:val="Sinespaciado"/>
        <w:rPr>
          <w:rFonts w:ascii="Century Gothic" w:hAnsi="Century Gothic" w:cs="Century Gothic"/>
          <w:bCs/>
          <w:sz w:val="24"/>
          <w:szCs w:val="24"/>
        </w:rPr>
      </w:pPr>
    </w:p>
    <w:p w:rsidR="00A3487C" w:rsidRDefault="001F168A">
      <w:pPr>
        <w:spacing w:after="29"/>
        <w:jc w:val="both"/>
      </w:pPr>
      <w:r>
        <w:rPr>
          <w:rFonts w:ascii="Century Gothic" w:hAnsi="Century Gothic" w:cs="Century Gothic"/>
          <w:sz w:val="24"/>
          <w:szCs w:val="24"/>
        </w:rPr>
        <w:t xml:space="preserve">Al respecto, es posible establecer que el mandato y/o autorización que se otorgó a la sociedad Tu Recobro S.A.S. por parte de Greenex S.A.S. tenía como finalidad el ejercer las acciones necesarias tendientes al recobro de prestaciones económicas a su favor y cargo de las distintas EPS, acciones que en definitiva incluye la presentación de </w:t>
      </w:r>
      <w:r>
        <w:rPr>
          <w:rFonts w:ascii="Century Gothic" w:eastAsia="Batang;바탕" w:hAnsi="Century Gothic" w:cs="Century Gothic"/>
          <w:sz w:val="24"/>
          <w:szCs w:val="24"/>
        </w:rPr>
        <w:t>peticiones administrativas con dicho objeto;</w:t>
      </w:r>
      <w:r>
        <w:rPr>
          <w:rFonts w:ascii="Century Gothic" w:hAnsi="Century Gothic" w:cs="Century Gothic"/>
          <w:sz w:val="24"/>
          <w:szCs w:val="24"/>
        </w:rPr>
        <w:t xml:space="preserve"> lo que en criterio del Despacho prueba el interés que la empresa Tu Recobro tendría de interponer la citada petición y por tanto, resulta</w:t>
      </w:r>
      <w:r>
        <w:rPr>
          <w:rFonts w:ascii="Century Gothic" w:hAnsi="Century Gothic" w:cs="Century Gothic"/>
          <w:sz w:val="24"/>
          <w:szCs w:val="24"/>
          <w:highlight w:val="white"/>
          <w:lang w:eastAsia="es-ES"/>
        </w:rPr>
        <w:t xml:space="preserve"> lógico considerar que éste debía recibir respuesta de fondo a la misma.</w:t>
      </w:r>
    </w:p>
    <w:p w:rsidR="00A3487C" w:rsidRDefault="00A3487C">
      <w:pPr>
        <w:spacing w:after="29"/>
        <w:jc w:val="both"/>
        <w:rPr>
          <w:rFonts w:ascii="Century Gothic" w:hAnsi="Century Gothic" w:cs="Century Gothic"/>
          <w:sz w:val="24"/>
          <w:szCs w:val="24"/>
          <w:highlight w:val="white"/>
          <w:lang w:eastAsia="es-ES"/>
        </w:rPr>
      </w:pPr>
    </w:p>
    <w:p w:rsidR="00A3487C" w:rsidRDefault="0077743F">
      <w:pPr>
        <w:pStyle w:val="Sinespaciado"/>
        <w:spacing w:line="276" w:lineRule="auto"/>
        <w:jc w:val="both"/>
      </w:pPr>
      <w:r>
        <w:rPr>
          <w:rFonts w:ascii="Century Gothic" w:hAnsi="Century Gothic" w:cs="Century Gothic"/>
          <w:bCs/>
          <w:color w:val="000000"/>
          <w:sz w:val="24"/>
          <w:szCs w:val="24"/>
          <w:shd w:val="clear" w:color="auto" w:fill="FFFFFF"/>
          <w:lang w:eastAsia="es-ES"/>
        </w:rPr>
        <w:t>D</w:t>
      </w:r>
      <w:r w:rsidR="001F168A">
        <w:rPr>
          <w:rFonts w:ascii="Century Gothic" w:hAnsi="Century Gothic" w:cs="Century Gothic"/>
          <w:bCs/>
          <w:color w:val="000000"/>
          <w:sz w:val="24"/>
          <w:szCs w:val="24"/>
          <w:shd w:val="clear" w:color="auto" w:fill="FFFFFF"/>
          <w:lang w:eastAsia="es-ES"/>
        </w:rPr>
        <w:t>e un análisis integral del escrito de tutela, así como de las pruebas que lo acompañan, se observa que si bien, el representante legal de la empresa Tu Recobro S.A.S. manifiesta interponer la tutela en representación de la sociedad Greenex S.A.S., lo cierto es que la petición objeto material del amparo, fue interpuesta directamente por Tu Recobro S.A.S. en calidad de autorizado de esta última, lo que necesariamente lleva a este Juzgado a concluir que el derecho subjetivo de petición que presuntamente está siendo vulnerado es el de Tu Recobro S.A.S., quien, en ejercicio del derecho consagrado en el artículo 23 de la Constitución Política de 1991, solicitó el pago de incapacidades y licencia de maternidad en favor de un tercero (Greenex S.A.S.).</w:t>
      </w:r>
    </w:p>
    <w:p w:rsidR="00A3487C" w:rsidRDefault="00A3487C">
      <w:pPr>
        <w:pStyle w:val="Sinespaciado"/>
        <w:spacing w:line="276" w:lineRule="auto"/>
        <w:jc w:val="both"/>
        <w:rPr>
          <w:rFonts w:cs="Century Gothic"/>
          <w:bCs/>
          <w:color w:val="000000"/>
          <w:highlight w:val="white"/>
          <w:lang w:eastAsia="es-ES"/>
        </w:rPr>
      </w:pPr>
    </w:p>
    <w:p w:rsidR="00A3487C" w:rsidRDefault="001F168A">
      <w:pPr>
        <w:pStyle w:val="Sinespaciado"/>
        <w:spacing w:line="276" w:lineRule="auto"/>
        <w:jc w:val="both"/>
        <w:rPr>
          <w:rFonts w:ascii="Century Gothic" w:hAnsi="Century Gothic"/>
          <w:sz w:val="24"/>
          <w:szCs w:val="24"/>
        </w:rPr>
      </w:pPr>
      <w:r>
        <w:rPr>
          <w:rFonts w:ascii="Century Gothic" w:hAnsi="Century Gothic" w:cs="Century Gothic"/>
          <w:bCs/>
          <w:color w:val="000000"/>
          <w:sz w:val="24"/>
          <w:szCs w:val="24"/>
          <w:shd w:val="clear" w:color="auto" w:fill="FFFFFF"/>
          <w:lang w:eastAsia="es-ES"/>
        </w:rPr>
        <w:t xml:space="preserve">Lo anterior, se insiste, dado que en el presente caso no se aportó poder especial o general con el cumplimiento de los requisitos legales y jurisprudenciales en materia de acciones de tutela, pues no puede pretenderse que con el mismo mandato o autorización general que se dio para realizar trámites administrativos relacionados con el recobro de prestaciones económicas, se pueda acudir a la vía judicial en representación de una persona jurídica, más aun cuando en dicho documento no se indica de manera concreta el asunto que acá nos ocupa, no se identifica la autoridad administrativa que presuntamente está vulnerando los derechos fundamentales invocados y tampoco se acredita la calidad de abogado en ejercicio de quien pretende ejercer la representación judicial. </w:t>
      </w:r>
    </w:p>
    <w:p w:rsidR="00A3487C" w:rsidRDefault="00A3487C">
      <w:pPr>
        <w:pStyle w:val="Sinespaciado"/>
        <w:spacing w:line="276" w:lineRule="auto"/>
        <w:jc w:val="both"/>
        <w:rPr>
          <w:rFonts w:cs="Century Gothic"/>
          <w:bCs/>
          <w:color w:val="000000"/>
          <w:highlight w:val="white"/>
          <w:lang w:eastAsia="es-ES"/>
        </w:rPr>
      </w:pPr>
    </w:p>
    <w:p w:rsidR="00A3487C" w:rsidRDefault="001F168A">
      <w:pPr>
        <w:pStyle w:val="Sinespaciado"/>
        <w:spacing w:line="276" w:lineRule="auto"/>
        <w:jc w:val="both"/>
        <w:rPr>
          <w:rFonts w:ascii="Century Gothic" w:hAnsi="Century Gothic"/>
          <w:sz w:val="24"/>
          <w:szCs w:val="24"/>
        </w:rPr>
      </w:pPr>
      <w:r>
        <w:rPr>
          <w:rFonts w:ascii="Century Gothic" w:hAnsi="Century Gothic" w:cs="Century Gothic"/>
          <w:bCs/>
          <w:color w:val="000000"/>
          <w:sz w:val="24"/>
          <w:szCs w:val="24"/>
          <w:shd w:val="clear" w:color="auto" w:fill="FFFFFF"/>
          <w:lang w:eastAsia="es-ES"/>
        </w:rPr>
        <w:t>Ha de recordarse que conforme lo dispuesto por el</w:t>
      </w:r>
      <w:r>
        <w:rPr>
          <w:rFonts w:ascii="Century Gothic" w:hAnsi="Century Gothic" w:cs="Arial"/>
          <w:bCs/>
          <w:color w:val="000000"/>
          <w:spacing w:val="-3"/>
          <w:sz w:val="24"/>
          <w:szCs w:val="24"/>
          <w:highlight w:val="white"/>
          <w:lang w:val="es-CO" w:eastAsia="es-ES"/>
        </w:rPr>
        <w:t xml:space="preserve"> artículo 10 del Decreto 2591 de 1991, y la jurisprudencia constitucional antes referida, la acción de tutela puede ser ejercida por aquella persona vulnerada o amenazada en uno de sus derechos fundamentales, es decir, el titular de los mismos, por lo que, </w:t>
      </w:r>
      <w:r>
        <w:rPr>
          <w:rFonts w:ascii="Century Gothic" w:hAnsi="Century Gothic" w:cs="Century Gothic"/>
          <w:bCs/>
          <w:color w:val="000000"/>
          <w:sz w:val="24"/>
          <w:szCs w:val="24"/>
          <w:shd w:val="clear" w:color="auto" w:fill="FFFFFF"/>
          <w:lang w:eastAsia="es-ES"/>
        </w:rPr>
        <w:t>tratándose de un tercero, debe hacerlo invocando y acreditando la calidad de apoderado, agente oficiosos o Ministerio Público.</w:t>
      </w:r>
    </w:p>
    <w:p w:rsidR="00A3487C" w:rsidRDefault="00A3487C">
      <w:pPr>
        <w:pStyle w:val="Sinespaciado"/>
        <w:spacing w:line="276" w:lineRule="auto"/>
        <w:jc w:val="both"/>
        <w:rPr>
          <w:rFonts w:ascii="Times New Roman;serif" w:hAnsi="Times New Roman;serif" w:cs="Century Gothic"/>
          <w:bCs/>
          <w:color w:val="000000"/>
          <w:sz w:val="27"/>
          <w:szCs w:val="24"/>
          <w:highlight w:val="white"/>
          <w:lang w:eastAsia="es-ES"/>
        </w:rPr>
      </w:pPr>
    </w:p>
    <w:p w:rsidR="00A3487C" w:rsidRDefault="001F168A">
      <w:pPr>
        <w:pStyle w:val="Sinespaciado"/>
        <w:spacing w:line="276" w:lineRule="auto"/>
        <w:jc w:val="both"/>
      </w:pPr>
      <w:r>
        <w:rPr>
          <w:rFonts w:ascii="Century Gothic" w:hAnsi="Century Gothic" w:cs="Century Gothic"/>
          <w:color w:val="000000"/>
          <w:sz w:val="24"/>
          <w:szCs w:val="24"/>
          <w:shd w:val="clear" w:color="auto" w:fill="FFFFFF"/>
          <w:lang w:eastAsia="es-ES"/>
        </w:rPr>
        <w:t>Por lo anterior, aun cuando la empresa Tu recobro S.A.S. tiene legitimación en la causa frente al derecho de petición</w:t>
      </w:r>
      <w:r>
        <w:rPr>
          <w:rFonts w:ascii="Century Gothic" w:hAnsi="Century Gothic" w:cs="Century Gothic"/>
          <w:sz w:val="24"/>
          <w:szCs w:val="24"/>
          <w:shd w:val="clear" w:color="auto" w:fill="FFFFFF"/>
          <w:lang w:eastAsia="es-ES"/>
        </w:rPr>
        <w:t xml:space="preserve">, </w:t>
      </w:r>
      <w:r>
        <w:rPr>
          <w:rFonts w:ascii="Century Gothic" w:hAnsi="Century Gothic" w:cs="Century Gothic"/>
          <w:color w:val="000000"/>
          <w:sz w:val="24"/>
          <w:szCs w:val="24"/>
          <w:shd w:val="clear" w:color="auto" w:fill="FFFFFF"/>
          <w:lang w:eastAsia="es-ES"/>
        </w:rPr>
        <w:t>carece de tal atributo</w:t>
      </w:r>
      <w:r>
        <w:rPr>
          <w:rFonts w:ascii="Century Gothic" w:hAnsi="Century Gothic" w:cs="Century Gothic"/>
          <w:sz w:val="24"/>
          <w:szCs w:val="24"/>
          <w:shd w:val="clear" w:color="auto" w:fill="FFFFFF"/>
          <w:lang w:eastAsia="es-ES"/>
        </w:rPr>
        <w:t xml:space="preserve">, respecto a los derechos fundamentales al debido proceso, </w:t>
      </w:r>
      <w:r>
        <w:rPr>
          <w:rFonts w:ascii="Century Gothic" w:hAnsi="Century Gothic" w:cs="Century Gothic"/>
          <w:color w:val="000000"/>
          <w:sz w:val="24"/>
          <w:szCs w:val="24"/>
          <w:shd w:val="clear" w:color="auto" w:fill="FFFFFF"/>
          <w:lang w:eastAsia="es-ES"/>
        </w:rPr>
        <w:t xml:space="preserve"> mínimo vital y seguridad social</w:t>
      </w:r>
      <w:r>
        <w:rPr>
          <w:rFonts w:ascii="Century Gothic" w:hAnsi="Century Gothic" w:cs="Century Gothic"/>
          <w:sz w:val="24"/>
          <w:szCs w:val="24"/>
          <w:shd w:val="clear" w:color="auto" w:fill="FFFFFF"/>
          <w:lang w:eastAsia="es-ES"/>
        </w:rPr>
        <w:t xml:space="preserve">, los cuales, </w:t>
      </w:r>
      <w:r>
        <w:rPr>
          <w:rFonts w:ascii="Century Gothic" w:hAnsi="Century Gothic" w:cs="Century Gothic"/>
          <w:color w:val="000000"/>
          <w:sz w:val="24"/>
          <w:szCs w:val="24"/>
          <w:shd w:val="clear" w:color="auto" w:fill="FFFFFF"/>
          <w:lang w:eastAsia="es-ES"/>
        </w:rPr>
        <w:t>sólo podrían ser</w:t>
      </w:r>
      <w:r>
        <w:rPr>
          <w:rFonts w:ascii="Century Gothic" w:hAnsi="Century Gothic" w:cs="Century Gothic"/>
          <w:sz w:val="24"/>
          <w:szCs w:val="24"/>
          <w:shd w:val="clear" w:color="auto" w:fill="FFFFFF"/>
          <w:lang w:eastAsia="es-ES"/>
        </w:rPr>
        <w:t xml:space="preserve"> objeto de amparo constitucional, siempre y cuando, la presente acción hubiera sido impetrada por quien dice ser su titular, es decir por </w:t>
      </w:r>
      <w:r>
        <w:rPr>
          <w:rFonts w:ascii="Century Gothic" w:hAnsi="Century Gothic" w:cs="Century Gothic"/>
          <w:color w:val="000000"/>
          <w:sz w:val="24"/>
          <w:szCs w:val="24"/>
          <w:shd w:val="clear" w:color="auto" w:fill="FFFFFF"/>
          <w:lang w:eastAsia="es-ES"/>
        </w:rPr>
        <w:t>la sociedad Greenex S.A.S.</w:t>
      </w:r>
      <w:r>
        <w:rPr>
          <w:rFonts w:ascii="Century Gothic" w:hAnsi="Century Gothic" w:cs="Arial"/>
          <w:sz w:val="24"/>
          <w:szCs w:val="24"/>
        </w:rPr>
        <w:t xml:space="preserve">; pues es claro que la empresa Tu Recobro S.A.S., no aportó poder otorgado por ésta, así como tampoco demostró que esté actuando como agente oficioso de aquel (en caso de que procediera), requisito que en ese punto es indispensable, como quiera que, como se explicó en párrafos anteriores, </w:t>
      </w:r>
      <w:r>
        <w:rPr>
          <w:rFonts w:ascii="Century Gothic" w:hAnsi="Century Gothic" w:cs="Century Gothic"/>
          <w:iCs/>
          <w:sz w:val="24"/>
          <w:szCs w:val="24"/>
        </w:rPr>
        <w:t>el mandato o autorización  que a ella le confirió para adelantar las gestiones tendientes al recobro de prestaciones económicas, no le traslada per se, los derechos subjetivos que en su nombre va a defender</w:t>
      </w:r>
      <w:r>
        <w:rPr>
          <w:rFonts w:ascii="Century Gothic" w:hAnsi="Century Gothic" w:cs="Arial"/>
          <w:sz w:val="24"/>
          <w:szCs w:val="24"/>
        </w:rPr>
        <w:t>.</w:t>
      </w:r>
    </w:p>
    <w:p w:rsidR="00A3487C" w:rsidRDefault="00A3487C">
      <w:pPr>
        <w:pStyle w:val="Sinespaciado"/>
        <w:rPr>
          <w:rFonts w:ascii="Century Gothic" w:hAnsi="Century Gothic" w:cs="Century Gothic"/>
          <w:sz w:val="24"/>
          <w:szCs w:val="24"/>
          <w:highlight w:val="white"/>
          <w:lang w:eastAsia="es-ES"/>
        </w:rPr>
      </w:pPr>
    </w:p>
    <w:p w:rsidR="00A3487C" w:rsidRDefault="001F168A">
      <w:pPr>
        <w:spacing w:after="29"/>
        <w:jc w:val="both"/>
      </w:pPr>
      <w:r>
        <w:rPr>
          <w:rFonts w:ascii="Century Gothic" w:hAnsi="Century Gothic" w:cs="Arial"/>
          <w:sz w:val="24"/>
          <w:szCs w:val="24"/>
        </w:rPr>
        <w:t>Además, el Juzgado considera necesario precisar que conforme a lo expuesto en numeral 2.7 de esta providencia, los derechos al mínimo vital y seguridad social no constituye un derecho fundamental del que sea titular una persona jurídica, pues éstos son inherente</w:t>
      </w:r>
      <w:r w:rsidR="00685D42">
        <w:rPr>
          <w:rFonts w:ascii="Century Gothic" w:hAnsi="Century Gothic" w:cs="Arial"/>
          <w:sz w:val="24"/>
          <w:szCs w:val="24"/>
        </w:rPr>
        <w:t>s</w:t>
      </w:r>
      <w:r>
        <w:rPr>
          <w:rFonts w:ascii="Century Gothic" w:hAnsi="Century Gothic" w:cs="Arial"/>
          <w:sz w:val="24"/>
          <w:szCs w:val="24"/>
        </w:rPr>
        <w:t xml:space="preserve"> al ser humano y por tanto</w:t>
      </w:r>
      <w:r w:rsidR="00685D42">
        <w:rPr>
          <w:rFonts w:ascii="Century Gothic" w:hAnsi="Century Gothic" w:cs="Arial"/>
          <w:sz w:val="24"/>
          <w:szCs w:val="24"/>
        </w:rPr>
        <w:t>,</w:t>
      </w:r>
      <w:r>
        <w:rPr>
          <w:rFonts w:ascii="Century Gothic" w:hAnsi="Century Gothic" w:cs="Century Gothic"/>
          <w:sz w:val="24"/>
          <w:szCs w:val="24"/>
        </w:rPr>
        <w:t xml:space="preserve"> no podría recurrir a su amparo,</w:t>
      </w:r>
      <w:r>
        <w:rPr>
          <w:rFonts w:ascii="Century Gothic" w:hAnsi="Century Gothic" w:cs="Arial"/>
          <w:sz w:val="24"/>
          <w:szCs w:val="24"/>
        </w:rPr>
        <w:t xml:space="preserve"> salvo que se acuda indirectamente </w:t>
      </w:r>
      <w:r>
        <w:rPr>
          <w:rFonts w:ascii="Century Gothic" w:hAnsi="Century Gothic" w:cs="Century Gothic"/>
          <w:sz w:val="24"/>
          <w:szCs w:val="24"/>
        </w:rPr>
        <w:t>cuando la vulneración pueda afectar los derechos fundamentales de la personas naturales que la integran</w:t>
      </w:r>
      <w:r>
        <w:rPr>
          <w:rFonts w:ascii="Century Gothic" w:hAnsi="Century Gothic" w:cs="Arial"/>
          <w:sz w:val="24"/>
          <w:szCs w:val="24"/>
        </w:rPr>
        <w:t xml:space="preserve">. </w:t>
      </w:r>
    </w:p>
    <w:p w:rsidR="00A3487C" w:rsidRDefault="00A3487C">
      <w:pPr>
        <w:pStyle w:val="Sinespaciado"/>
        <w:rPr>
          <w:rFonts w:ascii="Century Gothic" w:hAnsi="Century Gothic" w:cs="Arial"/>
        </w:rPr>
      </w:pPr>
    </w:p>
    <w:p w:rsidR="00A3487C" w:rsidRDefault="001F168A">
      <w:pPr>
        <w:shd w:val="clear" w:color="auto" w:fill="FFFFFF"/>
        <w:spacing w:after="0"/>
        <w:jc w:val="both"/>
        <w:textAlignment w:val="baseline"/>
        <w:rPr>
          <w:rFonts w:ascii="Century Gothic" w:hAnsi="Century Gothic" w:cs="Arial"/>
          <w:color w:val="000000" w:themeColor="text1"/>
        </w:rPr>
      </w:pPr>
      <w:r>
        <w:rPr>
          <w:rFonts w:ascii="Century Gothic" w:hAnsi="Century Gothic" w:cs="Arial"/>
          <w:color w:val="000000"/>
          <w:sz w:val="24"/>
          <w:szCs w:val="24"/>
        </w:rPr>
        <w:t xml:space="preserve">Por lo tanto, además de lo anterior, por un lado la acción de tutela se torna improcedente frente a la protección de los derechos al mínimo vital y seguridad social invocados en favor de la </w:t>
      </w:r>
      <w:r>
        <w:rPr>
          <w:rFonts w:ascii="Century Gothic" w:eastAsia="Calibri" w:hAnsi="Century Gothic" w:cs="Arial"/>
          <w:color w:val="000000"/>
          <w:sz w:val="24"/>
          <w:szCs w:val="24"/>
        </w:rPr>
        <w:t>Greenex S.A.S.</w:t>
      </w:r>
      <w:r>
        <w:rPr>
          <w:rFonts w:ascii="Century Gothic" w:hAnsi="Century Gothic" w:cs="Arial"/>
          <w:color w:val="000000"/>
          <w:sz w:val="24"/>
          <w:szCs w:val="24"/>
        </w:rPr>
        <w:t xml:space="preserve">, como persona jurídica y por el otro, no se encuentra </w:t>
      </w:r>
      <w:r>
        <w:rPr>
          <w:rFonts w:ascii="Century Gothic" w:hAnsi="Century Gothic" w:cs="Century Gothic"/>
          <w:color w:val="000000"/>
          <w:sz w:val="24"/>
          <w:szCs w:val="24"/>
          <w:lang w:val="es-CO"/>
        </w:rPr>
        <w:t>relación de causalidad entre la situación</w:t>
      </w:r>
      <w:r>
        <w:rPr>
          <w:rFonts w:ascii="Century Gothic" w:hAnsi="Century Gothic" w:cs="Arial"/>
          <w:color w:val="000000"/>
          <w:sz w:val="24"/>
          <w:szCs w:val="24"/>
        </w:rPr>
        <w:t xml:space="preserve"> planteada y la vulneración de los derechos fundamentales de sus asociados o trabajadores. </w:t>
      </w:r>
      <w:r>
        <w:rPr>
          <w:rFonts w:ascii="Century Gothic" w:eastAsia="Calibri" w:hAnsi="Century Gothic" w:cs="Arial"/>
          <w:color w:val="000000"/>
          <w:sz w:val="24"/>
          <w:szCs w:val="24"/>
        </w:rPr>
        <w:t xml:space="preserve">Advirtiendo igualmente, </w:t>
      </w:r>
      <w:r>
        <w:rPr>
          <w:rFonts w:ascii="Century Gothic" w:hAnsi="Century Gothic" w:cs="Arial"/>
          <w:color w:val="000000"/>
          <w:sz w:val="24"/>
          <w:szCs w:val="24"/>
        </w:rPr>
        <w:t xml:space="preserve">que en todo caso, </w:t>
      </w:r>
      <w:r w:rsidR="004822BA">
        <w:rPr>
          <w:rFonts w:ascii="Century Gothic" w:hAnsi="Century Gothic" w:cs="Arial"/>
          <w:color w:val="000000"/>
          <w:sz w:val="24"/>
          <w:szCs w:val="24"/>
        </w:rPr>
        <w:t>tratándose</w:t>
      </w:r>
      <w:r>
        <w:rPr>
          <w:rFonts w:ascii="Century Gothic" w:hAnsi="Century Gothic" w:cs="Arial"/>
          <w:color w:val="000000"/>
          <w:sz w:val="24"/>
          <w:szCs w:val="24"/>
        </w:rPr>
        <w:t xml:space="preserve"> de cualquiera de dichas persona naturales, como titulares </w:t>
      </w:r>
      <w:r>
        <w:rPr>
          <w:rFonts w:ascii="Century Gothic" w:hAnsi="Century Gothic" w:cs="Century Gothic"/>
          <w:color w:val="000000"/>
          <w:sz w:val="24"/>
          <w:szCs w:val="24"/>
        </w:rPr>
        <w:t xml:space="preserve">directas de los </w:t>
      </w:r>
      <w:r>
        <w:rPr>
          <w:rFonts w:ascii="Century Gothic" w:eastAsia="Calibri" w:hAnsi="Century Gothic" w:cs="Century Gothic"/>
          <w:color w:val="000000"/>
          <w:sz w:val="24"/>
          <w:szCs w:val="24"/>
        </w:rPr>
        <w:t xml:space="preserve">mismos, sino acuden directamente, </w:t>
      </w:r>
      <w:r>
        <w:rPr>
          <w:rFonts w:ascii="Century Gothic" w:hAnsi="Century Gothic" w:cs="Century Gothic"/>
          <w:color w:val="000000"/>
          <w:sz w:val="24"/>
          <w:szCs w:val="24"/>
        </w:rPr>
        <w:t>lo deben hacer bien por agente oficioso o a través de apoderado legamente constituido, o por intermedio del Ministerio Público, circunstancia que en el presente caso tampoco  se acredita.</w:t>
      </w:r>
    </w:p>
    <w:p w:rsidR="00A3487C" w:rsidRDefault="00A3487C">
      <w:pPr>
        <w:shd w:val="clear" w:color="auto" w:fill="FFFFFF"/>
        <w:spacing w:after="0"/>
        <w:jc w:val="both"/>
        <w:textAlignment w:val="baseline"/>
        <w:rPr>
          <w:rFonts w:ascii="Century Gothic" w:hAnsi="Century Gothic" w:cs="Arial"/>
          <w:color w:val="000000" w:themeColor="text1"/>
        </w:rPr>
      </w:pPr>
    </w:p>
    <w:p w:rsidR="00A3487C" w:rsidRDefault="001F168A">
      <w:pPr>
        <w:spacing w:after="29"/>
        <w:jc w:val="both"/>
      </w:pPr>
      <w:r>
        <w:rPr>
          <w:rFonts w:ascii="Century Gothic" w:hAnsi="Century Gothic" w:cs="Arial"/>
          <w:sz w:val="24"/>
          <w:szCs w:val="24"/>
          <w:highlight w:val="white"/>
          <w:lang w:eastAsia="es-ES"/>
        </w:rPr>
        <w:t>En este orden de ideas, teniendo claro que, la sociedad Tu Recobro S.A.S. sólo se encuentra legitimada para pretender la protección del derecho fundamental de petición; una vez analizado el contenido de los documentos allegados como prueba, debe deducirse que la Nueva EPS no ha dado respuesta de fondo a la solicitud que presentó la tutelante, el 11 de febrero de 2020</w:t>
      </w:r>
      <w:r>
        <w:rPr>
          <w:rFonts w:ascii="Century Gothic" w:hAnsi="Century Gothic" w:cs="Arial"/>
          <w:sz w:val="24"/>
          <w:szCs w:val="24"/>
          <w:highlight w:val="white"/>
          <w:lang w:val="es-CO" w:eastAsia="es-ES"/>
        </w:rPr>
        <w:t xml:space="preserve">, </w:t>
      </w:r>
      <w:r>
        <w:rPr>
          <w:rFonts w:ascii="Century Gothic" w:hAnsi="Century Gothic" w:cs="Arial"/>
          <w:sz w:val="24"/>
          <w:szCs w:val="24"/>
          <w:highlight w:val="white"/>
          <w:lang w:eastAsia="es-ES"/>
        </w:rPr>
        <w:t>en la que pide el pago en favor de Greenex S.A.S. de las prestaciones económicas derivadas del reconocimiento de incapacidades y licencia de maternidad canceladas a algunos de sus trabajadores, pues el término de quince (15) días señalado en el artículo 14</w:t>
      </w:r>
      <w:r>
        <w:rPr>
          <w:rFonts w:ascii="Century Gothic" w:hAnsi="Century Gothic" w:cs="Arial"/>
          <w:sz w:val="24"/>
          <w:szCs w:val="24"/>
          <w:highlight w:val="white"/>
          <w:lang w:val="es-CO" w:eastAsia="es-ES"/>
        </w:rPr>
        <w:t xml:space="preserve"> del CPACA, venció el 02 de marzo de 2020, sin que la Nueva EPS haya acreditado que emitió y comunicó respuesta a la petición. </w:t>
      </w:r>
    </w:p>
    <w:p w:rsidR="00A3487C" w:rsidRDefault="00A3487C">
      <w:pPr>
        <w:pStyle w:val="Sinespaciado"/>
        <w:rPr>
          <w:rFonts w:ascii="Century Gothic" w:hAnsi="Century Gothic" w:cs="Century Gothic"/>
          <w:sz w:val="24"/>
          <w:szCs w:val="24"/>
          <w:lang w:val="es-CO"/>
        </w:rPr>
      </w:pPr>
    </w:p>
    <w:p w:rsidR="00A3487C" w:rsidRDefault="001F168A">
      <w:pPr>
        <w:spacing w:after="29"/>
        <w:jc w:val="both"/>
      </w:pPr>
      <w:r>
        <w:rPr>
          <w:rFonts w:ascii="Century Gothic" w:hAnsi="Century Gothic" w:cs="Arial"/>
          <w:sz w:val="24"/>
          <w:szCs w:val="24"/>
          <w:highlight w:val="white"/>
          <w:lang w:val="es-CO" w:eastAsia="es-ES"/>
        </w:rPr>
        <w:t xml:space="preserve">Cabe aclarar, que la empresa Tu Recobro S.A.S. manifestó en el escrito de tutela que la entidad accionada dio respuesta únicamente a lo solicitado en el punto sexto de su petición, esto es, lo relacionado con </w:t>
      </w:r>
      <w:r>
        <w:rPr>
          <w:rFonts w:ascii="Century Gothic" w:hAnsi="Century Gothic" w:cs="Arial"/>
          <w:color w:val="000000" w:themeColor="text1"/>
          <w:sz w:val="24"/>
          <w:szCs w:val="24"/>
          <w:highlight w:val="white"/>
          <w:lang w:val="es-CO" w:eastAsia="es-ES"/>
        </w:rPr>
        <w:t>enviar estado detallado de las prestaciones pagadas y negadas, guarda</w:t>
      </w:r>
      <w:r w:rsidR="004822BA">
        <w:rPr>
          <w:rFonts w:ascii="Century Gothic" w:hAnsi="Century Gothic" w:cs="Arial"/>
          <w:color w:val="000000" w:themeColor="text1"/>
          <w:sz w:val="24"/>
          <w:szCs w:val="24"/>
          <w:highlight w:val="white"/>
          <w:lang w:val="es-CO" w:eastAsia="es-ES"/>
        </w:rPr>
        <w:t>ndo silencio respecto de los demás</w:t>
      </w:r>
      <w:r>
        <w:rPr>
          <w:rFonts w:ascii="Century Gothic" w:hAnsi="Century Gothic" w:cs="Arial"/>
          <w:color w:val="000000" w:themeColor="text1"/>
          <w:sz w:val="24"/>
          <w:szCs w:val="24"/>
          <w:highlight w:val="white"/>
          <w:lang w:val="es-CO" w:eastAsia="es-ES"/>
        </w:rPr>
        <w:t xml:space="preserve"> requerimientos, </w:t>
      </w:r>
      <w:r>
        <w:rPr>
          <w:rFonts w:ascii="Century Gothic" w:eastAsia="Calibri" w:hAnsi="Century Gothic" w:cs="Arial"/>
          <w:sz w:val="24"/>
          <w:szCs w:val="24"/>
          <w:highlight w:val="white"/>
          <w:lang w:val="es-CO" w:eastAsia="es-ES"/>
        </w:rPr>
        <w:t xml:space="preserve">por lo tanto, si bien no se aportó al plenario copia de dicha respuesta, el Juzgado tiene por cierta tal afirmación pues no fue desvirtuada por </w:t>
      </w:r>
      <w:r w:rsidR="004822BA">
        <w:rPr>
          <w:rFonts w:ascii="Century Gothic" w:eastAsia="Calibri" w:hAnsi="Century Gothic" w:cs="Arial"/>
          <w:sz w:val="24"/>
          <w:szCs w:val="24"/>
          <w:highlight w:val="white"/>
          <w:lang w:val="es-CO" w:eastAsia="es-ES"/>
        </w:rPr>
        <w:t>la accionada</w:t>
      </w:r>
      <w:r>
        <w:rPr>
          <w:rFonts w:ascii="Century Gothic" w:eastAsia="Calibri" w:hAnsi="Century Gothic" w:cs="Arial"/>
          <w:sz w:val="24"/>
          <w:szCs w:val="24"/>
          <w:highlight w:val="white"/>
          <w:lang w:val="es-CO" w:eastAsia="es-ES"/>
        </w:rPr>
        <w:t xml:space="preserve">. </w:t>
      </w:r>
    </w:p>
    <w:p w:rsidR="00A3487C" w:rsidRDefault="00A3487C">
      <w:pPr>
        <w:spacing w:after="29"/>
        <w:jc w:val="both"/>
        <w:rPr>
          <w:rFonts w:ascii="Century Gothic" w:eastAsia="Calibri" w:hAnsi="Century Gothic" w:cs="Arial"/>
          <w:sz w:val="24"/>
          <w:szCs w:val="24"/>
          <w:highlight w:val="white"/>
          <w:lang w:val="es-CO" w:eastAsia="es-ES"/>
        </w:rPr>
      </w:pPr>
    </w:p>
    <w:p w:rsidR="00A3487C" w:rsidRDefault="001F168A">
      <w:pPr>
        <w:spacing w:after="29"/>
        <w:jc w:val="both"/>
      </w:pPr>
      <w:r>
        <w:rPr>
          <w:rFonts w:ascii="Century Gothic" w:eastAsia="Calibri" w:hAnsi="Century Gothic" w:cs="Arial"/>
          <w:sz w:val="24"/>
          <w:szCs w:val="24"/>
          <w:highlight w:val="white"/>
          <w:lang w:val="es-CO" w:eastAsia="es-ES"/>
        </w:rPr>
        <w:t>Así mismo, debe señalarse que aun cuando la Nueva EPS dio contestación a la presente acción constitucional, no se refirió concretamente al trámite dado al derecho de petición objeto de amparo, por lo cual, debe darse aplicación a lo dispuesto en el artículo 20 del Decreto 2591 de 1991</w:t>
      </w:r>
      <w:r>
        <w:rPr>
          <w:rStyle w:val="Ancladenotaalpie"/>
          <w:rFonts w:ascii="Century Gothic" w:eastAsia="Calibri" w:hAnsi="Century Gothic" w:cs="Arial"/>
          <w:sz w:val="24"/>
          <w:szCs w:val="24"/>
          <w:highlight w:val="white"/>
          <w:lang w:val="es-CO" w:eastAsia="es-ES"/>
        </w:rPr>
        <w:footnoteReference w:id="17"/>
      </w:r>
      <w:r>
        <w:rPr>
          <w:rFonts w:ascii="Century Gothic" w:eastAsia="Calibri" w:hAnsi="Century Gothic" w:cs="Arial"/>
          <w:sz w:val="24"/>
          <w:szCs w:val="24"/>
          <w:highlight w:val="white"/>
          <w:lang w:val="es-CO" w:eastAsia="es-ES"/>
        </w:rPr>
        <w:t>, y se tiene por cierto que la accionada no ha emitido respuesta en relación con los siguientes asuntos:</w:t>
      </w:r>
      <w:r w:rsidR="004822BA">
        <w:rPr>
          <w:rFonts w:ascii="Century Gothic" w:eastAsia="Calibri" w:hAnsi="Century Gothic" w:cs="Arial"/>
          <w:sz w:val="24"/>
          <w:szCs w:val="24"/>
          <w:highlight w:val="white"/>
          <w:lang w:val="es-CO" w:eastAsia="es-ES"/>
        </w:rPr>
        <w:t xml:space="preserve"> Manifestación respecto a</w:t>
      </w:r>
      <w:r>
        <w:rPr>
          <w:rFonts w:ascii="Century Gothic" w:eastAsia="Calibri" w:hAnsi="Century Gothic" w:cs="Arial"/>
          <w:sz w:val="24"/>
          <w:szCs w:val="24"/>
          <w:highlight w:val="white"/>
          <w:lang w:val="es-CO" w:eastAsia="es-ES"/>
        </w:rPr>
        <w:t xml:space="preserve"> </w:t>
      </w:r>
      <w:r>
        <w:rPr>
          <w:rFonts w:ascii="Century Gothic" w:eastAsia="Calibri" w:hAnsi="Century Gothic" w:cs="Arial"/>
          <w:color w:val="000000" w:themeColor="text1"/>
          <w:sz w:val="24"/>
          <w:szCs w:val="24"/>
          <w:highlight w:val="white"/>
          <w:lang w:val="es-CO" w:eastAsia="es-ES"/>
        </w:rPr>
        <w:t>i) proceder al pago inmediato en favor de Greenex S.A.S. (reintegro), por concepto de prestaciones económicas reconocidas y liquidadas por la entidad prestadora de salud, relativas a licencia de maternidad e incapacidades de alguno de sus trabajadores; ii) Proceder al reconocimiento y pago de intereses moratorios por haberse vencido el plazo definido en la Ley para el pago de dichas prestaciones; ii) informar fecha de pago y valor a pagar.</w:t>
      </w:r>
    </w:p>
    <w:p w:rsidR="00A3487C" w:rsidRDefault="00A3487C">
      <w:pPr>
        <w:spacing w:after="29"/>
        <w:jc w:val="both"/>
        <w:rPr>
          <w:rFonts w:ascii="Century Gothic" w:hAnsi="Century Gothic" w:cs="Arial"/>
          <w:sz w:val="24"/>
          <w:szCs w:val="24"/>
          <w:highlight w:val="white"/>
          <w:lang w:val="es-CO" w:eastAsia="es-ES"/>
        </w:rPr>
      </w:pPr>
    </w:p>
    <w:p w:rsidR="00A3487C" w:rsidRDefault="001F168A">
      <w:pPr>
        <w:pStyle w:val="Sinespaciado"/>
        <w:spacing w:line="276" w:lineRule="auto"/>
        <w:jc w:val="both"/>
      </w:pPr>
      <w:r>
        <w:rPr>
          <w:rFonts w:ascii="Century Gothic" w:hAnsi="Century Gothic"/>
          <w:color w:val="000000"/>
          <w:sz w:val="24"/>
          <w:szCs w:val="24"/>
          <w:lang w:eastAsia="es-ES_tradnl"/>
        </w:rPr>
        <w:t xml:space="preserve">Por lo anterior, </w:t>
      </w:r>
      <w:r>
        <w:rPr>
          <w:rFonts w:ascii="Century Gothic" w:hAnsi="Century Gothic" w:cs="Arial"/>
          <w:sz w:val="24"/>
          <w:szCs w:val="24"/>
          <w:lang w:val="es-CO"/>
        </w:rPr>
        <w:t xml:space="preserve">el Despacho amparará el derecho fundamental de petición en favor de la empresa Tu Recobro S.A.S. y en consecuencia, se ordenará </w:t>
      </w:r>
      <w:r w:rsidR="00B3010C" w:rsidRPr="00B3010C">
        <w:rPr>
          <w:rFonts w:ascii="Century Gothic" w:hAnsi="Century Gothic" w:cs="Arial"/>
          <w:sz w:val="24"/>
          <w:szCs w:val="24"/>
          <w:lang w:val="es-CO"/>
        </w:rPr>
        <w:t>a la entidad</w:t>
      </w:r>
      <w:r w:rsidR="00B3010C">
        <w:rPr>
          <w:rFonts w:ascii="Century Gothic" w:hAnsi="Century Gothic" w:cs="Arial"/>
          <w:b/>
          <w:sz w:val="24"/>
          <w:szCs w:val="24"/>
          <w:lang w:val="es-CO"/>
        </w:rPr>
        <w:t xml:space="preserve"> </w:t>
      </w:r>
      <w:r w:rsidR="00B3010C" w:rsidRPr="00B3010C">
        <w:rPr>
          <w:rFonts w:ascii="Century Gothic" w:hAnsi="Century Gothic" w:cs="Arial"/>
          <w:sz w:val="24"/>
          <w:szCs w:val="24"/>
          <w:lang w:val="es-CO"/>
        </w:rPr>
        <w:t>accionada</w:t>
      </w:r>
      <w:r w:rsidRPr="00B3010C">
        <w:rPr>
          <w:rFonts w:ascii="Century Gothic" w:hAnsi="Century Gothic" w:cs="Arial"/>
          <w:sz w:val="24"/>
          <w:szCs w:val="24"/>
          <w:lang w:val="es-CO"/>
        </w:rPr>
        <w:t>, para que en el término de cuarenta y ocho (48) horas</w:t>
      </w:r>
      <w:r>
        <w:rPr>
          <w:rFonts w:ascii="Century Gothic" w:hAnsi="Century Gothic" w:cs="Arial"/>
          <w:sz w:val="24"/>
          <w:szCs w:val="24"/>
          <w:lang w:val="es-CO"/>
        </w:rPr>
        <w:t xml:space="preserve"> siguientes a la notificación de este fallo, </w:t>
      </w:r>
      <w:bookmarkStart w:id="1" w:name="__DdeLink__687_94053815"/>
      <w:r>
        <w:rPr>
          <w:rFonts w:ascii="Century Gothic" w:eastAsiaTheme="minorHAnsi" w:hAnsi="Century Gothic" w:cs="Arial"/>
          <w:sz w:val="24"/>
          <w:szCs w:val="24"/>
          <w:lang w:val="es-CO"/>
        </w:rPr>
        <w:t>d</w:t>
      </w:r>
      <w:bookmarkEnd w:id="1"/>
      <w:r>
        <w:rPr>
          <w:rFonts w:ascii="Century Gothic" w:eastAsiaTheme="minorHAnsi" w:hAnsi="Century Gothic" w:cs="Arial"/>
          <w:sz w:val="24"/>
          <w:szCs w:val="24"/>
          <w:lang w:val="es-CO"/>
        </w:rPr>
        <w:t xml:space="preserve">e respuesta de fondo a la petición radicada por la empresa Tu Recobro S.A.S. el </w:t>
      </w:r>
      <w:r w:rsidR="004541B0">
        <w:rPr>
          <w:rFonts w:ascii="Century Gothic" w:eastAsiaTheme="minorHAnsi" w:hAnsi="Century Gothic" w:cs="Arial"/>
          <w:sz w:val="24"/>
          <w:szCs w:val="24"/>
          <w:lang w:val="es-CO"/>
        </w:rPr>
        <w:t>11</w:t>
      </w:r>
      <w:r>
        <w:rPr>
          <w:rFonts w:ascii="Century Gothic" w:eastAsiaTheme="minorHAnsi" w:hAnsi="Century Gothic" w:cs="Arial"/>
          <w:sz w:val="24"/>
          <w:szCs w:val="24"/>
          <w:lang w:val="es-CO"/>
        </w:rPr>
        <w:t xml:space="preserve"> de febrero de 2020, especialmente en lo relativo a: i) la solicitud de</w:t>
      </w:r>
      <w:r>
        <w:rPr>
          <w:rFonts w:ascii="Century Gothic" w:eastAsia="Calibri" w:hAnsi="Century Gothic" w:cs="Arial"/>
          <w:color w:val="000000" w:themeColor="text1"/>
          <w:sz w:val="24"/>
          <w:szCs w:val="24"/>
          <w:highlight w:val="white"/>
          <w:lang w:val="es-CO" w:eastAsia="es-ES"/>
        </w:rPr>
        <w:t xml:space="preserve"> pago en favor de Greenex S.A.S. (reintegro), por concepto de prestaciones económicas reconocidas y liquidadas por la entidad prestadora de salud, relativas a licencia de maternidad e incapacidades de alguno de sus trabajadores; ii) solicitud de pago de intereses moratorios por haberse vencido el plazo definido en la Ley para e</w:t>
      </w:r>
      <w:r w:rsidR="004541B0">
        <w:rPr>
          <w:rFonts w:ascii="Century Gothic" w:eastAsia="Calibri" w:hAnsi="Century Gothic" w:cs="Arial"/>
          <w:color w:val="000000" w:themeColor="text1"/>
          <w:sz w:val="24"/>
          <w:szCs w:val="24"/>
          <w:highlight w:val="white"/>
          <w:lang w:val="es-CO" w:eastAsia="es-ES"/>
        </w:rPr>
        <w:t>l pago de dichas prestaciones; e</w:t>
      </w:r>
      <w:r>
        <w:rPr>
          <w:rFonts w:ascii="Century Gothic" w:eastAsia="Calibri" w:hAnsi="Century Gothic" w:cs="Arial"/>
          <w:color w:val="000000" w:themeColor="text1"/>
          <w:sz w:val="24"/>
          <w:szCs w:val="24"/>
          <w:highlight w:val="white"/>
          <w:lang w:val="es-CO" w:eastAsia="es-ES"/>
        </w:rPr>
        <w:t xml:space="preserve"> ii) informar fecha de pago y valor a pagar.</w:t>
      </w:r>
    </w:p>
    <w:p w:rsidR="00A3487C" w:rsidRDefault="00A3487C">
      <w:pPr>
        <w:shd w:val="clear" w:color="auto" w:fill="FFFFFF"/>
        <w:spacing w:after="0"/>
        <w:jc w:val="both"/>
        <w:textAlignment w:val="baseline"/>
        <w:rPr>
          <w:rFonts w:ascii="Century Gothic" w:hAnsi="Century Gothic"/>
          <w:color w:val="000000"/>
          <w:sz w:val="24"/>
          <w:szCs w:val="24"/>
          <w:lang w:eastAsia="es-ES_tradnl"/>
        </w:rPr>
      </w:pPr>
    </w:p>
    <w:p w:rsidR="00A3487C" w:rsidRDefault="001F168A">
      <w:pPr>
        <w:shd w:val="clear" w:color="auto" w:fill="FFFFFF"/>
        <w:spacing w:after="0"/>
        <w:jc w:val="both"/>
        <w:textAlignment w:val="baseline"/>
      </w:pPr>
      <w:r>
        <w:rPr>
          <w:rFonts w:ascii="Century Gothic" w:eastAsia="Calibri" w:hAnsi="Century Gothic" w:cs="Arial"/>
          <w:color w:val="000000"/>
          <w:spacing w:val="-3"/>
          <w:sz w:val="24"/>
          <w:szCs w:val="24"/>
          <w:lang w:val="es-CO" w:eastAsia="es-ES_tradnl"/>
        </w:rPr>
        <w:t xml:space="preserve">Adicionalmente, </w:t>
      </w:r>
      <w:r>
        <w:rPr>
          <w:rFonts w:ascii="Century Gothic" w:hAnsi="Century Gothic" w:cs="Arial"/>
          <w:color w:val="000000"/>
          <w:spacing w:val="-3"/>
          <w:sz w:val="24"/>
          <w:szCs w:val="24"/>
          <w:lang w:val="es-CO" w:eastAsia="es-ES_tradnl"/>
        </w:rPr>
        <w:t>resulta pertinente aclarar que el derecho de petición se satisface cuando se verifican los supuestos de oportunidad, coherencia e integralidad, de modo que, no le es dable al Juez, en esta providencia, constreñir a la autoridad accionada, para que la respectiva respuesta se dé en un sentido determinado.</w:t>
      </w:r>
    </w:p>
    <w:p w:rsidR="00B3010C" w:rsidRDefault="00B3010C">
      <w:pPr>
        <w:shd w:val="clear" w:color="auto" w:fill="FFFFFF"/>
        <w:spacing w:after="0"/>
        <w:jc w:val="both"/>
        <w:textAlignment w:val="baseline"/>
        <w:rPr>
          <w:rFonts w:ascii="Century Gothic" w:hAnsi="Century Gothic" w:cs="Arial"/>
          <w:color w:val="000000"/>
          <w:spacing w:val="-3"/>
          <w:sz w:val="24"/>
          <w:szCs w:val="24"/>
          <w:lang w:val="es-CO" w:eastAsia="es-ES_tradnl"/>
        </w:rPr>
      </w:pPr>
    </w:p>
    <w:p w:rsidR="00A3487C" w:rsidRDefault="001F168A">
      <w:pPr>
        <w:shd w:val="clear" w:color="auto" w:fill="FFFFFF"/>
        <w:spacing w:after="0"/>
        <w:jc w:val="both"/>
        <w:textAlignment w:val="baseline"/>
      </w:pPr>
      <w:r w:rsidRPr="002718AA">
        <w:rPr>
          <w:rFonts w:ascii="Century Gothic" w:hAnsi="Century Gothic" w:cs="Arial"/>
          <w:color w:val="000000"/>
          <w:spacing w:val="-3"/>
          <w:sz w:val="24"/>
          <w:szCs w:val="24"/>
          <w:lang w:val="es-CO" w:eastAsia="es-ES_tradnl"/>
        </w:rPr>
        <w:t>Por otro lado, se declarará a falta de legitimación en la causa por activa</w:t>
      </w:r>
      <w:r>
        <w:rPr>
          <w:rFonts w:ascii="Century Gothic" w:hAnsi="Century Gothic" w:cs="Arial"/>
          <w:color w:val="000000"/>
          <w:spacing w:val="-3"/>
          <w:sz w:val="24"/>
          <w:szCs w:val="24"/>
          <w:lang w:val="es-CO" w:eastAsia="es-ES_tradnl"/>
        </w:rPr>
        <w:t xml:space="preserve"> de la empresa Tu Recobro S.A.S., para </w:t>
      </w:r>
      <w:r>
        <w:rPr>
          <w:rFonts w:ascii="Century Gothic" w:eastAsia="Calibri" w:hAnsi="Century Gothic" w:cs="Arial"/>
          <w:color w:val="000000"/>
          <w:spacing w:val="-3"/>
          <w:sz w:val="24"/>
          <w:szCs w:val="24"/>
          <w:lang w:val="es-CO" w:eastAsia="es-ES_tradnl"/>
        </w:rPr>
        <w:t xml:space="preserve">agenciar derechos </w:t>
      </w:r>
      <w:r>
        <w:rPr>
          <w:rFonts w:ascii="Century Gothic" w:hAnsi="Century Gothic" w:cs="Arial"/>
          <w:color w:val="000000"/>
          <w:spacing w:val="-3"/>
          <w:sz w:val="24"/>
          <w:szCs w:val="24"/>
          <w:lang w:val="es-CO" w:eastAsia="es-ES_tradnl"/>
        </w:rPr>
        <w:t>de la sociedad Greenex S.A.S., por carencia de poder,</w:t>
      </w:r>
      <w:r w:rsidR="002718AA">
        <w:rPr>
          <w:rFonts w:ascii="Century Gothic" w:hAnsi="Century Gothic" w:cs="Arial"/>
          <w:color w:val="000000"/>
          <w:spacing w:val="-3"/>
          <w:sz w:val="24"/>
          <w:szCs w:val="24"/>
          <w:lang w:val="es-CO" w:eastAsia="es-ES_tradnl"/>
        </w:rPr>
        <w:t xml:space="preserve"> </w:t>
      </w:r>
      <w:r>
        <w:rPr>
          <w:rFonts w:ascii="Century Gothic" w:hAnsi="Century Gothic" w:cs="Arial"/>
          <w:color w:val="000000"/>
          <w:spacing w:val="-3"/>
          <w:sz w:val="24"/>
          <w:szCs w:val="24"/>
          <w:lang w:val="es-CO" w:eastAsia="es-ES_tradnl"/>
        </w:rPr>
        <w:t xml:space="preserve">así como la improcedencia de </w:t>
      </w:r>
      <w:r>
        <w:rPr>
          <w:rFonts w:ascii="Century Gothic" w:eastAsia="Calibri" w:hAnsi="Century Gothic" w:cs="Arial"/>
          <w:color w:val="000000"/>
          <w:spacing w:val="-3"/>
          <w:sz w:val="24"/>
          <w:szCs w:val="24"/>
          <w:lang w:val="es-CO" w:eastAsia="es-ES_tradnl"/>
        </w:rPr>
        <w:t>la acción de tutela en relación con los derechos al debido proceso, mínimo vital y seguridad social, por lo expuesto en precedencia.</w:t>
      </w:r>
      <w:r>
        <w:rPr>
          <w:rFonts w:ascii="Century Gothic" w:hAnsi="Century Gothic" w:cs="Arial"/>
          <w:color w:val="000000"/>
          <w:spacing w:val="-3"/>
          <w:sz w:val="24"/>
          <w:szCs w:val="24"/>
          <w:lang w:val="es-CO" w:eastAsia="es-ES_tradnl"/>
        </w:rPr>
        <w:t xml:space="preserve"> </w:t>
      </w:r>
    </w:p>
    <w:p w:rsidR="00A3487C" w:rsidRDefault="00A3487C">
      <w:pPr>
        <w:shd w:val="clear" w:color="auto" w:fill="FFFFFF"/>
        <w:spacing w:after="0"/>
        <w:jc w:val="both"/>
        <w:textAlignment w:val="baseline"/>
        <w:rPr>
          <w:rFonts w:ascii="Century Gothic" w:hAnsi="Century Gothic" w:cs="Arial"/>
          <w:color w:val="000000"/>
          <w:spacing w:val="-3"/>
          <w:sz w:val="24"/>
          <w:szCs w:val="24"/>
          <w:lang w:val="es-CO" w:eastAsia="es-ES_tradnl"/>
        </w:rPr>
      </w:pPr>
    </w:p>
    <w:p w:rsidR="00A3487C" w:rsidRDefault="001F168A">
      <w:pPr>
        <w:shd w:val="clear" w:color="auto" w:fill="FFFFFF"/>
        <w:spacing w:after="0"/>
        <w:jc w:val="both"/>
        <w:textAlignment w:val="baseline"/>
      </w:pPr>
      <w:r>
        <w:rPr>
          <w:rFonts w:ascii="Century Gothic" w:hAnsi="Century Gothic"/>
          <w:color w:val="000000"/>
          <w:sz w:val="24"/>
          <w:szCs w:val="24"/>
          <w:lang w:eastAsia="es-ES_tradnl"/>
        </w:rPr>
        <w:t>Finalmente, en cuanto a la Superintende</w:t>
      </w:r>
      <w:r w:rsidR="008A7E1F">
        <w:rPr>
          <w:rFonts w:ascii="Century Gothic" w:hAnsi="Century Gothic"/>
          <w:color w:val="000000"/>
          <w:sz w:val="24"/>
          <w:szCs w:val="24"/>
          <w:lang w:eastAsia="es-ES_tradnl"/>
        </w:rPr>
        <w:t>nci</w:t>
      </w:r>
      <w:r>
        <w:rPr>
          <w:rFonts w:ascii="Century Gothic" w:hAnsi="Century Gothic"/>
          <w:color w:val="000000"/>
          <w:sz w:val="24"/>
          <w:szCs w:val="24"/>
          <w:lang w:eastAsia="es-ES_tradnl"/>
        </w:rPr>
        <w:t>a Nacional de Salud, e</w:t>
      </w:r>
      <w:r>
        <w:rPr>
          <w:rFonts w:ascii="Century Gothic" w:hAnsi="Century Gothic" w:cs="Century Gothic"/>
          <w:color w:val="000000"/>
          <w:sz w:val="24"/>
          <w:szCs w:val="24"/>
          <w:lang w:eastAsia="es-ES_tradnl"/>
        </w:rPr>
        <w:t>n primer lugar, se debe precisar que, de conformidad con lo expuesto por la Corte Constitucional</w:t>
      </w:r>
      <w:r>
        <w:rPr>
          <w:rStyle w:val="Ancladenotaalpie"/>
          <w:rFonts w:ascii="Century Gothic" w:hAnsi="Century Gothic" w:cs="Century Gothic"/>
          <w:color w:val="000000"/>
          <w:sz w:val="24"/>
          <w:szCs w:val="24"/>
          <w:lang w:eastAsia="es-ES_tradnl"/>
        </w:rPr>
        <w:footnoteReference w:id="18"/>
      </w:r>
      <w:r>
        <w:rPr>
          <w:rFonts w:ascii="Century Gothic" w:hAnsi="Century Gothic" w:cs="Century Gothic"/>
          <w:color w:val="000000"/>
          <w:sz w:val="24"/>
          <w:szCs w:val="24"/>
          <w:lang w:eastAsia="es-ES_tradnl"/>
        </w:rPr>
        <w:t xml:space="preserve">, la legitimación </w:t>
      </w:r>
      <w:r w:rsidR="00241588">
        <w:rPr>
          <w:rFonts w:ascii="Century Gothic" w:hAnsi="Century Gothic" w:cs="Century Gothic"/>
          <w:color w:val="000000"/>
          <w:sz w:val="24"/>
          <w:szCs w:val="24"/>
          <w:lang w:eastAsia="es-ES_tradnl"/>
        </w:rPr>
        <w:t xml:space="preserve">por </w:t>
      </w:r>
      <w:r>
        <w:rPr>
          <w:rFonts w:ascii="Century Gothic" w:hAnsi="Century Gothic" w:cs="Century Gothic"/>
          <w:color w:val="000000"/>
          <w:sz w:val="24"/>
          <w:szCs w:val="24"/>
          <w:lang w:eastAsia="es-ES_tradnl"/>
        </w:rPr>
        <w:t>pasiva en la acción de tutela</w:t>
      </w:r>
      <w:r w:rsidR="00241588">
        <w:rPr>
          <w:rFonts w:ascii="Century Gothic" w:hAnsi="Century Gothic" w:cs="Century Gothic"/>
          <w:color w:val="000000"/>
          <w:sz w:val="24"/>
          <w:szCs w:val="24"/>
          <w:lang w:eastAsia="es-ES_tradnl"/>
        </w:rPr>
        <w:t>,</w:t>
      </w:r>
      <w:r>
        <w:rPr>
          <w:rFonts w:ascii="Century Gothic" w:hAnsi="Century Gothic" w:cs="Century Gothic"/>
          <w:color w:val="000000"/>
          <w:sz w:val="24"/>
          <w:szCs w:val="24"/>
          <w:lang w:eastAsia="es-ES_tradnl"/>
        </w:rPr>
        <w:t xml:space="preserve"> se refiere a la aptitud legal de </w:t>
      </w:r>
      <w:r>
        <w:rPr>
          <w:rFonts w:ascii="Century Gothic" w:hAnsi="Century Gothic" w:cs="Century Gothic"/>
          <w:color w:val="000000"/>
          <w:sz w:val="24"/>
          <w:szCs w:val="24"/>
          <w:lang w:val="es-CO" w:eastAsia="es-ES_tradnl"/>
        </w:rPr>
        <w:t>la persona contra quien se dirige la acción, de ser efectivamente la llamada a responder por la vulneración o amenaza del derecho fundamental, es decir, la calidad subjetiva de la parte demandada en relación con el interés sustancial que se</w:t>
      </w:r>
      <w:r w:rsidR="00241588">
        <w:rPr>
          <w:rFonts w:ascii="Century Gothic" w:hAnsi="Century Gothic" w:cs="Century Gothic"/>
          <w:color w:val="000000"/>
          <w:sz w:val="24"/>
          <w:szCs w:val="24"/>
          <w:lang w:val="es-CO" w:eastAsia="es-ES_tradnl"/>
        </w:rPr>
        <w:t xml:space="preserve"> discute en el proceso; la cual</w:t>
      </w:r>
      <w:r>
        <w:rPr>
          <w:rFonts w:ascii="Century Gothic" w:hAnsi="Century Gothic" w:cs="Century Gothic"/>
          <w:color w:val="000000"/>
          <w:sz w:val="24"/>
          <w:szCs w:val="24"/>
          <w:lang w:val="es-CO" w:eastAsia="es-ES_tradnl"/>
        </w:rPr>
        <w:t xml:space="preserve"> en principio, no se predica del funcionario que comparece o es citado al proceso, sino de la entidad accionada llamada a responder por la vulneración del derecho fundamental.</w:t>
      </w:r>
    </w:p>
    <w:p w:rsidR="00A3487C" w:rsidRDefault="00A3487C">
      <w:pPr>
        <w:shd w:val="clear" w:color="auto" w:fill="FFFFFF"/>
        <w:spacing w:after="0"/>
        <w:jc w:val="both"/>
        <w:textAlignment w:val="baseline"/>
        <w:rPr>
          <w:rFonts w:ascii="Century Gothic" w:hAnsi="Century Gothic" w:cs="Century Gothic"/>
          <w:color w:val="000000"/>
          <w:sz w:val="24"/>
          <w:szCs w:val="24"/>
          <w:lang w:val="es-CO" w:eastAsia="es-ES_tradnl"/>
        </w:rPr>
      </w:pPr>
    </w:p>
    <w:p w:rsidR="00A3487C" w:rsidRDefault="001F168A">
      <w:pPr>
        <w:shd w:val="clear" w:color="auto" w:fill="FFFFFF"/>
        <w:spacing w:after="0"/>
        <w:jc w:val="both"/>
        <w:textAlignment w:val="baseline"/>
      </w:pPr>
      <w:r>
        <w:rPr>
          <w:rFonts w:ascii="Century Gothic" w:hAnsi="Century Gothic"/>
          <w:color w:val="000000"/>
          <w:sz w:val="24"/>
          <w:szCs w:val="24"/>
          <w:lang w:eastAsia="es-ES_tradnl"/>
        </w:rPr>
        <w:t>Por lo tanto, en atención a que el derecho de petición fue radicado únicamente ante la Nueva EPS y ninguna de las pretensiones allí conten</w:t>
      </w:r>
      <w:r w:rsidR="0050642F">
        <w:rPr>
          <w:rFonts w:ascii="Century Gothic" w:hAnsi="Century Gothic"/>
          <w:color w:val="000000"/>
          <w:sz w:val="24"/>
          <w:szCs w:val="24"/>
          <w:lang w:eastAsia="es-ES_tradnl"/>
        </w:rPr>
        <w:t>i</w:t>
      </w:r>
      <w:r>
        <w:rPr>
          <w:rFonts w:ascii="Century Gothic" w:hAnsi="Century Gothic"/>
          <w:color w:val="000000"/>
          <w:sz w:val="24"/>
          <w:szCs w:val="24"/>
          <w:lang w:eastAsia="es-ES_tradnl"/>
        </w:rPr>
        <w:t>das se dirige a la Superintendencia Nacional de Salud, resulta claro, que dicha entidad carece de legi</w:t>
      </w:r>
      <w:r w:rsidR="0050642F">
        <w:rPr>
          <w:rFonts w:ascii="Century Gothic" w:hAnsi="Century Gothic"/>
          <w:color w:val="000000"/>
          <w:sz w:val="24"/>
          <w:szCs w:val="24"/>
          <w:lang w:eastAsia="es-ES_tradnl"/>
        </w:rPr>
        <w:t>ti</w:t>
      </w:r>
      <w:r>
        <w:rPr>
          <w:rFonts w:ascii="Century Gothic" w:hAnsi="Century Gothic"/>
          <w:color w:val="000000"/>
          <w:sz w:val="24"/>
          <w:szCs w:val="24"/>
          <w:lang w:eastAsia="es-ES_tradnl"/>
        </w:rPr>
        <w:t>mación en la causa por pasiva</w:t>
      </w:r>
      <w:r w:rsidR="0050642F">
        <w:rPr>
          <w:rFonts w:ascii="Century Gothic" w:hAnsi="Century Gothic"/>
          <w:color w:val="000000"/>
          <w:sz w:val="24"/>
          <w:szCs w:val="24"/>
          <w:lang w:eastAsia="es-ES_tradnl"/>
        </w:rPr>
        <w:t>,</w:t>
      </w:r>
      <w:r>
        <w:rPr>
          <w:rFonts w:ascii="Century Gothic" w:hAnsi="Century Gothic"/>
          <w:color w:val="000000"/>
          <w:sz w:val="24"/>
          <w:szCs w:val="24"/>
          <w:lang w:eastAsia="es-ES_tradnl"/>
        </w:rPr>
        <w:t xml:space="preserve"> pues no es la llamada a responder por la vulneración del derecho fu</w:t>
      </w:r>
      <w:r w:rsidR="0050642F">
        <w:rPr>
          <w:rFonts w:ascii="Century Gothic" w:hAnsi="Century Gothic"/>
          <w:color w:val="000000"/>
          <w:sz w:val="24"/>
          <w:szCs w:val="24"/>
          <w:lang w:eastAsia="es-ES_tradnl"/>
        </w:rPr>
        <w:t>n</w:t>
      </w:r>
      <w:r>
        <w:rPr>
          <w:rFonts w:ascii="Century Gothic" w:hAnsi="Century Gothic"/>
          <w:color w:val="000000"/>
          <w:sz w:val="24"/>
          <w:szCs w:val="24"/>
          <w:lang w:eastAsia="es-ES_tradnl"/>
        </w:rPr>
        <w:t xml:space="preserve">damental objeto de amparo. Además, a </w:t>
      </w:r>
      <w:r>
        <w:rPr>
          <w:rFonts w:ascii="Century Gothic" w:eastAsia="Calibri" w:hAnsi="Century Gothic"/>
          <w:color w:val="000000"/>
          <w:sz w:val="24"/>
          <w:szCs w:val="24"/>
          <w:lang w:eastAsia="es-ES_tradnl"/>
        </w:rPr>
        <w:t xml:space="preserve">quien le compete adelantar posibles procedimientos disciplinarios o sancionatorios por la falta de respuesta oportuna al derecho de petición, es a la autoridad disciplinaria a la cual al interior de la propia EPS se le haya delegado dicha función y/o a la </w:t>
      </w:r>
      <w:r w:rsidR="0050642F">
        <w:rPr>
          <w:rFonts w:ascii="Century Gothic" w:eastAsia="Calibri" w:hAnsi="Century Gothic"/>
          <w:color w:val="000000"/>
          <w:sz w:val="24"/>
          <w:szCs w:val="24"/>
          <w:lang w:eastAsia="es-ES_tradnl"/>
        </w:rPr>
        <w:t>Procuraduría</w:t>
      </w:r>
      <w:r>
        <w:rPr>
          <w:rFonts w:ascii="Century Gothic" w:eastAsia="Calibri" w:hAnsi="Century Gothic"/>
          <w:color w:val="000000"/>
          <w:sz w:val="24"/>
          <w:szCs w:val="24"/>
          <w:lang w:eastAsia="es-ES_tradnl"/>
        </w:rPr>
        <w:t xml:space="preserve"> General de la Nación cuando resulte procedente; y no a Superintendencia aquí a</w:t>
      </w:r>
      <w:r w:rsidR="0050642F">
        <w:rPr>
          <w:rFonts w:ascii="Century Gothic" w:eastAsia="Calibri" w:hAnsi="Century Gothic"/>
          <w:color w:val="000000"/>
          <w:sz w:val="24"/>
          <w:szCs w:val="24"/>
          <w:lang w:eastAsia="es-ES_tradnl"/>
        </w:rPr>
        <w:t>c</w:t>
      </w:r>
      <w:r>
        <w:rPr>
          <w:rFonts w:ascii="Century Gothic" w:eastAsia="Calibri" w:hAnsi="Century Gothic"/>
          <w:color w:val="000000"/>
          <w:sz w:val="24"/>
          <w:szCs w:val="24"/>
          <w:lang w:eastAsia="es-ES_tradnl"/>
        </w:rPr>
        <w:t xml:space="preserve">cionada. </w:t>
      </w:r>
    </w:p>
    <w:p w:rsidR="00A3487C" w:rsidRDefault="00A3487C">
      <w:pPr>
        <w:shd w:val="clear" w:color="auto" w:fill="FFFFFF"/>
        <w:spacing w:after="0"/>
        <w:jc w:val="both"/>
        <w:textAlignment w:val="baseline"/>
        <w:rPr>
          <w:rFonts w:ascii="Century Gothic" w:hAnsi="Century Gothic"/>
          <w:color w:val="000000"/>
          <w:sz w:val="24"/>
          <w:szCs w:val="24"/>
          <w:lang w:eastAsia="es-ES_tradnl"/>
        </w:rPr>
      </w:pPr>
    </w:p>
    <w:p w:rsidR="00A3487C" w:rsidRDefault="001F168A">
      <w:pPr>
        <w:shd w:val="clear" w:color="auto" w:fill="FFFFFF"/>
        <w:spacing w:after="0"/>
        <w:jc w:val="both"/>
        <w:textAlignment w:val="baseline"/>
      </w:pPr>
      <w:r>
        <w:rPr>
          <w:rFonts w:ascii="Century Gothic" w:eastAsia="Calibri" w:hAnsi="Century Gothic"/>
          <w:color w:val="000000"/>
          <w:sz w:val="24"/>
          <w:szCs w:val="24"/>
          <w:lang w:eastAsia="es-ES_tradnl"/>
        </w:rPr>
        <w:t>No obstante lo anterior, debe señalarse que dentro de las funciones de inspección, vigilancia y control que ejerce la Superintendencia Nacional de Salud, sobre las Entidades promotoras de Salud, se encuentra la de adelantar las investigaciones tendientes a determinar la ocurrencia de infracciones administrativas en materia de seguridad social, entre ellas, la referente al no reconocimiento, el reconocimiento inoportuno, el pago inoportuno o el no pago de las prestaciones económicas en el Sistema General de Seguridad Social en Salud</w:t>
      </w:r>
      <w:r>
        <w:rPr>
          <w:rStyle w:val="Ancladenotaalpie"/>
          <w:rFonts w:ascii="Century Gothic" w:eastAsia="Calibri" w:hAnsi="Century Gothic"/>
          <w:color w:val="000000"/>
          <w:sz w:val="24"/>
          <w:szCs w:val="24"/>
          <w:lang w:eastAsia="es-ES_tradnl"/>
        </w:rPr>
        <w:footnoteReference w:id="19"/>
      </w:r>
      <w:r>
        <w:rPr>
          <w:rFonts w:ascii="Century Gothic" w:eastAsia="Calibri" w:hAnsi="Century Gothic"/>
          <w:color w:val="000000"/>
          <w:sz w:val="24"/>
          <w:szCs w:val="24"/>
          <w:lang w:eastAsia="es-ES_tradnl"/>
        </w:rPr>
        <w:t xml:space="preserve">. </w:t>
      </w:r>
    </w:p>
    <w:p w:rsidR="00A3487C" w:rsidRDefault="00A3487C">
      <w:pPr>
        <w:shd w:val="clear" w:color="auto" w:fill="FFFFFF"/>
        <w:spacing w:after="0"/>
        <w:jc w:val="both"/>
        <w:textAlignment w:val="baseline"/>
        <w:rPr>
          <w:rFonts w:ascii="Century Gothic" w:eastAsia="Calibri" w:hAnsi="Century Gothic"/>
          <w:color w:val="000000"/>
          <w:sz w:val="24"/>
          <w:szCs w:val="24"/>
          <w:lang w:eastAsia="es-ES_tradnl"/>
        </w:rPr>
      </w:pPr>
    </w:p>
    <w:p w:rsidR="00A3487C" w:rsidRDefault="001F168A">
      <w:pPr>
        <w:shd w:val="clear" w:color="auto" w:fill="FFFFFF"/>
        <w:spacing w:after="0"/>
        <w:jc w:val="both"/>
        <w:textAlignment w:val="baseline"/>
      </w:pPr>
      <w:r>
        <w:rPr>
          <w:rFonts w:ascii="Century Gothic" w:eastAsia="Calibri" w:hAnsi="Century Gothic"/>
          <w:color w:val="000000"/>
          <w:sz w:val="24"/>
          <w:szCs w:val="24"/>
          <w:lang w:eastAsia="es-ES_tradnl"/>
        </w:rPr>
        <w:t>Por lo tanto, se compulsará copia de la presente acción constitucional a dicha entidad, para que de considerarlo pertinente, adela</w:t>
      </w:r>
      <w:r w:rsidR="0050642F">
        <w:rPr>
          <w:rFonts w:ascii="Century Gothic" w:eastAsia="Calibri" w:hAnsi="Century Gothic"/>
          <w:color w:val="000000"/>
          <w:sz w:val="24"/>
          <w:szCs w:val="24"/>
          <w:lang w:eastAsia="es-ES_tradnl"/>
        </w:rPr>
        <w:t>n</w:t>
      </w:r>
      <w:r>
        <w:rPr>
          <w:rFonts w:ascii="Century Gothic" w:eastAsia="Calibri" w:hAnsi="Century Gothic"/>
          <w:color w:val="000000"/>
          <w:sz w:val="24"/>
          <w:szCs w:val="24"/>
          <w:lang w:eastAsia="es-ES_tradnl"/>
        </w:rPr>
        <w:t xml:space="preserve">te las actuaciones administrativas a que </w:t>
      </w:r>
      <w:r w:rsidR="0050642F">
        <w:rPr>
          <w:rFonts w:ascii="Century Gothic" w:eastAsia="Calibri" w:hAnsi="Century Gothic"/>
          <w:color w:val="000000"/>
          <w:sz w:val="24"/>
          <w:szCs w:val="24"/>
          <w:lang w:eastAsia="es-ES_tradnl"/>
        </w:rPr>
        <w:t>hubiese</w:t>
      </w:r>
      <w:r>
        <w:rPr>
          <w:rFonts w:ascii="Century Gothic" w:eastAsia="Calibri" w:hAnsi="Century Gothic"/>
          <w:color w:val="000000"/>
          <w:sz w:val="24"/>
          <w:szCs w:val="24"/>
          <w:lang w:eastAsia="es-ES_tradnl"/>
        </w:rPr>
        <w:t xml:space="preserve"> lugar.</w:t>
      </w:r>
    </w:p>
    <w:p w:rsidR="00A3487C" w:rsidRPr="0050642F" w:rsidRDefault="00A3487C">
      <w:pPr>
        <w:shd w:val="clear" w:color="auto" w:fill="FFFFFF"/>
        <w:spacing w:after="0"/>
        <w:jc w:val="both"/>
        <w:textAlignment w:val="baseline"/>
        <w:rPr>
          <w:rFonts w:ascii="Century Gothic" w:hAnsi="Century Gothic" w:cs="Arial"/>
          <w:spacing w:val="-3"/>
          <w:sz w:val="24"/>
          <w:szCs w:val="24"/>
        </w:rPr>
      </w:pPr>
    </w:p>
    <w:p w:rsidR="00A3487C" w:rsidRDefault="001F168A">
      <w:pPr>
        <w:spacing w:after="0"/>
        <w:jc w:val="both"/>
        <w:rPr>
          <w:rFonts w:ascii="Century Gothic" w:hAnsi="Century Gothic" w:cs="Arial"/>
          <w:color w:val="000000" w:themeColor="text1"/>
          <w:sz w:val="24"/>
          <w:szCs w:val="24"/>
        </w:rPr>
      </w:pPr>
      <w:r>
        <w:rPr>
          <w:rFonts w:ascii="Century Gothic" w:hAnsi="Century Gothic" w:cs="Arial"/>
          <w:color w:val="000000" w:themeColor="text1"/>
          <w:sz w:val="24"/>
          <w:szCs w:val="24"/>
        </w:rPr>
        <w:t>En mérito de lo expuesto, el Juzgado Tercero Administrativo del Circuito Judicial de Bogotá, administrando justicia en nombre de la República y por autoridad de la Ley.</w:t>
      </w:r>
    </w:p>
    <w:p w:rsidR="00A3487C" w:rsidRDefault="00A3487C">
      <w:pPr>
        <w:pStyle w:val="Sinespaciado1"/>
      </w:pPr>
    </w:p>
    <w:p w:rsidR="00A3487C" w:rsidRDefault="001F168A">
      <w:pPr>
        <w:spacing w:after="0"/>
        <w:jc w:val="center"/>
        <w:rPr>
          <w:rFonts w:ascii="Century Gothic" w:hAnsi="Century Gothic" w:cs="Arial"/>
          <w:b/>
          <w:color w:val="000000" w:themeColor="text1"/>
          <w:sz w:val="24"/>
          <w:szCs w:val="24"/>
        </w:rPr>
      </w:pPr>
      <w:r>
        <w:rPr>
          <w:rFonts w:ascii="Century Gothic" w:hAnsi="Century Gothic" w:cs="Arial"/>
          <w:b/>
          <w:color w:val="000000" w:themeColor="text1"/>
          <w:sz w:val="24"/>
          <w:szCs w:val="24"/>
        </w:rPr>
        <w:t>FALLA</w:t>
      </w:r>
    </w:p>
    <w:p w:rsidR="00A3487C" w:rsidRDefault="00A3487C">
      <w:pPr>
        <w:pStyle w:val="Sinespaciado1"/>
      </w:pPr>
    </w:p>
    <w:p w:rsidR="00A3487C" w:rsidRDefault="001F168A">
      <w:pPr>
        <w:spacing w:after="0"/>
        <w:jc w:val="both"/>
      </w:pPr>
      <w:r>
        <w:rPr>
          <w:rFonts w:ascii="Century Gothic" w:hAnsi="Century Gothic" w:cs="Arial"/>
          <w:b/>
          <w:color w:val="000000" w:themeColor="text1"/>
          <w:sz w:val="24"/>
          <w:szCs w:val="24"/>
        </w:rPr>
        <w:t xml:space="preserve">PRIMERO. </w:t>
      </w:r>
      <w:r>
        <w:rPr>
          <w:rFonts w:ascii="Century Gothic" w:hAnsi="Century Gothic" w:cs="Arial"/>
          <w:b/>
          <w:bCs/>
          <w:color w:val="000000" w:themeColor="text1"/>
          <w:sz w:val="24"/>
          <w:szCs w:val="24"/>
        </w:rPr>
        <w:t xml:space="preserve">DECLARAR </w:t>
      </w:r>
      <w:r>
        <w:rPr>
          <w:rFonts w:ascii="Century Gothic" w:hAnsi="Century Gothic" w:cs="Arial"/>
          <w:color w:val="000000" w:themeColor="text1"/>
          <w:sz w:val="24"/>
          <w:szCs w:val="24"/>
        </w:rPr>
        <w:t>la falta de legitimación en la ca</w:t>
      </w:r>
      <w:r w:rsidR="002718AA">
        <w:rPr>
          <w:rFonts w:ascii="Century Gothic" w:hAnsi="Century Gothic" w:cs="Arial"/>
          <w:color w:val="000000" w:themeColor="text1"/>
          <w:sz w:val="24"/>
          <w:szCs w:val="24"/>
        </w:rPr>
        <w:t>u</w:t>
      </w:r>
      <w:r>
        <w:rPr>
          <w:rFonts w:ascii="Century Gothic" w:hAnsi="Century Gothic" w:cs="Arial"/>
          <w:color w:val="000000" w:themeColor="text1"/>
          <w:sz w:val="24"/>
          <w:szCs w:val="24"/>
        </w:rPr>
        <w:t>sa por activa de la empresa Tu Recobro S.A.S., para agenciar derechos de un tercero, sociedad Greenex S.A.S., conforme lo expuesto en la parte motiva.</w:t>
      </w:r>
    </w:p>
    <w:p w:rsidR="00A3487C" w:rsidRDefault="00A3487C">
      <w:pPr>
        <w:spacing w:after="0"/>
        <w:jc w:val="both"/>
        <w:rPr>
          <w:rFonts w:ascii="Century Gothic" w:hAnsi="Century Gothic" w:cs="Arial"/>
          <w:color w:val="000000" w:themeColor="text1"/>
          <w:sz w:val="24"/>
          <w:szCs w:val="24"/>
        </w:rPr>
      </w:pPr>
    </w:p>
    <w:p w:rsidR="00A3487C" w:rsidRDefault="001F168A">
      <w:pPr>
        <w:spacing w:after="0"/>
        <w:jc w:val="both"/>
      </w:pPr>
      <w:r>
        <w:rPr>
          <w:rFonts w:ascii="Century Gothic" w:hAnsi="Century Gothic" w:cs="Arial"/>
          <w:b/>
          <w:bCs/>
          <w:color w:val="000000" w:themeColor="text1"/>
          <w:sz w:val="24"/>
          <w:szCs w:val="24"/>
        </w:rPr>
        <w:t xml:space="preserve">SEGUNDO. </w:t>
      </w:r>
      <w:r>
        <w:rPr>
          <w:rFonts w:ascii="Century Gothic" w:hAnsi="Century Gothic" w:cs="Arial"/>
          <w:b/>
          <w:sz w:val="24"/>
          <w:szCs w:val="24"/>
        </w:rPr>
        <w:t>AMPARAR</w:t>
      </w:r>
      <w:r>
        <w:rPr>
          <w:rFonts w:ascii="Century Gothic" w:hAnsi="Century Gothic" w:cs="Arial"/>
          <w:sz w:val="24"/>
          <w:szCs w:val="24"/>
        </w:rPr>
        <w:t xml:space="preserve"> el derecho fundamental de</w:t>
      </w:r>
      <w:r w:rsidR="008D7784">
        <w:rPr>
          <w:rFonts w:ascii="Century Gothic" w:hAnsi="Century Gothic" w:cs="Arial"/>
          <w:sz w:val="24"/>
          <w:szCs w:val="24"/>
        </w:rPr>
        <w:t xml:space="preserve"> petición de la sociedad Tu Reco</w:t>
      </w:r>
      <w:r>
        <w:rPr>
          <w:rFonts w:ascii="Century Gothic" w:hAnsi="Century Gothic" w:cs="Arial"/>
          <w:sz w:val="24"/>
          <w:szCs w:val="24"/>
        </w:rPr>
        <w:t>bro S.A.S., con NIT</w:t>
      </w:r>
      <w:r>
        <w:rPr>
          <w:rFonts w:ascii="Century Gothic" w:eastAsia="Times New Roman" w:hAnsi="Century Gothic" w:cs="Arial"/>
          <w:sz w:val="24"/>
          <w:szCs w:val="24"/>
          <w:lang w:eastAsia="es-ES"/>
        </w:rPr>
        <w:t xml:space="preserve"> 901.007661-9, </w:t>
      </w:r>
      <w:r>
        <w:rPr>
          <w:rFonts w:ascii="Century Gothic" w:hAnsi="Century Gothic" w:cs="Arial"/>
          <w:sz w:val="24"/>
          <w:szCs w:val="24"/>
        </w:rPr>
        <w:t>en consecuencia,</w:t>
      </w:r>
    </w:p>
    <w:p w:rsidR="00A3487C" w:rsidRDefault="00A3487C">
      <w:pPr>
        <w:pStyle w:val="Sinespaciado1"/>
      </w:pPr>
    </w:p>
    <w:p w:rsidR="00A3487C" w:rsidRDefault="001F168A">
      <w:pPr>
        <w:spacing w:after="0"/>
        <w:jc w:val="both"/>
      </w:pPr>
      <w:r>
        <w:rPr>
          <w:rFonts w:ascii="Century Gothic" w:eastAsia="Calibri" w:hAnsi="Century Gothic" w:cs="Arial"/>
          <w:b/>
          <w:color w:val="000000" w:themeColor="text1"/>
          <w:sz w:val="24"/>
          <w:szCs w:val="24"/>
        </w:rPr>
        <w:t>TERCERO</w:t>
      </w:r>
      <w:r>
        <w:rPr>
          <w:rFonts w:ascii="Century Gothic" w:hAnsi="Century Gothic" w:cs="Arial"/>
          <w:b/>
          <w:color w:val="000000" w:themeColor="text1"/>
          <w:sz w:val="24"/>
          <w:szCs w:val="24"/>
        </w:rPr>
        <w:t xml:space="preserve">. </w:t>
      </w:r>
      <w:r>
        <w:rPr>
          <w:rFonts w:ascii="Century Gothic" w:hAnsi="Century Gothic" w:cs="Arial"/>
          <w:b/>
          <w:sz w:val="24"/>
          <w:szCs w:val="24"/>
        </w:rPr>
        <w:t>ORDENAR</w:t>
      </w:r>
      <w:r>
        <w:rPr>
          <w:rFonts w:ascii="Century Gothic" w:hAnsi="Century Gothic" w:cs="Arial"/>
          <w:sz w:val="24"/>
          <w:szCs w:val="24"/>
        </w:rPr>
        <w:t xml:space="preserve"> al </w:t>
      </w:r>
      <w:r w:rsidR="008D7784">
        <w:rPr>
          <w:rFonts w:ascii="Century Gothic" w:hAnsi="Century Gothic" w:cs="Arial"/>
          <w:b/>
          <w:sz w:val="24"/>
          <w:szCs w:val="24"/>
        </w:rPr>
        <w:t xml:space="preserve">Presidente de la NUEVA EPS </w:t>
      </w:r>
      <w:r w:rsidR="008D7784">
        <w:rPr>
          <w:rFonts w:ascii="Century Gothic" w:hAnsi="Century Gothic" w:cs="Arial"/>
          <w:color w:val="000000"/>
          <w:sz w:val="24"/>
          <w:szCs w:val="24"/>
          <w:lang w:val="es-CO"/>
        </w:rPr>
        <w:t>para que directamente o a través del</w:t>
      </w:r>
      <w:r w:rsidR="008D7784">
        <w:rPr>
          <w:rFonts w:ascii="Century Gothic" w:hAnsi="Century Gothic" w:cs="Arial"/>
          <w:b/>
          <w:sz w:val="24"/>
          <w:szCs w:val="24"/>
        </w:rPr>
        <w:t xml:space="preserve"> </w:t>
      </w:r>
      <w:r>
        <w:rPr>
          <w:rFonts w:ascii="Century Gothic" w:hAnsi="Century Gothic" w:cs="Arial"/>
          <w:b/>
          <w:bCs/>
          <w:color w:val="000000"/>
          <w:sz w:val="24"/>
          <w:szCs w:val="24"/>
          <w:lang w:val="es-CO"/>
        </w:rPr>
        <w:t>gerente de recaudo y compensación de la Nueva EPS</w:t>
      </w:r>
      <w:r>
        <w:rPr>
          <w:rFonts w:ascii="Century Gothic" w:hAnsi="Century Gothic" w:cs="Arial"/>
          <w:color w:val="000000"/>
          <w:sz w:val="24"/>
          <w:szCs w:val="24"/>
          <w:lang w:val="es-CO"/>
        </w:rPr>
        <w:t xml:space="preserve">, </w:t>
      </w:r>
      <w:r w:rsidR="008D7784">
        <w:rPr>
          <w:rFonts w:ascii="Century Gothic" w:hAnsi="Century Gothic" w:cs="Arial"/>
          <w:color w:val="000000"/>
          <w:sz w:val="24"/>
          <w:szCs w:val="24"/>
          <w:lang w:val="es-CO"/>
        </w:rPr>
        <w:t xml:space="preserve">y/o </w:t>
      </w:r>
      <w:r>
        <w:rPr>
          <w:rFonts w:ascii="Century Gothic" w:hAnsi="Century Gothic" w:cs="Arial"/>
          <w:color w:val="000000"/>
          <w:sz w:val="24"/>
          <w:szCs w:val="24"/>
          <w:lang w:val="es-CO"/>
        </w:rPr>
        <w:t xml:space="preserve">el </w:t>
      </w:r>
      <w:r>
        <w:rPr>
          <w:rFonts w:ascii="Century Gothic" w:hAnsi="Century Gothic" w:cs="Arial"/>
          <w:b/>
          <w:bCs/>
          <w:color w:val="000000"/>
          <w:sz w:val="24"/>
          <w:szCs w:val="24"/>
          <w:lang w:val="es-CO"/>
        </w:rPr>
        <w:t>director de prestaciones económicas de la misma entidad</w:t>
      </w:r>
      <w:r>
        <w:rPr>
          <w:rFonts w:ascii="Century Gothic" w:hAnsi="Century Gothic" w:cs="Arial"/>
          <w:color w:val="000000"/>
          <w:sz w:val="24"/>
          <w:szCs w:val="24"/>
          <w:lang w:val="es-CO"/>
        </w:rPr>
        <w:t xml:space="preserve">, en el término de cuarenta y ocho (48) horas siguientes a la notificación de este fallo, </w:t>
      </w:r>
      <w:bookmarkStart w:id="2" w:name="__DdeLink__687_940538151"/>
      <w:r>
        <w:rPr>
          <w:rFonts w:ascii="Century Gothic" w:hAnsi="Century Gothic" w:cs="Arial"/>
          <w:sz w:val="24"/>
          <w:szCs w:val="24"/>
          <w:lang w:val="es-CO"/>
        </w:rPr>
        <w:t>d</w:t>
      </w:r>
      <w:bookmarkEnd w:id="2"/>
      <w:r>
        <w:rPr>
          <w:rFonts w:ascii="Century Gothic" w:hAnsi="Century Gothic" w:cs="Arial"/>
          <w:sz w:val="24"/>
          <w:szCs w:val="24"/>
          <w:lang w:val="es-CO"/>
        </w:rPr>
        <w:t xml:space="preserve">e respuesta de fondo a la petición radicada por la empresa Tu Recobro S.A.S. el </w:t>
      </w:r>
      <w:r w:rsidR="008D7784">
        <w:rPr>
          <w:rFonts w:ascii="Century Gothic" w:hAnsi="Century Gothic" w:cs="Arial"/>
          <w:sz w:val="24"/>
          <w:szCs w:val="24"/>
          <w:lang w:val="es-CO"/>
        </w:rPr>
        <w:t>11</w:t>
      </w:r>
      <w:r>
        <w:rPr>
          <w:rFonts w:ascii="Century Gothic" w:hAnsi="Century Gothic" w:cs="Arial"/>
          <w:sz w:val="24"/>
          <w:szCs w:val="24"/>
          <w:lang w:val="es-CO"/>
        </w:rPr>
        <w:t xml:space="preserve"> de febrero de 2020, especialmente en lo relativo a: i) la solicitud de</w:t>
      </w:r>
      <w:r>
        <w:rPr>
          <w:rFonts w:ascii="Century Gothic" w:eastAsia="Calibri" w:hAnsi="Century Gothic" w:cs="Arial"/>
          <w:color w:val="000000" w:themeColor="text1"/>
          <w:sz w:val="24"/>
          <w:szCs w:val="24"/>
          <w:highlight w:val="white"/>
          <w:lang w:val="es-CO" w:eastAsia="es-ES"/>
        </w:rPr>
        <w:t xml:space="preserve"> pago en favor de Greenex S.A.S. (reintegro), por concepto de prestaciones económicas reconocidas y liquidadas por la entidad prestadora de salud, relativas a licencia de maternidad e incapacidades de alguno de sus trabajadores; ii) solicitud de pago de intereses moratorios por haberse vencido el plazo definido en la Ley para e</w:t>
      </w:r>
      <w:r w:rsidR="008D7784">
        <w:rPr>
          <w:rFonts w:ascii="Century Gothic" w:eastAsia="Calibri" w:hAnsi="Century Gothic" w:cs="Arial"/>
          <w:color w:val="000000" w:themeColor="text1"/>
          <w:sz w:val="24"/>
          <w:szCs w:val="24"/>
          <w:highlight w:val="white"/>
          <w:lang w:val="es-CO" w:eastAsia="es-ES"/>
        </w:rPr>
        <w:t>l pago de dichas prestaciones; e</w:t>
      </w:r>
      <w:r>
        <w:rPr>
          <w:rFonts w:ascii="Century Gothic" w:eastAsia="Calibri" w:hAnsi="Century Gothic" w:cs="Arial"/>
          <w:color w:val="000000" w:themeColor="text1"/>
          <w:sz w:val="24"/>
          <w:szCs w:val="24"/>
          <w:highlight w:val="white"/>
          <w:lang w:val="es-CO" w:eastAsia="es-ES"/>
        </w:rPr>
        <w:t xml:space="preserve"> ii) informar fecha de pago y valor a pagar</w:t>
      </w:r>
      <w:r>
        <w:rPr>
          <w:rFonts w:ascii="Century Gothic" w:hAnsi="Century Gothic" w:cs="Arial"/>
          <w:sz w:val="24"/>
          <w:szCs w:val="24"/>
          <w:lang w:val="es-CO"/>
        </w:rPr>
        <w:t>, por lo expuesto en la parte motiva.</w:t>
      </w:r>
    </w:p>
    <w:p w:rsidR="00A3487C" w:rsidRDefault="00A3487C">
      <w:pPr>
        <w:pStyle w:val="Sinespaciado"/>
        <w:rPr>
          <w:sz w:val="16"/>
          <w:szCs w:val="16"/>
        </w:rPr>
      </w:pPr>
    </w:p>
    <w:p w:rsidR="00A3487C" w:rsidRDefault="001F168A">
      <w:pPr>
        <w:spacing w:after="0"/>
        <w:jc w:val="both"/>
        <w:rPr>
          <w:rFonts w:ascii="Century Gothic" w:hAnsi="Century Gothic" w:cs="Arial"/>
          <w:sz w:val="24"/>
          <w:szCs w:val="24"/>
        </w:rPr>
      </w:pPr>
      <w:r>
        <w:rPr>
          <w:rFonts w:ascii="Century Gothic" w:hAnsi="Century Gothic" w:cs="Arial"/>
          <w:sz w:val="24"/>
          <w:szCs w:val="24"/>
        </w:rPr>
        <w:t>Cumplido lo anterior, deberá remitir copia de las respectivas constancias a este Despacho, con el fin de verificar la satisfacción de lo ordenado.</w:t>
      </w:r>
    </w:p>
    <w:p w:rsidR="00A3487C" w:rsidRDefault="00A3487C">
      <w:pPr>
        <w:pStyle w:val="Sinespaciado1"/>
      </w:pPr>
    </w:p>
    <w:p w:rsidR="00A3487C" w:rsidRDefault="001F168A">
      <w:pPr>
        <w:spacing w:after="0"/>
        <w:jc w:val="both"/>
        <w:rPr>
          <w:color w:val="2D2D2D"/>
          <w:sz w:val="28"/>
          <w:szCs w:val="28"/>
          <w:highlight w:val="white"/>
        </w:rPr>
      </w:pPr>
      <w:r>
        <w:rPr>
          <w:rFonts w:ascii="Century Gothic" w:eastAsia="Calibri" w:hAnsi="Century Gothic" w:cs="Arial"/>
          <w:b/>
          <w:color w:val="000000" w:themeColor="text1"/>
          <w:sz w:val="24"/>
          <w:szCs w:val="24"/>
        </w:rPr>
        <w:t>CUARTO</w:t>
      </w:r>
      <w:r>
        <w:rPr>
          <w:rFonts w:ascii="Century Gothic" w:hAnsi="Century Gothic" w:cs="Arial"/>
          <w:b/>
          <w:color w:val="000000" w:themeColor="text1"/>
          <w:sz w:val="24"/>
          <w:szCs w:val="24"/>
        </w:rPr>
        <w:t xml:space="preserve">. </w:t>
      </w:r>
      <w:r>
        <w:rPr>
          <w:rFonts w:ascii="Century Gothic" w:hAnsi="Century Gothic" w:cs="Arial"/>
          <w:b/>
          <w:bCs/>
          <w:color w:val="000000"/>
          <w:spacing w:val="-3"/>
          <w:sz w:val="24"/>
          <w:szCs w:val="24"/>
        </w:rPr>
        <w:t xml:space="preserve">DECLARAR </w:t>
      </w:r>
      <w:r>
        <w:rPr>
          <w:rFonts w:ascii="Century Gothic" w:hAnsi="Century Gothic" w:cs="Arial"/>
          <w:color w:val="000000"/>
          <w:spacing w:val="-3"/>
          <w:sz w:val="24"/>
          <w:szCs w:val="24"/>
        </w:rPr>
        <w:t xml:space="preserve">improcedente la presente acción de tutela, respecto de los derechos fundamentales al </w:t>
      </w:r>
      <w:r w:rsidR="008D7784">
        <w:rPr>
          <w:rFonts w:ascii="Century Gothic" w:hAnsi="Century Gothic" w:cs="Arial"/>
          <w:color w:val="000000"/>
          <w:spacing w:val="-3"/>
          <w:sz w:val="24"/>
          <w:szCs w:val="24"/>
        </w:rPr>
        <w:t>mínimo</w:t>
      </w:r>
      <w:r>
        <w:rPr>
          <w:rFonts w:ascii="Century Gothic" w:hAnsi="Century Gothic" w:cs="Arial"/>
          <w:color w:val="000000"/>
          <w:spacing w:val="-3"/>
          <w:sz w:val="24"/>
          <w:szCs w:val="24"/>
        </w:rPr>
        <w:t xml:space="preserve"> vital y seguridad social, por las razones expuestas en la parte motiva de esta providencia</w:t>
      </w:r>
      <w:r>
        <w:rPr>
          <w:rFonts w:ascii="Century Gothic" w:hAnsi="Century Gothic" w:cs="Arial"/>
          <w:color w:val="000000"/>
          <w:sz w:val="24"/>
          <w:szCs w:val="24"/>
        </w:rPr>
        <w:t>.</w:t>
      </w:r>
    </w:p>
    <w:p w:rsidR="00A3487C" w:rsidRDefault="00A3487C">
      <w:pPr>
        <w:spacing w:after="0"/>
        <w:jc w:val="both"/>
        <w:rPr>
          <w:color w:val="2D2D2D"/>
          <w:sz w:val="28"/>
          <w:szCs w:val="28"/>
          <w:highlight w:val="white"/>
        </w:rPr>
      </w:pPr>
    </w:p>
    <w:p w:rsidR="00A3487C" w:rsidRDefault="001F168A">
      <w:pPr>
        <w:spacing w:after="0"/>
        <w:jc w:val="both"/>
        <w:rPr>
          <w:color w:val="2D2D2D"/>
          <w:sz w:val="28"/>
          <w:szCs w:val="28"/>
          <w:highlight w:val="white"/>
        </w:rPr>
      </w:pPr>
      <w:r>
        <w:rPr>
          <w:rFonts w:ascii="Century Gothic" w:hAnsi="Century Gothic" w:cs="Arial"/>
          <w:b/>
          <w:bCs/>
          <w:color w:val="000000"/>
          <w:sz w:val="24"/>
          <w:szCs w:val="24"/>
          <w:lang w:val="es-CO"/>
        </w:rPr>
        <w:t xml:space="preserve">QUINTO. DECLARAR </w:t>
      </w:r>
      <w:r>
        <w:rPr>
          <w:rFonts w:ascii="Century Gothic" w:hAnsi="Century Gothic" w:cs="Arial"/>
          <w:color w:val="000000"/>
          <w:sz w:val="24"/>
          <w:szCs w:val="24"/>
          <w:lang w:val="es-CO"/>
        </w:rPr>
        <w:t>la falta de legitimación en la causa por pasiva de la Superintendencia Nacional de Salud, por las razones expuestas.</w:t>
      </w:r>
    </w:p>
    <w:p w:rsidR="00A3487C" w:rsidRDefault="00A3487C">
      <w:pPr>
        <w:spacing w:after="0"/>
        <w:jc w:val="both"/>
        <w:rPr>
          <w:color w:val="2D2D2D"/>
          <w:sz w:val="28"/>
          <w:szCs w:val="28"/>
          <w:highlight w:val="white"/>
        </w:rPr>
      </w:pPr>
    </w:p>
    <w:p w:rsidR="00A3487C" w:rsidRDefault="001F168A">
      <w:pPr>
        <w:spacing w:after="0"/>
        <w:jc w:val="both"/>
        <w:rPr>
          <w:color w:val="2D2D2D"/>
          <w:sz w:val="28"/>
          <w:szCs w:val="28"/>
          <w:highlight w:val="white"/>
        </w:rPr>
      </w:pPr>
      <w:r>
        <w:rPr>
          <w:rFonts w:ascii="Century Gothic" w:eastAsia="Calibri" w:hAnsi="Century Gothic"/>
          <w:b/>
          <w:bCs/>
          <w:color w:val="000000"/>
          <w:sz w:val="24"/>
          <w:szCs w:val="24"/>
          <w:shd w:val="clear" w:color="auto" w:fill="FFFFFF"/>
        </w:rPr>
        <w:t>SEXTO</w:t>
      </w:r>
      <w:r>
        <w:rPr>
          <w:rFonts w:ascii="Century Gothic" w:eastAsia="Calibri" w:hAnsi="Century Gothic"/>
          <w:b/>
          <w:bCs/>
          <w:color w:val="2D2D2D"/>
          <w:sz w:val="28"/>
          <w:szCs w:val="28"/>
          <w:shd w:val="clear" w:color="auto" w:fill="FFFFFF"/>
          <w:lang w:eastAsia="es-ES_tradnl"/>
        </w:rPr>
        <w:t xml:space="preserve">. </w:t>
      </w:r>
      <w:r>
        <w:rPr>
          <w:rFonts w:ascii="Century Gothic" w:eastAsia="Calibri" w:hAnsi="Century Gothic"/>
          <w:b/>
          <w:bCs/>
          <w:color w:val="000000"/>
          <w:sz w:val="24"/>
          <w:szCs w:val="24"/>
          <w:lang w:eastAsia="es-ES_tradnl"/>
        </w:rPr>
        <w:t xml:space="preserve">COMPULSAR </w:t>
      </w:r>
      <w:r>
        <w:rPr>
          <w:rFonts w:ascii="Century Gothic" w:eastAsia="Calibri" w:hAnsi="Century Gothic"/>
          <w:color w:val="000000"/>
          <w:sz w:val="24"/>
          <w:szCs w:val="24"/>
          <w:lang w:eastAsia="es-ES_tradnl"/>
        </w:rPr>
        <w:t>copia de la presente acción constitucional a la Superintendencia Nacional de Salud, para que de considerarlo pertinente, adela</w:t>
      </w:r>
      <w:r w:rsidR="008D7784">
        <w:rPr>
          <w:rFonts w:ascii="Century Gothic" w:eastAsia="Calibri" w:hAnsi="Century Gothic"/>
          <w:color w:val="000000"/>
          <w:sz w:val="24"/>
          <w:szCs w:val="24"/>
          <w:lang w:eastAsia="es-ES_tradnl"/>
        </w:rPr>
        <w:t>n</w:t>
      </w:r>
      <w:r>
        <w:rPr>
          <w:rFonts w:ascii="Century Gothic" w:eastAsia="Calibri" w:hAnsi="Century Gothic"/>
          <w:color w:val="000000"/>
          <w:sz w:val="24"/>
          <w:szCs w:val="24"/>
          <w:lang w:eastAsia="es-ES_tradnl"/>
        </w:rPr>
        <w:t>te las actuaciones administrativas a que haya lugar, conforme lo expuesto.</w:t>
      </w:r>
    </w:p>
    <w:p w:rsidR="00A3487C" w:rsidRDefault="00A3487C">
      <w:pPr>
        <w:spacing w:after="0"/>
        <w:jc w:val="both"/>
        <w:rPr>
          <w:color w:val="2D2D2D"/>
          <w:sz w:val="28"/>
          <w:szCs w:val="28"/>
          <w:highlight w:val="white"/>
        </w:rPr>
      </w:pPr>
    </w:p>
    <w:p w:rsidR="00A3487C" w:rsidRDefault="001F168A">
      <w:pPr>
        <w:spacing w:after="0"/>
        <w:jc w:val="both"/>
        <w:rPr>
          <w:color w:val="2D2D2D"/>
          <w:sz w:val="28"/>
          <w:szCs w:val="28"/>
          <w:highlight w:val="white"/>
        </w:rPr>
      </w:pPr>
      <w:r>
        <w:rPr>
          <w:rFonts w:ascii="Century Gothic" w:eastAsia="Calibri" w:hAnsi="Century Gothic"/>
          <w:b/>
          <w:bCs/>
          <w:color w:val="000000"/>
          <w:sz w:val="24"/>
          <w:szCs w:val="24"/>
          <w:lang w:eastAsia="es-ES_tradnl"/>
        </w:rPr>
        <w:t xml:space="preserve">SÉPTIMO. </w:t>
      </w:r>
      <w:r>
        <w:rPr>
          <w:rFonts w:ascii="Century Gothic" w:hAnsi="Century Gothic" w:cs="Arial"/>
          <w:b/>
          <w:bCs/>
          <w:color w:val="000000" w:themeColor="text1"/>
          <w:sz w:val="24"/>
          <w:szCs w:val="24"/>
          <w:lang w:val="es-CO"/>
        </w:rPr>
        <w:t>Notifica</w:t>
      </w:r>
      <w:r w:rsidR="008D7784">
        <w:rPr>
          <w:rFonts w:ascii="Century Gothic" w:hAnsi="Century Gothic" w:cs="Arial"/>
          <w:b/>
          <w:bCs/>
          <w:color w:val="000000" w:themeColor="text1"/>
          <w:sz w:val="24"/>
          <w:szCs w:val="24"/>
          <w:lang w:val="es-CO"/>
        </w:rPr>
        <w:t>r</w:t>
      </w:r>
      <w:r>
        <w:rPr>
          <w:rFonts w:ascii="Century Gothic" w:hAnsi="Century Gothic" w:cs="Arial"/>
          <w:b/>
          <w:color w:val="000000" w:themeColor="text1"/>
          <w:sz w:val="24"/>
          <w:szCs w:val="24"/>
          <w:lang w:val="es-CO"/>
        </w:rPr>
        <w:t xml:space="preserve"> </w:t>
      </w:r>
      <w:r>
        <w:rPr>
          <w:rFonts w:ascii="Century Gothic" w:hAnsi="Century Gothic" w:cs="Arial"/>
          <w:color w:val="000000" w:themeColor="text1"/>
          <w:sz w:val="24"/>
          <w:szCs w:val="24"/>
          <w:lang w:val="es-CO"/>
        </w:rPr>
        <w:t>la presente decisión, a las partes, por el medio más expedito y eficaz, conforme lo dispone el artículo 30 del Decreto 2591 de 1991.</w:t>
      </w:r>
    </w:p>
    <w:p w:rsidR="00A3487C" w:rsidRDefault="00A3487C">
      <w:pPr>
        <w:pStyle w:val="Sinespaciado1"/>
        <w:rPr>
          <w:highlight w:val="white"/>
        </w:rPr>
      </w:pPr>
    </w:p>
    <w:p w:rsidR="00A3487C" w:rsidRDefault="001F168A">
      <w:pPr>
        <w:spacing w:after="0"/>
        <w:jc w:val="both"/>
        <w:rPr>
          <w:rFonts w:ascii="Century Gothic" w:hAnsi="Century Gothic" w:cs="Arial"/>
          <w:color w:val="000000" w:themeColor="text1"/>
          <w:sz w:val="24"/>
          <w:szCs w:val="24"/>
        </w:rPr>
      </w:pPr>
      <w:r>
        <w:rPr>
          <w:rFonts w:ascii="Century Gothic" w:eastAsia="Calibri" w:hAnsi="Century Gothic"/>
          <w:b/>
          <w:color w:val="000000"/>
          <w:sz w:val="24"/>
          <w:szCs w:val="24"/>
          <w:shd w:val="clear" w:color="auto" w:fill="FFFFFF"/>
        </w:rPr>
        <w:t>OCTAVO</w:t>
      </w:r>
      <w:r>
        <w:rPr>
          <w:rFonts w:ascii="Century Gothic" w:hAnsi="Century Gothic"/>
          <w:b/>
          <w:color w:val="2D2D2D"/>
          <w:sz w:val="28"/>
          <w:szCs w:val="28"/>
          <w:shd w:val="clear" w:color="auto" w:fill="FFFFFF"/>
        </w:rPr>
        <w:t>.</w:t>
      </w:r>
      <w:r>
        <w:rPr>
          <w:b/>
          <w:color w:val="2D2D2D"/>
          <w:sz w:val="28"/>
          <w:szCs w:val="28"/>
          <w:shd w:val="clear" w:color="auto" w:fill="FFFFFF"/>
        </w:rPr>
        <w:t xml:space="preserve"> </w:t>
      </w:r>
      <w:r>
        <w:rPr>
          <w:rFonts w:ascii="Century Gothic" w:hAnsi="Century Gothic" w:cs="Arial"/>
          <w:color w:val="000000" w:themeColor="text1"/>
          <w:sz w:val="24"/>
          <w:szCs w:val="24"/>
          <w:lang w:val="es-CO"/>
        </w:rPr>
        <w:t>Si no fuere impugnada esta providencia, dentro de los tres (3) días siguientes a su notificación, envíese a la Corte Constitucional para su eventual revisión.</w:t>
      </w:r>
    </w:p>
    <w:p w:rsidR="00A3487C" w:rsidRDefault="00A3487C">
      <w:pPr>
        <w:pStyle w:val="Sinespaciado1"/>
      </w:pPr>
    </w:p>
    <w:p w:rsidR="00A3487C" w:rsidRDefault="001F168A">
      <w:pPr>
        <w:spacing w:after="0"/>
        <w:jc w:val="both"/>
        <w:rPr>
          <w:rFonts w:ascii="Century Gothic" w:hAnsi="Century Gothic"/>
          <w:color w:val="000000" w:themeColor="text1"/>
          <w:sz w:val="24"/>
          <w:szCs w:val="24"/>
        </w:rPr>
      </w:pPr>
      <w:r>
        <w:rPr>
          <w:rFonts w:ascii="Century Gothic" w:hAnsi="Century Gothic"/>
          <w:b/>
          <w:color w:val="000000" w:themeColor="text1"/>
          <w:sz w:val="24"/>
          <w:szCs w:val="24"/>
        </w:rPr>
        <w:t>NOTIFÍQUESE Y CÚMPLASE,</w:t>
      </w:r>
    </w:p>
    <w:p w:rsidR="00A3487C" w:rsidRDefault="008D7784" w:rsidP="008D7784">
      <w:pPr>
        <w:spacing w:after="0"/>
        <w:jc w:val="center"/>
        <w:rPr>
          <w:rFonts w:ascii="Century Gothic" w:hAnsi="Century Gothic"/>
          <w:color w:val="000000" w:themeColor="text1"/>
          <w:sz w:val="24"/>
          <w:szCs w:val="24"/>
          <w:lang w:eastAsia="es-ES"/>
        </w:rPr>
      </w:pPr>
      <w:r>
        <w:rPr>
          <w:rFonts w:ascii="Century Gothic" w:hAnsi="Century Gothic"/>
          <w:noProof/>
          <w:color w:val="000000" w:themeColor="text1"/>
          <w:sz w:val="24"/>
          <w:szCs w:val="24"/>
          <w:lang w:val="es-CO" w:eastAsia="es-CO"/>
        </w:rPr>
        <w:drawing>
          <wp:inline distT="0" distB="0" distL="0" distR="0">
            <wp:extent cx="2774151" cy="996950"/>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RMA DIGITA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83788" cy="1000413"/>
                    </a:xfrm>
                    <a:prstGeom prst="rect">
                      <a:avLst/>
                    </a:prstGeom>
                  </pic:spPr>
                </pic:pic>
              </a:graphicData>
            </a:graphic>
          </wp:inline>
        </w:drawing>
      </w:r>
    </w:p>
    <w:p w:rsidR="00A3487C" w:rsidRDefault="001F168A">
      <w:pPr>
        <w:tabs>
          <w:tab w:val="left" w:pos="-720"/>
        </w:tabs>
        <w:spacing w:after="0" w:line="240" w:lineRule="auto"/>
        <w:jc w:val="center"/>
        <w:rPr>
          <w:rFonts w:ascii="Century Gothic" w:hAnsi="Century Gothic"/>
          <w:b/>
          <w:color w:val="000000" w:themeColor="text1"/>
          <w:sz w:val="24"/>
          <w:szCs w:val="24"/>
          <w:lang w:eastAsia="es-ES"/>
        </w:rPr>
      </w:pPr>
      <w:r>
        <w:rPr>
          <w:rFonts w:ascii="Century Gothic" w:hAnsi="Century Gothic"/>
          <w:b/>
          <w:color w:val="000000" w:themeColor="text1"/>
          <w:sz w:val="24"/>
          <w:szCs w:val="24"/>
          <w:lang w:eastAsia="es-ES"/>
        </w:rPr>
        <w:t>ERICSON SUESCUN LEÓN</w:t>
      </w:r>
    </w:p>
    <w:p w:rsidR="00A3487C" w:rsidRDefault="001F168A">
      <w:pPr>
        <w:tabs>
          <w:tab w:val="left" w:pos="6120"/>
        </w:tabs>
        <w:spacing w:after="0"/>
        <w:jc w:val="center"/>
        <w:rPr>
          <w:rFonts w:ascii="Century Gothic" w:hAnsi="Century Gothic"/>
          <w:bCs/>
          <w:sz w:val="24"/>
          <w:szCs w:val="24"/>
        </w:rPr>
      </w:pPr>
      <w:r>
        <w:rPr>
          <w:rFonts w:ascii="Century Gothic" w:hAnsi="Century Gothic"/>
          <w:bCs/>
          <w:color w:val="000000" w:themeColor="text1"/>
          <w:sz w:val="24"/>
          <w:szCs w:val="24"/>
          <w:lang w:eastAsia="es-ES"/>
        </w:rPr>
        <w:t>Juez</w:t>
      </w:r>
      <w:r>
        <w:rPr>
          <w:rFonts w:ascii="Century Gothic" w:eastAsia="Times New Roman" w:hAnsi="Century Gothic" w:cs="Arial"/>
          <w:color w:val="000000" w:themeColor="text1"/>
          <w:sz w:val="24"/>
          <w:szCs w:val="24"/>
          <w:lang w:eastAsia="es-ES"/>
        </w:rPr>
        <w:t xml:space="preserve"> </w:t>
      </w:r>
      <w:r>
        <w:rPr>
          <w:rFonts w:ascii="Century Gothic" w:hAnsi="Century Gothic"/>
          <w:bCs/>
          <w:sz w:val="24"/>
          <w:szCs w:val="24"/>
        </w:rPr>
        <w:t xml:space="preserve"> </w:t>
      </w:r>
    </w:p>
    <w:p w:rsidR="00A3487C" w:rsidRDefault="00A3487C">
      <w:pPr>
        <w:tabs>
          <w:tab w:val="left" w:pos="6120"/>
        </w:tabs>
        <w:spacing w:after="0"/>
        <w:rPr>
          <w:rFonts w:ascii="Century Gothic" w:hAnsi="Century Gothic"/>
          <w:bCs/>
          <w:sz w:val="24"/>
          <w:szCs w:val="24"/>
        </w:rPr>
      </w:pPr>
    </w:p>
    <w:p w:rsidR="00A3487C" w:rsidRDefault="00A3487C">
      <w:pPr>
        <w:spacing w:line="240" w:lineRule="auto"/>
        <w:rPr>
          <w:i/>
          <w:sz w:val="10"/>
          <w:szCs w:val="10"/>
        </w:rPr>
      </w:pPr>
    </w:p>
    <w:p w:rsidR="00A3487C" w:rsidRDefault="001F168A">
      <w:pPr>
        <w:spacing w:line="240" w:lineRule="auto"/>
      </w:pPr>
      <w:r>
        <w:rPr>
          <w:i/>
          <w:sz w:val="10"/>
          <w:szCs w:val="10"/>
        </w:rPr>
        <w:t>D.C.R.P.</w:t>
      </w:r>
    </w:p>
    <w:p w:rsidR="00A3487C" w:rsidRDefault="00A3487C">
      <w:pPr>
        <w:tabs>
          <w:tab w:val="left" w:pos="6120"/>
        </w:tabs>
        <w:spacing w:after="0"/>
      </w:pPr>
    </w:p>
    <w:sectPr w:rsidR="00A3487C" w:rsidSect="008A3158">
      <w:headerReference w:type="default" r:id="rId10"/>
      <w:footerReference w:type="default" r:id="rId11"/>
      <w:pgSz w:w="12240" w:h="18720"/>
      <w:pgMar w:top="1701" w:right="1701" w:bottom="1701" w:left="1701" w:header="709" w:footer="1418" w:gutter="0"/>
      <w:pgNumType w:start="1"/>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6CFF" w:rsidRDefault="007B6CFF">
      <w:pPr>
        <w:spacing w:after="0" w:line="240" w:lineRule="auto"/>
      </w:pPr>
      <w:r>
        <w:separator/>
      </w:r>
    </w:p>
  </w:endnote>
  <w:endnote w:type="continuationSeparator" w:id="0">
    <w:p w:rsidR="007B6CFF" w:rsidRDefault="007B6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Batang;바탕">
    <w:panose1 w:val="00000000000000000000"/>
    <w:charset w:val="8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New Roman;serif">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87C" w:rsidRDefault="001F168A">
    <w:pPr>
      <w:pStyle w:val="Piedepgina"/>
      <w:ind w:right="360"/>
      <w:rPr>
        <w:rFonts w:ascii="Century Gothic" w:hAnsi="Century Gothic"/>
        <w:sz w:val="18"/>
        <w:szCs w:val="18"/>
      </w:rPr>
    </w:pPr>
    <w:r>
      <w:rPr>
        <w:rFonts w:ascii="Century Gothic" w:hAnsi="Century Gothic"/>
        <w:noProof/>
        <w:sz w:val="18"/>
        <w:szCs w:val="18"/>
        <w:lang w:val="es-CO" w:eastAsia="es-CO"/>
      </w:rPr>
      <mc:AlternateContent>
        <mc:Choice Requires="wps">
          <w:drawing>
            <wp:anchor distT="0" distB="0" distL="0" distR="0" simplePos="0" relativeHeight="18" behindDoc="1" locked="0" layoutInCell="1" allowOverlap="1">
              <wp:simplePos x="0" y="0"/>
              <wp:positionH relativeFrom="margin">
                <wp:align>right</wp:align>
              </wp:positionH>
              <wp:positionV relativeFrom="paragraph">
                <wp:posOffset>635</wp:posOffset>
              </wp:positionV>
              <wp:extent cx="149225" cy="132715"/>
              <wp:effectExtent l="0" t="0" r="0" b="0"/>
              <wp:wrapSquare wrapText="largest"/>
              <wp:docPr id="2" name="Marco1"/>
              <wp:cNvGraphicFramePr/>
              <a:graphic xmlns:a="http://schemas.openxmlformats.org/drawingml/2006/main">
                <a:graphicData uri="http://schemas.microsoft.com/office/word/2010/wordprocessingShape">
                  <wps:wsp>
                    <wps:cNvSpPr/>
                    <wps:spPr>
                      <a:xfrm>
                        <a:off x="0" y="0"/>
                        <a:ext cx="148680" cy="132120"/>
                      </a:xfrm>
                      <a:prstGeom prst="rect">
                        <a:avLst/>
                      </a:prstGeom>
                      <a:noFill/>
                      <a:ln>
                        <a:noFill/>
                      </a:ln>
                    </wps:spPr>
                    <wps:style>
                      <a:lnRef idx="0">
                        <a:scrgbClr r="0" g="0" b="0"/>
                      </a:lnRef>
                      <a:fillRef idx="0">
                        <a:scrgbClr r="0" g="0" b="0"/>
                      </a:fillRef>
                      <a:effectRef idx="0">
                        <a:scrgbClr r="0" g="0" b="0"/>
                      </a:effectRef>
                      <a:fontRef idx="minor"/>
                    </wps:style>
                    <wps:txbx>
                      <w:txbxContent>
                        <w:p w:rsidR="00A3487C" w:rsidRDefault="001F168A">
                          <w:pPr>
                            <w:pStyle w:val="Piedepgina"/>
                          </w:pPr>
                          <w:r>
                            <w:rPr>
                              <w:rStyle w:val="Nmerodepgina"/>
                              <w:rFonts w:ascii="Century Gothic" w:hAnsi="Century Gothic"/>
                              <w:color w:val="000000"/>
                              <w:sz w:val="18"/>
                              <w:szCs w:val="18"/>
                            </w:rPr>
                            <w:fldChar w:fldCharType="begin"/>
                          </w:r>
                          <w:r>
                            <w:rPr>
                              <w:rStyle w:val="Nmerodepgina"/>
                              <w:rFonts w:ascii="Century Gothic" w:hAnsi="Century Gothic"/>
                              <w:color w:val="000000"/>
                              <w:sz w:val="18"/>
                              <w:szCs w:val="18"/>
                            </w:rPr>
                            <w:instrText>PAGE</w:instrText>
                          </w:r>
                          <w:r>
                            <w:rPr>
                              <w:rStyle w:val="Nmerodepgina"/>
                              <w:rFonts w:ascii="Century Gothic" w:hAnsi="Century Gothic"/>
                              <w:color w:val="000000"/>
                              <w:sz w:val="18"/>
                              <w:szCs w:val="18"/>
                            </w:rPr>
                            <w:fldChar w:fldCharType="separate"/>
                          </w:r>
                          <w:r w:rsidR="004E7115">
                            <w:rPr>
                              <w:rStyle w:val="Nmerodepgina"/>
                              <w:rFonts w:ascii="Century Gothic" w:hAnsi="Century Gothic"/>
                              <w:noProof/>
                              <w:color w:val="000000"/>
                              <w:sz w:val="18"/>
                              <w:szCs w:val="18"/>
                            </w:rPr>
                            <w:t>17</w:t>
                          </w:r>
                          <w:r>
                            <w:rPr>
                              <w:rStyle w:val="Nmerodepgina"/>
                              <w:rFonts w:ascii="Century Gothic" w:hAnsi="Century Gothic"/>
                              <w:color w:val="000000"/>
                              <w:sz w:val="18"/>
                              <w:szCs w:val="18"/>
                            </w:rPr>
                            <w:fldChar w:fldCharType="end"/>
                          </w:r>
                        </w:p>
                      </w:txbxContent>
                    </wps:txbx>
                    <wps:bodyPr lIns="0" tIns="0" rIns="0" bIns="0">
                      <a:spAutoFit/>
                    </wps:bodyPr>
                  </wps:wsp>
                </a:graphicData>
              </a:graphic>
            </wp:anchor>
          </w:drawing>
        </mc:Choice>
        <mc:Fallback>
          <w:pict>
            <v:rect id="Marco1" o:spid="_x0000_s1026" style="position:absolute;margin-left:-39.45pt;margin-top:.05pt;width:11.75pt;height:10.45pt;z-index:-503316462;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" filled="f" stroked="f">
              <v:textbox style="mso-fit-shape-to-text:t" inset="0,0,0,0">
                <w:txbxContent>
                  <w:p w:rsidR="00A3487C" w:rsidRDefault="001F168A">
                    <w:pPr>
                      <w:pStyle w:val="Piedepgina"/>
                    </w:pPr>
                    <w:r>
                      <w:rPr>
                        <w:rStyle w:val="Nmerodepgina"/>
                        <w:rFonts w:ascii="Century Gothic" w:hAnsi="Century Gothic"/>
                        <w:color w:val="000000"/>
                        <w:sz w:val="18"/>
                        <w:szCs w:val="18"/>
                      </w:rPr>
                      <w:fldChar w:fldCharType="begin"/>
                    </w:r>
                    <w:r>
                      <w:rPr>
                        <w:rStyle w:val="Nmerodepgina"/>
                        <w:rFonts w:ascii="Century Gothic" w:hAnsi="Century Gothic"/>
                        <w:color w:val="000000"/>
                        <w:sz w:val="18"/>
                        <w:szCs w:val="18"/>
                      </w:rPr>
                      <w:instrText>PAGE</w:instrText>
                    </w:r>
                    <w:r>
                      <w:rPr>
                        <w:rStyle w:val="Nmerodepgina"/>
                        <w:rFonts w:ascii="Century Gothic" w:hAnsi="Century Gothic"/>
                        <w:color w:val="000000"/>
                        <w:sz w:val="18"/>
                        <w:szCs w:val="18"/>
                      </w:rPr>
                      <w:fldChar w:fldCharType="separate"/>
                    </w:r>
                    <w:r w:rsidR="004E7115">
                      <w:rPr>
                        <w:rStyle w:val="Nmerodepgina"/>
                        <w:rFonts w:ascii="Century Gothic" w:hAnsi="Century Gothic"/>
                        <w:noProof/>
                        <w:color w:val="000000"/>
                        <w:sz w:val="18"/>
                        <w:szCs w:val="18"/>
                      </w:rPr>
                      <w:t>17</w:t>
                    </w:r>
                    <w:r>
                      <w:rPr>
                        <w:rStyle w:val="Nmerodepgina"/>
                        <w:rFonts w:ascii="Century Gothic" w:hAnsi="Century Gothic"/>
                        <w:color w:val="000000"/>
                        <w:sz w:val="18"/>
                        <w:szCs w:val="18"/>
                      </w:rPr>
                      <w:fldChar w:fldCharType="end"/>
                    </w:r>
                  </w:p>
                </w:txbxContent>
              </v:textbox>
              <w10:wrap type="square" side="largest" anchorx="margin"/>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6CFF" w:rsidRDefault="007B6CFF">
      <w:pPr>
        <w:rPr>
          <w:sz w:val="12"/>
        </w:rPr>
      </w:pPr>
      <w:r>
        <w:separator/>
      </w:r>
    </w:p>
  </w:footnote>
  <w:footnote w:type="continuationSeparator" w:id="0">
    <w:p w:rsidR="007B6CFF" w:rsidRDefault="007B6CFF">
      <w:pPr>
        <w:rPr>
          <w:sz w:val="12"/>
        </w:rPr>
      </w:pPr>
      <w:r>
        <w:continuationSeparator/>
      </w:r>
    </w:p>
  </w:footnote>
  <w:footnote w:id="1">
    <w:p w:rsidR="00A3487C" w:rsidRDefault="001F168A">
      <w:pPr>
        <w:pStyle w:val="Textonotapie"/>
        <w:jc w:val="both"/>
      </w:pPr>
      <w:r>
        <w:rPr>
          <w:rStyle w:val="Caracteresdenotaalpie"/>
        </w:rPr>
        <w:footnoteRef/>
      </w:r>
      <w:r>
        <w:rPr>
          <w:rFonts w:ascii="Calibri" w:hAnsi="Calibri" w:cs="Calibri"/>
        </w:rPr>
        <w:t xml:space="preserve"> Referencia: Expediente T-6.062.251, Acción de tutela instaurada por: Diego Patiño Giraldo contra el Consejo de Administración del Edificio Parque 125, Magistrado Ponente: ALEJANDRO LINARES CANTILLO, providencia del 11 de julio de 2017.</w:t>
      </w:r>
    </w:p>
  </w:footnote>
  <w:footnote w:id="2">
    <w:p w:rsidR="00A3487C" w:rsidRDefault="001F168A">
      <w:pPr>
        <w:pStyle w:val="Sinespaciado"/>
        <w:jc w:val="both"/>
      </w:pPr>
      <w:r>
        <w:rPr>
          <w:rStyle w:val="Caracteresdenotaalpie"/>
        </w:rPr>
        <w:footnoteRef/>
      </w:r>
      <w:r>
        <w:rPr>
          <w:sz w:val="20"/>
          <w:szCs w:val="20"/>
        </w:rPr>
        <w:t xml:space="preserve"> Corte Constitucional, sentencia T-186 de 2017, </w:t>
      </w:r>
      <w:r>
        <w:rPr>
          <w:sz w:val="20"/>
          <w:szCs w:val="20"/>
          <w:lang w:eastAsia="es-CO"/>
        </w:rPr>
        <w:t xml:space="preserve">Referencia: Expedientes acumulados T-5896866 y T-5915213, </w:t>
      </w:r>
      <w:r>
        <w:rPr>
          <w:bCs/>
          <w:sz w:val="20"/>
          <w:szCs w:val="20"/>
          <w:lang w:eastAsia="es-CO"/>
        </w:rPr>
        <w:t xml:space="preserve">Magistrada Ponente: </w:t>
      </w:r>
      <w:r>
        <w:rPr>
          <w:sz w:val="20"/>
          <w:szCs w:val="20"/>
          <w:lang w:eastAsia="es-CO"/>
        </w:rPr>
        <w:t>María Victoria Calle Correa.</w:t>
      </w:r>
    </w:p>
  </w:footnote>
  <w:footnote w:id="3">
    <w:p w:rsidR="00A3487C" w:rsidRDefault="001F168A">
      <w:pPr>
        <w:pStyle w:val="Textonotapie"/>
        <w:jc w:val="both"/>
      </w:pPr>
      <w:r>
        <w:rPr>
          <w:rStyle w:val="Caracteresdenotaalpie"/>
        </w:rPr>
        <w:footnoteRef/>
      </w:r>
      <w:r>
        <w:rPr>
          <w:rFonts w:ascii="Calibri" w:hAnsi="Calibri" w:cs="Arial"/>
        </w:rPr>
        <w:t xml:space="preserve"> Corte Constitucional, Sentencia T-124 de 2007. Magistrado Ponente: Álvaro Tafur Galvis. </w:t>
      </w:r>
    </w:p>
  </w:footnote>
  <w:footnote w:id="4">
    <w:p w:rsidR="00A3487C" w:rsidRDefault="001F168A">
      <w:pPr>
        <w:pStyle w:val="Textonotapie"/>
        <w:jc w:val="both"/>
      </w:pPr>
      <w:r>
        <w:rPr>
          <w:rStyle w:val="Caracteresdenotaalpie"/>
        </w:rPr>
        <w:footnoteRef/>
      </w:r>
      <w:r>
        <w:rPr>
          <w:rFonts w:ascii="Calibri" w:hAnsi="Calibri" w:cs="Arial"/>
        </w:rPr>
        <w:t xml:space="preserve"> Corte Constitucional, Sentencia T-814 de 2005. Magistrado Ponente: Jaime Araujo Rentería. </w:t>
      </w:r>
    </w:p>
  </w:footnote>
  <w:footnote w:id="5">
    <w:p w:rsidR="00A3487C" w:rsidRDefault="001F168A">
      <w:pPr>
        <w:pStyle w:val="Textonotapie"/>
        <w:jc w:val="both"/>
      </w:pPr>
      <w:r>
        <w:rPr>
          <w:rStyle w:val="Caracteresdenotaalpie"/>
        </w:rPr>
        <w:footnoteRef/>
      </w:r>
      <w:r>
        <w:rPr>
          <w:rFonts w:ascii="Calibri" w:hAnsi="Calibri" w:cs="Arial"/>
        </w:rPr>
        <w:t xml:space="preserve"> Corte Constitucional, Sentencia C-510 de 2004. Magistrado Ponente: Álvaro Tafur Galvis. </w:t>
      </w:r>
    </w:p>
  </w:footnote>
  <w:footnote w:id="6">
    <w:p w:rsidR="00A3487C" w:rsidRDefault="001F168A">
      <w:pPr>
        <w:pStyle w:val="Textonotapie"/>
        <w:jc w:val="both"/>
      </w:pPr>
      <w:r>
        <w:rPr>
          <w:rStyle w:val="Caracteresdenotaalpie"/>
        </w:rPr>
        <w:footnoteRef/>
      </w:r>
      <w:r>
        <w:rPr>
          <w:rFonts w:ascii="Calibri" w:hAnsi="Calibri" w:cs="Arial"/>
        </w:rPr>
        <w:t xml:space="preserve"> Corte Constitucional, Sentencia T-249 de 2001. Magistrado Ponente: José Gregorio Hernández Galindo. </w:t>
      </w:r>
    </w:p>
  </w:footnote>
  <w:footnote w:id="7">
    <w:p w:rsidR="00A3487C" w:rsidRDefault="001F168A">
      <w:pPr>
        <w:pStyle w:val="Textonotapie"/>
      </w:pPr>
      <w:r>
        <w:rPr>
          <w:rStyle w:val="Caracteresdenotaalpie"/>
        </w:rPr>
        <w:footnoteRef/>
      </w:r>
      <w:r>
        <w:rPr>
          <w:rFonts w:ascii="Calibri" w:hAnsi="Calibri" w:cs="Arial"/>
        </w:rPr>
        <w:t xml:space="preserve"> </w:t>
      </w:r>
      <w:r>
        <w:rPr>
          <w:rFonts w:ascii="Calibri" w:hAnsi="Calibri" w:cs="Arial"/>
          <w:lang w:val="es-CO"/>
        </w:rPr>
        <w:t>Corte Constitucional, Magistrado Ponente: Jorge Iván Palacios Palacio.</w:t>
      </w:r>
    </w:p>
  </w:footnote>
  <w:footnote w:id="8">
    <w:p w:rsidR="00A3487C" w:rsidRDefault="001F168A">
      <w:pPr>
        <w:pStyle w:val="Sinespaciado"/>
        <w:jc w:val="both"/>
      </w:pPr>
      <w:r>
        <w:rPr>
          <w:rStyle w:val="Caracteresdenotaalpie"/>
        </w:rPr>
        <w:footnoteRef/>
      </w:r>
      <w:r>
        <w:rPr>
          <w:sz w:val="20"/>
          <w:szCs w:val="20"/>
        </w:rPr>
        <w:t xml:space="preserve"> Sentencia C -214 de 1994</w:t>
      </w:r>
      <w:r>
        <w:t xml:space="preserve">. </w:t>
      </w:r>
    </w:p>
  </w:footnote>
  <w:footnote w:id="9">
    <w:p w:rsidR="00A3487C" w:rsidRDefault="001F168A">
      <w:pPr>
        <w:pStyle w:val="Textonotapie"/>
        <w:jc w:val="both"/>
      </w:pPr>
      <w:r>
        <w:rPr>
          <w:rStyle w:val="Caracteresdenotaalpie"/>
        </w:rPr>
        <w:footnoteRef/>
      </w:r>
      <w:r>
        <w:rPr>
          <w:rFonts w:ascii="Calibri" w:hAnsi="Calibri" w:cs="Calibri"/>
        </w:rPr>
        <w:t xml:space="preserve"> </w:t>
      </w:r>
      <w:r>
        <w:rPr>
          <w:rFonts w:ascii="Calibri" w:hAnsi="Calibri" w:cs="Calibri"/>
          <w:lang w:val="es-CO"/>
        </w:rPr>
        <w:t>Sentencia C-214 de 1994, citada en sentencia T-010 de 2017.</w:t>
      </w:r>
    </w:p>
  </w:footnote>
  <w:footnote w:id="10">
    <w:p w:rsidR="00A3487C" w:rsidRDefault="001F168A">
      <w:pPr>
        <w:pStyle w:val="Textonotapie"/>
        <w:jc w:val="both"/>
      </w:pPr>
      <w:r>
        <w:rPr>
          <w:rStyle w:val="Caracteresdenotaalpie"/>
        </w:rPr>
        <w:footnoteRef/>
      </w:r>
      <w:r>
        <w:rPr>
          <w:rFonts w:ascii="Calibri" w:hAnsi="Calibri" w:cs="Calibri"/>
        </w:rPr>
        <w:t xml:space="preserve"> </w:t>
      </w:r>
      <w:r>
        <w:rPr>
          <w:rFonts w:ascii="Calibri" w:hAnsi="Calibri" w:cs="Calibri"/>
          <w:lang w:val="es-CO"/>
        </w:rPr>
        <w:t>Ídem.</w:t>
      </w:r>
    </w:p>
  </w:footnote>
  <w:footnote w:id="11">
    <w:p w:rsidR="00A3487C" w:rsidRDefault="001F168A">
      <w:pPr>
        <w:pStyle w:val="Textonotapie"/>
        <w:jc w:val="both"/>
      </w:pPr>
      <w:r>
        <w:rPr>
          <w:rStyle w:val="Caracteresdenotaalpie"/>
        </w:rPr>
        <w:footnoteRef/>
      </w:r>
      <w:r>
        <w:rPr>
          <w:rFonts w:ascii="Calibri" w:hAnsi="Calibri" w:cs="Calibri"/>
        </w:rPr>
        <w:t xml:space="preserve"> Sentencia T-891 de 2013- Acción de tutela instaurada por Reinaldo López Ortiz contra el Ministerio de Defensa y el Ejército Nacional. - Magistrado Ponente: LUIS ERNESTO VARGAS SILVA - Bogotá, D.C., providencia del 3 diciembre de 2013.</w:t>
      </w:r>
    </w:p>
  </w:footnote>
  <w:footnote w:id="12">
    <w:p w:rsidR="00A3487C" w:rsidRDefault="001F168A">
      <w:pPr>
        <w:pStyle w:val="Textonotapie"/>
        <w:jc w:val="both"/>
      </w:pPr>
      <w:r>
        <w:rPr>
          <w:rStyle w:val="Caracteresdenotaalpie"/>
        </w:rPr>
        <w:footnoteRef/>
      </w:r>
      <w:r>
        <w:rPr>
          <w:rFonts w:ascii="Calibri" w:hAnsi="Calibri"/>
        </w:rPr>
        <w:t xml:space="preserve"> Artículo 48. </w:t>
      </w:r>
      <w:r>
        <w:rPr>
          <w:rFonts w:ascii="Calibri" w:hAnsi="Calibri"/>
          <w:i/>
        </w:rPr>
        <w:t>“La Seguridad Social es un servicio público de carácter obligatorio que se prestará bajo la dirección, coordinación y control del Estado, en sujeción a los principios de eficiencia, universalidad y solidaridad, en los términos que establezca la Ley. Se garantiza a todos los habitantes el derecho irrenunciable a la Seguridad Social. El Estado, con la participación de los particulares, ampliará progresivamente la cobertura de la Seguridad Social que comprenderá la prestación de los servicios en la forma que determine la Ley”</w:t>
      </w:r>
      <w:r>
        <w:rPr>
          <w:rFonts w:ascii="Calibri" w:hAnsi="Calibri"/>
        </w:rPr>
        <w:t>.</w:t>
      </w:r>
    </w:p>
  </w:footnote>
  <w:footnote w:id="13">
    <w:p w:rsidR="00A3487C" w:rsidRDefault="001F168A">
      <w:pPr>
        <w:pStyle w:val="Textonotapie"/>
        <w:rPr>
          <w:rFonts w:ascii="Calibri" w:hAnsi="Calibri"/>
        </w:rPr>
      </w:pPr>
      <w:r>
        <w:rPr>
          <w:rStyle w:val="Caracteresdenotaalpie"/>
        </w:rPr>
        <w:footnoteRef/>
      </w:r>
      <w:r>
        <w:rPr>
          <w:rFonts w:ascii="Calibri" w:hAnsi="Calibri"/>
        </w:rPr>
        <w:t xml:space="preserve"> Sentencia T-281 de 2018.</w:t>
      </w:r>
    </w:p>
  </w:footnote>
  <w:footnote w:id="14">
    <w:p w:rsidR="00A3487C" w:rsidRDefault="001F168A">
      <w:pPr>
        <w:pStyle w:val="Textonotapie"/>
        <w:jc w:val="both"/>
        <w:rPr>
          <w:rFonts w:ascii="Calibri" w:hAnsi="Calibri"/>
        </w:rPr>
      </w:pPr>
      <w:r>
        <w:rPr>
          <w:rStyle w:val="Caracteresdenotaalpie"/>
        </w:rPr>
        <w:footnoteRef/>
      </w:r>
      <w:r>
        <w:rPr>
          <w:rFonts w:ascii="Calibri" w:hAnsi="Calibri"/>
        </w:rPr>
        <w:t xml:space="preserve"> </w:t>
      </w:r>
      <w:r>
        <w:rPr>
          <w:rFonts w:ascii="Calibri" w:hAnsi="Calibri" w:cs="Calibri"/>
        </w:rPr>
        <w:t>Sentencia T-317 de 2013, Referencia: expediente T-3.463.457, Magistrado Ponente: JORGE IGNACIO PRETELT CHALJUB.</w:t>
      </w:r>
    </w:p>
  </w:footnote>
  <w:footnote w:id="15">
    <w:p w:rsidR="00A3487C" w:rsidRDefault="001F168A">
      <w:pPr>
        <w:pStyle w:val="Textonotapie"/>
        <w:rPr>
          <w:rFonts w:ascii="Calibri" w:hAnsi="Calibri"/>
        </w:rPr>
      </w:pPr>
      <w:r>
        <w:rPr>
          <w:rStyle w:val="Caracteresdenotaalpie"/>
        </w:rPr>
        <w:footnoteRef/>
      </w:r>
      <w:r>
        <w:rPr>
          <w:rFonts w:ascii="Calibri" w:hAnsi="Calibri"/>
        </w:rPr>
        <w:t xml:space="preserve">  Sentencia T-627 de 2017</w:t>
      </w:r>
    </w:p>
  </w:footnote>
  <w:footnote w:id="16">
    <w:p w:rsidR="00A3487C" w:rsidRDefault="001F168A">
      <w:pPr>
        <w:pStyle w:val="Textonotapie"/>
      </w:pPr>
      <w:r>
        <w:rPr>
          <w:rStyle w:val="Caracteresdenotaalpie"/>
        </w:rPr>
        <w:footnoteRef/>
      </w:r>
      <w:r>
        <w:rPr>
          <w:rFonts w:ascii="Calibri" w:hAnsi="Calibri" w:cs="Calibri"/>
        </w:rPr>
        <w:t xml:space="preserve"> </w:t>
      </w:r>
      <w:r>
        <w:rPr>
          <w:rFonts w:ascii="Calibri" w:hAnsi="Calibri" w:cs="Calibri"/>
          <w:lang w:val="es-CO"/>
        </w:rPr>
        <w:t>ídem</w:t>
      </w:r>
    </w:p>
  </w:footnote>
  <w:footnote w:id="17">
    <w:p w:rsidR="00A3487C" w:rsidRDefault="001F168A">
      <w:pPr>
        <w:pStyle w:val="Textonotapie"/>
        <w:jc w:val="both"/>
      </w:pPr>
      <w:r>
        <w:rPr>
          <w:rStyle w:val="Caracteresdenotaalpie"/>
        </w:rPr>
        <w:footnoteRef/>
      </w:r>
      <w:r>
        <w:t xml:space="preserve"> </w:t>
      </w:r>
      <w:r>
        <w:rPr>
          <w:rFonts w:ascii="Calibri" w:hAnsi="Calibri" w:cs="Calibri"/>
        </w:rPr>
        <w:t>“</w:t>
      </w:r>
      <w:r>
        <w:rPr>
          <w:rFonts w:ascii="Calibri" w:hAnsi="Calibri" w:cs="Arial"/>
          <w:b/>
          <w:bCs/>
          <w:i/>
          <w:color w:val="000000"/>
          <w:shd w:val="clear" w:color="auto" w:fill="FFFFFF"/>
        </w:rPr>
        <w:t>Artículo </w:t>
      </w:r>
      <w:r>
        <w:rPr>
          <w:rStyle w:val="Muydestacado"/>
          <w:rFonts w:ascii="Calibri" w:hAnsi="Calibri" w:cs="Arial"/>
          <w:i/>
          <w:color w:val="000000"/>
          <w:shd w:val="clear" w:color="auto" w:fill="FFFFFF"/>
        </w:rPr>
        <w:t xml:space="preserve">20. </w:t>
      </w:r>
      <w:r>
        <w:rPr>
          <w:rFonts w:ascii="Calibri" w:hAnsi="Calibri" w:cs="Arial"/>
          <w:b/>
          <w:bCs/>
          <w:i/>
          <w:color w:val="000000"/>
          <w:shd w:val="clear" w:color="auto" w:fill="FFFFFF"/>
        </w:rPr>
        <w:t>Presunción de veracidad</w:t>
      </w:r>
      <w:r>
        <w:rPr>
          <w:rFonts w:ascii="Calibri" w:hAnsi="Calibri" w:cs="Arial"/>
          <w:i/>
          <w:color w:val="000000"/>
          <w:shd w:val="clear" w:color="auto" w:fill="FFFFFF"/>
        </w:rPr>
        <w:t xml:space="preserve">. Si el informe no fuere rendido dentro del plazo correspondiente, </w:t>
      </w:r>
      <w:r>
        <w:rPr>
          <w:rFonts w:ascii="Calibri" w:hAnsi="Calibri" w:cs="Arial"/>
          <w:b/>
          <w:i/>
          <w:color w:val="000000"/>
          <w:shd w:val="clear" w:color="auto" w:fill="FFFFFF"/>
        </w:rPr>
        <w:t>se tendrán por ciertos los hechos y se entrará a resolver de plano</w:t>
      </w:r>
      <w:r>
        <w:rPr>
          <w:rFonts w:ascii="Calibri" w:hAnsi="Calibri" w:cs="Arial"/>
          <w:i/>
          <w:color w:val="000000"/>
          <w:shd w:val="clear" w:color="auto" w:fill="FFFFFF"/>
        </w:rPr>
        <w:t xml:space="preserve">, salvo que el juez estime necesaria otra averiguación previa.” </w:t>
      </w:r>
      <w:r>
        <w:rPr>
          <w:rFonts w:ascii="Calibri" w:hAnsi="Calibri" w:cs="Arial"/>
          <w:color w:val="000000"/>
          <w:shd w:val="clear" w:color="auto" w:fill="FFFFFF"/>
        </w:rPr>
        <w:t>(Negrillas del Despacho).</w:t>
      </w:r>
    </w:p>
  </w:footnote>
  <w:footnote w:id="18">
    <w:p w:rsidR="00A3487C" w:rsidRDefault="001F168A">
      <w:pPr>
        <w:pStyle w:val="Sinespaciado"/>
        <w:jc w:val="both"/>
      </w:pPr>
      <w:r>
        <w:rPr>
          <w:rStyle w:val="Caracteresdenotaalpie"/>
        </w:rPr>
        <w:footnoteRef/>
      </w:r>
      <w:r>
        <w:rPr>
          <w:sz w:val="20"/>
          <w:szCs w:val="20"/>
        </w:rPr>
        <w:t xml:space="preserve"> Sentencia T-1015 de 2006, Magistrado Ponente: Dr. Álvaro Tafur Galvis.</w:t>
      </w:r>
    </w:p>
  </w:footnote>
  <w:footnote w:id="19">
    <w:p w:rsidR="00A3487C" w:rsidRDefault="001F168A">
      <w:pPr>
        <w:pStyle w:val="Textonotapie"/>
      </w:pPr>
      <w:r>
        <w:rPr>
          <w:rStyle w:val="Caracteresdenotaalpie"/>
        </w:rPr>
        <w:footnoteRef/>
      </w:r>
      <w:r>
        <w:t xml:space="preserve"> Artículo 134 de la Ley 1438 de 2001, adicionado por el artículo 5 de la Ley 1949 de 2019.</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87C" w:rsidRDefault="001F168A">
    <w:pPr>
      <w:pStyle w:val="Encabezado"/>
      <w:jc w:val="right"/>
    </w:pPr>
    <w:r>
      <w:rPr>
        <w:sz w:val="20"/>
        <w:szCs w:val="20"/>
        <w:lang w:val="es-MX"/>
      </w:rPr>
      <w:t>Expediente: 11001-33-34-003-2020-00067-00</w:t>
    </w:r>
  </w:p>
  <w:p w:rsidR="00A3487C" w:rsidRDefault="001F168A">
    <w:pPr>
      <w:pStyle w:val="Encabezado"/>
      <w:jc w:val="right"/>
    </w:pPr>
    <w:r>
      <w:rPr>
        <w:sz w:val="20"/>
        <w:szCs w:val="20"/>
        <w:lang w:val="es-MX"/>
      </w:rPr>
      <w:t>Demandante: Greenex S.A.S.</w:t>
    </w:r>
    <w:r>
      <w:rPr>
        <w:sz w:val="20"/>
        <w:szCs w:val="20"/>
      </w:rPr>
      <w:t xml:space="preserve"> </w:t>
    </w:r>
  </w:p>
  <w:p w:rsidR="00A3487C" w:rsidRDefault="001F168A">
    <w:pPr>
      <w:pStyle w:val="Encabezado"/>
      <w:jc w:val="right"/>
    </w:pPr>
    <w:r>
      <w:rPr>
        <w:sz w:val="20"/>
        <w:szCs w:val="20"/>
        <w:lang w:val="es-MX"/>
      </w:rPr>
      <w:t>Demandado: Nueva EPS y otro</w:t>
    </w:r>
  </w:p>
  <w:p w:rsidR="00A3487C" w:rsidRDefault="001F168A">
    <w:pPr>
      <w:pStyle w:val="Encabezado"/>
      <w:jc w:val="right"/>
      <w:rPr>
        <w:i/>
        <w:sz w:val="20"/>
        <w:szCs w:val="20"/>
      </w:rPr>
    </w:pPr>
    <w:r>
      <w:rPr>
        <w:sz w:val="20"/>
        <w:szCs w:val="20"/>
      </w:rPr>
      <w:t>Acción de tutela – Sentencia</w:t>
    </w:r>
  </w:p>
  <w:p w:rsidR="00A3487C" w:rsidRDefault="00A3487C">
    <w:pPr>
      <w:pStyle w:val="Encabezado"/>
      <w:jc w:val="right"/>
      <w:rPr>
        <w:i/>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A59EE"/>
    <w:multiLevelType w:val="multilevel"/>
    <w:tmpl w:val="89CA976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1AC81BD6"/>
    <w:multiLevelType w:val="multilevel"/>
    <w:tmpl w:val="4B7EAA40"/>
    <w:lvl w:ilvl="0">
      <w:start w:val="1"/>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1F146F34"/>
    <w:multiLevelType w:val="multilevel"/>
    <w:tmpl w:val="C1462FFE"/>
    <w:lvl w:ilvl="0">
      <w:start w:val="2"/>
      <w:numFmt w:val="decimal"/>
      <w:lvlText w:val="%1"/>
      <w:lvlJc w:val="left"/>
      <w:pPr>
        <w:ind w:left="360" w:hanging="360"/>
      </w:pPr>
      <w:rPr>
        <w:b/>
        <w:bCs/>
      </w:rPr>
    </w:lvl>
    <w:lvl w:ilvl="1">
      <w:start w:val="2"/>
      <w:numFmt w:val="decimal"/>
      <w:lvlText w:val="%1.%2"/>
      <w:lvlJc w:val="left"/>
      <w:pPr>
        <w:ind w:left="360" w:hanging="360"/>
      </w:pPr>
      <w:rPr>
        <w:b/>
        <w:bCs/>
      </w:rPr>
    </w:lvl>
    <w:lvl w:ilvl="2">
      <w:start w:val="1"/>
      <w:numFmt w:val="decimal"/>
      <w:lvlText w:val="%1.%2.%3"/>
      <w:lvlJc w:val="left"/>
      <w:pPr>
        <w:ind w:left="720" w:hanging="720"/>
      </w:pPr>
      <w:rPr>
        <w:b/>
        <w:bCs/>
      </w:rPr>
    </w:lvl>
    <w:lvl w:ilvl="3">
      <w:start w:val="1"/>
      <w:numFmt w:val="decimal"/>
      <w:lvlText w:val="%1.%2.%3.%4"/>
      <w:lvlJc w:val="left"/>
      <w:pPr>
        <w:ind w:left="1080" w:hanging="1080"/>
      </w:pPr>
      <w:rPr>
        <w:b/>
        <w:bCs/>
      </w:rPr>
    </w:lvl>
    <w:lvl w:ilvl="4">
      <w:start w:val="1"/>
      <w:numFmt w:val="decimal"/>
      <w:lvlText w:val="%1.%2.%3.%4.%5"/>
      <w:lvlJc w:val="left"/>
      <w:pPr>
        <w:ind w:left="1080" w:hanging="1080"/>
      </w:pPr>
      <w:rPr>
        <w:b/>
        <w:bCs/>
      </w:rPr>
    </w:lvl>
    <w:lvl w:ilvl="5">
      <w:start w:val="1"/>
      <w:numFmt w:val="decimal"/>
      <w:lvlText w:val="%1.%2.%3.%4.%5.%6"/>
      <w:lvlJc w:val="left"/>
      <w:pPr>
        <w:ind w:left="1440" w:hanging="1440"/>
      </w:pPr>
      <w:rPr>
        <w:b/>
        <w:bCs/>
      </w:rPr>
    </w:lvl>
    <w:lvl w:ilvl="6">
      <w:start w:val="1"/>
      <w:numFmt w:val="decimal"/>
      <w:lvlText w:val="%1.%2.%3.%4.%5.%6.%7"/>
      <w:lvlJc w:val="left"/>
      <w:pPr>
        <w:ind w:left="1440" w:hanging="1440"/>
      </w:pPr>
      <w:rPr>
        <w:b/>
        <w:bCs/>
      </w:rPr>
    </w:lvl>
    <w:lvl w:ilvl="7">
      <w:start w:val="1"/>
      <w:numFmt w:val="decimal"/>
      <w:lvlText w:val="%1.%2.%3.%4.%5.%6.%7.%8"/>
      <w:lvlJc w:val="left"/>
      <w:pPr>
        <w:ind w:left="1800" w:hanging="1800"/>
      </w:pPr>
      <w:rPr>
        <w:b/>
        <w:bCs/>
      </w:rPr>
    </w:lvl>
    <w:lvl w:ilvl="8">
      <w:start w:val="1"/>
      <w:numFmt w:val="decimal"/>
      <w:lvlText w:val="%1.%2.%3.%4.%5.%6.%7.%8.%9"/>
      <w:lvlJc w:val="left"/>
      <w:pPr>
        <w:ind w:left="2160" w:hanging="2160"/>
      </w:pPr>
      <w:rPr>
        <w:b/>
        <w:bCs/>
      </w:rPr>
    </w:lvl>
  </w:abstractNum>
  <w:abstractNum w:abstractNumId="3" w15:restartNumberingAfterBreak="0">
    <w:nsid w:val="37462E52"/>
    <w:multiLevelType w:val="multilevel"/>
    <w:tmpl w:val="88C2E4C0"/>
    <w:lvl w:ilvl="0">
      <w:start w:val="1"/>
      <w:numFmt w:val="decimal"/>
      <w:lvlText w:val="%1."/>
      <w:lvlJc w:val="left"/>
      <w:pPr>
        <w:ind w:left="720" w:hanging="360"/>
      </w:pPr>
      <w:rPr>
        <w:rFonts w:eastAsia="Calibri"/>
        <w:b w:val="0"/>
        <w:bCs/>
        <w:i w:val="0"/>
        <w:iCs/>
        <w:spacing w:val="-3"/>
        <w:sz w:val="28"/>
        <w:szCs w:val="28"/>
        <w:lang w:val="es-C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18F433A"/>
    <w:multiLevelType w:val="multilevel"/>
    <w:tmpl w:val="8B7206AC"/>
    <w:lvl w:ilvl="0">
      <w:start w:val="1"/>
      <w:numFmt w:val="decimal"/>
      <w:lvlText w:val="%1"/>
      <w:lvlJc w:val="left"/>
      <w:pPr>
        <w:ind w:left="360" w:hanging="36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5" w15:restartNumberingAfterBreak="0">
    <w:nsid w:val="66440B38"/>
    <w:multiLevelType w:val="multilevel"/>
    <w:tmpl w:val="05D89F86"/>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4"/>
  </w:num>
  <w:num w:numId="2">
    <w:abstractNumId w:val="1"/>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87C"/>
    <w:rsid w:val="0004088B"/>
    <w:rsid w:val="00121AB8"/>
    <w:rsid w:val="001B4D76"/>
    <w:rsid w:val="001F168A"/>
    <w:rsid w:val="00241588"/>
    <w:rsid w:val="002718AA"/>
    <w:rsid w:val="00425AD9"/>
    <w:rsid w:val="004513B6"/>
    <w:rsid w:val="004541B0"/>
    <w:rsid w:val="004822BA"/>
    <w:rsid w:val="00482BD9"/>
    <w:rsid w:val="004E7115"/>
    <w:rsid w:val="0050642F"/>
    <w:rsid w:val="006505C9"/>
    <w:rsid w:val="00685D42"/>
    <w:rsid w:val="0077743F"/>
    <w:rsid w:val="007B6CFF"/>
    <w:rsid w:val="008A3158"/>
    <w:rsid w:val="008A7E1F"/>
    <w:rsid w:val="008D7784"/>
    <w:rsid w:val="00A3487C"/>
    <w:rsid w:val="00B3010C"/>
    <w:rsid w:val="00B65665"/>
    <w:rsid w:val="00DF4C37"/>
    <w:rsid w:val="00E24CE7"/>
    <w:rsid w:val="00E45E9F"/>
    <w:rsid w:val="00F72AEC"/>
    <w:rsid w:val="00FC7557"/>
  </w:rsids>
  <m:mathPr>
    <m:mathFont m:val="Cambria Math"/>
    <m:brkBin m:val="before"/>
    <m:brkBinSub m:val="--"/>
    <m:smallFrac m:val="0"/>
    <m:dispDef/>
    <m:lMargin m:val="0"/>
    <m:rMargin m:val="0"/>
    <m:defJc m:val="centerGroup"/>
    <m:wrapIndent m:val="1440"/>
    <m:intLim m:val="subSup"/>
    <m:naryLim m:val="undOvr"/>
  </m:mathPr>
  <w:themeFontLang w:val="es-CO"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19D35B-9CD9-4A44-8320-7F19492B6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es-CO"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3220"/>
    <w:pPr>
      <w:spacing w:after="200" w:line="276" w:lineRule="auto"/>
    </w:pPr>
    <w:rPr>
      <w:rFonts w:cs="Times New Roman"/>
      <w:sz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PiedepginaCar">
    <w:name w:val="Pie de página Car"/>
    <w:basedOn w:val="Fuentedeprrafopredeter"/>
    <w:link w:val="Piedepgina"/>
    <w:qFormat/>
    <w:rsid w:val="003E3220"/>
    <w:rPr>
      <w:rFonts w:ascii="Times New Roman" w:eastAsia="Times New Roman" w:hAnsi="Times New Roman" w:cs="Times New Roman"/>
      <w:sz w:val="24"/>
      <w:szCs w:val="24"/>
      <w:lang w:val="es-ES" w:eastAsia="es-ES"/>
    </w:rPr>
  </w:style>
  <w:style w:type="character" w:styleId="Nmerodepgina">
    <w:name w:val="page number"/>
    <w:qFormat/>
    <w:rsid w:val="003E3220"/>
    <w:rPr>
      <w:rFonts w:cs="Times New Roman"/>
    </w:rPr>
  </w:style>
  <w:style w:type="character" w:customStyle="1" w:styleId="EncabezadoCar">
    <w:name w:val="Encabezado Car"/>
    <w:basedOn w:val="Fuentedeprrafopredeter"/>
    <w:link w:val="Encabezado"/>
    <w:qFormat/>
    <w:rsid w:val="003E3220"/>
    <w:rPr>
      <w:rFonts w:ascii="Times New Roman" w:eastAsia="Times New Roman" w:hAnsi="Times New Roman" w:cs="Times New Roman"/>
      <w:sz w:val="24"/>
      <w:szCs w:val="24"/>
      <w:lang w:val="es-ES" w:eastAsia="es-ES"/>
    </w:rPr>
  </w:style>
  <w:style w:type="character" w:customStyle="1" w:styleId="TextonotapieCar">
    <w:name w:val="Texto nota pie Car"/>
    <w:basedOn w:val="Fuentedeprrafopredeter"/>
    <w:uiPriority w:val="99"/>
    <w:qFormat/>
    <w:rsid w:val="003E3220"/>
    <w:rPr>
      <w:rFonts w:ascii="Calibri" w:eastAsia="Calibri" w:hAnsi="Calibri" w:cs="Times New Roman"/>
      <w:sz w:val="20"/>
      <w:szCs w:val="20"/>
      <w:lang w:val="es-ES_tradnl"/>
    </w:rPr>
  </w:style>
  <w:style w:type="character" w:customStyle="1" w:styleId="TextonotapieCar1">
    <w:name w:val="Texto nota pie Car1"/>
    <w:link w:val="Textonotapie"/>
    <w:uiPriority w:val="99"/>
    <w:qFormat/>
    <w:rsid w:val="003E3220"/>
    <w:rPr>
      <w:rFonts w:ascii="Times New Roman" w:eastAsia="Times New Roman" w:hAnsi="Times New Roman" w:cs="Times New Roman"/>
      <w:sz w:val="20"/>
      <w:szCs w:val="20"/>
      <w:lang w:val="es-ES" w:eastAsia="es-ES"/>
    </w:rPr>
  </w:style>
  <w:style w:type="character" w:customStyle="1" w:styleId="Ancladenotaalpie">
    <w:name w:val="Ancla de nota al pie"/>
    <w:rPr>
      <w:vertAlign w:val="superscript"/>
    </w:rPr>
  </w:style>
  <w:style w:type="character" w:customStyle="1" w:styleId="FootnoteCharacters">
    <w:name w:val="Footnote Characters"/>
    <w:link w:val="4GChar"/>
    <w:uiPriority w:val="99"/>
    <w:qFormat/>
    <w:rsid w:val="003E3220"/>
    <w:rPr>
      <w:vertAlign w:val="superscript"/>
    </w:rPr>
  </w:style>
  <w:style w:type="character" w:customStyle="1" w:styleId="Cuadrculamedia2Car">
    <w:name w:val="Cuadrícula media 2 Car"/>
    <w:link w:val="Cuadrculamedia2"/>
    <w:qFormat/>
    <w:locked/>
    <w:rsid w:val="003E3220"/>
    <w:rPr>
      <w:rFonts w:ascii="Calibri" w:eastAsia="Calibri" w:hAnsi="Calibri"/>
      <w:sz w:val="22"/>
      <w:szCs w:val="22"/>
      <w:lang w:eastAsia="en-US"/>
    </w:rPr>
  </w:style>
  <w:style w:type="character" w:customStyle="1" w:styleId="TextodegloboCar">
    <w:name w:val="Texto de globo Car"/>
    <w:basedOn w:val="Fuentedeprrafopredeter"/>
    <w:link w:val="Textodeglobo"/>
    <w:uiPriority w:val="99"/>
    <w:semiHidden/>
    <w:qFormat/>
    <w:rsid w:val="003813A2"/>
    <w:rPr>
      <w:rFonts w:ascii="Segoe UI" w:eastAsia="Calibri" w:hAnsi="Segoe UI" w:cs="Segoe UI"/>
      <w:sz w:val="18"/>
      <w:szCs w:val="18"/>
      <w:lang w:val="es-ES_tradnl"/>
    </w:rPr>
  </w:style>
  <w:style w:type="character" w:customStyle="1" w:styleId="SinespaciadoCar">
    <w:name w:val="Sin espaciado Car"/>
    <w:link w:val="Sinespaciado"/>
    <w:uiPriority w:val="1"/>
    <w:qFormat/>
    <w:locked/>
    <w:rsid w:val="009E4579"/>
    <w:rPr>
      <w:rFonts w:ascii="Calibri" w:eastAsia="Calibri" w:hAnsi="Calibri" w:cs="Times New Roman"/>
      <w:lang w:val="es-ES_tradnl"/>
    </w:rPr>
  </w:style>
  <w:style w:type="character" w:customStyle="1" w:styleId="Sangra2detindependienteCar">
    <w:name w:val="Sangría 2 de t. independiente Car"/>
    <w:basedOn w:val="Fuentedeprrafopredeter"/>
    <w:uiPriority w:val="99"/>
    <w:semiHidden/>
    <w:qFormat/>
    <w:rsid w:val="008D64C1"/>
    <w:rPr>
      <w:rFonts w:ascii="Calibri" w:eastAsia="Calibri" w:hAnsi="Calibri" w:cs="Times New Roman"/>
      <w:lang w:val="es-ES_tradnl"/>
    </w:rPr>
  </w:style>
  <w:style w:type="character" w:customStyle="1" w:styleId="Sangra2detindependienteCar1">
    <w:name w:val="Sangría 2 de t. independiente Car1"/>
    <w:link w:val="Sangra2detindependiente"/>
    <w:qFormat/>
    <w:locked/>
    <w:rsid w:val="008D64C1"/>
    <w:rPr>
      <w:rFonts w:ascii="Times New Roman" w:eastAsia="Times New Roman" w:hAnsi="Times New Roman" w:cs="Times New Roman"/>
      <w:sz w:val="20"/>
      <w:szCs w:val="20"/>
      <w:lang w:val="es-ES_tradnl" w:eastAsia="es-ES"/>
    </w:rPr>
  </w:style>
  <w:style w:type="character" w:customStyle="1" w:styleId="SubttuloCar">
    <w:name w:val="Subtítulo Car"/>
    <w:basedOn w:val="Fuentedeprrafopredeter"/>
    <w:link w:val="Subttulo"/>
    <w:qFormat/>
    <w:rsid w:val="00250DED"/>
    <w:rPr>
      <w:rFonts w:ascii="Arial" w:eastAsia="Times New Roman" w:hAnsi="Arial" w:cs="Times New Roman"/>
      <w:b/>
      <w:color w:val="800000"/>
      <w:sz w:val="24"/>
      <w:szCs w:val="20"/>
      <w:lang w:eastAsia="es-ES"/>
    </w:rPr>
  </w:style>
  <w:style w:type="character" w:styleId="Textoennegrita">
    <w:name w:val="Strong"/>
    <w:basedOn w:val="Fuentedeprrafopredeter"/>
    <w:uiPriority w:val="22"/>
    <w:qFormat/>
    <w:rsid w:val="00A15498"/>
    <w:rPr>
      <w:b/>
      <w:bCs/>
    </w:rPr>
  </w:style>
  <w:style w:type="character" w:customStyle="1" w:styleId="TextoindependienteCar">
    <w:name w:val="Texto independiente Car"/>
    <w:basedOn w:val="Fuentedeprrafopredeter"/>
    <w:link w:val="Textoindependiente"/>
    <w:qFormat/>
    <w:rsid w:val="005323F7"/>
    <w:rPr>
      <w:rFonts w:ascii="Calibri" w:eastAsia="Times New Roman" w:hAnsi="Calibri" w:cs="Times New Roman"/>
      <w:lang w:val="es-ES"/>
    </w:rPr>
  </w:style>
  <w:style w:type="character" w:customStyle="1" w:styleId="EnlacedeInternet">
    <w:name w:val="Enlace de Internet"/>
    <w:basedOn w:val="Fuentedeprrafopredeter"/>
    <w:uiPriority w:val="99"/>
    <w:semiHidden/>
    <w:unhideWhenUsed/>
    <w:rsid w:val="00574B0B"/>
    <w:rPr>
      <w:color w:val="0000FF"/>
      <w:u w:val="single"/>
    </w:rPr>
  </w:style>
  <w:style w:type="character" w:customStyle="1" w:styleId="CitasCar">
    <w:name w:val="Citas Car"/>
    <w:link w:val="Citas"/>
    <w:qFormat/>
    <w:rsid w:val="00B46F20"/>
    <w:rPr>
      <w:rFonts w:ascii="Verdana" w:eastAsia="Calibri" w:hAnsi="Verdana" w:cs="Times New Roman"/>
      <w:i/>
      <w:sz w:val="20"/>
      <w:szCs w:val="24"/>
      <w:lang w:val="es-ES_tradnl" w:eastAsia="es-ES"/>
    </w:rPr>
  </w:style>
  <w:style w:type="character" w:customStyle="1" w:styleId="apple-converted-space">
    <w:name w:val="apple-converted-space"/>
    <w:qFormat/>
    <w:rsid w:val="00B46F20"/>
  </w:style>
  <w:style w:type="character" w:customStyle="1" w:styleId="textonavy">
    <w:name w:val="texto_navy"/>
    <w:qFormat/>
    <w:rsid w:val="00B46F20"/>
  </w:style>
  <w:style w:type="character" w:customStyle="1" w:styleId="HeaderChar">
    <w:name w:val="Header Char"/>
    <w:basedOn w:val="Fuentedeprrafopredeter"/>
    <w:semiHidden/>
    <w:qFormat/>
    <w:locked/>
    <w:rsid w:val="00AF38E5"/>
    <w:rPr>
      <w:rFonts w:cs="Times New Roman"/>
      <w:sz w:val="20"/>
      <w:szCs w:val="20"/>
      <w:lang w:val="es-ES" w:eastAsia="es-ES"/>
    </w:rPr>
  </w:style>
  <w:style w:type="character" w:customStyle="1" w:styleId="NoSpacingCar">
    <w:name w:val="No Spacing Car"/>
    <w:link w:val="Sinespaciado1"/>
    <w:qFormat/>
    <w:locked/>
    <w:rsid w:val="004653FE"/>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qFormat/>
    <w:locked/>
    <w:rsid w:val="005816AC"/>
    <w:rPr>
      <w:rFonts w:ascii="Calibri" w:eastAsia="Calibri" w:hAnsi="Calibri" w:cs="Times New Roman"/>
      <w:lang w:val="es-ES_tradnl"/>
    </w:rPr>
  </w:style>
  <w:style w:type="character" w:customStyle="1" w:styleId="citaCar">
    <w:name w:val="cita Car"/>
    <w:qFormat/>
    <w:locked/>
    <w:rsid w:val="001009C8"/>
    <w:rPr>
      <w:rFonts w:ascii="Times New Roman" w:eastAsia="SimSun" w:hAnsi="Times New Roman" w:cs="Times New Roman"/>
      <w:sz w:val="26"/>
      <w:szCs w:val="28"/>
      <w:lang w:eastAsia="es-ES"/>
    </w:rPr>
  </w:style>
  <w:style w:type="character" w:customStyle="1" w:styleId="FontStyle25">
    <w:name w:val="Font Style25"/>
    <w:uiPriority w:val="99"/>
    <w:qFormat/>
    <w:rsid w:val="004D63AD"/>
    <w:rPr>
      <w:rFonts w:ascii="Arial" w:hAnsi="Arial" w:cs="Arial"/>
      <w:sz w:val="22"/>
      <w:szCs w:val="22"/>
    </w:rPr>
  </w:style>
  <w:style w:type="character" w:customStyle="1" w:styleId="Caracteresdenotaalpie">
    <w:name w:val="Caracteres de nota al pie"/>
    <w:qFormat/>
  </w:style>
  <w:style w:type="character" w:customStyle="1" w:styleId="Ancladenotafinal">
    <w:name w:val="Ancla de nota final"/>
    <w:rPr>
      <w:vertAlign w:val="superscript"/>
    </w:rPr>
  </w:style>
  <w:style w:type="character" w:customStyle="1" w:styleId="Caracteresdenotafinal">
    <w:name w:val="Caracteres de nota final"/>
    <w:qFormat/>
  </w:style>
  <w:style w:type="character" w:customStyle="1" w:styleId="WW8Num4z0">
    <w:name w:val="WW8Num4z0"/>
    <w:qFormat/>
    <w:rPr>
      <w:b/>
      <w:bCs/>
    </w:rPr>
  </w:style>
  <w:style w:type="character" w:customStyle="1" w:styleId="WW8Num25z0">
    <w:name w:val="WW8Num25z0"/>
    <w:qFormat/>
    <w:rPr>
      <w:rFonts w:eastAsia="Calibri"/>
      <w:b w:val="0"/>
      <w:bCs/>
      <w:i w:val="0"/>
      <w:iCs/>
      <w:spacing w:val="-3"/>
      <w:sz w:val="28"/>
      <w:szCs w:val="28"/>
      <w:lang w:val="es-CO"/>
    </w:rPr>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Muydestacado">
    <w:name w:val="Muy destacado"/>
    <w:qFormat/>
    <w:rPr>
      <w:b/>
      <w:bCs/>
    </w:rPr>
  </w:style>
  <w:style w:type="paragraph" w:customStyle="1" w:styleId="Ttulo1">
    <w:name w:val="Título1"/>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link w:val="TextoindependienteCar"/>
    <w:rsid w:val="005323F7"/>
    <w:pPr>
      <w:spacing w:after="120" w:line="259" w:lineRule="auto"/>
    </w:pPr>
    <w:rPr>
      <w:rFonts w:eastAsia="Times New Roman"/>
      <w:lang w:val="es-ES"/>
    </w:r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sz w:val="24"/>
      <w:szCs w:val="24"/>
    </w:rPr>
  </w:style>
  <w:style w:type="paragraph" w:customStyle="1" w:styleId="ndice">
    <w:name w:val="Índice"/>
    <w:basedOn w:val="Normal"/>
    <w:qFormat/>
    <w:pPr>
      <w:suppressLineNumbers/>
    </w:pPr>
    <w:rPr>
      <w:rFonts w:cs="Lohit Devanagari"/>
    </w:rPr>
  </w:style>
  <w:style w:type="paragraph" w:customStyle="1" w:styleId="Cabeceraypie">
    <w:name w:val="Cabecera y pie"/>
    <w:basedOn w:val="Normal"/>
    <w:qFormat/>
  </w:style>
  <w:style w:type="paragraph" w:styleId="Piedepgina">
    <w:name w:val="footer"/>
    <w:basedOn w:val="Normal"/>
    <w:link w:val="PiedepginaCar"/>
    <w:rsid w:val="003E3220"/>
    <w:pPr>
      <w:tabs>
        <w:tab w:val="center" w:pos="4252"/>
        <w:tab w:val="right" w:pos="8504"/>
      </w:tabs>
      <w:spacing w:after="0" w:line="240" w:lineRule="auto"/>
    </w:pPr>
    <w:rPr>
      <w:rFonts w:ascii="Times New Roman" w:eastAsia="Times New Roman" w:hAnsi="Times New Roman"/>
      <w:sz w:val="24"/>
      <w:szCs w:val="24"/>
      <w:lang w:val="es-ES" w:eastAsia="es-ES"/>
    </w:rPr>
  </w:style>
  <w:style w:type="paragraph" w:styleId="Encabezado">
    <w:name w:val="header"/>
    <w:basedOn w:val="Normal"/>
    <w:link w:val="EncabezadoCar"/>
    <w:rsid w:val="003E3220"/>
    <w:pPr>
      <w:tabs>
        <w:tab w:val="center" w:pos="4252"/>
        <w:tab w:val="right" w:pos="8504"/>
      </w:tabs>
      <w:spacing w:after="0" w:line="240" w:lineRule="auto"/>
    </w:pPr>
    <w:rPr>
      <w:rFonts w:ascii="Times New Roman" w:eastAsia="Times New Roman" w:hAnsi="Times New Roman"/>
      <w:sz w:val="24"/>
      <w:szCs w:val="24"/>
      <w:lang w:val="es-ES" w:eastAsia="es-ES"/>
    </w:rPr>
  </w:style>
  <w:style w:type="paragraph" w:styleId="Textonotapie">
    <w:name w:val="footnote text"/>
    <w:basedOn w:val="Normal"/>
    <w:link w:val="TextonotapieCar1"/>
    <w:uiPriority w:val="99"/>
    <w:qFormat/>
    <w:rsid w:val="003E3220"/>
    <w:pPr>
      <w:spacing w:after="0" w:line="240" w:lineRule="auto"/>
    </w:pPr>
    <w:rPr>
      <w:rFonts w:ascii="Times New Roman" w:eastAsia="Times New Roman" w:hAnsi="Times New Roman"/>
      <w:sz w:val="20"/>
      <w:szCs w:val="20"/>
      <w:lang w:val="es-ES" w:eastAsia="es-ES"/>
    </w:rPr>
  </w:style>
  <w:style w:type="paragraph" w:styleId="Textodeglobo">
    <w:name w:val="Balloon Text"/>
    <w:basedOn w:val="Normal"/>
    <w:link w:val="TextodegloboCar"/>
    <w:uiPriority w:val="99"/>
    <w:semiHidden/>
    <w:unhideWhenUsed/>
    <w:qFormat/>
    <w:rsid w:val="003813A2"/>
    <w:pPr>
      <w:spacing w:after="0" w:line="240" w:lineRule="auto"/>
    </w:pPr>
    <w:rPr>
      <w:rFonts w:ascii="Segoe UI" w:hAnsi="Segoe UI" w:cs="Segoe UI"/>
      <w:sz w:val="18"/>
      <w:szCs w:val="18"/>
    </w:rPr>
  </w:style>
  <w:style w:type="paragraph" w:styleId="Sinespaciado">
    <w:name w:val="No Spacing"/>
    <w:link w:val="SinespaciadoCar"/>
    <w:qFormat/>
    <w:rPr>
      <w:rFonts w:eastAsia="Times New Roman" w:cs="Times New Roman"/>
      <w:sz w:val="22"/>
      <w:lang w:val="es-ES"/>
    </w:rPr>
  </w:style>
  <w:style w:type="paragraph" w:styleId="Prrafodelista">
    <w:name w:val="List Paragraph"/>
    <w:basedOn w:val="Normal"/>
    <w:link w:val="PrrafodelistaCar"/>
    <w:qFormat/>
    <w:pPr>
      <w:ind w:left="708"/>
    </w:pPr>
  </w:style>
  <w:style w:type="paragraph" w:styleId="Sangra2detindependiente">
    <w:name w:val="Body Text Indent 2"/>
    <w:basedOn w:val="Normal"/>
    <w:link w:val="Sangra2detindependienteCar1"/>
    <w:unhideWhenUsed/>
    <w:qFormat/>
    <w:rsid w:val="008D64C1"/>
    <w:pPr>
      <w:spacing w:after="120" w:line="480" w:lineRule="auto"/>
      <w:ind w:left="283"/>
    </w:pPr>
    <w:rPr>
      <w:rFonts w:ascii="Times New Roman" w:eastAsia="Times New Roman" w:hAnsi="Times New Roman"/>
      <w:sz w:val="20"/>
      <w:szCs w:val="20"/>
      <w:lang w:eastAsia="es-ES"/>
    </w:rPr>
  </w:style>
  <w:style w:type="paragraph" w:styleId="Subttulo">
    <w:name w:val="Subtitle"/>
    <w:basedOn w:val="Normal"/>
    <w:link w:val="SubttuloCar"/>
    <w:qFormat/>
    <w:rsid w:val="00250DED"/>
    <w:pPr>
      <w:spacing w:after="0" w:line="360" w:lineRule="auto"/>
      <w:jc w:val="center"/>
    </w:pPr>
    <w:rPr>
      <w:rFonts w:ascii="Arial" w:eastAsia="Times New Roman" w:hAnsi="Arial"/>
      <w:b/>
      <w:color w:val="800000"/>
      <w:sz w:val="24"/>
      <w:szCs w:val="20"/>
      <w:lang w:val="es-CO" w:eastAsia="es-ES"/>
    </w:rPr>
  </w:style>
  <w:style w:type="paragraph" w:customStyle="1" w:styleId="Citas">
    <w:name w:val="Citas"/>
    <w:basedOn w:val="Normal"/>
    <w:link w:val="CitasCar"/>
    <w:autoRedefine/>
    <w:qFormat/>
    <w:rsid w:val="00B46F20"/>
    <w:pPr>
      <w:spacing w:after="0" w:line="240" w:lineRule="auto"/>
      <w:ind w:left="426" w:right="900"/>
      <w:jc w:val="both"/>
    </w:pPr>
    <w:rPr>
      <w:rFonts w:ascii="Verdana" w:hAnsi="Verdana"/>
      <w:i/>
      <w:sz w:val="20"/>
      <w:szCs w:val="24"/>
      <w:lang w:eastAsia="es-ES"/>
    </w:rPr>
  </w:style>
  <w:style w:type="paragraph" w:customStyle="1" w:styleId="m-7208827962344049696gmail-msofootnotetext">
    <w:name w:val="m_-7208827962344049696gmail-msofootnotetext"/>
    <w:basedOn w:val="Normal"/>
    <w:qFormat/>
    <w:rsid w:val="00B46F20"/>
    <w:pPr>
      <w:spacing w:beforeAutospacing="1" w:afterAutospacing="1" w:line="240" w:lineRule="auto"/>
    </w:pPr>
    <w:rPr>
      <w:rFonts w:ascii="Times New Roman" w:eastAsia="Times New Roman" w:hAnsi="Times New Roman"/>
      <w:sz w:val="24"/>
      <w:szCs w:val="24"/>
      <w:lang w:val="es-CO" w:eastAsia="es-CO"/>
    </w:rPr>
  </w:style>
  <w:style w:type="paragraph" w:customStyle="1" w:styleId="bodytext31">
    <w:name w:val="bodytext31"/>
    <w:basedOn w:val="Normal"/>
    <w:qFormat/>
    <w:rsid w:val="00B46F20"/>
    <w:pPr>
      <w:spacing w:beforeAutospacing="1" w:afterAutospacing="1" w:line="240" w:lineRule="auto"/>
    </w:pPr>
    <w:rPr>
      <w:rFonts w:ascii="Times New Roman" w:eastAsia="Times New Roman" w:hAnsi="Times New Roman"/>
      <w:sz w:val="24"/>
      <w:szCs w:val="24"/>
      <w:lang w:val="es-ES" w:eastAsia="es-ES"/>
    </w:rPr>
  </w:style>
  <w:style w:type="paragraph" w:customStyle="1" w:styleId="Sinespaciado1">
    <w:name w:val="Sin espaciado1"/>
    <w:link w:val="NoSpacingCar"/>
    <w:qFormat/>
    <w:rsid w:val="004653FE"/>
    <w:rPr>
      <w:rFonts w:ascii="Times New Roman" w:eastAsia="Times New Roman" w:hAnsi="Times New Roman" w:cs="Times New Roman"/>
      <w:sz w:val="24"/>
      <w:szCs w:val="24"/>
      <w:lang w:val="es-ES" w:eastAsia="es-ES"/>
    </w:rPr>
  </w:style>
  <w:style w:type="paragraph" w:styleId="NormalWeb">
    <w:name w:val="Normal (Web)"/>
    <w:basedOn w:val="Normal"/>
    <w:uiPriority w:val="99"/>
    <w:qFormat/>
    <w:rsid w:val="00976E3E"/>
    <w:pPr>
      <w:spacing w:beforeAutospacing="1" w:afterAutospacing="1" w:line="240" w:lineRule="auto"/>
    </w:pPr>
    <w:rPr>
      <w:rFonts w:ascii="Arial Unicode MS" w:eastAsia="Arial Unicode MS" w:hAnsi="Arial Unicode MS" w:cs="Arial Unicode MS"/>
      <w:sz w:val="24"/>
      <w:szCs w:val="24"/>
      <w:lang w:val="es-ES" w:eastAsia="es-ES"/>
    </w:rPr>
  </w:style>
  <w:style w:type="paragraph" w:customStyle="1" w:styleId="4GChar">
    <w:name w:val="4_G Char"/>
    <w:basedOn w:val="Normal"/>
    <w:link w:val="FootnoteCharacters"/>
    <w:uiPriority w:val="99"/>
    <w:qFormat/>
    <w:rsid w:val="00B440FB"/>
    <w:pPr>
      <w:spacing w:after="0" w:line="240" w:lineRule="auto"/>
      <w:jc w:val="both"/>
    </w:pPr>
    <w:rPr>
      <w:rFonts w:cstheme="minorBidi"/>
      <w:vertAlign w:val="superscript"/>
      <w:lang w:val="es-CO"/>
    </w:rPr>
  </w:style>
  <w:style w:type="paragraph" w:customStyle="1" w:styleId="cita">
    <w:name w:val="cita"/>
    <w:basedOn w:val="Normal"/>
    <w:qFormat/>
    <w:rsid w:val="001009C8"/>
    <w:pPr>
      <w:widowControl w:val="0"/>
      <w:spacing w:after="0" w:line="240" w:lineRule="auto"/>
      <w:ind w:left="851" w:right="618"/>
      <w:jc w:val="both"/>
    </w:pPr>
    <w:rPr>
      <w:rFonts w:ascii="Times New Roman" w:eastAsia="SimSun" w:hAnsi="Times New Roman"/>
      <w:sz w:val="26"/>
      <w:szCs w:val="28"/>
      <w:lang w:val="es-CO" w:eastAsia="es-ES"/>
    </w:rPr>
  </w:style>
  <w:style w:type="paragraph" w:customStyle="1" w:styleId="Contenidodelmarco">
    <w:name w:val="Contenido del marco"/>
    <w:basedOn w:val="Normal"/>
    <w:qFormat/>
  </w:style>
  <w:style w:type="numbering" w:customStyle="1" w:styleId="WW8Num4">
    <w:name w:val="WW8Num4"/>
    <w:qFormat/>
  </w:style>
  <w:style w:type="numbering" w:customStyle="1" w:styleId="WW8Num25">
    <w:name w:val="WW8Num25"/>
    <w:qFormat/>
  </w:style>
  <w:style w:type="table" w:styleId="Cuadrculamedia2">
    <w:name w:val="Medium Grid 2"/>
    <w:basedOn w:val="Tablanormal"/>
    <w:link w:val="Cuadrculamedia2Car"/>
    <w:semiHidden/>
    <w:unhideWhenUsed/>
    <w:rsid w:val="003E322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Tablaconcuadrcula">
    <w:name w:val="Table Grid"/>
    <w:basedOn w:val="Tablanormal"/>
    <w:uiPriority w:val="39"/>
    <w:rsid w:val="00520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8729D8-9E99-4CCD-A9D9-11BE1AB2B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5970</Words>
  <Characters>32837</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Fabian Charry Garzon</dc:creator>
  <dc:description/>
  <cp:lastModifiedBy>Angélica Guzmán</cp:lastModifiedBy>
  <cp:revision>2</cp:revision>
  <cp:lastPrinted>2019-01-22T21:24:00Z</cp:lastPrinted>
  <dcterms:created xsi:type="dcterms:W3CDTF">2020-04-20T17:17:00Z</dcterms:created>
  <dcterms:modified xsi:type="dcterms:W3CDTF">2020-04-20T17:17:00Z</dcterms:modified>
  <dc:language>es-CO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