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3D" w:rsidRPr="00B8403D" w:rsidRDefault="00B8403D" w:rsidP="00B8403D">
      <w:pPr>
        <w:spacing w:line="360" w:lineRule="auto"/>
        <w:jc w:val="center"/>
        <w:rPr>
          <w:rFonts w:ascii="Bookman Old Style" w:hAnsi="Bookman Old Style" w:cs="Tahoma"/>
          <w:b/>
          <w:bCs/>
          <w:sz w:val="23"/>
          <w:szCs w:val="23"/>
        </w:rPr>
      </w:pPr>
      <w:r w:rsidRPr="00B8403D">
        <w:rPr>
          <w:rFonts w:ascii="Bookman Old Style" w:hAnsi="Bookman Old Style" w:cs="Tahoma"/>
          <w:b/>
          <w:bCs/>
          <w:noProof/>
          <w:sz w:val="23"/>
          <w:szCs w:val="23"/>
        </w:rPr>
        <w:drawing>
          <wp:inline distT="0" distB="0" distL="0" distR="0">
            <wp:extent cx="730250" cy="748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748030"/>
                    </a:xfrm>
                    <a:prstGeom prst="rect">
                      <a:avLst/>
                    </a:prstGeom>
                    <a:noFill/>
                    <a:ln>
                      <a:noFill/>
                    </a:ln>
                  </pic:spPr>
                </pic:pic>
              </a:graphicData>
            </a:graphic>
          </wp:inline>
        </w:drawing>
      </w:r>
    </w:p>
    <w:p w:rsidR="00B8403D" w:rsidRPr="00B8403D" w:rsidRDefault="00B8403D" w:rsidP="00B8403D">
      <w:pPr>
        <w:jc w:val="center"/>
        <w:rPr>
          <w:rFonts w:ascii="Bookman Old Style" w:hAnsi="Bookman Old Style"/>
          <w:b/>
          <w:bCs/>
          <w:sz w:val="23"/>
          <w:szCs w:val="23"/>
          <w:lang w:val="es-MX"/>
        </w:rPr>
      </w:pPr>
      <w:r w:rsidRPr="00B8403D">
        <w:rPr>
          <w:rFonts w:ascii="Bookman Old Style" w:hAnsi="Bookman Old Style"/>
          <w:b/>
          <w:bCs/>
          <w:sz w:val="23"/>
          <w:szCs w:val="23"/>
          <w:lang w:val="es-MX"/>
        </w:rPr>
        <w:t>REPÚBLICA DE COLOMBIA</w:t>
      </w:r>
    </w:p>
    <w:p w:rsidR="00B8403D" w:rsidRPr="00B8403D" w:rsidRDefault="00B8403D" w:rsidP="00B8403D">
      <w:pPr>
        <w:jc w:val="center"/>
        <w:rPr>
          <w:rFonts w:ascii="Bookman Old Style" w:hAnsi="Bookman Old Style"/>
          <w:b/>
          <w:bCs/>
          <w:sz w:val="23"/>
          <w:szCs w:val="23"/>
          <w:lang w:val="es-MX"/>
        </w:rPr>
      </w:pPr>
      <w:r w:rsidRPr="00B8403D">
        <w:rPr>
          <w:rFonts w:ascii="Bookman Old Style" w:hAnsi="Bookman Old Style"/>
          <w:b/>
          <w:bCs/>
          <w:sz w:val="23"/>
          <w:szCs w:val="23"/>
          <w:lang w:val="es-MX"/>
        </w:rPr>
        <w:t>RAMA JUDICIAL DEL PODER PÚBLICO</w:t>
      </w:r>
    </w:p>
    <w:p w:rsidR="00B8403D" w:rsidRPr="00B8403D" w:rsidRDefault="00B8403D" w:rsidP="00B8403D">
      <w:pPr>
        <w:jc w:val="center"/>
        <w:rPr>
          <w:rFonts w:ascii="Bookman Old Style" w:hAnsi="Bookman Old Style" w:cs="Tahoma"/>
          <w:b/>
          <w:bCs/>
          <w:sz w:val="23"/>
          <w:szCs w:val="23"/>
        </w:rPr>
      </w:pPr>
      <w:r w:rsidRPr="00B8403D">
        <w:rPr>
          <w:rFonts w:ascii="Bookman Old Style" w:hAnsi="Bookman Old Style"/>
          <w:b/>
          <w:bCs/>
          <w:sz w:val="23"/>
          <w:szCs w:val="23"/>
          <w:lang w:val="es-MX"/>
        </w:rPr>
        <w:t xml:space="preserve">JUZGADO </w:t>
      </w:r>
      <w:r w:rsidRPr="00B8403D">
        <w:rPr>
          <w:rFonts w:ascii="Bookman Old Style" w:hAnsi="Bookman Old Style"/>
          <w:b/>
          <w:bCs/>
          <w:sz w:val="23"/>
          <w:szCs w:val="23"/>
          <w:lang w:val="es-MX"/>
        </w:rPr>
        <w:t xml:space="preserve">CUARTO </w:t>
      </w:r>
      <w:r w:rsidRPr="00B8403D">
        <w:rPr>
          <w:rFonts w:ascii="Bookman Old Style" w:hAnsi="Bookman Old Style"/>
          <w:b/>
          <w:bCs/>
          <w:sz w:val="23"/>
          <w:szCs w:val="23"/>
          <w:lang w:val="es-MX"/>
        </w:rPr>
        <w:t xml:space="preserve">ADMINISTRATIVO </w:t>
      </w:r>
      <w:r w:rsidRPr="00B8403D">
        <w:rPr>
          <w:rFonts w:ascii="Bookman Old Style" w:hAnsi="Bookman Old Style"/>
          <w:b/>
          <w:bCs/>
          <w:sz w:val="23"/>
          <w:szCs w:val="23"/>
          <w:lang w:val="es-MX"/>
        </w:rPr>
        <w:t xml:space="preserve">ORAL </w:t>
      </w:r>
      <w:r w:rsidRPr="00B8403D">
        <w:rPr>
          <w:rFonts w:ascii="Bookman Old Style" w:hAnsi="Bookman Old Style"/>
          <w:b/>
          <w:bCs/>
          <w:sz w:val="23"/>
          <w:szCs w:val="23"/>
          <w:lang w:val="es-MX"/>
        </w:rPr>
        <w:t>DE MEDELLÍN</w:t>
      </w:r>
    </w:p>
    <w:p w:rsidR="00B8403D" w:rsidRPr="00B8403D" w:rsidRDefault="00B8403D" w:rsidP="00B8403D">
      <w:pPr>
        <w:tabs>
          <w:tab w:val="left" w:pos="1985"/>
        </w:tabs>
        <w:jc w:val="center"/>
        <w:rPr>
          <w:rFonts w:ascii="Bookman Old Style" w:hAnsi="Bookman Old Style" w:cs="Tahoma"/>
          <w:b/>
          <w:bCs/>
          <w:sz w:val="23"/>
          <w:szCs w:val="23"/>
        </w:rPr>
      </w:pPr>
    </w:p>
    <w:p w:rsidR="00B8403D" w:rsidRPr="00B8403D" w:rsidRDefault="00B8403D" w:rsidP="00B8403D">
      <w:pPr>
        <w:tabs>
          <w:tab w:val="left" w:pos="1985"/>
        </w:tabs>
        <w:spacing w:line="276" w:lineRule="auto"/>
        <w:jc w:val="center"/>
        <w:rPr>
          <w:rFonts w:ascii="Bookman Old Style" w:hAnsi="Bookman Old Style" w:cs="Tahoma"/>
          <w:bCs/>
          <w:sz w:val="23"/>
          <w:szCs w:val="23"/>
        </w:rPr>
      </w:pPr>
      <w:r w:rsidRPr="00B8403D">
        <w:rPr>
          <w:rFonts w:ascii="Bookman Old Style" w:hAnsi="Bookman Old Style" w:cs="Tahoma"/>
          <w:bCs/>
          <w:sz w:val="23"/>
          <w:szCs w:val="23"/>
        </w:rPr>
        <w:t xml:space="preserve">Medellín, </w:t>
      </w:r>
      <w:r>
        <w:rPr>
          <w:rFonts w:ascii="Bookman Old Style" w:hAnsi="Bookman Old Style" w:cs="Tahoma"/>
          <w:bCs/>
          <w:sz w:val="23"/>
          <w:szCs w:val="23"/>
        </w:rPr>
        <w:t xml:space="preserve">Doce </w:t>
      </w:r>
      <w:r w:rsidRPr="00B8403D">
        <w:rPr>
          <w:rFonts w:ascii="Bookman Old Style" w:hAnsi="Bookman Old Style" w:cs="Tahoma"/>
          <w:bCs/>
          <w:sz w:val="23"/>
          <w:szCs w:val="23"/>
        </w:rPr>
        <w:t>(</w:t>
      </w:r>
      <w:r>
        <w:rPr>
          <w:rFonts w:ascii="Bookman Old Style" w:hAnsi="Bookman Old Style" w:cs="Tahoma"/>
          <w:bCs/>
          <w:sz w:val="23"/>
          <w:szCs w:val="23"/>
        </w:rPr>
        <w:t>12</w:t>
      </w:r>
      <w:r w:rsidRPr="00B8403D">
        <w:rPr>
          <w:rFonts w:ascii="Bookman Old Style" w:hAnsi="Bookman Old Style" w:cs="Tahoma"/>
          <w:bCs/>
          <w:sz w:val="23"/>
          <w:szCs w:val="23"/>
        </w:rPr>
        <w:t xml:space="preserve">) de </w:t>
      </w:r>
      <w:r>
        <w:rPr>
          <w:rFonts w:ascii="Bookman Old Style" w:hAnsi="Bookman Old Style" w:cs="Tahoma"/>
          <w:bCs/>
          <w:sz w:val="23"/>
          <w:szCs w:val="23"/>
        </w:rPr>
        <w:t xml:space="preserve">junio </w:t>
      </w:r>
      <w:r w:rsidRPr="00B8403D">
        <w:rPr>
          <w:rFonts w:ascii="Bookman Old Style" w:hAnsi="Bookman Old Style" w:cs="Tahoma"/>
          <w:bCs/>
          <w:sz w:val="23"/>
          <w:szCs w:val="23"/>
        </w:rPr>
        <w:t xml:space="preserve">de dos mil </w:t>
      </w:r>
      <w:r>
        <w:rPr>
          <w:rFonts w:ascii="Bookman Old Style" w:hAnsi="Bookman Old Style" w:cs="Tahoma"/>
          <w:bCs/>
          <w:sz w:val="23"/>
          <w:szCs w:val="23"/>
        </w:rPr>
        <w:t xml:space="preserve">quince </w:t>
      </w:r>
      <w:r w:rsidRPr="00B8403D">
        <w:rPr>
          <w:rFonts w:ascii="Bookman Old Style" w:hAnsi="Bookman Old Style" w:cs="Tahoma"/>
          <w:bCs/>
          <w:sz w:val="23"/>
          <w:szCs w:val="23"/>
        </w:rPr>
        <w:t>(201</w:t>
      </w:r>
      <w:r>
        <w:rPr>
          <w:rFonts w:ascii="Bookman Old Style" w:hAnsi="Bookman Old Style" w:cs="Tahoma"/>
          <w:bCs/>
          <w:sz w:val="23"/>
          <w:szCs w:val="23"/>
        </w:rPr>
        <w:t>5</w:t>
      </w:r>
      <w:r w:rsidRPr="00B8403D">
        <w:rPr>
          <w:rFonts w:ascii="Bookman Old Style" w:hAnsi="Bookman Old Style" w:cs="Tahoma"/>
          <w:bCs/>
          <w:sz w:val="23"/>
          <w:szCs w:val="23"/>
        </w:rPr>
        <w:t>)</w:t>
      </w:r>
    </w:p>
    <w:p w:rsidR="00B8403D" w:rsidRPr="00B8403D" w:rsidRDefault="00B8403D" w:rsidP="00B8403D">
      <w:pPr>
        <w:tabs>
          <w:tab w:val="left" w:pos="1985"/>
        </w:tabs>
        <w:jc w:val="center"/>
        <w:rPr>
          <w:rFonts w:ascii="Bookman Old Style" w:hAnsi="Bookman Old Style" w:cs="Tahoma"/>
          <w:b/>
          <w:bCs/>
          <w:sz w:val="23"/>
          <w:szCs w:val="23"/>
        </w:rPr>
      </w:pPr>
    </w:p>
    <w:p w:rsidR="00B8403D" w:rsidRPr="00B8403D" w:rsidRDefault="00B8403D" w:rsidP="00B8403D">
      <w:pPr>
        <w:tabs>
          <w:tab w:val="left" w:pos="1985"/>
        </w:tabs>
        <w:jc w:val="center"/>
        <w:rPr>
          <w:rFonts w:ascii="Bookman Old Style" w:hAnsi="Bookman Old Style" w:cs="Tahoma"/>
          <w:b/>
          <w:bCs/>
          <w:sz w:val="22"/>
          <w:szCs w:val="22"/>
        </w:rPr>
      </w:pPr>
    </w:p>
    <w:tbl>
      <w:tblPr>
        <w:tblW w:w="8890" w:type="dxa"/>
        <w:tblLayout w:type="fixed"/>
        <w:tblCellMar>
          <w:left w:w="70" w:type="dxa"/>
          <w:right w:w="70" w:type="dxa"/>
        </w:tblCellMar>
        <w:tblLook w:val="0000" w:firstRow="0" w:lastRow="0" w:firstColumn="0" w:lastColumn="0" w:noHBand="0" w:noVBand="0"/>
      </w:tblPr>
      <w:tblGrid>
        <w:gridCol w:w="2230"/>
        <w:gridCol w:w="6660"/>
      </w:tblGrid>
      <w:tr w:rsidR="00B8403D" w:rsidRPr="00B8403D" w:rsidTr="00C527F6">
        <w:trPr>
          <w:trHeight w:val="322"/>
        </w:trPr>
        <w:tc>
          <w:tcPr>
            <w:tcW w:w="2230" w:type="dxa"/>
            <w:tcBorders>
              <w:top w:val="single" w:sz="4" w:space="0" w:color="auto"/>
              <w:left w:val="single" w:sz="4" w:space="0" w:color="auto"/>
              <w:bottom w:val="single" w:sz="4" w:space="0" w:color="auto"/>
              <w:right w:val="single" w:sz="4" w:space="0" w:color="auto"/>
            </w:tcBorders>
            <w:noWrap/>
            <w:vAlign w:val="center"/>
          </w:tcPr>
          <w:p w:rsidR="00B8403D" w:rsidRPr="00B8403D" w:rsidRDefault="00B8403D" w:rsidP="00C527F6">
            <w:pPr>
              <w:spacing w:line="300" w:lineRule="auto"/>
              <w:rPr>
                <w:rFonts w:ascii="Bookman Old Style" w:hAnsi="Bookman Old Style" w:cs="Tahoma"/>
                <w:b/>
                <w:bCs/>
                <w:sz w:val="22"/>
                <w:szCs w:val="22"/>
              </w:rPr>
            </w:pPr>
            <w:r w:rsidRPr="00B8403D">
              <w:rPr>
                <w:rFonts w:ascii="Bookman Old Style" w:hAnsi="Bookman Old Style" w:cs="Tahoma"/>
                <w:b/>
                <w:bCs/>
                <w:sz w:val="22"/>
                <w:szCs w:val="22"/>
              </w:rPr>
              <w:t>MEDIO DE CONTROL</w:t>
            </w:r>
          </w:p>
        </w:tc>
        <w:tc>
          <w:tcPr>
            <w:tcW w:w="6660" w:type="dxa"/>
            <w:tcBorders>
              <w:top w:val="single" w:sz="4" w:space="0" w:color="auto"/>
              <w:left w:val="nil"/>
              <w:bottom w:val="single" w:sz="4" w:space="0" w:color="auto"/>
              <w:right w:val="single" w:sz="4" w:space="0" w:color="auto"/>
            </w:tcBorders>
            <w:noWrap/>
            <w:vAlign w:val="center"/>
          </w:tcPr>
          <w:p w:rsidR="00B8403D" w:rsidRPr="00B8403D" w:rsidRDefault="00B8403D" w:rsidP="00C527F6">
            <w:pPr>
              <w:spacing w:line="300" w:lineRule="auto"/>
              <w:rPr>
                <w:rFonts w:ascii="Bookman Old Style" w:hAnsi="Bookman Old Style" w:cs="Tahoma"/>
                <w:sz w:val="22"/>
                <w:szCs w:val="22"/>
              </w:rPr>
            </w:pPr>
            <w:r w:rsidRPr="00B8403D">
              <w:rPr>
                <w:rFonts w:ascii="Bookman Old Style" w:hAnsi="Bookman Old Style" w:cs="Tahoma"/>
                <w:sz w:val="22"/>
                <w:szCs w:val="22"/>
              </w:rPr>
              <w:t>NULIDAD Y RESTABLECIMIENTO DEL DERECHO – LABORAL</w:t>
            </w:r>
          </w:p>
        </w:tc>
      </w:tr>
      <w:tr w:rsidR="00B8403D" w:rsidRPr="00B8403D" w:rsidTr="00C527F6">
        <w:trPr>
          <w:trHeight w:val="322"/>
        </w:trPr>
        <w:tc>
          <w:tcPr>
            <w:tcW w:w="2230" w:type="dxa"/>
            <w:tcBorders>
              <w:top w:val="nil"/>
              <w:left w:val="single" w:sz="4" w:space="0" w:color="auto"/>
              <w:bottom w:val="single" w:sz="4" w:space="0" w:color="auto"/>
              <w:right w:val="single" w:sz="4" w:space="0" w:color="auto"/>
            </w:tcBorders>
            <w:noWrap/>
            <w:vAlign w:val="center"/>
          </w:tcPr>
          <w:p w:rsidR="00B8403D" w:rsidRPr="00B8403D" w:rsidRDefault="00B8403D" w:rsidP="00C527F6">
            <w:pPr>
              <w:spacing w:line="300" w:lineRule="auto"/>
              <w:rPr>
                <w:rFonts w:ascii="Bookman Old Style" w:hAnsi="Bookman Old Style" w:cs="Tahoma"/>
                <w:b/>
                <w:bCs/>
                <w:sz w:val="22"/>
                <w:szCs w:val="22"/>
              </w:rPr>
            </w:pPr>
            <w:r w:rsidRPr="00B8403D">
              <w:rPr>
                <w:rFonts w:ascii="Bookman Old Style" w:hAnsi="Bookman Old Style" w:cs="Tahoma"/>
                <w:b/>
                <w:bCs/>
                <w:sz w:val="22"/>
                <w:szCs w:val="22"/>
              </w:rPr>
              <w:t>DEMANDANTE</w:t>
            </w:r>
          </w:p>
        </w:tc>
        <w:tc>
          <w:tcPr>
            <w:tcW w:w="6660" w:type="dxa"/>
            <w:tcBorders>
              <w:top w:val="nil"/>
              <w:left w:val="nil"/>
              <w:bottom w:val="single" w:sz="4" w:space="0" w:color="auto"/>
              <w:right w:val="single" w:sz="4" w:space="0" w:color="auto"/>
            </w:tcBorders>
            <w:noWrap/>
            <w:vAlign w:val="center"/>
          </w:tcPr>
          <w:p w:rsidR="00B8403D" w:rsidRPr="00B8403D" w:rsidRDefault="00B8403D" w:rsidP="00B8403D">
            <w:pPr>
              <w:spacing w:line="300" w:lineRule="auto"/>
              <w:rPr>
                <w:rFonts w:ascii="Bookman Old Style" w:hAnsi="Bookman Old Style" w:cs="Tahoma"/>
                <w:sz w:val="22"/>
                <w:szCs w:val="22"/>
              </w:rPr>
            </w:pPr>
            <w:r>
              <w:rPr>
                <w:rFonts w:ascii="Bookman Old Style" w:hAnsi="Bookman Old Style" w:cs="Tahoma"/>
                <w:sz w:val="22"/>
                <w:szCs w:val="22"/>
              </w:rPr>
              <w:t xml:space="preserve">EDWIN MORA BAYONA  </w:t>
            </w:r>
          </w:p>
        </w:tc>
      </w:tr>
      <w:tr w:rsidR="00B8403D" w:rsidRPr="00B8403D" w:rsidTr="00C527F6">
        <w:trPr>
          <w:trHeight w:val="322"/>
        </w:trPr>
        <w:tc>
          <w:tcPr>
            <w:tcW w:w="2230" w:type="dxa"/>
            <w:tcBorders>
              <w:top w:val="nil"/>
              <w:left w:val="single" w:sz="4" w:space="0" w:color="auto"/>
              <w:bottom w:val="single" w:sz="4" w:space="0" w:color="auto"/>
              <w:right w:val="single" w:sz="4" w:space="0" w:color="auto"/>
            </w:tcBorders>
            <w:noWrap/>
            <w:vAlign w:val="center"/>
          </w:tcPr>
          <w:p w:rsidR="00B8403D" w:rsidRPr="00B8403D" w:rsidRDefault="00B8403D" w:rsidP="00C527F6">
            <w:pPr>
              <w:spacing w:line="300" w:lineRule="auto"/>
              <w:rPr>
                <w:rFonts w:ascii="Bookman Old Style" w:hAnsi="Bookman Old Style" w:cs="Tahoma"/>
                <w:b/>
                <w:bCs/>
                <w:sz w:val="22"/>
                <w:szCs w:val="22"/>
              </w:rPr>
            </w:pPr>
            <w:r w:rsidRPr="00B8403D">
              <w:rPr>
                <w:rFonts w:ascii="Bookman Old Style" w:hAnsi="Bookman Old Style" w:cs="Tahoma"/>
                <w:b/>
                <w:bCs/>
                <w:sz w:val="22"/>
                <w:szCs w:val="22"/>
              </w:rPr>
              <w:t>DEMANDADO</w:t>
            </w:r>
          </w:p>
        </w:tc>
        <w:tc>
          <w:tcPr>
            <w:tcW w:w="6660" w:type="dxa"/>
            <w:tcBorders>
              <w:top w:val="nil"/>
              <w:left w:val="nil"/>
              <w:bottom w:val="single" w:sz="4" w:space="0" w:color="auto"/>
              <w:right w:val="single" w:sz="4" w:space="0" w:color="auto"/>
            </w:tcBorders>
            <w:noWrap/>
            <w:vAlign w:val="center"/>
          </w:tcPr>
          <w:p w:rsidR="00B8403D" w:rsidRPr="00B8403D" w:rsidRDefault="00B8403D" w:rsidP="00C527F6">
            <w:pPr>
              <w:spacing w:line="300" w:lineRule="auto"/>
              <w:rPr>
                <w:rFonts w:ascii="Bookman Old Style" w:hAnsi="Bookman Old Style" w:cs="Tahoma"/>
                <w:sz w:val="22"/>
                <w:szCs w:val="22"/>
              </w:rPr>
            </w:pPr>
            <w:r w:rsidRPr="00B8403D">
              <w:rPr>
                <w:rFonts w:ascii="Bookman Old Style" w:hAnsi="Bookman Old Style" w:cs="Tahoma"/>
                <w:sz w:val="22"/>
                <w:szCs w:val="22"/>
              </w:rPr>
              <w:t>DEPARTAMENTO ADMINISTRATIVO DE SEGURIDAD (DAS EN SUPRESIÓN)</w:t>
            </w:r>
          </w:p>
        </w:tc>
      </w:tr>
      <w:tr w:rsidR="00B8403D" w:rsidRPr="00B8403D" w:rsidTr="00C527F6">
        <w:trPr>
          <w:trHeight w:val="322"/>
        </w:trPr>
        <w:tc>
          <w:tcPr>
            <w:tcW w:w="2230" w:type="dxa"/>
            <w:tcBorders>
              <w:top w:val="nil"/>
              <w:left w:val="single" w:sz="4" w:space="0" w:color="auto"/>
              <w:bottom w:val="single" w:sz="4" w:space="0" w:color="auto"/>
              <w:right w:val="single" w:sz="4" w:space="0" w:color="auto"/>
            </w:tcBorders>
            <w:noWrap/>
            <w:vAlign w:val="center"/>
          </w:tcPr>
          <w:p w:rsidR="00B8403D" w:rsidRPr="00B8403D" w:rsidRDefault="00B8403D" w:rsidP="00C527F6">
            <w:pPr>
              <w:spacing w:line="300" w:lineRule="auto"/>
              <w:rPr>
                <w:rFonts w:ascii="Bookman Old Style" w:hAnsi="Bookman Old Style" w:cs="Tahoma"/>
                <w:b/>
                <w:bCs/>
                <w:sz w:val="22"/>
                <w:szCs w:val="22"/>
              </w:rPr>
            </w:pPr>
            <w:r w:rsidRPr="00B8403D">
              <w:rPr>
                <w:rFonts w:ascii="Bookman Old Style" w:hAnsi="Bookman Old Style" w:cs="Tahoma"/>
                <w:b/>
                <w:bCs/>
                <w:sz w:val="22"/>
                <w:szCs w:val="22"/>
              </w:rPr>
              <w:t>RADICADO</w:t>
            </w:r>
          </w:p>
        </w:tc>
        <w:tc>
          <w:tcPr>
            <w:tcW w:w="6660" w:type="dxa"/>
            <w:tcBorders>
              <w:top w:val="nil"/>
              <w:left w:val="nil"/>
              <w:bottom w:val="single" w:sz="4" w:space="0" w:color="auto"/>
              <w:right w:val="single" w:sz="4" w:space="0" w:color="auto"/>
            </w:tcBorders>
            <w:noWrap/>
            <w:vAlign w:val="center"/>
          </w:tcPr>
          <w:p w:rsidR="00B8403D" w:rsidRPr="00B8403D" w:rsidRDefault="00B8403D" w:rsidP="00B8403D">
            <w:pPr>
              <w:spacing w:line="300" w:lineRule="auto"/>
              <w:rPr>
                <w:rFonts w:ascii="Bookman Old Style" w:hAnsi="Bookman Old Style" w:cs="Tahoma"/>
                <w:sz w:val="22"/>
                <w:szCs w:val="22"/>
              </w:rPr>
            </w:pPr>
            <w:r w:rsidRPr="00B8403D">
              <w:rPr>
                <w:rFonts w:ascii="Bookman Old Style" w:hAnsi="Bookman Old Style" w:cs="Tahoma"/>
                <w:sz w:val="22"/>
                <w:szCs w:val="22"/>
              </w:rPr>
              <w:t>05001 33 33 0</w:t>
            </w:r>
            <w:r>
              <w:rPr>
                <w:rFonts w:ascii="Bookman Old Style" w:hAnsi="Bookman Old Style" w:cs="Tahoma"/>
                <w:sz w:val="22"/>
                <w:szCs w:val="22"/>
              </w:rPr>
              <w:t>04</w:t>
            </w:r>
            <w:r w:rsidRPr="00B8403D">
              <w:rPr>
                <w:rFonts w:ascii="Bookman Old Style" w:hAnsi="Bookman Old Style" w:cs="Tahoma"/>
                <w:sz w:val="22"/>
                <w:szCs w:val="22"/>
              </w:rPr>
              <w:t xml:space="preserve"> </w:t>
            </w:r>
            <w:r w:rsidRPr="00B8403D">
              <w:rPr>
                <w:rFonts w:ascii="Bookman Old Style" w:hAnsi="Bookman Old Style" w:cs="Tahoma"/>
                <w:b/>
                <w:sz w:val="22"/>
                <w:szCs w:val="22"/>
                <w:u w:val="single"/>
              </w:rPr>
              <w:t>2014-00</w:t>
            </w:r>
            <w:r>
              <w:rPr>
                <w:rFonts w:ascii="Bookman Old Style" w:hAnsi="Bookman Old Style" w:cs="Tahoma"/>
                <w:b/>
                <w:sz w:val="22"/>
                <w:szCs w:val="22"/>
                <w:u w:val="single"/>
              </w:rPr>
              <w:t>506</w:t>
            </w:r>
            <w:r w:rsidRPr="00B8403D">
              <w:rPr>
                <w:rFonts w:ascii="Bookman Old Style" w:hAnsi="Bookman Old Style" w:cs="Tahoma"/>
                <w:sz w:val="22"/>
                <w:szCs w:val="22"/>
                <w:u w:val="single"/>
              </w:rPr>
              <w:t xml:space="preserve"> </w:t>
            </w:r>
            <w:r w:rsidRPr="00B8403D">
              <w:rPr>
                <w:rFonts w:ascii="Bookman Old Style" w:hAnsi="Bookman Old Style" w:cs="Tahoma"/>
                <w:sz w:val="22"/>
                <w:szCs w:val="22"/>
              </w:rPr>
              <w:t xml:space="preserve">00 </w:t>
            </w:r>
          </w:p>
        </w:tc>
      </w:tr>
      <w:tr w:rsidR="00B8403D" w:rsidRPr="00B8403D" w:rsidTr="00C527F6">
        <w:trPr>
          <w:trHeight w:val="322"/>
        </w:trPr>
        <w:tc>
          <w:tcPr>
            <w:tcW w:w="2230" w:type="dxa"/>
            <w:tcBorders>
              <w:top w:val="nil"/>
              <w:left w:val="single" w:sz="4" w:space="0" w:color="auto"/>
              <w:bottom w:val="single" w:sz="4" w:space="0" w:color="auto"/>
              <w:right w:val="single" w:sz="4" w:space="0" w:color="auto"/>
            </w:tcBorders>
            <w:noWrap/>
            <w:vAlign w:val="center"/>
          </w:tcPr>
          <w:p w:rsidR="00B8403D" w:rsidRPr="00B8403D" w:rsidRDefault="00B8403D" w:rsidP="00C527F6">
            <w:pPr>
              <w:spacing w:line="300" w:lineRule="auto"/>
              <w:rPr>
                <w:rFonts w:ascii="Bookman Old Style" w:hAnsi="Bookman Old Style" w:cs="Tahoma"/>
                <w:b/>
                <w:bCs/>
                <w:sz w:val="22"/>
                <w:szCs w:val="22"/>
              </w:rPr>
            </w:pPr>
            <w:r w:rsidRPr="00B8403D">
              <w:rPr>
                <w:rFonts w:ascii="Bookman Old Style" w:hAnsi="Bookman Old Style" w:cs="Tahoma"/>
                <w:b/>
                <w:bCs/>
                <w:sz w:val="22"/>
                <w:szCs w:val="22"/>
              </w:rPr>
              <w:t>DECISIÓN</w:t>
            </w:r>
          </w:p>
        </w:tc>
        <w:tc>
          <w:tcPr>
            <w:tcW w:w="6660" w:type="dxa"/>
            <w:tcBorders>
              <w:top w:val="nil"/>
              <w:left w:val="nil"/>
              <w:bottom w:val="single" w:sz="4" w:space="0" w:color="auto"/>
              <w:right w:val="single" w:sz="4" w:space="0" w:color="auto"/>
            </w:tcBorders>
            <w:noWrap/>
            <w:vAlign w:val="center"/>
          </w:tcPr>
          <w:p w:rsidR="00B8403D" w:rsidRPr="00B8403D" w:rsidRDefault="00B8403D" w:rsidP="00B8403D">
            <w:pPr>
              <w:spacing w:line="300" w:lineRule="auto"/>
              <w:jc w:val="both"/>
              <w:rPr>
                <w:rFonts w:ascii="Bookman Old Style" w:hAnsi="Bookman Old Style" w:cs="Tahoma"/>
                <w:sz w:val="22"/>
                <w:szCs w:val="22"/>
              </w:rPr>
            </w:pPr>
            <w:r w:rsidRPr="00B8403D">
              <w:rPr>
                <w:rFonts w:ascii="Bookman Old Style" w:hAnsi="Bookman Old Style" w:cs="Tahoma"/>
                <w:sz w:val="22"/>
                <w:szCs w:val="22"/>
              </w:rPr>
              <w:t xml:space="preserve">DECRETA LA SUCESIÓN PROCESAL  </w:t>
            </w:r>
          </w:p>
        </w:tc>
      </w:tr>
    </w:tbl>
    <w:p w:rsidR="00B8403D" w:rsidRPr="00B8403D" w:rsidRDefault="00B8403D" w:rsidP="00B8403D">
      <w:pPr>
        <w:spacing w:line="276" w:lineRule="auto"/>
        <w:jc w:val="both"/>
        <w:rPr>
          <w:rFonts w:ascii="Bookman Old Style" w:hAnsi="Bookman Old Style" w:cs="Tahoma"/>
          <w:sz w:val="23"/>
          <w:szCs w:val="23"/>
        </w:rPr>
      </w:pPr>
    </w:p>
    <w:p w:rsidR="00B8403D" w:rsidRPr="00B8403D" w:rsidRDefault="00B8403D" w:rsidP="00B8403D">
      <w:pPr>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Revisado el expediente advierte el Despacho que procede a pronunciarse respecto de la figura de la sucesión procesal con fundamento en las siguientes, </w:t>
      </w:r>
    </w:p>
    <w:p w:rsidR="00B8403D" w:rsidRPr="00B8403D" w:rsidRDefault="00B8403D" w:rsidP="00B8403D">
      <w:pPr>
        <w:jc w:val="both"/>
        <w:rPr>
          <w:rFonts w:ascii="Bookman Old Style" w:hAnsi="Bookman Old Style" w:cs="Tahoma"/>
          <w:sz w:val="23"/>
          <w:szCs w:val="23"/>
        </w:rPr>
      </w:pPr>
    </w:p>
    <w:p w:rsidR="00B8403D" w:rsidRPr="00B8403D" w:rsidRDefault="00B8403D" w:rsidP="00B8403D">
      <w:pPr>
        <w:spacing w:line="300" w:lineRule="auto"/>
        <w:jc w:val="center"/>
        <w:rPr>
          <w:rFonts w:ascii="Bookman Old Style" w:hAnsi="Bookman Old Style" w:cs="Tahoma"/>
          <w:b/>
          <w:sz w:val="23"/>
          <w:szCs w:val="23"/>
        </w:rPr>
      </w:pPr>
      <w:r w:rsidRPr="00B8403D">
        <w:rPr>
          <w:rFonts w:ascii="Bookman Old Style" w:hAnsi="Bookman Old Style" w:cs="Tahoma"/>
          <w:b/>
          <w:sz w:val="23"/>
          <w:szCs w:val="23"/>
        </w:rPr>
        <w:t>CONSIDERACIONES</w:t>
      </w:r>
    </w:p>
    <w:p w:rsidR="00B8403D" w:rsidRPr="00B8403D" w:rsidRDefault="00B8403D" w:rsidP="00B8403D">
      <w:pPr>
        <w:jc w:val="both"/>
        <w:rPr>
          <w:rFonts w:ascii="Bookman Old Style" w:hAnsi="Bookman Old Style" w:cs="Tahoma"/>
          <w:sz w:val="23"/>
          <w:szCs w:val="23"/>
        </w:rPr>
      </w:pPr>
    </w:p>
    <w:p w:rsidR="00B8403D" w:rsidRPr="00B8403D" w:rsidRDefault="00B8403D" w:rsidP="00F3168C">
      <w:pPr>
        <w:spacing w:line="300" w:lineRule="auto"/>
        <w:jc w:val="both"/>
        <w:rPr>
          <w:rFonts w:ascii="Bookman Old Style" w:hAnsi="Bookman Old Style" w:cs="Tahoma"/>
          <w:sz w:val="23"/>
          <w:szCs w:val="23"/>
        </w:rPr>
      </w:pPr>
      <w:r w:rsidRPr="00B8403D">
        <w:rPr>
          <w:rFonts w:ascii="Bookman Old Style" w:hAnsi="Bookman Old Style" w:cs="Tahoma"/>
          <w:sz w:val="23"/>
          <w:szCs w:val="23"/>
        </w:rPr>
        <w:t>El día 2</w:t>
      </w:r>
      <w:r>
        <w:rPr>
          <w:rFonts w:ascii="Bookman Old Style" w:hAnsi="Bookman Old Style" w:cs="Tahoma"/>
          <w:sz w:val="23"/>
          <w:szCs w:val="23"/>
        </w:rPr>
        <w:t>5</w:t>
      </w:r>
      <w:r w:rsidRPr="00B8403D">
        <w:rPr>
          <w:rFonts w:ascii="Bookman Old Style" w:hAnsi="Bookman Old Style" w:cs="Tahoma"/>
          <w:sz w:val="23"/>
          <w:szCs w:val="23"/>
        </w:rPr>
        <w:t xml:space="preserve"> de </w:t>
      </w:r>
      <w:r>
        <w:rPr>
          <w:rFonts w:ascii="Bookman Old Style" w:hAnsi="Bookman Old Style" w:cs="Tahoma"/>
          <w:sz w:val="23"/>
          <w:szCs w:val="23"/>
        </w:rPr>
        <w:t xml:space="preserve">abril </w:t>
      </w:r>
      <w:r w:rsidRPr="00B8403D">
        <w:rPr>
          <w:rFonts w:ascii="Bookman Old Style" w:hAnsi="Bookman Old Style" w:cs="Tahoma"/>
          <w:sz w:val="23"/>
          <w:szCs w:val="23"/>
        </w:rPr>
        <w:t xml:space="preserve">de 2014, el señor </w:t>
      </w:r>
      <w:r>
        <w:rPr>
          <w:rFonts w:ascii="Bookman Old Style" w:hAnsi="Bookman Old Style" w:cs="Tahoma"/>
          <w:sz w:val="23"/>
          <w:szCs w:val="23"/>
        </w:rPr>
        <w:t xml:space="preserve">EDWIN MORA BAYONA </w:t>
      </w:r>
      <w:r w:rsidRPr="00B8403D">
        <w:rPr>
          <w:rFonts w:ascii="Bookman Old Style" w:hAnsi="Bookman Old Style" w:cs="Tahoma"/>
          <w:sz w:val="23"/>
          <w:szCs w:val="23"/>
        </w:rPr>
        <w:t>interpuso demanda de NULIDAD Y RESTABLECIMIENTO DEL DERECHO contra la NACIÓN – DEPARTAMENTO ADMINISTRATIV</w:t>
      </w:r>
      <w:r>
        <w:rPr>
          <w:rFonts w:ascii="Bookman Old Style" w:hAnsi="Bookman Old Style" w:cs="Tahoma"/>
          <w:sz w:val="23"/>
          <w:szCs w:val="23"/>
        </w:rPr>
        <w:t>O DE SEGURIDAD DAS EN SUPRESIÓN</w:t>
      </w:r>
      <w:r w:rsidRPr="00B8403D">
        <w:rPr>
          <w:rFonts w:ascii="Bookman Old Style" w:hAnsi="Bookman Old Style" w:cs="Tahoma"/>
          <w:sz w:val="23"/>
          <w:szCs w:val="23"/>
        </w:rPr>
        <w:t xml:space="preserve">.  </w:t>
      </w:r>
    </w:p>
    <w:p w:rsidR="00B8403D" w:rsidRPr="00B8403D" w:rsidRDefault="00B8403D" w:rsidP="00B8403D">
      <w:pPr>
        <w:ind w:left="720"/>
        <w:jc w:val="both"/>
        <w:rPr>
          <w:rFonts w:ascii="Bookman Old Style" w:hAnsi="Bookman Old Style" w:cs="Tahoma"/>
          <w:sz w:val="23"/>
          <w:szCs w:val="23"/>
        </w:rPr>
      </w:pPr>
    </w:p>
    <w:p w:rsidR="00B8403D" w:rsidRPr="00B8403D" w:rsidRDefault="00B8403D" w:rsidP="00F3168C">
      <w:pPr>
        <w:spacing w:line="300" w:lineRule="auto"/>
        <w:jc w:val="both"/>
        <w:rPr>
          <w:rFonts w:ascii="Bookman Old Style" w:hAnsi="Bookman Old Style" w:cs="Tahoma"/>
          <w:sz w:val="23"/>
          <w:szCs w:val="23"/>
        </w:rPr>
      </w:pPr>
      <w:r w:rsidRPr="00B8403D">
        <w:rPr>
          <w:rFonts w:ascii="Bookman Old Style" w:hAnsi="Bookman Old Style" w:cs="Tahoma"/>
          <w:sz w:val="23"/>
          <w:szCs w:val="23"/>
        </w:rPr>
        <w:t>La demanda correspondió por reparto a este Despacho el día 2</w:t>
      </w:r>
      <w:r>
        <w:rPr>
          <w:rFonts w:ascii="Bookman Old Style" w:hAnsi="Bookman Old Style" w:cs="Tahoma"/>
          <w:sz w:val="23"/>
          <w:szCs w:val="23"/>
        </w:rPr>
        <w:t>8</w:t>
      </w:r>
      <w:r w:rsidRPr="00B8403D">
        <w:rPr>
          <w:rFonts w:ascii="Bookman Old Style" w:hAnsi="Bookman Old Style" w:cs="Tahoma"/>
          <w:sz w:val="23"/>
          <w:szCs w:val="23"/>
        </w:rPr>
        <w:t xml:space="preserve"> de </w:t>
      </w:r>
      <w:r>
        <w:rPr>
          <w:rFonts w:ascii="Bookman Old Style" w:hAnsi="Bookman Old Style" w:cs="Tahoma"/>
          <w:sz w:val="23"/>
          <w:szCs w:val="23"/>
        </w:rPr>
        <w:t xml:space="preserve">abril </w:t>
      </w:r>
      <w:r w:rsidRPr="00B8403D">
        <w:rPr>
          <w:rFonts w:ascii="Bookman Old Style" w:hAnsi="Bookman Old Style" w:cs="Tahoma"/>
          <w:sz w:val="23"/>
          <w:szCs w:val="23"/>
        </w:rPr>
        <w:t xml:space="preserve">2014 y mediante auto del </w:t>
      </w:r>
      <w:r>
        <w:rPr>
          <w:rFonts w:ascii="Bookman Old Style" w:hAnsi="Bookman Old Style" w:cs="Tahoma"/>
          <w:sz w:val="23"/>
          <w:szCs w:val="23"/>
        </w:rPr>
        <w:t>4</w:t>
      </w:r>
      <w:r w:rsidRPr="00B8403D">
        <w:rPr>
          <w:rFonts w:ascii="Bookman Old Style" w:hAnsi="Bookman Old Style" w:cs="Tahoma"/>
          <w:sz w:val="23"/>
          <w:szCs w:val="23"/>
        </w:rPr>
        <w:t xml:space="preserve"> de julio de 2014 se admitió solamente contra el D</w:t>
      </w:r>
      <w:r>
        <w:rPr>
          <w:rFonts w:ascii="Bookman Old Style" w:hAnsi="Bookman Old Style" w:cs="Tahoma"/>
          <w:sz w:val="23"/>
          <w:szCs w:val="23"/>
        </w:rPr>
        <w:t>EPARTAMENTO ADMINISTRATIVO DE SEGURIDAD - DAS</w:t>
      </w:r>
      <w:r w:rsidRPr="00B8403D">
        <w:rPr>
          <w:rFonts w:ascii="Bookman Old Style" w:hAnsi="Bookman Old Style" w:cs="Tahoma"/>
          <w:sz w:val="23"/>
          <w:szCs w:val="23"/>
        </w:rPr>
        <w:t xml:space="preserve"> (</w:t>
      </w:r>
      <w:proofErr w:type="spellStart"/>
      <w:r w:rsidRPr="00B8403D">
        <w:rPr>
          <w:rFonts w:ascii="Bookman Old Style" w:hAnsi="Bookman Old Style" w:cs="Tahoma"/>
          <w:sz w:val="23"/>
          <w:szCs w:val="23"/>
        </w:rPr>
        <w:t>Fls</w:t>
      </w:r>
      <w:proofErr w:type="spellEnd"/>
      <w:r w:rsidRPr="00B8403D">
        <w:rPr>
          <w:rFonts w:ascii="Bookman Old Style" w:hAnsi="Bookman Old Style" w:cs="Tahoma"/>
          <w:sz w:val="23"/>
          <w:szCs w:val="23"/>
        </w:rPr>
        <w:t xml:space="preserve"> </w:t>
      </w:r>
      <w:r>
        <w:rPr>
          <w:rFonts w:ascii="Bookman Old Style" w:hAnsi="Bookman Old Style" w:cs="Tahoma"/>
          <w:sz w:val="23"/>
          <w:szCs w:val="23"/>
        </w:rPr>
        <w:t>63</w:t>
      </w:r>
      <w:r w:rsidRPr="00B8403D">
        <w:rPr>
          <w:rFonts w:ascii="Bookman Old Style" w:hAnsi="Bookman Old Style" w:cs="Tahoma"/>
          <w:sz w:val="23"/>
          <w:szCs w:val="23"/>
        </w:rPr>
        <w:t>).</w:t>
      </w:r>
    </w:p>
    <w:p w:rsidR="00B8403D" w:rsidRPr="00B8403D" w:rsidRDefault="00B8403D" w:rsidP="00B8403D">
      <w:pPr>
        <w:jc w:val="both"/>
        <w:rPr>
          <w:rFonts w:ascii="Bookman Old Style" w:hAnsi="Bookman Old Style" w:cs="Tahoma"/>
          <w:sz w:val="23"/>
          <w:szCs w:val="23"/>
        </w:rPr>
      </w:pPr>
    </w:p>
    <w:p w:rsidR="00B8403D" w:rsidRPr="00B8403D" w:rsidRDefault="00B8403D" w:rsidP="00B8403D">
      <w:pPr>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En dicha providencia se ordenó la notificación personal de la entidad accionada DAS, así como de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B8403D">
            <w:rPr>
              <w:rFonts w:ascii="Bookman Old Style" w:hAnsi="Bookman Old Style" w:cs="Tahoma"/>
              <w:sz w:val="23"/>
              <w:szCs w:val="23"/>
            </w:rPr>
            <w:t>la AGENCIA</w:t>
          </w:r>
        </w:smartTag>
        <w:r w:rsidRPr="00B8403D">
          <w:rPr>
            <w:rFonts w:ascii="Bookman Old Style" w:hAnsi="Bookman Old Style" w:cs="Tahoma"/>
            <w:sz w:val="23"/>
            <w:szCs w:val="23"/>
          </w:rPr>
          <w:t xml:space="preserve"> NACIONAL</w:t>
        </w:r>
      </w:smartTag>
      <w:r w:rsidRPr="00B8403D">
        <w:rPr>
          <w:rFonts w:ascii="Bookman Old Style" w:hAnsi="Bookman Old Style" w:cs="Tahoma"/>
          <w:sz w:val="23"/>
          <w:szCs w:val="23"/>
        </w:rPr>
        <w:t xml:space="preserve"> PARA </w:t>
      </w:r>
      <w:smartTag w:uri="urn:schemas-microsoft-com:office:smarttags" w:element="PersonName">
        <w:smartTagPr>
          <w:attr w:name="ProductID" w:val="LA DEFENSA JURÍDICA"/>
        </w:smartTagPr>
        <w:smartTag w:uri="urn:schemas-microsoft-com:office:smarttags" w:element="PersonName">
          <w:smartTagPr>
            <w:attr w:name="ProductID" w:val="LA DEFENSA"/>
          </w:smartTagPr>
          <w:r w:rsidRPr="00B8403D">
            <w:rPr>
              <w:rFonts w:ascii="Bookman Old Style" w:hAnsi="Bookman Old Style" w:cs="Tahoma"/>
              <w:sz w:val="23"/>
              <w:szCs w:val="23"/>
            </w:rPr>
            <w:t>LA DEFENSA</w:t>
          </w:r>
        </w:smartTag>
        <w:r w:rsidRPr="00B8403D">
          <w:rPr>
            <w:rFonts w:ascii="Bookman Old Style" w:hAnsi="Bookman Old Style" w:cs="Tahoma"/>
            <w:sz w:val="23"/>
            <w:szCs w:val="23"/>
          </w:rPr>
          <w:t xml:space="preserve"> JURÍDICA</w:t>
        </w:r>
      </w:smartTag>
      <w:r w:rsidRPr="00B8403D">
        <w:rPr>
          <w:rFonts w:ascii="Bookman Old Style" w:hAnsi="Bookman Old Style" w:cs="Tahoma"/>
          <w:sz w:val="23"/>
          <w:szCs w:val="23"/>
        </w:rPr>
        <w:t xml:space="preserve"> DEL ESTADO y del MINISTERIO PÚBLICO. Esta diligencia estaría supeditada al envío que la parte actora hiciera de los traslados de la demanda.</w:t>
      </w:r>
    </w:p>
    <w:p w:rsidR="00B8403D" w:rsidRPr="00B8403D" w:rsidRDefault="00B8403D" w:rsidP="00B8403D">
      <w:pPr>
        <w:jc w:val="both"/>
        <w:rPr>
          <w:rFonts w:ascii="Bookman Old Style" w:hAnsi="Bookman Old Style" w:cs="Tahoma"/>
          <w:sz w:val="23"/>
          <w:szCs w:val="23"/>
        </w:rPr>
      </w:pPr>
    </w:p>
    <w:p w:rsidR="00B8403D" w:rsidRPr="00B8403D" w:rsidRDefault="00B8403D" w:rsidP="00F3168C">
      <w:pPr>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El día </w:t>
      </w:r>
      <w:r>
        <w:rPr>
          <w:rFonts w:ascii="Bookman Old Style" w:hAnsi="Bookman Old Style" w:cs="Tahoma"/>
          <w:sz w:val="23"/>
          <w:szCs w:val="23"/>
        </w:rPr>
        <w:t>25</w:t>
      </w:r>
      <w:r w:rsidRPr="00B8403D">
        <w:rPr>
          <w:rFonts w:ascii="Bookman Old Style" w:hAnsi="Bookman Old Style" w:cs="Tahoma"/>
          <w:sz w:val="23"/>
          <w:szCs w:val="23"/>
        </w:rPr>
        <w:t xml:space="preserve"> de </w:t>
      </w:r>
      <w:r>
        <w:rPr>
          <w:rFonts w:ascii="Bookman Old Style" w:hAnsi="Bookman Old Style" w:cs="Tahoma"/>
          <w:sz w:val="23"/>
          <w:szCs w:val="23"/>
        </w:rPr>
        <w:t xml:space="preserve">julio </w:t>
      </w:r>
      <w:r w:rsidRPr="00B8403D">
        <w:rPr>
          <w:rFonts w:ascii="Bookman Old Style" w:hAnsi="Bookman Old Style" w:cs="Tahoma"/>
          <w:sz w:val="23"/>
          <w:szCs w:val="23"/>
        </w:rPr>
        <w:t>de 2014, la parte demandante retiró los traslados de la demanda a efectos de remitirlos a los interesados conforme se ordenó en el auto admisorio de la demanda (</w:t>
      </w:r>
      <w:proofErr w:type="spellStart"/>
      <w:r w:rsidRPr="00B8403D">
        <w:rPr>
          <w:rFonts w:ascii="Bookman Old Style" w:hAnsi="Bookman Old Style" w:cs="Tahoma"/>
          <w:sz w:val="23"/>
          <w:szCs w:val="23"/>
        </w:rPr>
        <w:t>Fls</w:t>
      </w:r>
      <w:proofErr w:type="spellEnd"/>
      <w:r w:rsidRPr="00B8403D">
        <w:rPr>
          <w:rFonts w:ascii="Bookman Old Style" w:hAnsi="Bookman Old Style" w:cs="Tahoma"/>
          <w:sz w:val="23"/>
          <w:szCs w:val="23"/>
        </w:rPr>
        <w:t xml:space="preserve"> </w:t>
      </w:r>
      <w:r>
        <w:rPr>
          <w:rFonts w:ascii="Bookman Old Style" w:hAnsi="Bookman Old Style" w:cs="Tahoma"/>
          <w:sz w:val="23"/>
          <w:szCs w:val="23"/>
        </w:rPr>
        <w:t>66</w:t>
      </w:r>
      <w:r w:rsidRPr="00B8403D">
        <w:rPr>
          <w:rFonts w:ascii="Bookman Old Style" w:hAnsi="Bookman Old Style" w:cs="Tahoma"/>
          <w:sz w:val="23"/>
          <w:szCs w:val="23"/>
        </w:rPr>
        <w:t xml:space="preserve">). </w:t>
      </w:r>
    </w:p>
    <w:p w:rsidR="00B8403D" w:rsidRPr="00B8403D" w:rsidRDefault="00B8403D" w:rsidP="00B8403D">
      <w:pPr>
        <w:jc w:val="both"/>
        <w:rPr>
          <w:rFonts w:ascii="Bookman Old Style" w:hAnsi="Bookman Old Style" w:cs="Tahoma"/>
          <w:sz w:val="23"/>
          <w:szCs w:val="23"/>
        </w:rPr>
      </w:pPr>
    </w:p>
    <w:p w:rsidR="00B8403D" w:rsidRPr="00B8403D" w:rsidRDefault="00B8403D" w:rsidP="00F3168C">
      <w:pPr>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El día </w:t>
      </w:r>
      <w:r>
        <w:rPr>
          <w:rFonts w:ascii="Bookman Old Style" w:hAnsi="Bookman Old Style" w:cs="Tahoma"/>
          <w:sz w:val="23"/>
          <w:szCs w:val="23"/>
        </w:rPr>
        <w:t>9</w:t>
      </w:r>
      <w:r w:rsidRPr="00B8403D">
        <w:rPr>
          <w:rFonts w:ascii="Bookman Old Style" w:hAnsi="Bookman Old Style" w:cs="Tahoma"/>
          <w:sz w:val="23"/>
          <w:szCs w:val="23"/>
        </w:rPr>
        <w:t xml:space="preserve"> de septiembre de 2014, el apoderado de la parte actora acreditó el envío de los traslados de la demanda </w:t>
      </w:r>
      <w:r>
        <w:rPr>
          <w:rFonts w:ascii="Bookman Old Style" w:hAnsi="Bookman Old Style" w:cs="Tahoma"/>
          <w:sz w:val="23"/>
          <w:szCs w:val="23"/>
        </w:rPr>
        <w:t>al</w:t>
      </w:r>
      <w:r w:rsidRPr="00B8403D">
        <w:rPr>
          <w:rFonts w:ascii="Bookman Old Style" w:hAnsi="Bookman Old Style" w:cs="Tahoma"/>
          <w:sz w:val="23"/>
          <w:szCs w:val="23"/>
        </w:rPr>
        <w:t>: DAS EN SUPRESIÓN y AGENCIA NACIONAL DE DEFENSA JURÍDICA DEL ESTADO</w:t>
      </w:r>
      <w:r>
        <w:rPr>
          <w:rFonts w:ascii="Bookman Old Style" w:hAnsi="Bookman Old Style" w:cs="Tahoma"/>
          <w:sz w:val="23"/>
          <w:szCs w:val="23"/>
        </w:rPr>
        <w:t xml:space="preserve"> y AL DELEGADO DEL MINISTERIO PUBLICO</w:t>
      </w:r>
      <w:r w:rsidR="00F3168C">
        <w:rPr>
          <w:rFonts w:ascii="Bookman Old Style" w:hAnsi="Bookman Old Style" w:cs="Tahoma"/>
          <w:sz w:val="23"/>
          <w:szCs w:val="23"/>
        </w:rPr>
        <w:t>.</w:t>
      </w:r>
    </w:p>
    <w:p w:rsidR="00B8403D" w:rsidRPr="00B8403D" w:rsidRDefault="00B8403D" w:rsidP="00B8403D">
      <w:pPr>
        <w:pStyle w:val="Prrafodelista"/>
        <w:rPr>
          <w:rFonts w:ascii="Bookman Old Style" w:hAnsi="Bookman Old Style" w:cs="Tahoma"/>
          <w:sz w:val="23"/>
          <w:szCs w:val="23"/>
        </w:rPr>
      </w:pPr>
    </w:p>
    <w:p w:rsidR="00B8403D" w:rsidRPr="00B8403D" w:rsidRDefault="00B8403D" w:rsidP="00F3168C">
      <w:pPr>
        <w:spacing w:line="300" w:lineRule="auto"/>
        <w:jc w:val="both"/>
        <w:rPr>
          <w:rFonts w:ascii="Bookman Old Style" w:hAnsi="Bookman Old Style" w:cs="Tahoma"/>
          <w:sz w:val="23"/>
          <w:szCs w:val="23"/>
          <w:u w:val="single"/>
        </w:rPr>
      </w:pPr>
      <w:r w:rsidRPr="00B8403D">
        <w:rPr>
          <w:rFonts w:ascii="Bookman Old Style" w:hAnsi="Bookman Old Style" w:cs="Tahoma"/>
          <w:sz w:val="23"/>
          <w:szCs w:val="23"/>
        </w:rPr>
        <w:t xml:space="preserve">Por otra parte, encuentra el Despacho que el Gobierno Nacional mediante </w:t>
      </w:r>
      <w:r w:rsidRPr="00B8403D">
        <w:rPr>
          <w:rFonts w:ascii="Bookman Old Style" w:hAnsi="Bookman Old Style" w:cs="Tahoma"/>
          <w:b/>
          <w:sz w:val="23"/>
          <w:szCs w:val="23"/>
        </w:rPr>
        <w:t>Decreto No. 4057 del 31 de octubre de 2011</w:t>
      </w:r>
      <w:r w:rsidRPr="00B8403D">
        <w:rPr>
          <w:rFonts w:ascii="Bookman Old Style" w:hAnsi="Bookman Old Style" w:cs="Tahoma"/>
          <w:sz w:val="23"/>
          <w:szCs w:val="23"/>
        </w:rPr>
        <w:t xml:space="preserve">, </w:t>
      </w:r>
      <w:r w:rsidRPr="00B8403D">
        <w:rPr>
          <w:rFonts w:ascii="Bookman Old Style" w:hAnsi="Bookman Old Style" w:cs="Tahoma"/>
          <w:b/>
          <w:sz w:val="23"/>
          <w:szCs w:val="23"/>
        </w:rPr>
        <w:t>ordenó la supresión</w:t>
      </w:r>
      <w:r w:rsidRPr="00B8403D">
        <w:rPr>
          <w:rFonts w:ascii="Bookman Old Style" w:hAnsi="Bookman Old Style" w:cs="Tahoma"/>
          <w:sz w:val="23"/>
          <w:szCs w:val="23"/>
        </w:rPr>
        <w:t xml:space="preserve"> del DEPARTAMENTO ADMINISTRATIVO DE SEGURIDAD DAS, proceso que debía cumplirse en el plazo en de dos (2) años contados a partir de la entrada en </w:t>
      </w:r>
      <w:r w:rsidRPr="00B8403D">
        <w:rPr>
          <w:rFonts w:ascii="Bookman Old Style" w:hAnsi="Bookman Old Style" w:cs="Tahoma"/>
          <w:sz w:val="23"/>
          <w:szCs w:val="23"/>
        </w:rPr>
        <w:lastRenderedPageBreak/>
        <w:t>vigencia del Decreto en mención, término que sería prorrogable hasta por un plazo de un (1) año.</w:t>
      </w:r>
    </w:p>
    <w:p w:rsidR="00B8403D" w:rsidRPr="00B8403D" w:rsidRDefault="00B8403D" w:rsidP="00B8403D">
      <w:pPr>
        <w:spacing w:line="300" w:lineRule="auto"/>
        <w:jc w:val="both"/>
        <w:rPr>
          <w:rFonts w:ascii="Bookman Old Style" w:hAnsi="Bookman Old Style" w:cs="Tahoma"/>
          <w:sz w:val="23"/>
          <w:szCs w:val="23"/>
        </w:rPr>
      </w:pPr>
    </w:p>
    <w:p w:rsidR="00B8403D" w:rsidRPr="00B8403D" w:rsidRDefault="00B8403D" w:rsidP="00B8403D">
      <w:pPr>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Igualmente, </w:t>
      </w:r>
      <w:r w:rsidRPr="00B8403D">
        <w:rPr>
          <w:rFonts w:ascii="Bookman Old Style" w:hAnsi="Bookman Old Style" w:cs="Tahoma"/>
          <w:color w:val="000000"/>
          <w:sz w:val="23"/>
          <w:szCs w:val="23"/>
        </w:rPr>
        <w:t xml:space="preserve">en el artículo 18 del </w:t>
      </w:r>
      <w:r w:rsidRPr="00B8403D">
        <w:rPr>
          <w:rFonts w:ascii="Bookman Old Style" w:hAnsi="Bookman Old Style" w:cs="Tahoma"/>
          <w:sz w:val="23"/>
          <w:szCs w:val="23"/>
        </w:rPr>
        <w:t xml:space="preserve">Decreto No. 4057 del 31 de octubre de 2011, se indicó: </w:t>
      </w:r>
    </w:p>
    <w:p w:rsidR="00B8403D" w:rsidRPr="00B8403D" w:rsidRDefault="00B8403D" w:rsidP="00B8403D">
      <w:pPr>
        <w:pStyle w:val="NormalWeb"/>
        <w:shd w:val="clear" w:color="auto" w:fill="FFFFFF"/>
        <w:spacing w:before="0" w:beforeAutospacing="0" w:after="0" w:afterAutospacing="0"/>
        <w:jc w:val="both"/>
        <w:rPr>
          <w:rFonts w:ascii="Bookman Old Style" w:hAnsi="Bookman Old Style" w:cs="Tahoma"/>
          <w:color w:val="000000"/>
          <w:sz w:val="23"/>
          <w:szCs w:val="23"/>
        </w:rPr>
      </w:pPr>
    </w:p>
    <w:p w:rsidR="00B8403D" w:rsidRPr="00B8403D" w:rsidRDefault="00B8403D" w:rsidP="00B8403D">
      <w:pPr>
        <w:pStyle w:val="NormalWeb"/>
        <w:shd w:val="clear" w:color="auto" w:fill="FFFFFF"/>
        <w:spacing w:before="0" w:beforeAutospacing="0" w:after="0" w:afterAutospacing="0"/>
        <w:ind w:left="567" w:right="617"/>
        <w:jc w:val="both"/>
        <w:rPr>
          <w:rFonts w:ascii="Bookman Old Style" w:hAnsi="Bookman Old Style" w:cs="Tahoma"/>
          <w:i/>
          <w:color w:val="000000"/>
          <w:sz w:val="23"/>
          <w:szCs w:val="23"/>
        </w:rPr>
      </w:pPr>
      <w:r w:rsidRPr="00B8403D">
        <w:rPr>
          <w:rFonts w:ascii="Bookman Old Style" w:hAnsi="Bookman Old Style" w:cs="Tahoma"/>
          <w:b/>
          <w:bCs/>
          <w:i/>
          <w:color w:val="000000"/>
          <w:sz w:val="23"/>
          <w:szCs w:val="23"/>
        </w:rPr>
        <w:t>“ARTÍCULO 18.</w:t>
      </w:r>
      <w:r w:rsidRPr="00B8403D">
        <w:rPr>
          <w:rStyle w:val="apple-converted-space"/>
          <w:rFonts w:ascii="Bookman Old Style" w:hAnsi="Bookman Old Style" w:cs="Tahoma"/>
          <w:b/>
          <w:bCs/>
          <w:i/>
          <w:color w:val="000000"/>
          <w:sz w:val="23"/>
          <w:szCs w:val="23"/>
        </w:rPr>
        <w:t> </w:t>
      </w:r>
      <w:r w:rsidRPr="00B8403D">
        <w:rPr>
          <w:rFonts w:ascii="Bookman Old Style" w:hAnsi="Bookman Old Style" w:cs="Tahoma"/>
          <w:i/>
          <w:iCs/>
          <w:color w:val="000000"/>
          <w:sz w:val="23"/>
          <w:szCs w:val="23"/>
        </w:rPr>
        <w:t>Atención de procesos judiciales y de cobro coactivo.</w:t>
      </w:r>
      <w:r w:rsidRPr="00B8403D">
        <w:rPr>
          <w:rStyle w:val="apple-converted-space"/>
          <w:rFonts w:ascii="Bookman Old Style" w:hAnsi="Bookman Old Style" w:cs="Tahoma"/>
          <w:i/>
          <w:iCs/>
          <w:color w:val="000000"/>
          <w:sz w:val="23"/>
          <w:szCs w:val="23"/>
        </w:rPr>
        <w:t> </w:t>
      </w:r>
      <w:r w:rsidRPr="00B8403D">
        <w:rPr>
          <w:rFonts w:ascii="Bookman Old Style" w:hAnsi="Bookman Old Style" w:cs="Tahoma"/>
          <w:i/>
          <w:color w:val="000000"/>
          <w:sz w:val="23"/>
          <w:szCs w:val="23"/>
        </w:rPr>
        <w:t>Los procesos judiciales, reclamaciones de carácter administrativo, laboral, contractual y de cobro coactivo en los que sea parte el DAS y/o su Fondo Rotatorio quedarán a su cargo hasta la culminación del proceso de supresión.</w:t>
      </w:r>
    </w:p>
    <w:p w:rsidR="00B8403D" w:rsidRPr="00B8403D" w:rsidRDefault="00B8403D" w:rsidP="00B8403D">
      <w:pPr>
        <w:pStyle w:val="NormalWeb"/>
        <w:shd w:val="clear" w:color="auto" w:fill="FFFFFF"/>
        <w:spacing w:before="0" w:beforeAutospacing="0" w:after="0" w:afterAutospacing="0"/>
        <w:ind w:left="567" w:right="617"/>
        <w:jc w:val="both"/>
        <w:rPr>
          <w:rFonts w:ascii="Bookman Old Style" w:hAnsi="Bookman Old Style" w:cs="Tahoma"/>
          <w:i/>
          <w:color w:val="000000"/>
          <w:sz w:val="23"/>
          <w:szCs w:val="23"/>
        </w:rPr>
      </w:pPr>
      <w:r w:rsidRPr="00B8403D">
        <w:rPr>
          <w:rFonts w:ascii="Bookman Old Style" w:hAnsi="Bookman Old Style" w:cs="Tahoma"/>
          <w:b/>
          <w:i/>
          <w:color w:val="000000"/>
          <w:sz w:val="23"/>
          <w:szCs w:val="23"/>
          <w:u w:val="single"/>
        </w:rPr>
        <w:t>Al cierre de la supresión del Departamento Administrativo de Seguridad (DAS) los procesos y demás reclamaciones en curso serán entregados a las entidades de la Rama Ejecutiva que hayan asumido las funciones de acuerdo con la naturaleza, objeto o sujeto procesal</w:t>
      </w:r>
      <w:r w:rsidRPr="00B8403D">
        <w:rPr>
          <w:rFonts w:ascii="Bookman Old Style" w:hAnsi="Bookman Old Style" w:cs="Tahoma"/>
          <w:i/>
          <w:color w:val="000000"/>
          <w:sz w:val="23"/>
          <w:szCs w:val="23"/>
        </w:rPr>
        <w:t xml:space="preserve">.” </w:t>
      </w:r>
    </w:p>
    <w:p w:rsidR="00B8403D" w:rsidRPr="00B8403D" w:rsidRDefault="00B8403D" w:rsidP="00B8403D">
      <w:pPr>
        <w:pStyle w:val="NormalWeb"/>
        <w:shd w:val="clear" w:color="auto" w:fill="FFFFFF"/>
        <w:spacing w:before="0" w:beforeAutospacing="0" w:after="0" w:afterAutospacing="0" w:line="300" w:lineRule="auto"/>
        <w:ind w:right="618"/>
        <w:jc w:val="both"/>
        <w:rPr>
          <w:rFonts w:ascii="Bookman Old Style" w:hAnsi="Bookman Old Style" w:cs="Tahoma"/>
          <w:color w:val="000000"/>
          <w:sz w:val="23"/>
          <w:szCs w:val="23"/>
        </w:rPr>
      </w:pPr>
    </w:p>
    <w:p w:rsidR="00B8403D" w:rsidRPr="00F3168C" w:rsidRDefault="00B8403D" w:rsidP="00B8403D">
      <w:pPr>
        <w:tabs>
          <w:tab w:val="left" w:pos="567"/>
        </w:tabs>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Posteriormente, </w:t>
      </w:r>
      <w:r w:rsidRPr="00F3168C">
        <w:rPr>
          <w:rFonts w:ascii="Bookman Old Style" w:hAnsi="Bookman Old Style" w:cs="Tahoma"/>
          <w:sz w:val="23"/>
          <w:szCs w:val="23"/>
        </w:rPr>
        <w:t>mediante Decreto No. 2404 del 30 de octubre de 2013, el Gobierno Nacional dispuso prorrogar hasta el 27 de junio de 2014, el plazo dispuesto en el inciso segundo del artículo 10 del Decreto No. 4057 de 2011, para la supresión del Departamento Administrativo de Seguridad DAS.</w:t>
      </w:r>
      <w:r w:rsidRPr="00F3168C">
        <w:rPr>
          <w:rFonts w:ascii="Bookman Old Style" w:hAnsi="Bookman Old Style" w:cs="Tahoma"/>
          <w:i/>
          <w:color w:val="000000"/>
          <w:sz w:val="23"/>
          <w:szCs w:val="23"/>
        </w:rPr>
        <w:t xml:space="preserve"> </w:t>
      </w:r>
    </w:p>
    <w:p w:rsidR="00B8403D" w:rsidRPr="00B8403D" w:rsidRDefault="00B8403D" w:rsidP="00B8403D">
      <w:pPr>
        <w:spacing w:line="300" w:lineRule="auto"/>
        <w:jc w:val="both"/>
        <w:rPr>
          <w:rFonts w:ascii="Bookman Old Style" w:hAnsi="Bookman Old Style" w:cs="Tahoma"/>
          <w:sz w:val="23"/>
          <w:szCs w:val="23"/>
        </w:rPr>
      </w:pPr>
    </w:p>
    <w:p w:rsidR="00B8403D" w:rsidRPr="00F3168C" w:rsidRDefault="00B8403D" w:rsidP="00B8403D">
      <w:pPr>
        <w:tabs>
          <w:tab w:val="left" w:pos="567"/>
        </w:tabs>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En el caso bajo estudio, observa el Despacho que el plazo de supresión del DEPARTAMENTO ADMINISTRATIVO DE SEGURIDAD –DAS- </w:t>
      </w:r>
      <w:r w:rsidRPr="00F3168C">
        <w:rPr>
          <w:rFonts w:ascii="Bookman Old Style" w:hAnsi="Bookman Old Style" w:cs="Tahoma"/>
          <w:sz w:val="23"/>
          <w:szCs w:val="23"/>
        </w:rPr>
        <w:t>se encuentra fenecido a partir del 27 de junio de 2014, ocurriendo así su extinción definitiva, y por lo tanto el DAS perdió su capacidad para ser parte dentro del presente medio de control.</w:t>
      </w:r>
    </w:p>
    <w:p w:rsidR="00B8403D" w:rsidRPr="00B8403D" w:rsidRDefault="00B8403D" w:rsidP="00B8403D">
      <w:pPr>
        <w:tabs>
          <w:tab w:val="left" w:pos="567"/>
        </w:tabs>
        <w:spacing w:line="300" w:lineRule="auto"/>
        <w:jc w:val="both"/>
        <w:rPr>
          <w:rFonts w:ascii="Bookman Old Style" w:hAnsi="Bookman Old Style" w:cs="Tahoma"/>
          <w:sz w:val="23"/>
          <w:szCs w:val="23"/>
        </w:rPr>
      </w:pPr>
    </w:p>
    <w:p w:rsidR="00B8403D" w:rsidRPr="00B8403D" w:rsidRDefault="00B8403D" w:rsidP="00B8403D">
      <w:pPr>
        <w:tabs>
          <w:tab w:val="left" w:pos="567"/>
        </w:tabs>
        <w:spacing w:line="300" w:lineRule="auto"/>
        <w:jc w:val="both"/>
        <w:rPr>
          <w:rFonts w:ascii="Bookman Old Style" w:hAnsi="Bookman Old Style" w:cs="Tahoma"/>
          <w:sz w:val="23"/>
          <w:szCs w:val="23"/>
        </w:rPr>
      </w:pPr>
      <w:r w:rsidRPr="00B8403D">
        <w:rPr>
          <w:rFonts w:ascii="Bookman Old Style" w:hAnsi="Bookman Old Style" w:cs="Tahoma"/>
          <w:sz w:val="23"/>
          <w:szCs w:val="23"/>
        </w:rPr>
        <w:t>Conforme</w:t>
      </w:r>
      <w:r w:rsidRPr="00B8403D">
        <w:rPr>
          <w:rFonts w:ascii="Bookman Old Style" w:hAnsi="Bookman Old Style" w:cs="Tahoma"/>
          <w:sz w:val="23"/>
          <w:szCs w:val="23"/>
          <w:lang w:val="es-ES_tradnl"/>
        </w:rPr>
        <w:t xml:space="preserve"> a lo dispuesto en el </w:t>
      </w:r>
      <w:r w:rsidRPr="00B8403D">
        <w:rPr>
          <w:rFonts w:ascii="Bookman Old Style" w:hAnsi="Bookman Old Style" w:cs="Tahoma"/>
          <w:color w:val="000000"/>
          <w:sz w:val="23"/>
          <w:szCs w:val="23"/>
          <w:shd w:val="clear" w:color="auto" w:fill="FFFFFF"/>
        </w:rPr>
        <w:t xml:space="preserve">Decreto No. 1303 del 11 de julio de 2014, mediante el cual fue reglamentado el </w:t>
      </w:r>
      <w:r w:rsidRPr="00B8403D">
        <w:rPr>
          <w:rFonts w:ascii="Bookman Old Style" w:hAnsi="Bookman Old Style" w:cs="Tahoma"/>
          <w:sz w:val="23"/>
          <w:szCs w:val="23"/>
        </w:rPr>
        <w:t xml:space="preserve">Decreto No. 4057 de 2011, por el cual se estableció </w:t>
      </w:r>
      <w:r w:rsidRPr="00B8403D">
        <w:rPr>
          <w:rFonts w:ascii="Bookman Old Style" w:hAnsi="Bookman Old Style" w:cs="Tahoma"/>
          <w:color w:val="000000"/>
          <w:sz w:val="23"/>
          <w:szCs w:val="23"/>
          <w:shd w:val="clear" w:color="auto" w:fill="FFFFFF"/>
        </w:rPr>
        <w:t>la supresión DAS y el presidente de la República instituyó que, como la mayoría de los trabajadores y funciones administrativas del DAS pasaron a Migración Colombia, la Dirección Nacional de Protección, la Policía Nacional y la Fiscalía General de la Nación serían las entidades a donde irán los procesos judiciales en los que el DAS y su Fondo Rotatorio son parte.</w:t>
      </w:r>
    </w:p>
    <w:p w:rsidR="00B8403D" w:rsidRPr="00B8403D" w:rsidRDefault="00B8403D" w:rsidP="00B8403D">
      <w:pPr>
        <w:tabs>
          <w:tab w:val="left" w:pos="567"/>
        </w:tabs>
        <w:spacing w:line="300" w:lineRule="auto"/>
        <w:jc w:val="both"/>
        <w:rPr>
          <w:rFonts w:ascii="Bookman Old Style" w:hAnsi="Bookman Old Style" w:cs="Tahoma"/>
          <w:sz w:val="23"/>
          <w:szCs w:val="23"/>
        </w:rPr>
      </w:pPr>
    </w:p>
    <w:p w:rsidR="00B8403D" w:rsidRPr="00B8403D" w:rsidRDefault="00B8403D" w:rsidP="00B8403D">
      <w:pPr>
        <w:tabs>
          <w:tab w:val="left" w:pos="567"/>
        </w:tabs>
        <w:spacing w:line="300" w:lineRule="auto"/>
        <w:jc w:val="both"/>
        <w:rPr>
          <w:rFonts w:ascii="Bookman Old Style" w:hAnsi="Bookman Old Style" w:cs="Tahoma"/>
          <w:b/>
          <w:sz w:val="23"/>
          <w:szCs w:val="23"/>
          <w:u w:val="single"/>
        </w:rPr>
      </w:pPr>
      <w:r w:rsidRPr="00B8403D">
        <w:rPr>
          <w:rFonts w:ascii="Bookman Old Style" w:hAnsi="Bookman Old Style" w:cs="Tahoma"/>
          <w:sz w:val="23"/>
          <w:szCs w:val="23"/>
        </w:rPr>
        <w:t>Asimismo,</w:t>
      </w:r>
      <w:r w:rsidRPr="00B8403D">
        <w:rPr>
          <w:rFonts w:ascii="Bookman Old Style" w:hAnsi="Bookman Old Style" w:cs="Tahoma"/>
          <w:sz w:val="23"/>
          <w:szCs w:val="23"/>
          <w:lang w:val="es-MX"/>
        </w:rPr>
        <w:t xml:space="preserve"> el artículo 9 del Decreto 1303 de 2014 se dispuso que </w:t>
      </w:r>
      <w:r w:rsidRPr="00B8403D">
        <w:rPr>
          <w:rFonts w:ascii="Bookman Old Style" w:hAnsi="Bookman Old Style" w:cs="Tahoma"/>
          <w:b/>
          <w:sz w:val="23"/>
          <w:szCs w:val="23"/>
          <w:u w:val="single"/>
          <w:lang w:val="es-MX"/>
        </w:rPr>
        <w:t>los procesos judiciales,</w:t>
      </w:r>
      <w:r w:rsidRPr="00B8403D">
        <w:rPr>
          <w:rFonts w:ascii="Bookman Old Style" w:hAnsi="Bookman Old Style" w:cs="Tahoma"/>
          <w:sz w:val="23"/>
          <w:szCs w:val="23"/>
          <w:lang w:val="es-MX"/>
        </w:rPr>
        <w:t xml:space="preserve"> reclamaciones de carácter administrativo, laboral y contractual, </w:t>
      </w:r>
      <w:r w:rsidRPr="00B8403D">
        <w:rPr>
          <w:rFonts w:ascii="Bookman Old Style" w:hAnsi="Bookman Old Style" w:cs="Tahoma"/>
          <w:b/>
          <w:sz w:val="23"/>
          <w:szCs w:val="23"/>
          <w:u w:val="single"/>
          <w:lang w:val="es-MX"/>
        </w:rPr>
        <w:t>en los que sea parte el DA</w:t>
      </w:r>
      <w:r w:rsidRPr="00B8403D">
        <w:rPr>
          <w:rFonts w:ascii="Bookman Old Style" w:hAnsi="Bookman Old Style" w:cs="Tahoma"/>
          <w:sz w:val="23"/>
          <w:szCs w:val="23"/>
          <w:lang w:val="es-MX"/>
        </w:rPr>
        <w:t xml:space="preserve">S o su FONDO ROTATORIO AL CIERRE DE LA SUPRESIÓN DEL DAS, serán notificados a las entidades que hayan asumido las funciones, de acuerdo con la naturaleza, objeto o sujeto procesal. </w:t>
      </w:r>
      <w:r w:rsidRPr="00B8403D">
        <w:rPr>
          <w:rFonts w:ascii="Bookman Old Style" w:hAnsi="Bookman Old Style" w:cs="Tahoma"/>
          <w:b/>
          <w:sz w:val="23"/>
          <w:szCs w:val="23"/>
          <w:u w:val="single"/>
          <w:lang w:val="es-MX"/>
        </w:rPr>
        <w:t xml:space="preserve">Y si la función no fue asumida por una entidad de la Rama Ejecutiva, serán notificados y asumidos por la Agencia </w:t>
      </w:r>
      <w:r w:rsidR="00F3168C">
        <w:rPr>
          <w:rFonts w:ascii="Bookman Old Style" w:hAnsi="Bookman Old Style" w:cs="Tahoma"/>
          <w:b/>
          <w:sz w:val="23"/>
          <w:szCs w:val="23"/>
          <w:u w:val="single"/>
          <w:lang w:val="es-MX"/>
        </w:rPr>
        <w:t xml:space="preserve">Nacional </w:t>
      </w:r>
      <w:r w:rsidRPr="00B8403D">
        <w:rPr>
          <w:rFonts w:ascii="Bookman Old Style" w:hAnsi="Bookman Old Style" w:cs="Tahoma"/>
          <w:b/>
          <w:sz w:val="23"/>
          <w:szCs w:val="23"/>
          <w:u w:val="single"/>
          <w:lang w:val="es-MX"/>
        </w:rPr>
        <w:t>de Defensa Jurídica del Estado.</w:t>
      </w:r>
    </w:p>
    <w:p w:rsidR="00B8403D" w:rsidRPr="00B8403D" w:rsidRDefault="00B8403D" w:rsidP="00B8403D">
      <w:pPr>
        <w:tabs>
          <w:tab w:val="left" w:pos="567"/>
        </w:tabs>
        <w:spacing w:line="300" w:lineRule="auto"/>
        <w:jc w:val="both"/>
        <w:rPr>
          <w:rFonts w:ascii="Bookman Old Style" w:hAnsi="Bookman Old Style" w:cs="Tahoma"/>
          <w:b/>
          <w:sz w:val="23"/>
          <w:szCs w:val="23"/>
        </w:rPr>
      </w:pPr>
    </w:p>
    <w:p w:rsidR="00B8403D" w:rsidRPr="00B8403D" w:rsidRDefault="00B8403D" w:rsidP="00B8403D">
      <w:pPr>
        <w:tabs>
          <w:tab w:val="left" w:pos="567"/>
        </w:tabs>
        <w:spacing w:line="300" w:lineRule="auto"/>
        <w:jc w:val="both"/>
        <w:rPr>
          <w:rFonts w:ascii="Bookman Old Style" w:hAnsi="Bookman Old Style" w:cs="Tahoma"/>
          <w:sz w:val="23"/>
          <w:szCs w:val="23"/>
        </w:rPr>
      </w:pPr>
      <w:r w:rsidRPr="00B8403D">
        <w:rPr>
          <w:rFonts w:ascii="Bookman Old Style" w:hAnsi="Bookman Old Style" w:cs="Tahoma"/>
          <w:sz w:val="23"/>
          <w:szCs w:val="23"/>
        </w:rPr>
        <w:t>En el presente caso se ordenó la notificación del auto admisorio de la demanda a la AGENCIA NACIONAL DE DEFENSA JURÍDICA DEL ESTADO, pero no por la calidad de sucesora procesal del DAS, sino porque así lo dispone el artículo 612 del Código General del Proceso frente asuntos promovidos contra entidades estatales.</w:t>
      </w:r>
    </w:p>
    <w:p w:rsidR="00B8403D" w:rsidRPr="00B8403D" w:rsidRDefault="00B8403D" w:rsidP="00B8403D">
      <w:pPr>
        <w:tabs>
          <w:tab w:val="left" w:pos="567"/>
        </w:tabs>
        <w:spacing w:line="300" w:lineRule="auto"/>
        <w:jc w:val="both"/>
        <w:rPr>
          <w:rFonts w:ascii="Bookman Old Style" w:hAnsi="Bookman Old Style" w:cs="Tahoma"/>
          <w:b/>
          <w:sz w:val="23"/>
          <w:szCs w:val="23"/>
        </w:rPr>
      </w:pPr>
    </w:p>
    <w:p w:rsidR="00B8403D" w:rsidRPr="00B8403D" w:rsidRDefault="00B8403D" w:rsidP="00B8403D">
      <w:pPr>
        <w:tabs>
          <w:tab w:val="left" w:pos="567"/>
        </w:tabs>
        <w:spacing w:line="300" w:lineRule="auto"/>
        <w:jc w:val="both"/>
        <w:rPr>
          <w:rFonts w:ascii="Bookman Old Style" w:hAnsi="Bookman Old Style" w:cs="Tahoma"/>
          <w:color w:val="000000"/>
          <w:sz w:val="23"/>
          <w:szCs w:val="23"/>
        </w:rPr>
      </w:pPr>
      <w:r w:rsidRPr="00B8403D">
        <w:rPr>
          <w:rFonts w:ascii="Bookman Old Style" w:hAnsi="Bookman Old Style" w:cs="Tahoma"/>
          <w:sz w:val="23"/>
          <w:szCs w:val="23"/>
        </w:rPr>
        <w:t>Respecto de la sucesión procesal</w:t>
      </w:r>
      <w:r w:rsidRPr="00B8403D">
        <w:rPr>
          <w:rFonts w:ascii="Bookman Old Style" w:hAnsi="Bookman Old Style" w:cs="Tahoma"/>
          <w:color w:val="000000"/>
          <w:sz w:val="23"/>
          <w:szCs w:val="23"/>
        </w:rPr>
        <w:t xml:space="preserve"> el artículo 68 del Código General del Proceso, establece:</w:t>
      </w:r>
    </w:p>
    <w:p w:rsidR="00B8403D" w:rsidRPr="00B8403D" w:rsidRDefault="00B8403D" w:rsidP="00B8403D">
      <w:pPr>
        <w:tabs>
          <w:tab w:val="left" w:pos="567"/>
        </w:tabs>
        <w:ind w:left="567" w:right="617"/>
        <w:jc w:val="both"/>
        <w:rPr>
          <w:rFonts w:ascii="Bookman Old Style" w:hAnsi="Bookman Old Style" w:cs="Tahoma"/>
          <w:i/>
          <w:color w:val="000000"/>
          <w:sz w:val="23"/>
          <w:szCs w:val="23"/>
        </w:rPr>
      </w:pPr>
    </w:p>
    <w:p w:rsidR="00B8403D" w:rsidRPr="00B8403D" w:rsidRDefault="00B8403D" w:rsidP="00B8403D">
      <w:pPr>
        <w:pStyle w:val="NormalWeb"/>
        <w:spacing w:before="0" w:beforeAutospacing="0" w:after="0" w:afterAutospacing="0"/>
        <w:ind w:left="567" w:right="617"/>
        <w:jc w:val="both"/>
        <w:rPr>
          <w:rFonts w:ascii="Bookman Old Style" w:hAnsi="Bookman Old Style" w:cs="Tahoma"/>
          <w:i/>
          <w:color w:val="000000"/>
          <w:sz w:val="23"/>
          <w:szCs w:val="23"/>
        </w:rPr>
      </w:pPr>
      <w:bookmarkStart w:id="0" w:name="68"/>
      <w:r w:rsidRPr="00B8403D">
        <w:rPr>
          <w:rFonts w:ascii="Bookman Old Style" w:hAnsi="Bookman Old Style" w:cs="Tahoma"/>
          <w:b/>
          <w:bCs/>
          <w:i/>
          <w:color w:val="000000"/>
          <w:sz w:val="23"/>
          <w:szCs w:val="23"/>
        </w:rPr>
        <w:t>“ARTÍCULO 68. SUCESIÓN PROCESAL.</w:t>
      </w:r>
      <w:bookmarkEnd w:id="0"/>
      <w:r w:rsidRPr="00B8403D">
        <w:rPr>
          <w:rStyle w:val="apple-converted-space"/>
          <w:rFonts w:ascii="Bookman Old Style" w:hAnsi="Bookman Old Style" w:cs="Tahoma"/>
          <w:i/>
          <w:color w:val="000000"/>
          <w:sz w:val="23"/>
          <w:szCs w:val="23"/>
        </w:rPr>
        <w:t> </w:t>
      </w:r>
      <w:r w:rsidRPr="00B8403D">
        <w:rPr>
          <w:rFonts w:ascii="Bookman Old Style" w:hAnsi="Bookman Old Style" w:cs="Tahoma"/>
          <w:i/>
          <w:color w:val="000000"/>
          <w:sz w:val="23"/>
          <w:szCs w:val="23"/>
        </w:rPr>
        <w:t>Fallecido un litigante o declarado ausente o en interdicción, el proceso continuará con el cónyuge, el albacea con tenencia de bienes, los herederos o el correspondiente curador.</w:t>
      </w:r>
    </w:p>
    <w:p w:rsidR="00B8403D" w:rsidRPr="00B8403D" w:rsidRDefault="00B8403D" w:rsidP="00B8403D">
      <w:pPr>
        <w:pStyle w:val="NormalWeb"/>
        <w:spacing w:before="0" w:beforeAutospacing="0" w:after="0" w:afterAutospacing="0"/>
        <w:ind w:left="567" w:right="617"/>
        <w:jc w:val="both"/>
        <w:rPr>
          <w:rFonts w:ascii="Bookman Old Style" w:hAnsi="Bookman Old Style" w:cs="Tahoma"/>
          <w:i/>
          <w:color w:val="000000"/>
          <w:sz w:val="23"/>
          <w:szCs w:val="23"/>
        </w:rPr>
      </w:pPr>
      <w:r w:rsidRPr="00B8403D">
        <w:rPr>
          <w:rFonts w:ascii="Bookman Old Style" w:hAnsi="Bookman Old Style" w:cs="Tahoma"/>
          <w:b/>
          <w:i/>
          <w:color w:val="000000"/>
          <w:sz w:val="23"/>
          <w:szCs w:val="23"/>
        </w:rPr>
        <w:t>Si en el curso del proceso sobreviene la extinción, fusión o escisión de alguna persona jurídica que figure como parte, los sucesores en el derecho debatido podrán comparecer para que se les reconozca tal carácter</w:t>
      </w:r>
      <w:r w:rsidRPr="00B8403D">
        <w:rPr>
          <w:rFonts w:ascii="Bookman Old Style" w:hAnsi="Bookman Old Style" w:cs="Tahoma"/>
          <w:i/>
          <w:color w:val="000000"/>
          <w:sz w:val="23"/>
          <w:szCs w:val="23"/>
        </w:rPr>
        <w:t xml:space="preserve">. En todo caso la sentencia producirá efectos respecto de ellos aunque no concurran…” </w:t>
      </w:r>
    </w:p>
    <w:p w:rsidR="00B8403D" w:rsidRPr="00B8403D" w:rsidRDefault="00B8403D" w:rsidP="00B8403D">
      <w:pPr>
        <w:pStyle w:val="NormalWeb"/>
        <w:spacing w:before="0" w:beforeAutospacing="0" w:after="0" w:afterAutospacing="0"/>
        <w:ind w:left="567" w:right="617"/>
        <w:jc w:val="both"/>
        <w:rPr>
          <w:rFonts w:ascii="Bookman Old Style" w:hAnsi="Bookman Old Style" w:cs="Tahoma"/>
          <w:i/>
          <w:color w:val="000000"/>
          <w:sz w:val="23"/>
          <w:szCs w:val="23"/>
        </w:rPr>
      </w:pPr>
    </w:p>
    <w:p w:rsidR="00511E72" w:rsidRPr="00F3168C" w:rsidRDefault="00511E72" w:rsidP="00511E72">
      <w:pPr>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Sucesión que opera de pleno derecho de conformidad con los artículos 7, 8 y 9 del Decreto 1303 del 11 de julio de 2014, la cual no sólo es para la representación judicial, sino además </w:t>
      </w:r>
      <w:r w:rsidRPr="00F3168C">
        <w:rPr>
          <w:rFonts w:ascii="Bookman Old Style" w:hAnsi="Bookman Old Style" w:cs="Tahoma"/>
          <w:sz w:val="23"/>
          <w:szCs w:val="23"/>
        </w:rPr>
        <w:t xml:space="preserve">para el pago de las sentencias judiciales. </w:t>
      </w:r>
    </w:p>
    <w:p w:rsidR="00511E72" w:rsidRDefault="00511E72" w:rsidP="00B8403D">
      <w:pPr>
        <w:spacing w:line="300" w:lineRule="auto"/>
        <w:jc w:val="both"/>
        <w:rPr>
          <w:rFonts w:ascii="Bookman Old Style" w:hAnsi="Bookman Old Style" w:cs="Tahoma"/>
          <w:sz w:val="23"/>
          <w:szCs w:val="23"/>
        </w:rPr>
      </w:pPr>
    </w:p>
    <w:p w:rsidR="00511E72" w:rsidRDefault="00B8403D" w:rsidP="00B8403D">
      <w:pPr>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Así las cosas, en el presente caso PROCEDE </w:t>
      </w:r>
      <w:r w:rsidR="00511E72">
        <w:rPr>
          <w:rFonts w:ascii="Bookman Old Style" w:hAnsi="Bookman Old Style" w:cs="Tahoma"/>
          <w:sz w:val="23"/>
          <w:szCs w:val="23"/>
        </w:rPr>
        <w:t xml:space="preserve">TENER EN ADELANTE A LA UNIDAD NACIONAL DE PROTECCION como </w:t>
      </w:r>
      <w:r w:rsidRPr="00B8403D">
        <w:rPr>
          <w:rFonts w:ascii="Bookman Old Style" w:hAnsi="Bookman Old Style" w:cs="Tahoma"/>
          <w:sz w:val="23"/>
          <w:szCs w:val="23"/>
        </w:rPr>
        <w:t>sucesora procesal del DAS</w:t>
      </w:r>
      <w:r w:rsidR="00511E72">
        <w:rPr>
          <w:rFonts w:ascii="Bookman Old Style" w:hAnsi="Bookman Old Style" w:cs="Tahoma"/>
          <w:sz w:val="23"/>
          <w:szCs w:val="23"/>
        </w:rPr>
        <w:t xml:space="preserve">, teniendo en cuenta que esta entidad actualmente tiene bajo su custodia los archivos vinculados con la función de protección, esquemas </w:t>
      </w:r>
      <w:proofErr w:type="spellStart"/>
      <w:r w:rsidR="00511E72">
        <w:rPr>
          <w:rFonts w:ascii="Bookman Old Style" w:hAnsi="Bookman Old Style" w:cs="Tahoma"/>
          <w:sz w:val="23"/>
          <w:szCs w:val="23"/>
        </w:rPr>
        <w:t>protectivos</w:t>
      </w:r>
      <w:proofErr w:type="spellEnd"/>
      <w:r w:rsidR="00511E72">
        <w:rPr>
          <w:rFonts w:ascii="Bookman Old Style" w:hAnsi="Bookman Old Style" w:cs="Tahoma"/>
          <w:sz w:val="23"/>
          <w:szCs w:val="23"/>
        </w:rPr>
        <w:t xml:space="preserve">, misiones o desplazamientos del personal que ha sido objeto de protección, en razón del artículo 23 y 24 del decreto 4065 de 2011, y sumado a ello se extrae del escrito </w:t>
      </w:r>
      <w:proofErr w:type="spellStart"/>
      <w:r w:rsidR="00511E72">
        <w:rPr>
          <w:rFonts w:ascii="Bookman Old Style" w:hAnsi="Bookman Old Style" w:cs="Tahoma"/>
          <w:sz w:val="23"/>
          <w:szCs w:val="23"/>
        </w:rPr>
        <w:t>demandatorio</w:t>
      </w:r>
      <w:proofErr w:type="spellEnd"/>
      <w:r w:rsidR="00511E72">
        <w:rPr>
          <w:rFonts w:ascii="Bookman Old Style" w:hAnsi="Bookman Old Style" w:cs="Tahoma"/>
          <w:sz w:val="23"/>
          <w:szCs w:val="23"/>
        </w:rPr>
        <w:t xml:space="preserve"> que el demandante en toda la relación laboral que afirma, fue de escolta al servicio de protección de personas. </w:t>
      </w:r>
    </w:p>
    <w:p w:rsidR="00511E72" w:rsidRDefault="00511E72" w:rsidP="00B8403D">
      <w:pPr>
        <w:spacing w:line="300" w:lineRule="auto"/>
        <w:jc w:val="both"/>
        <w:rPr>
          <w:rFonts w:ascii="Bookman Old Style" w:hAnsi="Bookman Old Style" w:cs="Tahoma"/>
          <w:sz w:val="23"/>
          <w:szCs w:val="23"/>
        </w:rPr>
      </w:pPr>
    </w:p>
    <w:p w:rsidR="00511E72" w:rsidRDefault="00B8403D" w:rsidP="00B8403D">
      <w:pPr>
        <w:spacing w:line="300" w:lineRule="auto"/>
        <w:jc w:val="both"/>
        <w:rPr>
          <w:rFonts w:ascii="Bookman Old Style" w:hAnsi="Bookman Old Style" w:cs="Tahoma"/>
          <w:sz w:val="23"/>
          <w:szCs w:val="23"/>
        </w:rPr>
      </w:pPr>
      <w:r w:rsidRPr="00B8403D">
        <w:rPr>
          <w:rFonts w:ascii="Bookman Old Style" w:hAnsi="Bookman Old Style" w:cs="Tahoma"/>
          <w:sz w:val="23"/>
          <w:szCs w:val="23"/>
        </w:rPr>
        <w:t xml:space="preserve">En consecuencia se ORDENARÁ </w:t>
      </w:r>
      <w:r w:rsidR="00511E72">
        <w:rPr>
          <w:rFonts w:ascii="Bookman Old Style" w:hAnsi="Bookman Old Style" w:cs="Tahoma"/>
          <w:sz w:val="23"/>
          <w:szCs w:val="23"/>
        </w:rPr>
        <w:t xml:space="preserve">la aludida vinculación </w:t>
      </w:r>
      <w:r w:rsidRPr="00B8403D">
        <w:rPr>
          <w:rFonts w:ascii="Bookman Old Style" w:hAnsi="Bookman Old Style" w:cs="Tahoma"/>
          <w:sz w:val="23"/>
          <w:szCs w:val="23"/>
        </w:rPr>
        <w:t xml:space="preserve">al proceso de la </w:t>
      </w:r>
      <w:r w:rsidR="00511E72">
        <w:rPr>
          <w:rFonts w:ascii="Bookman Old Style" w:hAnsi="Bookman Old Style" w:cs="Tahoma"/>
          <w:sz w:val="23"/>
          <w:szCs w:val="23"/>
        </w:rPr>
        <w:t xml:space="preserve">UNIDAD NACIONAL DE PROTECCION </w:t>
      </w:r>
      <w:r w:rsidRPr="00B8403D">
        <w:rPr>
          <w:rFonts w:ascii="Bookman Old Style" w:hAnsi="Bookman Old Style" w:cs="Tahoma"/>
          <w:sz w:val="23"/>
          <w:szCs w:val="23"/>
        </w:rPr>
        <w:t xml:space="preserve">en </w:t>
      </w:r>
      <w:r w:rsidR="00511E72">
        <w:rPr>
          <w:rFonts w:ascii="Bookman Old Style" w:hAnsi="Bookman Old Style" w:cs="Tahoma"/>
          <w:sz w:val="23"/>
          <w:szCs w:val="23"/>
        </w:rPr>
        <w:t xml:space="preserve">su </w:t>
      </w:r>
      <w:r w:rsidRPr="00B8403D">
        <w:rPr>
          <w:rFonts w:ascii="Bookman Old Style" w:hAnsi="Bookman Old Style" w:cs="Tahoma"/>
          <w:sz w:val="23"/>
          <w:szCs w:val="23"/>
        </w:rPr>
        <w:t xml:space="preserve">calidad de </w:t>
      </w:r>
      <w:r w:rsidR="00511E72">
        <w:rPr>
          <w:rFonts w:ascii="Bookman Old Style" w:hAnsi="Bookman Old Style" w:cs="Tahoma"/>
          <w:sz w:val="23"/>
          <w:szCs w:val="23"/>
        </w:rPr>
        <w:t>sucesora del D.A.S.</w:t>
      </w:r>
    </w:p>
    <w:p w:rsidR="00B8403D" w:rsidRPr="00B8403D" w:rsidRDefault="00511E72" w:rsidP="00B8403D">
      <w:pPr>
        <w:spacing w:line="300" w:lineRule="auto"/>
        <w:jc w:val="both"/>
        <w:rPr>
          <w:rFonts w:ascii="Bookman Old Style" w:hAnsi="Bookman Old Style" w:cs="Tahoma"/>
          <w:color w:val="000000"/>
          <w:sz w:val="23"/>
          <w:szCs w:val="23"/>
        </w:rPr>
      </w:pPr>
      <w:r w:rsidRPr="00B8403D">
        <w:rPr>
          <w:rFonts w:ascii="Bookman Old Style" w:hAnsi="Bookman Old Style" w:cs="Tahoma"/>
          <w:color w:val="000000"/>
          <w:sz w:val="23"/>
          <w:szCs w:val="23"/>
        </w:rPr>
        <w:t xml:space="preserve"> </w:t>
      </w:r>
    </w:p>
    <w:p w:rsidR="00B8403D" w:rsidRPr="00B8403D" w:rsidRDefault="00B8403D" w:rsidP="00B8403D">
      <w:pPr>
        <w:spacing w:line="300" w:lineRule="auto"/>
        <w:jc w:val="both"/>
        <w:rPr>
          <w:rFonts w:ascii="Bookman Old Style" w:hAnsi="Bookman Old Style" w:cs="Tahoma"/>
          <w:color w:val="000000"/>
          <w:sz w:val="23"/>
          <w:szCs w:val="23"/>
        </w:rPr>
      </w:pPr>
      <w:r w:rsidRPr="00B8403D">
        <w:rPr>
          <w:rFonts w:ascii="Bookman Old Style" w:hAnsi="Bookman Old Style" w:cs="Tahoma"/>
          <w:color w:val="000000"/>
          <w:sz w:val="23"/>
          <w:szCs w:val="23"/>
        </w:rPr>
        <w:t xml:space="preserve">En mérito de lo expuesto el </w:t>
      </w:r>
      <w:r w:rsidRPr="00B8403D">
        <w:rPr>
          <w:rFonts w:ascii="Bookman Old Style" w:hAnsi="Bookman Old Style" w:cs="Tahoma"/>
          <w:b/>
          <w:color w:val="000000"/>
          <w:sz w:val="23"/>
          <w:szCs w:val="23"/>
        </w:rPr>
        <w:t xml:space="preserve">JUZGADO </w:t>
      </w:r>
      <w:r w:rsidR="00F3168C">
        <w:rPr>
          <w:rFonts w:ascii="Bookman Old Style" w:hAnsi="Bookman Old Style" w:cs="Tahoma"/>
          <w:b/>
          <w:color w:val="000000"/>
          <w:sz w:val="23"/>
          <w:szCs w:val="23"/>
        </w:rPr>
        <w:t xml:space="preserve">CUARTO </w:t>
      </w:r>
      <w:r w:rsidRPr="00B8403D">
        <w:rPr>
          <w:rFonts w:ascii="Bookman Old Style" w:hAnsi="Bookman Old Style" w:cs="Tahoma"/>
          <w:b/>
          <w:color w:val="000000"/>
          <w:sz w:val="23"/>
          <w:szCs w:val="23"/>
        </w:rPr>
        <w:t xml:space="preserve">ADMINISTRATIVO </w:t>
      </w:r>
      <w:r w:rsidR="00F3168C">
        <w:rPr>
          <w:rFonts w:ascii="Bookman Old Style" w:hAnsi="Bookman Old Style" w:cs="Tahoma"/>
          <w:b/>
          <w:color w:val="000000"/>
          <w:sz w:val="23"/>
          <w:szCs w:val="23"/>
        </w:rPr>
        <w:t>ORAL DE MEDE</w:t>
      </w:r>
      <w:r w:rsidRPr="00B8403D">
        <w:rPr>
          <w:rFonts w:ascii="Bookman Old Style" w:hAnsi="Bookman Old Style" w:cs="Tahoma"/>
          <w:b/>
          <w:color w:val="000000"/>
          <w:sz w:val="23"/>
          <w:szCs w:val="23"/>
        </w:rPr>
        <w:t>LLIN,</w:t>
      </w:r>
      <w:r w:rsidRPr="00B8403D">
        <w:rPr>
          <w:rFonts w:ascii="Bookman Old Style" w:hAnsi="Bookman Old Style" w:cs="Tahoma"/>
          <w:color w:val="000000"/>
          <w:sz w:val="23"/>
          <w:szCs w:val="23"/>
        </w:rPr>
        <w:t xml:space="preserve"> </w:t>
      </w:r>
    </w:p>
    <w:p w:rsidR="00B8403D" w:rsidRPr="00B8403D" w:rsidRDefault="00B8403D" w:rsidP="00B8403D">
      <w:pPr>
        <w:spacing w:line="300" w:lineRule="auto"/>
        <w:ind w:left="357"/>
        <w:jc w:val="both"/>
        <w:rPr>
          <w:rFonts w:ascii="Bookman Old Style" w:hAnsi="Bookman Old Style" w:cs="Tahoma"/>
          <w:color w:val="000000"/>
          <w:sz w:val="23"/>
          <w:szCs w:val="23"/>
        </w:rPr>
      </w:pPr>
    </w:p>
    <w:p w:rsidR="00B8403D" w:rsidRPr="00B8403D" w:rsidRDefault="00B8403D" w:rsidP="00B8403D">
      <w:pPr>
        <w:spacing w:line="300" w:lineRule="auto"/>
        <w:ind w:left="360"/>
        <w:jc w:val="center"/>
        <w:rPr>
          <w:rFonts w:ascii="Bookman Old Style" w:hAnsi="Bookman Old Style" w:cs="Tahoma"/>
          <w:b/>
          <w:color w:val="000000"/>
          <w:sz w:val="23"/>
          <w:szCs w:val="23"/>
        </w:rPr>
      </w:pPr>
      <w:r w:rsidRPr="00B8403D">
        <w:rPr>
          <w:rFonts w:ascii="Bookman Old Style" w:hAnsi="Bookman Old Style" w:cs="Tahoma"/>
          <w:b/>
          <w:color w:val="000000"/>
          <w:sz w:val="23"/>
          <w:szCs w:val="23"/>
        </w:rPr>
        <w:t>RESUE</w:t>
      </w:r>
      <w:bookmarkStart w:id="1" w:name="_GoBack"/>
      <w:bookmarkEnd w:id="1"/>
      <w:r w:rsidRPr="00B8403D">
        <w:rPr>
          <w:rFonts w:ascii="Bookman Old Style" w:hAnsi="Bookman Old Style" w:cs="Tahoma"/>
          <w:b/>
          <w:color w:val="000000"/>
          <w:sz w:val="23"/>
          <w:szCs w:val="23"/>
        </w:rPr>
        <w:t>LVE</w:t>
      </w:r>
    </w:p>
    <w:p w:rsidR="00B8403D" w:rsidRPr="00B8403D" w:rsidRDefault="00B8403D" w:rsidP="00B8403D">
      <w:pPr>
        <w:pStyle w:val="ListParagraph"/>
        <w:ind w:left="0"/>
        <w:jc w:val="both"/>
        <w:rPr>
          <w:rFonts w:ascii="Bookman Old Style" w:hAnsi="Bookman Old Style" w:cs="Tahoma"/>
          <w:color w:val="000000"/>
          <w:sz w:val="23"/>
          <w:szCs w:val="23"/>
        </w:rPr>
      </w:pPr>
    </w:p>
    <w:p w:rsidR="00F3168C" w:rsidRPr="00B8403D" w:rsidRDefault="00B8403D" w:rsidP="00F3168C">
      <w:pPr>
        <w:pStyle w:val="ListParagraph"/>
        <w:spacing w:line="300" w:lineRule="auto"/>
        <w:ind w:left="0"/>
        <w:jc w:val="both"/>
        <w:rPr>
          <w:rFonts w:ascii="Bookman Old Style" w:hAnsi="Bookman Old Style" w:cs="Tahoma"/>
          <w:sz w:val="23"/>
          <w:szCs w:val="23"/>
        </w:rPr>
      </w:pPr>
      <w:r w:rsidRPr="00B8403D">
        <w:rPr>
          <w:rFonts w:ascii="Bookman Old Style" w:hAnsi="Bookman Old Style" w:cs="Tahoma"/>
          <w:b/>
          <w:color w:val="000000"/>
          <w:sz w:val="23"/>
          <w:szCs w:val="23"/>
        </w:rPr>
        <w:t>PRIMERO.</w:t>
      </w:r>
      <w:r w:rsidRPr="00B8403D">
        <w:rPr>
          <w:rFonts w:ascii="Bookman Old Style" w:hAnsi="Bookman Old Style" w:cs="Tahoma"/>
          <w:b/>
          <w:color w:val="000000"/>
          <w:sz w:val="23"/>
          <w:szCs w:val="23"/>
        </w:rPr>
        <w:tab/>
      </w:r>
      <w:r w:rsidR="00511E72" w:rsidRPr="000023B9">
        <w:rPr>
          <w:rFonts w:ascii="Bookman Old Style" w:hAnsi="Bookman Old Style" w:cs="Tahoma"/>
          <w:color w:val="000000"/>
          <w:sz w:val="23"/>
          <w:szCs w:val="23"/>
        </w:rPr>
        <w:t>Se ordena tener en adelante a la UNIDAD NACIONAL DE PRO</w:t>
      </w:r>
      <w:r w:rsidR="000023B9" w:rsidRPr="000023B9">
        <w:rPr>
          <w:rFonts w:ascii="Bookman Old Style" w:hAnsi="Bookman Old Style" w:cs="Tahoma"/>
          <w:color w:val="000000"/>
          <w:sz w:val="23"/>
          <w:szCs w:val="23"/>
        </w:rPr>
        <w:t xml:space="preserve">TECCION como </w:t>
      </w:r>
      <w:r w:rsidR="000023B9" w:rsidRPr="000023B9">
        <w:rPr>
          <w:rFonts w:ascii="Bookman Old Style" w:hAnsi="Bookman Old Style" w:cs="Tahoma"/>
          <w:b/>
          <w:color w:val="000000"/>
          <w:sz w:val="23"/>
          <w:szCs w:val="23"/>
        </w:rPr>
        <w:t>sucesora procesal</w:t>
      </w:r>
      <w:r w:rsidR="000023B9">
        <w:rPr>
          <w:rFonts w:ascii="Bookman Old Style" w:hAnsi="Bookman Old Style" w:cs="Tahoma"/>
          <w:color w:val="000000"/>
          <w:sz w:val="23"/>
          <w:szCs w:val="23"/>
        </w:rPr>
        <w:t xml:space="preserve"> </w:t>
      </w:r>
      <w:r w:rsidR="00F3168C" w:rsidRPr="00B8403D">
        <w:rPr>
          <w:rFonts w:ascii="Bookman Old Style" w:hAnsi="Bookman Old Style" w:cs="Tahoma"/>
          <w:sz w:val="23"/>
          <w:szCs w:val="23"/>
        </w:rPr>
        <w:t>del DEPARTAMENTO ADMINISTRATIVO DE SEGURIDAD – DAS, conforme a los argumentos expuestos en la parte motiva de esta providencia.</w:t>
      </w:r>
    </w:p>
    <w:p w:rsidR="00B8403D" w:rsidRPr="00B8403D" w:rsidRDefault="00B8403D" w:rsidP="00B8403D">
      <w:pPr>
        <w:pStyle w:val="ListParagraph"/>
        <w:ind w:left="0"/>
        <w:jc w:val="both"/>
        <w:rPr>
          <w:rFonts w:ascii="Bookman Old Style" w:hAnsi="Bookman Old Style" w:cs="Tahoma"/>
          <w:b/>
          <w:color w:val="000000"/>
          <w:sz w:val="23"/>
          <w:szCs w:val="23"/>
        </w:rPr>
      </w:pPr>
    </w:p>
    <w:p w:rsidR="000023B9" w:rsidRDefault="00B8403D" w:rsidP="000023B9">
      <w:pPr>
        <w:pStyle w:val="ListParagraph"/>
        <w:spacing w:line="300" w:lineRule="auto"/>
        <w:ind w:left="0"/>
        <w:jc w:val="both"/>
        <w:rPr>
          <w:rFonts w:ascii="Bookman Old Style" w:hAnsi="Bookman Old Style" w:cs="Tahoma"/>
          <w:b/>
          <w:color w:val="000000"/>
          <w:sz w:val="23"/>
          <w:szCs w:val="23"/>
        </w:rPr>
      </w:pPr>
      <w:r w:rsidRPr="00B8403D">
        <w:rPr>
          <w:rFonts w:ascii="Bookman Old Style" w:hAnsi="Bookman Old Style" w:cs="Tahoma"/>
          <w:b/>
          <w:color w:val="000000"/>
          <w:sz w:val="23"/>
          <w:szCs w:val="23"/>
        </w:rPr>
        <w:t>SEGUNDO.</w:t>
      </w:r>
      <w:r w:rsidRPr="00B8403D">
        <w:rPr>
          <w:rFonts w:ascii="Bookman Old Style" w:hAnsi="Bookman Old Style" w:cs="Tahoma"/>
          <w:b/>
          <w:color w:val="000000"/>
          <w:sz w:val="23"/>
          <w:szCs w:val="23"/>
        </w:rPr>
        <w:tab/>
      </w:r>
      <w:r w:rsidR="000023B9" w:rsidRPr="000023B9">
        <w:rPr>
          <w:rFonts w:ascii="Bookman Old Style" w:hAnsi="Bookman Old Style" w:cs="Tahoma"/>
          <w:color w:val="000000"/>
          <w:sz w:val="23"/>
          <w:szCs w:val="23"/>
        </w:rPr>
        <w:t xml:space="preserve">Teniendo en cuenta que en las constancias de remisión de traslados obra constancia de que a la UNIDAD NACIONAL DE PROTECCION ya se </w:t>
      </w:r>
      <w:r w:rsidR="000023B9">
        <w:rPr>
          <w:rFonts w:ascii="Bookman Old Style" w:hAnsi="Bookman Old Style" w:cs="Tahoma"/>
          <w:color w:val="000000"/>
          <w:sz w:val="23"/>
          <w:szCs w:val="23"/>
        </w:rPr>
        <w:t xml:space="preserve">le </w:t>
      </w:r>
      <w:r w:rsidR="000023B9" w:rsidRPr="000023B9">
        <w:rPr>
          <w:rFonts w:ascii="Bookman Old Style" w:hAnsi="Bookman Old Style" w:cs="Tahoma"/>
          <w:color w:val="000000"/>
          <w:sz w:val="23"/>
          <w:szCs w:val="23"/>
        </w:rPr>
        <w:t>envia</w:t>
      </w:r>
      <w:r w:rsidR="000023B9">
        <w:rPr>
          <w:rFonts w:ascii="Bookman Old Style" w:hAnsi="Bookman Old Style" w:cs="Tahoma"/>
          <w:color w:val="000000"/>
          <w:sz w:val="23"/>
          <w:szCs w:val="23"/>
        </w:rPr>
        <w:t>ron los mismos, se abstiene el J</w:t>
      </w:r>
      <w:r w:rsidR="000023B9" w:rsidRPr="000023B9">
        <w:rPr>
          <w:rFonts w:ascii="Bookman Old Style" w:hAnsi="Bookman Old Style" w:cs="Tahoma"/>
          <w:color w:val="000000"/>
          <w:sz w:val="23"/>
          <w:szCs w:val="23"/>
        </w:rPr>
        <w:t xml:space="preserve">uzgado a ordenar de nuevo su remisión y por tanto se procederá es </w:t>
      </w:r>
      <w:r w:rsidR="000023B9">
        <w:rPr>
          <w:rFonts w:ascii="Bookman Old Style" w:hAnsi="Bookman Old Style" w:cs="Tahoma"/>
          <w:color w:val="000000"/>
          <w:sz w:val="23"/>
          <w:szCs w:val="23"/>
        </w:rPr>
        <w:t>con la</w:t>
      </w:r>
      <w:r w:rsidR="008649BD">
        <w:rPr>
          <w:rFonts w:ascii="Bookman Old Style" w:hAnsi="Bookman Old Style" w:cs="Tahoma"/>
          <w:color w:val="000000"/>
          <w:sz w:val="23"/>
          <w:szCs w:val="23"/>
        </w:rPr>
        <w:t>s</w:t>
      </w:r>
      <w:r w:rsidR="000023B9">
        <w:rPr>
          <w:rFonts w:ascii="Bookman Old Style" w:hAnsi="Bookman Old Style" w:cs="Tahoma"/>
          <w:color w:val="000000"/>
          <w:sz w:val="23"/>
          <w:szCs w:val="23"/>
        </w:rPr>
        <w:t xml:space="preserve"> </w:t>
      </w:r>
      <w:r w:rsidR="000023B9" w:rsidRPr="000023B9">
        <w:rPr>
          <w:rFonts w:ascii="Bookman Old Style" w:hAnsi="Bookman Old Style" w:cs="Tahoma"/>
          <w:color w:val="000000"/>
          <w:sz w:val="23"/>
          <w:szCs w:val="23"/>
        </w:rPr>
        <w:t>respectiva</w:t>
      </w:r>
      <w:r w:rsidR="008649BD">
        <w:rPr>
          <w:rFonts w:ascii="Bookman Old Style" w:hAnsi="Bookman Old Style" w:cs="Tahoma"/>
          <w:color w:val="000000"/>
          <w:sz w:val="23"/>
          <w:szCs w:val="23"/>
        </w:rPr>
        <w:t>s</w:t>
      </w:r>
      <w:r w:rsidR="000023B9" w:rsidRPr="000023B9">
        <w:rPr>
          <w:rFonts w:ascii="Bookman Old Style" w:hAnsi="Bookman Old Style" w:cs="Tahoma"/>
          <w:color w:val="000000"/>
          <w:sz w:val="23"/>
          <w:szCs w:val="23"/>
        </w:rPr>
        <w:t xml:space="preserve"> notificaci</w:t>
      </w:r>
      <w:r w:rsidR="008649BD">
        <w:rPr>
          <w:rFonts w:ascii="Bookman Old Style" w:hAnsi="Bookman Old Style" w:cs="Tahoma"/>
          <w:color w:val="000000"/>
          <w:sz w:val="23"/>
          <w:szCs w:val="23"/>
        </w:rPr>
        <w:t xml:space="preserve">ones </w:t>
      </w:r>
      <w:r w:rsidR="000023B9">
        <w:rPr>
          <w:rFonts w:ascii="Bookman Old Style" w:hAnsi="Bookman Old Style" w:cs="Tahoma"/>
          <w:color w:val="000000"/>
          <w:sz w:val="23"/>
          <w:szCs w:val="23"/>
        </w:rPr>
        <w:t xml:space="preserve">por correo electrónico, una </w:t>
      </w:r>
      <w:r w:rsidR="008649BD">
        <w:rPr>
          <w:rFonts w:ascii="Bookman Old Style" w:hAnsi="Bookman Old Style" w:cs="Tahoma"/>
          <w:color w:val="000000"/>
          <w:sz w:val="23"/>
          <w:szCs w:val="23"/>
        </w:rPr>
        <w:t xml:space="preserve">vez </w:t>
      </w:r>
      <w:r w:rsidR="000023B9">
        <w:rPr>
          <w:rFonts w:ascii="Bookman Old Style" w:hAnsi="Bookman Old Style" w:cs="Tahoma"/>
          <w:color w:val="000000"/>
          <w:sz w:val="23"/>
          <w:szCs w:val="23"/>
        </w:rPr>
        <w:t>ejecutoriado el presente auto</w:t>
      </w:r>
      <w:r w:rsidR="000023B9" w:rsidRPr="000023B9">
        <w:rPr>
          <w:rFonts w:ascii="Bookman Old Style" w:hAnsi="Bookman Old Style" w:cs="Tahoma"/>
          <w:color w:val="000000"/>
          <w:sz w:val="23"/>
          <w:szCs w:val="23"/>
        </w:rPr>
        <w:t>.</w:t>
      </w:r>
    </w:p>
    <w:p w:rsidR="000023B9" w:rsidRDefault="000023B9" w:rsidP="000023B9">
      <w:pPr>
        <w:pStyle w:val="ListParagraph"/>
        <w:spacing w:line="300" w:lineRule="auto"/>
        <w:ind w:left="0"/>
        <w:jc w:val="both"/>
        <w:rPr>
          <w:rFonts w:ascii="Bookman Old Style" w:hAnsi="Bookman Old Style" w:cs="Tahoma"/>
          <w:color w:val="000000"/>
          <w:sz w:val="23"/>
          <w:szCs w:val="23"/>
        </w:rPr>
      </w:pPr>
      <w:r>
        <w:rPr>
          <w:rFonts w:ascii="Bookman Old Style" w:hAnsi="Bookman Old Style" w:cs="Tahoma"/>
          <w:color w:val="000000"/>
          <w:sz w:val="23"/>
          <w:szCs w:val="23"/>
        </w:rPr>
        <w:t xml:space="preserve"> </w:t>
      </w:r>
    </w:p>
    <w:p w:rsidR="00B8403D" w:rsidRDefault="00B8403D" w:rsidP="00B8403D">
      <w:pPr>
        <w:pStyle w:val="ListParagraph"/>
        <w:spacing w:line="300" w:lineRule="auto"/>
        <w:ind w:left="0"/>
        <w:jc w:val="both"/>
        <w:rPr>
          <w:rFonts w:ascii="Bookman Old Style" w:hAnsi="Bookman Old Style" w:cs="Tahoma"/>
          <w:sz w:val="23"/>
          <w:szCs w:val="23"/>
        </w:rPr>
      </w:pPr>
      <w:r w:rsidRPr="00B8403D">
        <w:rPr>
          <w:rFonts w:ascii="Bookman Old Style" w:hAnsi="Bookman Old Style" w:cs="Tahoma"/>
          <w:b/>
          <w:sz w:val="23"/>
          <w:szCs w:val="23"/>
        </w:rPr>
        <w:t xml:space="preserve">TERCERO. </w:t>
      </w:r>
      <w:r w:rsidRPr="00B8403D">
        <w:rPr>
          <w:rFonts w:ascii="Bookman Old Style" w:hAnsi="Bookman Old Style" w:cs="Tahoma"/>
          <w:b/>
          <w:sz w:val="23"/>
          <w:szCs w:val="23"/>
        </w:rPr>
        <w:tab/>
      </w:r>
      <w:r w:rsidRPr="00B8403D">
        <w:rPr>
          <w:rFonts w:ascii="Bookman Old Style" w:hAnsi="Bookman Old Style" w:cs="Tahoma"/>
          <w:sz w:val="23"/>
          <w:szCs w:val="23"/>
        </w:rPr>
        <w:t xml:space="preserve">El término común de 25 días previos a los 30 días de </w:t>
      </w:r>
      <w:r w:rsidRPr="00B8403D">
        <w:rPr>
          <w:rFonts w:ascii="Bookman Old Style" w:hAnsi="Bookman Old Style" w:cs="Tahoma"/>
          <w:b/>
          <w:sz w:val="23"/>
          <w:szCs w:val="23"/>
        </w:rPr>
        <w:t>traslado</w:t>
      </w:r>
      <w:r w:rsidRPr="00B8403D">
        <w:rPr>
          <w:rFonts w:ascii="Bookman Old Style" w:hAnsi="Bookman Old Style" w:cs="Tahoma"/>
          <w:sz w:val="23"/>
          <w:szCs w:val="23"/>
        </w:rPr>
        <w:t xml:space="preserve"> que tiene la entidad demandada, el Ministerio Público, y los sujetos que tengan interés directo en las resultas del proceso </w:t>
      </w:r>
      <w:r w:rsidRPr="00B8403D">
        <w:rPr>
          <w:rFonts w:ascii="Bookman Old Style" w:hAnsi="Bookman Old Style" w:cs="Tahoma"/>
          <w:bCs/>
          <w:sz w:val="23"/>
          <w:szCs w:val="23"/>
        </w:rPr>
        <w:t>para contestar la demanda</w:t>
      </w:r>
      <w:r w:rsidRPr="00B8403D">
        <w:rPr>
          <w:rFonts w:ascii="Bookman Old Style" w:hAnsi="Bookman Old Style" w:cs="Tahoma"/>
          <w:sz w:val="23"/>
          <w:szCs w:val="23"/>
        </w:rPr>
        <w:t>, proponer excepciones, solicitar pruebas, llamar en garantía y presentar demanda de reconvención, según el artículo 172 del CPACA, empezará a correr una vez se surta la ÚLTIMA notificación.</w:t>
      </w:r>
    </w:p>
    <w:p w:rsidR="000023B9" w:rsidRDefault="000023B9" w:rsidP="00B8403D">
      <w:pPr>
        <w:pStyle w:val="ListParagraph"/>
        <w:spacing w:line="300" w:lineRule="auto"/>
        <w:ind w:left="0"/>
        <w:jc w:val="both"/>
        <w:rPr>
          <w:rFonts w:ascii="Bookman Old Style" w:hAnsi="Bookman Old Style" w:cs="Tahoma"/>
          <w:sz w:val="23"/>
          <w:szCs w:val="23"/>
        </w:rPr>
      </w:pPr>
    </w:p>
    <w:p w:rsidR="000023B9" w:rsidRPr="00B8403D" w:rsidRDefault="000023B9" w:rsidP="00B8403D">
      <w:pPr>
        <w:pStyle w:val="ListParagraph"/>
        <w:spacing w:line="300" w:lineRule="auto"/>
        <w:ind w:left="0"/>
        <w:jc w:val="both"/>
        <w:rPr>
          <w:rFonts w:ascii="Bookman Old Style" w:hAnsi="Bookman Old Style" w:cs="Tahoma"/>
          <w:sz w:val="23"/>
          <w:szCs w:val="23"/>
        </w:rPr>
      </w:pPr>
      <w:r w:rsidRPr="008649BD">
        <w:rPr>
          <w:rFonts w:ascii="Bookman Old Style" w:hAnsi="Bookman Old Style" w:cs="Tahoma"/>
          <w:b/>
          <w:sz w:val="23"/>
          <w:szCs w:val="23"/>
        </w:rPr>
        <w:t>CUARTO</w:t>
      </w:r>
      <w:r>
        <w:rPr>
          <w:rFonts w:ascii="Bookman Old Style" w:hAnsi="Bookman Old Style" w:cs="Tahoma"/>
          <w:sz w:val="23"/>
          <w:szCs w:val="23"/>
        </w:rPr>
        <w:t xml:space="preserve">: Se reconoce personería para actuar a la doctora YOLANDA DEL SOCORRO PASTOR DE PUERTA, con T.P. 81030 del CSJ. </w:t>
      </w:r>
    </w:p>
    <w:p w:rsidR="00B8403D" w:rsidRPr="00B8403D" w:rsidRDefault="00B8403D" w:rsidP="00B8403D">
      <w:pPr>
        <w:spacing w:line="300" w:lineRule="auto"/>
        <w:rPr>
          <w:rFonts w:ascii="Bookman Old Style" w:hAnsi="Bookman Old Style" w:cs="Tahoma"/>
          <w:sz w:val="22"/>
          <w:szCs w:val="22"/>
        </w:rPr>
      </w:pPr>
    </w:p>
    <w:p w:rsidR="00B8403D" w:rsidRPr="00B8403D" w:rsidRDefault="00B8403D" w:rsidP="00B8403D">
      <w:pPr>
        <w:pStyle w:val="Textoindependiente"/>
        <w:rPr>
          <w:rFonts w:ascii="Bookman Old Style" w:hAnsi="Bookman Old Style" w:cs="Tahoma"/>
          <w:bCs/>
          <w:sz w:val="23"/>
          <w:szCs w:val="23"/>
        </w:rPr>
      </w:pPr>
    </w:p>
    <w:p w:rsidR="00B8403D" w:rsidRPr="00B8403D" w:rsidRDefault="00B8403D" w:rsidP="00B8403D">
      <w:pPr>
        <w:pStyle w:val="Textoindependiente"/>
        <w:jc w:val="center"/>
        <w:rPr>
          <w:rFonts w:ascii="Bookman Old Style" w:hAnsi="Bookman Old Style" w:cs="Tahoma"/>
          <w:b/>
          <w:bCs/>
          <w:sz w:val="23"/>
          <w:szCs w:val="23"/>
        </w:rPr>
      </w:pPr>
      <w:r w:rsidRPr="00B8403D">
        <w:rPr>
          <w:rFonts w:ascii="Bookman Old Style" w:hAnsi="Bookman Old Style" w:cs="Tahoma"/>
          <w:b/>
          <w:bCs/>
          <w:sz w:val="23"/>
          <w:szCs w:val="23"/>
        </w:rPr>
        <w:t>NOTIFÍQUESE Y CÚMPLASE</w:t>
      </w:r>
    </w:p>
    <w:p w:rsidR="00B8403D" w:rsidRPr="00B8403D" w:rsidRDefault="00B8403D" w:rsidP="00B8403D">
      <w:pPr>
        <w:tabs>
          <w:tab w:val="left" w:pos="-720"/>
        </w:tabs>
        <w:suppressAutoHyphens/>
        <w:jc w:val="center"/>
        <w:rPr>
          <w:rFonts w:ascii="Bookman Old Style" w:hAnsi="Bookman Old Style" w:cs="Tahoma"/>
          <w:b/>
          <w:bCs/>
          <w:sz w:val="23"/>
          <w:szCs w:val="23"/>
        </w:rPr>
      </w:pPr>
    </w:p>
    <w:p w:rsidR="00B8403D" w:rsidRPr="00B8403D" w:rsidRDefault="00B8403D" w:rsidP="00B8403D">
      <w:pPr>
        <w:tabs>
          <w:tab w:val="left" w:pos="-720"/>
        </w:tabs>
        <w:suppressAutoHyphens/>
        <w:rPr>
          <w:rFonts w:ascii="Bookman Old Style" w:hAnsi="Bookman Old Style" w:cs="Tahoma"/>
          <w:b/>
          <w:bCs/>
          <w:sz w:val="23"/>
          <w:szCs w:val="23"/>
        </w:rPr>
      </w:pPr>
    </w:p>
    <w:p w:rsidR="00B8403D" w:rsidRPr="00B8403D" w:rsidRDefault="00B8403D" w:rsidP="00B8403D">
      <w:pPr>
        <w:tabs>
          <w:tab w:val="left" w:pos="-720"/>
        </w:tabs>
        <w:suppressAutoHyphens/>
        <w:rPr>
          <w:rFonts w:ascii="Bookman Old Style" w:hAnsi="Bookman Old Style" w:cs="Tahoma"/>
          <w:b/>
          <w:bCs/>
          <w:sz w:val="23"/>
          <w:szCs w:val="23"/>
        </w:rPr>
      </w:pPr>
    </w:p>
    <w:p w:rsidR="00B8403D" w:rsidRPr="00B8403D" w:rsidRDefault="000023B9" w:rsidP="00B8403D">
      <w:pPr>
        <w:pStyle w:val="Ttulo6"/>
        <w:spacing w:before="0" w:after="0"/>
        <w:jc w:val="center"/>
        <w:rPr>
          <w:rFonts w:ascii="Bookman Old Style" w:hAnsi="Bookman Old Style" w:cs="Tahoma"/>
          <w:sz w:val="23"/>
          <w:szCs w:val="23"/>
        </w:rPr>
      </w:pPr>
      <w:r>
        <w:rPr>
          <w:rFonts w:ascii="Bookman Old Style" w:hAnsi="Bookman Old Style" w:cs="Tahoma"/>
          <w:sz w:val="23"/>
          <w:szCs w:val="23"/>
        </w:rPr>
        <w:t xml:space="preserve">EVANNY MARTINEZ CORREA </w:t>
      </w:r>
    </w:p>
    <w:p w:rsidR="00B8403D" w:rsidRPr="00B8403D" w:rsidRDefault="00B8403D" w:rsidP="00B8403D">
      <w:pPr>
        <w:tabs>
          <w:tab w:val="left" w:pos="-720"/>
        </w:tabs>
        <w:suppressAutoHyphens/>
        <w:spacing w:line="360" w:lineRule="auto"/>
        <w:jc w:val="center"/>
        <w:rPr>
          <w:rFonts w:ascii="Bookman Old Style" w:hAnsi="Bookman Old Style" w:cs="Tahoma"/>
          <w:b/>
          <w:bCs/>
          <w:sz w:val="23"/>
          <w:szCs w:val="23"/>
        </w:rPr>
      </w:pPr>
      <w:r w:rsidRPr="00B8403D">
        <w:rPr>
          <w:rFonts w:ascii="Bookman Old Style" w:hAnsi="Bookman Old Style" w:cs="Tahoma"/>
          <w:b/>
          <w:bCs/>
          <w:sz w:val="23"/>
          <w:szCs w:val="23"/>
        </w:rPr>
        <w:t>JUEZ</w:t>
      </w:r>
    </w:p>
    <w:tbl>
      <w:tblPr>
        <w:tblpPr w:leftFromText="141" w:rightFromText="141" w:vertAnchor="text" w:horzAnchor="margin" w:tblpXSpec="center" w:tblpY="271"/>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8649BD" w:rsidRPr="00343180" w:rsidTr="008649BD">
        <w:trPr>
          <w:trHeight w:val="1893"/>
          <w:tblHeader/>
        </w:trPr>
        <w:tc>
          <w:tcPr>
            <w:tcW w:w="5173" w:type="dxa"/>
            <w:tcBorders>
              <w:top w:val="single" w:sz="6" w:space="0" w:color="auto"/>
              <w:bottom w:val="single" w:sz="6" w:space="0" w:color="auto"/>
            </w:tcBorders>
          </w:tcPr>
          <w:p w:rsidR="008649BD" w:rsidRPr="00343180" w:rsidRDefault="008649BD" w:rsidP="008649BD">
            <w:pPr>
              <w:jc w:val="center"/>
              <w:rPr>
                <w:rFonts w:ascii="Bookman Old Style" w:eastAsia="Arial Unicode MS" w:hAnsi="Bookman Old Style" w:cs="Bookman Old Style"/>
                <w:b/>
                <w:bCs/>
                <w:sz w:val="18"/>
                <w:szCs w:val="18"/>
              </w:rPr>
            </w:pPr>
            <w:r w:rsidRPr="00343180">
              <w:rPr>
                <w:rFonts w:ascii="Bookman Old Style" w:eastAsia="Arial Unicode MS" w:hAnsi="Bookman Old Style"/>
                <w:b/>
                <w:bCs/>
                <w:sz w:val="18"/>
                <w:szCs w:val="18"/>
              </w:rPr>
              <w:br w:type="page"/>
            </w:r>
            <w:r w:rsidRPr="00343180">
              <w:rPr>
                <w:rFonts w:ascii="Bookman Old Style" w:eastAsia="Arial Unicode MS" w:hAnsi="Bookman Old Style" w:cs="Bookman Old Style"/>
                <w:b/>
                <w:bCs/>
                <w:sz w:val="18"/>
                <w:szCs w:val="18"/>
              </w:rPr>
              <w:t xml:space="preserve">JUZGADO CUARTO ADMINISTRATIVO </w:t>
            </w:r>
            <w:r>
              <w:rPr>
                <w:rFonts w:ascii="Bookman Old Style" w:eastAsia="Arial Unicode MS" w:hAnsi="Bookman Old Style" w:cs="Bookman Old Style"/>
                <w:b/>
                <w:bCs/>
                <w:sz w:val="18"/>
                <w:szCs w:val="18"/>
              </w:rPr>
              <w:t xml:space="preserve">ORAL </w:t>
            </w:r>
            <w:r w:rsidRPr="00343180">
              <w:rPr>
                <w:rFonts w:ascii="Bookman Old Style" w:eastAsia="Arial Unicode MS" w:hAnsi="Bookman Old Style" w:cs="Bookman Old Style"/>
                <w:b/>
                <w:bCs/>
                <w:sz w:val="18"/>
                <w:szCs w:val="18"/>
              </w:rPr>
              <w:t>DEL CIRCUITO MEDELLÍN</w:t>
            </w:r>
          </w:p>
          <w:p w:rsidR="008649BD" w:rsidRPr="00343180" w:rsidRDefault="008649BD" w:rsidP="008649BD">
            <w:pPr>
              <w:rPr>
                <w:rFonts w:ascii="Bookman Old Style" w:eastAsia="Arial Unicode MS" w:hAnsi="Bookman Old Style"/>
                <w:sz w:val="18"/>
                <w:szCs w:val="18"/>
              </w:rPr>
            </w:pPr>
          </w:p>
          <w:p w:rsidR="008649BD" w:rsidRDefault="008649BD" w:rsidP="008649BD">
            <w:pPr>
              <w:rPr>
                <w:rFonts w:ascii="Bookman Old Style" w:eastAsia="Arial Unicode MS" w:hAnsi="Bookman Old Style" w:cs="Bookman Old Style"/>
                <w:sz w:val="18"/>
                <w:szCs w:val="18"/>
              </w:rPr>
            </w:pPr>
            <w:r w:rsidRPr="00343180">
              <w:rPr>
                <w:rFonts w:ascii="Bookman Old Style" w:eastAsia="Arial Unicode MS" w:hAnsi="Bookman Old Style" w:cs="Bookman Old Style"/>
                <w:sz w:val="18"/>
                <w:szCs w:val="18"/>
              </w:rPr>
              <w:t xml:space="preserve">Siendo las ocho de la mañana (8:00A.M) del día de hoy </w:t>
            </w:r>
            <w:r w:rsidRPr="00D95B01">
              <w:rPr>
                <w:rFonts w:ascii="Bookman Old Style" w:eastAsia="Arial Unicode MS" w:hAnsi="Bookman Old Style" w:cs="Bookman Old Style"/>
                <w:b/>
                <w:sz w:val="18"/>
                <w:szCs w:val="18"/>
              </w:rPr>
              <w:t>16</w:t>
            </w:r>
            <w:r w:rsidRPr="004A2B42">
              <w:rPr>
                <w:rFonts w:ascii="Bookman Old Style" w:eastAsia="Arial Unicode MS" w:hAnsi="Bookman Old Style" w:cs="Bookman Old Style"/>
                <w:b/>
                <w:bCs/>
                <w:sz w:val="18"/>
                <w:szCs w:val="18"/>
                <w:u w:val="single"/>
              </w:rPr>
              <w:t xml:space="preserve"> </w:t>
            </w:r>
            <w:r>
              <w:rPr>
                <w:rFonts w:ascii="Bookman Old Style" w:eastAsia="Arial Unicode MS" w:hAnsi="Bookman Old Style" w:cs="Bookman Old Style"/>
                <w:b/>
                <w:bCs/>
                <w:sz w:val="18"/>
                <w:szCs w:val="18"/>
                <w:u w:val="single"/>
              </w:rPr>
              <w:t>DE JUNIO DE 2015</w:t>
            </w:r>
            <w:r w:rsidRPr="00343180">
              <w:rPr>
                <w:rFonts w:ascii="Bookman Old Style" w:eastAsia="Arial Unicode MS" w:hAnsi="Bookman Old Style" w:cs="Bookman Old Style"/>
                <w:sz w:val="18"/>
                <w:szCs w:val="18"/>
              </w:rPr>
              <w:t xml:space="preserve"> se notifica a las partes la providencia que antecede por anotación en Estados.</w:t>
            </w:r>
          </w:p>
          <w:p w:rsidR="008649BD" w:rsidRDefault="008649BD" w:rsidP="008649BD">
            <w:pPr>
              <w:rPr>
                <w:rFonts w:ascii="Bookman Old Style" w:eastAsia="Arial Unicode MS" w:hAnsi="Bookman Old Style"/>
                <w:sz w:val="18"/>
                <w:szCs w:val="18"/>
              </w:rPr>
            </w:pPr>
          </w:p>
          <w:p w:rsidR="008649BD" w:rsidRDefault="008649BD" w:rsidP="008649BD">
            <w:pPr>
              <w:jc w:val="center"/>
              <w:rPr>
                <w:rFonts w:ascii="Bookman Old Style" w:eastAsia="Arial Unicode MS" w:hAnsi="Bookman Old Style" w:cs="Bookman Old Style"/>
                <w:b/>
                <w:bCs/>
                <w:sz w:val="18"/>
                <w:szCs w:val="18"/>
              </w:rPr>
            </w:pPr>
            <w:r>
              <w:rPr>
                <w:rFonts w:ascii="Bookman Old Style" w:eastAsia="Arial Unicode MS" w:hAnsi="Bookman Old Style" w:cs="Bookman Old Style"/>
                <w:b/>
                <w:bCs/>
                <w:sz w:val="18"/>
                <w:szCs w:val="18"/>
              </w:rPr>
              <w:t xml:space="preserve">JUAN DAVID ISAZA MARIN </w:t>
            </w:r>
          </w:p>
          <w:p w:rsidR="008649BD" w:rsidRPr="00343180" w:rsidRDefault="008649BD" w:rsidP="008649BD">
            <w:pPr>
              <w:jc w:val="center"/>
              <w:rPr>
                <w:rFonts w:ascii="Bookman Old Style" w:eastAsia="Arial Unicode MS" w:hAnsi="Bookman Old Style"/>
                <w:sz w:val="18"/>
                <w:szCs w:val="18"/>
              </w:rPr>
            </w:pPr>
            <w:r w:rsidRPr="00343180">
              <w:rPr>
                <w:rFonts w:ascii="Bookman Old Style" w:eastAsia="Arial Unicode MS" w:hAnsi="Bookman Old Style" w:cs="Bookman Old Style"/>
                <w:sz w:val="18"/>
                <w:szCs w:val="18"/>
              </w:rPr>
              <w:t>Secretari</w:t>
            </w:r>
            <w:r>
              <w:rPr>
                <w:rFonts w:ascii="Bookman Old Style" w:eastAsia="Arial Unicode MS" w:hAnsi="Bookman Old Style" w:cs="Bookman Old Style"/>
                <w:sz w:val="18"/>
                <w:szCs w:val="18"/>
              </w:rPr>
              <w:t>o</w:t>
            </w:r>
          </w:p>
        </w:tc>
      </w:tr>
    </w:tbl>
    <w:p w:rsidR="00B8403D" w:rsidRPr="00B8403D" w:rsidRDefault="00B8403D" w:rsidP="00B8403D">
      <w:pPr>
        <w:tabs>
          <w:tab w:val="left" w:pos="-720"/>
        </w:tabs>
        <w:suppressAutoHyphens/>
        <w:spacing w:line="360" w:lineRule="auto"/>
        <w:jc w:val="center"/>
        <w:rPr>
          <w:rFonts w:ascii="Bookman Old Style" w:hAnsi="Bookman Old Style" w:cs="Tahoma"/>
          <w:b/>
          <w:bCs/>
          <w:sz w:val="23"/>
          <w:szCs w:val="23"/>
        </w:rPr>
      </w:pPr>
    </w:p>
    <w:p w:rsidR="00B8403D" w:rsidRPr="00B8403D" w:rsidRDefault="00B8403D" w:rsidP="00B8403D">
      <w:pPr>
        <w:tabs>
          <w:tab w:val="left" w:pos="-720"/>
        </w:tabs>
        <w:suppressAutoHyphens/>
        <w:spacing w:line="360" w:lineRule="auto"/>
        <w:jc w:val="center"/>
        <w:rPr>
          <w:rFonts w:ascii="Bookman Old Style" w:hAnsi="Bookman Old Style" w:cs="Tahoma"/>
          <w:b/>
          <w:bCs/>
          <w:sz w:val="23"/>
          <w:szCs w:val="23"/>
        </w:rPr>
      </w:pPr>
    </w:p>
    <w:p w:rsidR="00B8403D" w:rsidRPr="00B8403D" w:rsidRDefault="00B8403D" w:rsidP="00B8403D">
      <w:pPr>
        <w:spacing w:line="360" w:lineRule="auto"/>
        <w:jc w:val="center"/>
        <w:rPr>
          <w:rFonts w:ascii="Bookman Old Style" w:hAnsi="Bookman Old Style"/>
          <w:lang w:val="es-ES_tradnl"/>
        </w:rPr>
      </w:pPr>
    </w:p>
    <w:p w:rsidR="00257FCE" w:rsidRPr="00B8403D" w:rsidRDefault="00257FCE">
      <w:pPr>
        <w:rPr>
          <w:rFonts w:ascii="Bookman Old Style" w:hAnsi="Bookman Old Style"/>
        </w:rPr>
      </w:pPr>
    </w:p>
    <w:sectPr w:rsidR="00257FCE" w:rsidRPr="00B8403D" w:rsidSect="00A55BD6">
      <w:headerReference w:type="default" r:id="rId8"/>
      <w:pgSz w:w="12242" w:h="18722" w:code="123"/>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B9" w:rsidRDefault="000023B9" w:rsidP="000023B9">
      <w:r>
        <w:separator/>
      </w:r>
    </w:p>
  </w:endnote>
  <w:endnote w:type="continuationSeparator" w:id="0">
    <w:p w:rsidR="000023B9" w:rsidRDefault="000023B9" w:rsidP="0000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B9" w:rsidRDefault="000023B9" w:rsidP="000023B9">
      <w:r>
        <w:separator/>
      </w:r>
    </w:p>
  </w:footnote>
  <w:footnote w:type="continuationSeparator" w:id="0">
    <w:p w:rsidR="000023B9" w:rsidRDefault="000023B9" w:rsidP="00002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5F" w:rsidRDefault="00D2764F">
    <w:pPr>
      <w:pStyle w:val="Encabezado"/>
      <w:rPr>
        <w:rFonts w:ascii="Tahoma" w:hAnsi="Tahoma" w:cs="Tahoma"/>
        <w:sz w:val="20"/>
        <w:szCs w:val="20"/>
        <w:lang w:val="es-CO"/>
      </w:rPr>
    </w:pPr>
  </w:p>
  <w:p w:rsidR="007E515F" w:rsidRPr="00CF1756" w:rsidRDefault="00D2764F">
    <w:pPr>
      <w:pStyle w:val="Encabezado"/>
      <w:rPr>
        <w:rFonts w:ascii="Tahoma" w:hAnsi="Tahoma" w:cs="Tahoma"/>
        <w:sz w:val="20"/>
        <w:szCs w:val="20"/>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73882"/>
    <w:multiLevelType w:val="hybridMultilevel"/>
    <w:tmpl w:val="7CE4B49C"/>
    <w:lvl w:ilvl="0" w:tplc="5BE83340">
      <w:start w:val="1"/>
      <w:numFmt w:val="decimal"/>
      <w:lvlText w:val="%1."/>
      <w:lvlJc w:val="left"/>
      <w:pPr>
        <w:ind w:left="684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D"/>
    <w:rsid w:val="000023B9"/>
    <w:rsid w:val="00257FCE"/>
    <w:rsid w:val="002E32CD"/>
    <w:rsid w:val="00511E72"/>
    <w:rsid w:val="008649BD"/>
    <w:rsid w:val="008B165B"/>
    <w:rsid w:val="009D416F"/>
    <w:rsid w:val="00B8403D"/>
    <w:rsid w:val="00DF2064"/>
    <w:rsid w:val="00F31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40E7F98-CFC9-4CEC-ACF1-9996E98E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3D"/>
    <w:pPr>
      <w:spacing w:after="0" w:line="240" w:lineRule="auto"/>
    </w:pPr>
    <w:rPr>
      <w:rFonts w:ascii="Arial" w:eastAsia="Calibri" w:hAnsi="Arial" w:cs="Times New Roman"/>
      <w:sz w:val="24"/>
      <w:szCs w:val="24"/>
      <w:lang w:eastAsia="es-ES"/>
    </w:rPr>
  </w:style>
  <w:style w:type="paragraph" w:styleId="Ttulo6">
    <w:name w:val="heading 6"/>
    <w:basedOn w:val="Normal"/>
    <w:next w:val="Normal"/>
    <w:link w:val="Ttulo6Car"/>
    <w:semiHidden/>
    <w:unhideWhenUsed/>
    <w:qFormat/>
    <w:rsid w:val="00B8403D"/>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B8403D"/>
    <w:rPr>
      <w:rFonts w:ascii="Calibri" w:eastAsia="Times New Roman" w:hAnsi="Calibri" w:cs="Times New Roman"/>
      <w:b/>
      <w:bCs/>
      <w:lang w:eastAsia="es-ES"/>
    </w:rPr>
  </w:style>
  <w:style w:type="paragraph" w:styleId="Encabezado">
    <w:name w:val="header"/>
    <w:basedOn w:val="Normal"/>
    <w:link w:val="EncabezadoCar"/>
    <w:semiHidden/>
    <w:rsid w:val="00B8403D"/>
    <w:pPr>
      <w:tabs>
        <w:tab w:val="center" w:pos="4419"/>
        <w:tab w:val="right" w:pos="8838"/>
      </w:tabs>
    </w:pPr>
  </w:style>
  <w:style w:type="character" w:customStyle="1" w:styleId="EncabezadoCar">
    <w:name w:val="Encabezado Car"/>
    <w:basedOn w:val="Fuentedeprrafopredeter"/>
    <w:link w:val="Encabezado"/>
    <w:semiHidden/>
    <w:rsid w:val="00B8403D"/>
    <w:rPr>
      <w:rFonts w:ascii="Arial" w:eastAsia="Calibri" w:hAnsi="Arial" w:cs="Times New Roman"/>
      <w:sz w:val="24"/>
      <w:szCs w:val="24"/>
      <w:lang w:eastAsia="es-ES"/>
    </w:rPr>
  </w:style>
  <w:style w:type="paragraph" w:customStyle="1" w:styleId="ListParagraph">
    <w:name w:val="List Paragraph"/>
    <w:basedOn w:val="Normal"/>
    <w:rsid w:val="00B8403D"/>
    <w:pPr>
      <w:ind w:left="708"/>
    </w:pPr>
  </w:style>
  <w:style w:type="paragraph" w:styleId="NormalWeb">
    <w:name w:val="Normal (Web)"/>
    <w:basedOn w:val="Normal"/>
    <w:uiPriority w:val="99"/>
    <w:rsid w:val="00B8403D"/>
    <w:pPr>
      <w:spacing w:before="100" w:beforeAutospacing="1" w:after="100" w:afterAutospacing="1"/>
    </w:pPr>
    <w:rPr>
      <w:rFonts w:ascii="Times New Roman" w:eastAsia="Times New Roman" w:hAnsi="Times New Roman"/>
    </w:rPr>
  </w:style>
  <w:style w:type="paragraph" w:styleId="Prrafodelista">
    <w:name w:val="List Paragraph"/>
    <w:basedOn w:val="Normal"/>
    <w:uiPriority w:val="34"/>
    <w:qFormat/>
    <w:rsid w:val="00B8403D"/>
    <w:pPr>
      <w:ind w:left="708"/>
    </w:pPr>
  </w:style>
  <w:style w:type="character" w:customStyle="1" w:styleId="apple-converted-space">
    <w:name w:val="apple-converted-space"/>
    <w:rsid w:val="00B8403D"/>
  </w:style>
  <w:style w:type="paragraph" w:styleId="Textoindependiente">
    <w:name w:val="Body Text"/>
    <w:basedOn w:val="Normal"/>
    <w:link w:val="TextoindependienteCar"/>
    <w:rsid w:val="00B8403D"/>
    <w:pPr>
      <w:spacing w:after="120"/>
    </w:pPr>
  </w:style>
  <w:style w:type="character" w:customStyle="1" w:styleId="TextoindependienteCar">
    <w:name w:val="Texto independiente Car"/>
    <w:basedOn w:val="Fuentedeprrafopredeter"/>
    <w:link w:val="Textoindependiente"/>
    <w:rsid w:val="00B8403D"/>
    <w:rPr>
      <w:rFonts w:ascii="Arial" w:eastAsia="Calibri" w:hAnsi="Arial" w:cs="Times New Roman"/>
      <w:sz w:val="24"/>
      <w:szCs w:val="24"/>
      <w:lang w:eastAsia="es-ES"/>
    </w:rPr>
  </w:style>
  <w:style w:type="paragraph" w:styleId="Piedepgina">
    <w:name w:val="footer"/>
    <w:basedOn w:val="Normal"/>
    <w:link w:val="PiedepginaCar"/>
    <w:uiPriority w:val="99"/>
    <w:unhideWhenUsed/>
    <w:rsid w:val="000023B9"/>
    <w:pPr>
      <w:tabs>
        <w:tab w:val="center" w:pos="4252"/>
        <w:tab w:val="right" w:pos="8504"/>
      </w:tabs>
    </w:pPr>
  </w:style>
  <w:style w:type="character" w:customStyle="1" w:styleId="PiedepginaCar">
    <w:name w:val="Pie de página Car"/>
    <w:basedOn w:val="Fuentedeprrafopredeter"/>
    <w:link w:val="Piedepgina"/>
    <w:uiPriority w:val="99"/>
    <w:rsid w:val="000023B9"/>
    <w:rPr>
      <w:rFonts w:ascii="Arial" w:eastAsia="Calibri" w:hAnsi="Arial" w:cs="Times New Roman"/>
      <w:sz w:val="24"/>
      <w:szCs w:val="24"/>
      <w:lang w:eastAsia="es-ES"/>
    </w:rPr>
  </w:style>
  <w:style w:type="paragraph" w:styleId="Textodeglobo">
    <w:name w:val="Balloon Text"/>
    <w:basedOn w:val="Normal"/>
    <w:link w:val="TextodegloboCar"/>
    <w:uiPriority w:val="99"/>
    <w:semiHidden/>
    <w:unhideWhenUsed/>
    <w:rsid w:val="00864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9BD"/>
    <w:rPr>
      <w:rFonts w:ascii="Segoe UI" w:eastAsia="Calibr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6530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04 Administrativo de Medellin</dc:creator>
  <cp:keywords/>
  <dc:description/>
  <cp:lastModifiedBy>Juzgado 04 Administrativo de Medellin</cp:lastModifiedBy>
  <cp:revision>2</cp:revision>
  <cp:lastPrinted>2015-06-11T23:28:00Z</cp:lastPrinted>
  <dcterms:created xsi:type="dcterms:W3CDTF">2015-06-11T23:43:00Z</dcterms:created>
  <dcterms:modified xsi:type="dcterms:W3CDTF">2015-06-11T23:43:00Z</dcterms:modified>
</cp:coreProperties>
</file>