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FA" w:rsidRPr="009347E7" w:rsidRDefault="007965FA" w:rsidP="007965FA">
      <w:pPr>
        <w:tabs>
          <w:tab w:val="center" w:pos="4252"/>
          <w:tab w:val="right" w:pos="8504"/>
        </w:tabs>
        <w:spacing w:line="276" w:lineRule="auto"/>
        <w:jc w:val="center"/>
        <w:rPr>
          <w:rFonts w:ascii="Bookman Old Style" w:hAnsi="Bookman Old Style" w:cs="Arial"/>
          <w:b/>
          <w:sz w:val="20"/>
          <w:szCs w:val="20"/>
          <w:lang w:val="es-CO"/>
        </w:rPr>
      </w:pPr>
      <w:r w:rsidRPr="009347E7">
        <w:rPr>
          <w:rFonts w:ascii="Bookman Old Style" w:hAnsi="Bookman Old Style" w:cs="Arial"/>
          <w:b/>
          <w:sz w:val="20"/>
          <w:szCs w:val="20"/>
          <w:lang w:val="es-CO"/>
        </w:rPr>
        <w:t>REPÚBLICA DE COLOMBIA</w:t>
      </w:r>
    </w:p>
    <w:p w:rsidR="007965FA" w:rsidRPr="009347E7" w:rsidRDefault="009B6D50" w:rsidP="007965FA">
      <w:pPr>
        <w:overflowPunct w:val="0"/>
        <w:autoSpaceDE w:val="0"/>
        <w:autoSpaceDN w:val="0"/>
        <w:adjustRightInd w:val="0"/>
        <w:spacing w:line="276" w:lineRule="auto"/>
        <w:jc w:val="center"/>
        <w:textAlignment w:val="baseline"/>
        <w:rPr>
          <w:rFonts w:ascii="Bookman Old Style" w:hAnsi="Bookman Old Style" w:cs="Arial"/>
          <w:b/>
          <w:bCs/>
          <w:caps/>
          <w:sz w:val="20"/>
          <w:szCs w:val="20"/>
          <w:lang w:val="es-ES_tradnl"/>
        </w:rPr>
      </w:pPr>
      <w:r w:rsidRPr="009347E7">
        <w:rPr>
          <w:rFonts w:ascii="Bookman Old Style" w:hAnsi="Bookman Old Style" w:cs="Palatino Linotype"/>
          <w:noProof/>
          <w:sz w:val="20"/>
          <w:szCs w:val="20"/>
          <w:lang w:val="es-CO" w:eastAsia="es-CO"/>
        </w:rPr>
        <w:drawing>
          <wp:inline distT="0" distB="0" distL="0" distR="0">
            <wp:extent cx="962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7965FA" w:rsidRPr="009347E7" w:rsidRDefault="007965FA" w:rsidP="007965FA">
      <w:pPr>
        <w:overflowPunct w:val="0"/>
        <w:autoSpaceDE w:val="0"/>
        <w:autoSpaceDN w:val="0"/>
        <w:adjustRightInd w:val="0"/>
        <w:spacing w:line="276" w:lineRule="auto"/>
        <w:jc w:val="center"/>
        <w:textAlignment w:val="baseline"/>
        <w:rPr>
          <w:rFonts w:ascii="Bookman Old Style" w:hAnsi="Bookman Old Style" w:cs="Arial"/>
          <w:b/>
          <w:sz w:val="20"/>
          <w:szCs w:val="20"/>
          <w:lang w:val="es-ES_tradnl"/>
        </w:rPr>
      </w:pPr>
      <w:r w:rsidRPr="009347E7">
        <w:rPr>
          <w:rFonts w:ascii="Bookman Old Style" w:hAnsi="Bookman Old Style" w:cs="Arial"/>
          <w:b/>
          <w:sz w:val="20"/>
          <w:szCs w:val="20"/>
          <w:lang w:val="es-ES_tradnl"/>
        </w:rPr>
        <w:t>RAMA JUDICIAL DEL PODER PÚBLICO</w:t>
      </w:r>
    </w:p>
    <w:p w:rsidR="007965FA" w:rsidRPr="007965FA" w:rsidRDefault="007965FA" w:rsidP="007965FA">
      <w:pPr>
        <w:spacing w:line="276" w:lineRule="auto"/>
        <w:jc w:val="center"/>
        <w:rPr>
          <w:rFonts w:ascii="Bookman Old Style" w:hAnsi="Bookman Old Style" w:cs="Arial"/>
          <w:b/>
          <w:bCs/>
          <w:iCs/>
          <w:lang w:val="es-CO"/>
        </w:rPr>
      </w:pPr>
      <w:r w:rsidRPr="007965FA">
        <w:rPr>
          <w:rFonts w:ascii="Bookman Old Style" w:hAnsi="Bookman Old Style" w:cs="Arial"/>
          <w:b/>
          <w:bCs/>
          <w:iCs/>
          <w:lang w:val="es-CO"/>
        </w:rPr>
        <w:t>JUZGADO CUARTO ADMINISTRATIVO ORAL DE MEDELLÍN</w:t>
      </w:r>
    </w:p>
    <w:p w:rsidR="007965FA" w:rsidRPr="007965FA" w:rsidRDefault="007965FA" w:rsidP="007965FA">
      <w:pPr>
        <w:jc w:val="center"/>
        <w:rPr>
          <w:rFonts w:ascii="Bookman Old Style" w:hAnsi="Bookman Old Style" w:cs="Arial"/>
          <w:lang w:val="es-CO"/>
        </w:rPr>
      </w:pPr>
    </w:p>
    <w:p w:rsidR="007965FA" w:rsidRPr="007965FA" w:rsidRDefault="007965FA" w:rsidP="007965FA">
      <w:pPr>
        <w:jc w:val="center"/>
        <w:rPr>
          <w:rFonts w:ascii="Bookman Old Style" w:hAnsi="Bookman Old Style" w:cs="Arial"/>
          <w:lang w:val="es-CO"/>
        </w:rPr>
      </w:pPr>
      <w:r w:rsidRPr="007965FA">
        <w:rPr>
          <w:rFonts w:ascii="Bookman Old Style" w:hAnsi="Bookman Old Style" w:cs="Arial"/>
          <w:lang w:val="es-CO"/>
        </w:rPr>
        <w:t xml:space="preserve">Medellín, </w:t>
      </w:r>
      <w:r w:rsidR="000332C4">
        <w:rPr>
          <w:rFonts w:ascii="Bookman Old Style" w:hAnsi="Bookman Old Style" w:cs="Arial"/>
          <w:lang w:val="es-CO"/>
        </w:rPr>
        <w:t>trece</w:t>
      </w:r>
      <w:r w:rsidRPr="007965FA">
        <w:rPr>
          <w:rFonts w:ascii="Bookman Old Style" w:hAnsi="Bookman Old Style" w:cs="Arial"/>
          <w:lang w:val="es-CO"/>
        </w:rPr>
        <w:t xml:space="preserve"> (</w:t>
      </w:r>
      <w:r w:rsidR="000332C4">
        <w:rPr>
          <w:rFonts w:ascii="Bookman Old Style" w:hAnsi="Bookman Old Style" w:cs="Arial"/>
          <w:lang w:val="es-CO"/>
        </w:rPr>
        <w:t>13</w:t>
      </w:r>
      <w:r w:rsidRPr="007965FA">
        <w:rPr>
          <w:rFonts w:ascii="Bookman Old Style" w:hAnsi="Bookman Old Style" w:cs="Arial"/>
          <w:lang w:val="es-CO"/>
        </w:rPr>
        <w:t xml:space="preserve">) de </w:t>
      </w:r>
      <w:r w:rsidR="000332C4">
        <w:rPr>
          <w:rFonts w:ascii="Bookman Old Style" w:hAnsi="Bookman Old Style" w:cs="Arial"/>
          <w:lang w:val="es-CO"/>
        </w:rPr>
        <w:t>septiembre</w:t>
      </w:r>
      <w:r w:rsidR="00A53CBB">
        <w:rPr>
          <w:rFonts w:ascii="Bookman Old Style" w:hAnsi="Bookman Old Style" w:cs="Arial"/>
          <w:lang w:val="es-CO"/>
        </w:rPr>
        <w:t xml:space="preserve"> de dos mil </w:t>
      </w:r>
      <w:r w:rsidR="000332C4">
        <w:rPr>
          <w:rFonts w:ascii="Bookman Old Style" w:hAnsi="Bookman Old Style" w:cs="Arial"/>
          <w:lang w:val="es-CO"/>
        </w:rPr>
        <w:t>diecinueve</w:t>
      </w:r>
      <w:r w:rsidRPr="007965FA">
        <w:rPr>
          <w:rFonts w:ascii="Bookman Old Style" w:hAnsi="Bookman Old Style" w:cs="Arial"/>
          <w:lang w:val="es-CO"/>
        </w:rPr>
        <w:t xml:space="preserve"> (201</w:t>
      </w:r>
      <w:r w:rsidR="000332C4">
        <w:rPr>
          <w:rFonts w:ascii="Bookman Old Style" w:hAnsi="Bookman Old Style" w:cs="Arial"/>
          <w:lang w:val="es-CO"/>
        </w:rPr>
        <w:t>9</w:t>
      </w:r>
      <w:r w:rsidRPr="007965FA">
        <w:rPr>
          <w:rFonts w:ascii="Bookman Old Style" w:hAnsi="Bookman Old Style" w:cs="Arial"/>
          <w:lang w:val="es-CO"/>
        </w:rPr>
        <w:t>)</w:t>
      </w:r>
    </w:p>
    <w:p w:rsidR="007965FA" w:rsidRPr="007965FA" w:rsidRDefault="007965FA" w:rsidP="007965FA">
      <w:pPr>
        <w:jc w:val="both"/>
        <w:rPr>
          <w:rFonts w:ascii="Bookman Old Style" w:hAnsi="Bookman Old Style" w:cs="Arial"/>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5163"/>
      </w:tblGrid>
      <w:tr w:rsidR="00FB369A" w:rsidRPr="007965FA" w:rsidTr="00EA0885">
        <w:trPr>
          <w:jc w:val="center"/>
        </w:trPr>
        <w:tc>
          <w:tcPr>
            <w:tcW w:w="1995" w:type="dxa"/>
            <w:tcBorders>
              <w:top w:val="single" w:sz="4" w:space="0" w:color="auto"/>
              <w:left w:val="single" w:sz="4" w:space="0" w:color="auto"/>
              <w:bottom w:val="single" w:sz="4" w:space="0" w:color="auto"/>
              <w:right w:val="single" w:sz="4" w:space="0" w:color="auto"/>
            </w:tcBorders>
          </w:tcPr>
          <w:p w:rsidR="007965FA" w:rsidRPr="009347E7" w:rsidRDefault="007965FA" w:rsidP="007965FA">
            <w:pPr>
              <w:jc w:val="both"/>
              <w:rPr>
                <w:rFonts w:ascii="Bookman Old Style" w:hAnsi="Bookman Old Style" w:cs="Arial"/>
                <w:b/>
                <w:sz w:val="22"/>
                <w:szCs w:val="22"/>
                <w:lang w:val="es-CO"/>
              </w:rPr>
            </w:pPr>
            <w:r w:rsidRPr="009347E7">
              <w:rPr>
                <w:rFonts w:ascii="Bookman Old Style" w:hAnsi="Bookman Old Style" w:cs="Arial"/>
                <w:b/>
                <w:sz w:val="22"/>
                <w:szCs w:val="22"/>
                <w:lang w:val="es-CO"/>
              </w:rPr>
              <w:t>Radicado:</w:t>
            </w:r>
          </w:p>
        </w:tc>
        <w:tc>
          <w:tcPr>
            <w:tcW w:w="5163" w:type="dxa"/>
            <w:tcBorders>
              <w:top w:val="single" w:sz="4" w:space="0" w:color="auto"/>
              <w:left w:val="single" w:sz="4" w:space="0" w:color="auto"/>
              <w:bottom w:val="single" w:sz="4" w:space="0" w:color="auto"/>
              <w:right w:val="single" w:sz="4" w:space="0" w:color="auto"/>
            </w:tcBorders>
          </w:tcPr>
          <w:p w:rsidR="007965FA" w:rsidRPr="009347E7" w:rsidRDefault="00A53CBB" w:rsidP="000332C4">
            <w:pPr>
              <w:jc w:val="both"/>
              <w:rPr>
                <w:rFonts w:ascii="Bookman Old Style" w:hAnsi="Bookman Old Style" w:cs="Arial"/>
                <w:sz w:val="22"/>
                <w:szCs w:val="22"/>
                <w:lang w:val="es-CO"/>
              </w:rPr>
            </w:pPr>
            <w:r w:rsidRPr="009347E7">
              <w:rPr>
                <w:rFonts w:ascii="Bookman Old Style" w:hAnsi="Bookman Old Style" w:cs="Arial"/>
                <w:sz w:val="22"/>
                <w:szCs w:val="22"/>
                <w:lang w:val="es-CO"/>
              </w:rPr>
              <w:t>05001 33 33</w:t>
            </w:r>
            <w:r w:rsidR="007965FA" w:rsidRPr="009347E7">
              <w:rPr>
                <w:rFonts w:ascii="Bookman Old Style" w:hAnsi="Bookman Old Style" w:cs="Arial"/>
                <w:sz w:val="22"/>
                <w:szCs w:val="22"/>
                <w:lang w:val="es-CO"/>
              </w:rPr>
              <w:t xml:space="preserve"> </w:t>
            </w:r>
            <w:r w:rsidR="009347E7" w:rsidRPr="009347E7">
              <w:rPr>
                <w:rFonts w:ascii="Bookman Old Style" w:hAnsi="Bookman Old Style" w:cs="Arial"/>
                <w:b/>
                <w:sz w:val="22"/>
                <w:szCs w:val="22"/>
                <w:u w:val="single"/>
                <w:lang w:val="es-CO"/>
              </w:rPr>
              <w:t>004 201</w:t>
            </w:r>
            <w:r w:rsidR="000332C4">
              <w:rPr>
                <w:rFonts w:ascii="Bookman Old Style" w:hAnsi="Bookman Old Style" w:cs="Arial"/>
                <w:b/>
                <w:sz w:val="22"/>
                <w:szCs w:val="22"/>
                <w:u w:val="single"/>
                <w:lang w:val="es-CO"/>
              </w:rPr>
              <w:t>9</w:t>
            </w:r>
            <w:r w:rsidR="007965FA" w:rsidRPr="009347E7">
              <w:rPr>
                <w:rFonts w:ascii="Bookman Old Style" w:hAnsi="Bookman Old Style" w:cs="Arial"/>
                <w:b/>
                <w:sz w:val="22"/>
                <w:szCs w:val="22"/>
                <w:u w:val="single"/>
                <w:lang w:val="es-CO"/>
              </w:rPr>
              <w:t xml:space="preserve"> </w:t>
            </w:r>
            <w:r w:rsidR="000332C4">
              <w:rPr>
                <w:rFonts w:ascii="Bookman Old Style" w:hAnsi="Bookman Old Style" w:cs="Arial"/>
                <w:b/>
                <w:sz w:val="22"/>
                <w:szCs w:val="22"/>
                <w:u w:val="single"/>
                <w:lang w:val="es-CO"/>
              </w:rPr>
              <w:t>00367</w:t>
            </w:r>
            <w:r w:rsidR="007965FA" w:rsidRPr="009347E7">
              <w:rPr>
                <w:rFonts w:ascii="Bookman Old Style" w:hAnsi="Bookman Old Style" w:cs="Arial"/>
                <w:b/>
                <w:sz w:val="22"/>
                <w:szCs w:val="22"/>
                <w:u w:val="single"/>
                <w:lang w:val="es-CO"/>
              </w:rPr>
              <w:t xml:space="preserve"> 00</w:t>
            </w:r>
          </w:p>
        </w:tc>
      </w:tr>
      <w:tr w:rsidR="00FB369A" w:rsidRPr="007965FA" w:rsidTr="00EA0885">
        <w:trPr>
          <w:jc w:val="center"/>
        </w:trPr>
        <w:tc>
          <w:tcPr>
            <w:tcW w:w="1995" w:type="dxa"/>
            <w:tcBorders>
              <w:top w:val="single" w:sz="4" w:space="0" w:color="auto"/>
              <w:left w:val="single" w:sz="4" w:space="0" w:color="auto"/>
              <w:bottom w:val="single" w:sz="4" w:space="0" w:color="auto"/>
              <w:right w:val="single" w:sz="4" w:space="0" w:color="auto"/>
            </w:tcBorders>
          </w:tcPr>
          <w:p w:rsidR="007965FA" w:rsidRPr="009347E7" w:rsidRDefault="007965FA" w:rsidP="007965FA">
            <w:pPr>
              <w:jc w:val="both"/>
              <w:rPr>
                <w:rFonts w:ascii="Bookman Old Style" w:hAnsi="Bookman Old Style" w:cs="Arial"/>
                <w:b/>
                <w:sz w:val="22"/>
                <w:szCs w:val="22"/>
                <w:lang w:val="es-CO"/>
              </w:rPr>
            </w:pPr>
            <w:r w:rsidRPr="009347E7">
              <w:rPr>
                <w:rFonts w:ascii="Bookman Old Style" w:hAnsi="Bookman Old Style" w:cs="Arial"/>
                <w:b/>
                <w:sz w:val="22"/>
                <w:szCs w:val="22"/>
                <w:lang w:val="es-CO"/>
              </w:rPr>
              <w:t>Acción:</w:t>
            </w:r>
          </w:p>
        </w:tc>
        <w:tc>
          <w:tcPr>
            <w:tcW w:w="5163" w:type="dxa"/>
            <w:tcBorders>
              <w:top w:val="single" w:sz="4" w:space="0" w:color="auto"/>
              <w:left w:val="single" w:sz="4" w:space="0" w:color="auto"/>
              <w:bottom w:val="single" w:sz="4" w:space="0" w:color="auto"/>
              <w:right w:val="single" w:sz="4" w:space="0" w:color="auto"/>
            </w:tcBorders>
          </w:tcPr>
          <w:p w:rsidR="007965FA" w:rsidRPr="009347E7" w:rsidRDefault="00A53CBB" w:rsidP="007965FA">
            <w:pPr>
              <w:jc w:val="both"/>
              <w:rPr>
                <w:rFonts w:ascii="Bookman Old Style" w:hAnsi="Bookman Old Style" w:cs="Arial"/>
                <w:sz w:val="22"/>
                <w:szCs w:val="22"/>
                <w:lang w:val="es-CO"/>
              </w:rPr>
            </w:pPr>
            <w:r w:rsidRPr="009347E7">
              <w:rPr>
                <w:rFonts w:ascii="Bookman Old Style" w:hAnsi="Bookman Old Style" w:cs="Arial"/>
                <w:sz w:val="22"/>
                <w:szCs w:val="22"/>
                <w:lang w:val="es-CO"/>
              </w:rPr>
              <w:t xml:space="preserve">NULIDAD Y RESTABLECIMIENTO DEL DERECHO </w:t>
            </w:r>
          </w:p>
        </w:tc>
      </w:tr>
      <w:tr w:rsidR="00FB369A" w:rsidRPr="007965FA" w:rsidTr="00EA0885">
        <w:trPr>
          <w:jc w:val="center"/>
        </w:trPr>
        <w:tc>
          <w:tcPr>
            <w:tcW w:w="1995" w:type="dxa"/>
            <w:tcBorders>
              <w:top w:val="single" w:sz="4" w:space="0" w:color="auto"/>
              <w:left w:val="single" w:sz="4" w:space="0" w:color="auto"/>
              <w:bottom w:val="single" w:sz="4" w:space="0" w:color="auto"/>
              <w:right w:val="single" w:sz="4" w:space="0" w:color="auto"/>
            </w:tcBorders>
          </w:tcPr>
          <w:p w:rsidR="007965FA" w:rsidRPr="009347E7" w:rsidRDefault="007965FA" w:rsidP="007965FA">
            <w:pPr>
              <w:jc w:val="both"/>
              <w:rPr>
                <w:rFonts w:ascii="Bookman Old Style" w:hAnsi="Bookman Old Style" w:cs="Arial"/>
                <w:b/>
                <w:sz w:val="22"/>
                <w:szCs w:val="22"/>
                <w:lang w:val="es-CO"/>
              </w:rPr>
            </w:pPr>
            <w:r w:rsidRPr="009347E7">
              <w:rPr>
                <w:rFonts w:ascii="Bookman Old Style" w:hAnsi="Bookman Old Style" w:cs="Arial"/>
                <w:b/>
                <w:sz w:val="22"/>
                <w:szCs w:val="22"/>
                <w:lang w:val="es-CO"/>
              </w:rPr>
              <w:t>Accionante:</w:t>
            </w:r>
          </w:p>
        </w:tc>
        <w:tc>
          <w:tcPr>
            <w:tcW w:w="5163" w:type="dxa"/>
            <w:tcBorders>
              <w:top w:val="single" w:sz="4" w:space="0" w:color="auto"/>
              <w:left w:val="single" w:sz="4" w:space="0" w:color="auto"/>
              <w:bottom w:val="single" w:sz="4" w:space="0" w:color="auto"/>
              <w:right w:val="single" w:sz="4" w:space="0" w:color="auto"/>
            </w:tcBorders>
          </w:tcPr>
          <w:p w:rsidR="007965FA" w:rsidRPr="009347E7" w:rsidRDefault="000332C4" w:rsidP="005B0E44">
            <w:pPr>
              <w:jc w:val="both"/>
              <w:rPr>
                <w:rFonts w:ascii="Bookman Old Style" w:hAnsi="Bookman Old Style" w:cs="Arial"/>
                <w:b/>
                <w:sz w:val="22"/>
                <w:szCs w:val="22"/>
                <w:lang w:val="es-CO"/>
              </w:rPr>
            </w:pPr>
            <w:r>
              <w:rPr>
                <w:rFonts w:ascii="Bookman Old Style" w:hAnsi="Bookman Old Style" w:cs="Arial"/>
                <w:b/>
                <w:sz w:val="22"/>
                <w:szCs w:val="22"/>
                <w:lang w:val="es-CO"/>
              </w:rPr>
              <w:t>HECTOR RAUL ZAPATA MESA</w:t>
            </w:r>
          </w:p>
        </w:tc>
      </w:tr>
      <w:tr w:rsidR="00FB369A" w:rsidRPr="007965FA" w:rsidTr="00EA0885">
        <w:trPr>
          <w:jc w:val="center"/>
        </w:trPr>
        <w:tc>
          <w:tcPr>
            <w:tcW w:w="1995" w:type="dxa"/>
            <w:tcBorders>
              <w:top w:val="single" w:sz="4" w:space="0" w:color="auto"/>
              <w:left w:val="single" w:sz="4" w:space="0" w:color="auto"/>
              <w:bottom w:val="single" w:sz="4" w:space="0" w:color="auto"/>
              <w:right w:val="single" w:sz="4" w:space="0" w:color="auto"/>
            </w:tcBorders>
          </w:tcPr>
          <w:p w:rsidR="007965FA" w:rsidRPr="009347E7" w:rsidRDefault="007965FA" w:rsidP="007965FA">
            <w:pPr>
              <w:jc w:val="both"/>
              <w:rPr>
                <w:rFonts w:ascii="Bookman Old Style" w:hAnsi="Bookman Old Style" w:cs="Arial"/>
                <w:b/>
                <w:sz w:val="22"/>
                <w:szCs w:val="22"/>
                <w:lang w:val="es-CO"/>
              </w:rPr>
            </w:pPr>
            <w:r w:rsidRPr="009347E7">
              <w:rPr>
                <w:rFonts w:ascii="Bookman Old Style" w:hAnsi="Bookman Old Style" w:cs="Arial"/>
                <w:b/>
                <w:sz w:val="22"/>
                <w:szCs w:val="22"/>
                <w:lang w:val="es-CO"/>
              </w:rPr>
              <w:t>Accionado:</w:t>
            </w:r>
          </w:p>
        </w:tc>
        <w:tc>
          <w:tcPr>
            <w:tcW w:w="5163" w:type="dxa"/>
            <w:tcBorders>
              <w:top w:val="single" w:sz="4" w:space="0" w:color="auto"/>
              <w:left w:val="single" w:sz="4" w:space="0" w:color="auto"/>
              <w:bottom w:val="single" w:sz="4" w:space="0" w:color="auto"/>
              <w:right w:val="single" w:sz="4" w:space="0" w:color="auto"/>
            </w:tcBorders>
          </w:tcPr>
          <w:p w:rsidR="007965FA" w:rsidRPr="009347E7" w:rsidRDefault="000332C4" w:rsidP="007965FA">
            <w:pPr>
              <w:jc w:val="both"/>
              <w:rPr>
                <w:rFonts w:ascii="Bookman Old Style" w:hAnsi="Bookman Old Style" w:cs="Arial"/>
                <w:sz w:val="22"/>
                <w:szCs w:val="22"/>
                <w:lang w:val="es-CO"/>
              </w:rPr>
            </w:pPr>
            <w:r>
              <w:rPr>
                <w:rFonts w:ascii="Bookman Old Style" w:hAnsi="Bookman Old Style" w:cs="Arial"/>
                <w:sz w:val="22"/>
                <w:szCs w:val="22"/>
                <w:lang w:val="es-CO"/>
              </w:rPr>
              <w:t>PORVERNIR Y OTRO</w:t>
            </w:r>
          </w:p>
        </w:tc>
      </w:tr>
      <w:tr w:rsidR="00FB369A" w:rsidRPr="007965FA" w:rsidTr="00EA0885">
        <w:trPr>
          <w:jc w:val="center"/>
        </w:trPr>
        <w:tc>
          <w:tcPr>
            <w:tcW w:w="1995" w:type="dxa"/>
            <w:tcBorders>
              <w:top w:val="single" w:sz="4" w:space="0" w:color="auto"/>
              <w:left w:val="single" w:sz="4" w:space="0" w:color="auto"/>
              <w:bottom w:val="single" w:sz="4" w:space="0" w:color="auto"/>
              <w:right w:val="single" w:sz="4" w:space="0" w:color="auto"/>
            </w:tcBorders>
          </w:tcPr>
          <w:p w:rsidR="007965FA" w:rsidRPr="009347E7" w:rsidRDefault="007965FA" w:rsidP="007965FA">
            <w:pPr>
              <w:jc w:val="both"/>
              <w:rPr>
                <w:rFonts w:ascii="Bookman Old Style" w:hAnsi="Bookman Old Style" w:cs="Arial"/>
                <w:b/>
                <w:sz w:val="22"/>
                <w:szCs w:val="22"/>
                <w:lang w:val="es-CO"/>
              </w:rPr>
            </w:pPr>
            <w:r w:rsidRPr="009347E7">
              <w:rPr>
                <w:rFonts w:ascii="Bookman Old Style" w:hAnsi="Bookman Old Style" w:cs="Arial"/>
                <w:b/>
                <w:sz w:val="22"/>
                <w:szCs w:val="22"/>
                <w:lang w:val="es-CO"/>
              </w:rPr>
              <w:t>Asunto:</w:t>
            </w:r>
          </w:p>
        </w:tc>
        <w:tc>
          <w:tcPr>
            <w:tcW w:w="5163" w:type="dxa"/>
            <w:tcBorders>
              <w:top w:val="single" w:sz="4" w:space="0" w:color="auto"/>
              <w:left w:val="single" w:sz="4" w:space="0" w:color="auto"/>
              <w:bottom w:val="single" w:sz="4" w:space="0" w:color="auto"/>
              <w:right w:val="single" w:sz="4" w:space="0" w:color="auto"/>
            </w:tcBorders>
          </w:tcPr>
          <w:p w:rsidR="007965FA" w:rsidRPr="009347E7" w:rsidRDefault="000332C4" w:rsidP="00787816">
            <w:pPr>
              <w:jc w:val="both"/>
              <w:rPr>
                <w:rFonts w:ascii="Bookman Old Style" w:hAnsi="Bookman Old Style" w:cs="Arial"/>
                <w:sz w:val="22"/>
                <w:szCs w:val="22"/>
                <w:lang w:val="es-CO"/>
              </w:rPr>
            </w:pPr>
            <w:r>
              <w:rPr>
                <w:rFonts w:ascii="Bookman Old Style" w:hAnsi="Bookman Old Style" w:cs="Arial"/>
                <w:sz w:val="22"/>
                <w:szCs w:val="22"/>
                <w:lang w:val="es-CO"/>
              </w:rPr>
              <w:t>Declara falta de jurisdicción – propone conflicto de competencia</w:t>
            </w:r>
          </w:p>
        </w:tc>
      </w:tr>
    </w:tbl>
    <w:p w:rsidR="007965FA" w:rsidRPr="007965FA" w:rsidRDefault="007965FA" w:rsidP="007965FA">
      <w:pPr>
        <w:autoSpaceDE w:val="0"/>
        <w:autoSpaceDN w:val="0"/>
        <w:adjustRightInd w:val="0"/>
        <w:spacing w:line="360" w:lineRule="auto"/>
        <w:jc w:val="both"/>
        <w:rPr>
          <w:rFonts w:ascii="Bookman Old Style" w:hAnsi="Bookman Old Style" w:cs="TTE1D103D0t00"/>
          <w:lang w:val="es-CO" w:eastAsia="es-CO"/>
        </w:rPr>
      </w:pPr>
    </w:p>
    <w:p w:rsidR="008C4E53" w:rsidRDefault="007965FA" w:rsidP="006D45C6">
      <w:pPr>
        <w:autoSpaceDE w:val="0"/>
        <w:autoSpaceDN w:val="0"/>
        <w:adjustRightInd w:val="0"/>
        <w:spacing w:line="360" w:lineRule="auto"/>
        <w:jc w:val="center"/>
        <w:rPr>
          <w:rFonts w:ascii="Bookman Old Style" w:hAnsi="Bookman Old Style" w:cs="TTE1D103D0t00"/>
          <w:b/>
          <w:lang w:val="es-CO" w:eastAsia="es-CO"/>
        </w:rPr>
      </w:pPr>
      <w:r w:rsidRPr="007965FA">
        <w:rPr>
          <w:rFonts w:ascii="Bookman Old Style" w:hAnsi="Bookman Old Style" w:cs="TTE1D103D0t00"/>
          <w:b/>
          <w:lang w:val="es-CO" w:eastAsia="es-CO"/>
        </w:rPr>
        <w:t>ANTECEDENTES</w:t>
      </w:r>
    </w:p>
    <w:p w:rsidR="00C879F2" w:rsidRPr="006D45C6" w:rsidRDefault="00C879F2" w:rsidP="006D45C6">
      <w:pPr>
        <w:autoSpaceDE w:val="0"/>
        <w:autoSpaceDN w:val="0"/>
        <w:adjustRightInd w:val="0"/>
        <w:spacing w:line="360" w:lineRule="auto"/>
        <w:jc w:val="center"/>
        <w:rPr>
          <w:rFonts w:ascii="Bookman Old Style" w:hAnsi="Bookman Old Style" w:cs="TTE1D103D0t00"/>
          <w:b/>
          <w:lang w:val="es-CO" w:eastAsia="es-CO"/>
        </w:rPr>
      </w:pPr>
    </w:p>
    <w:p w:rsidR="009347E7" w:rsidRPr="009347E7" w:rsidRDefault="009347E7" w:rsidP="009347E7">
      <w:pPr>
        <w:spacing w:line="360" w:lineRule="auto"/>
        <w:jc w:val="both"/>
        <w:rPr>
          <w:rFonts w:ascii="Bookman Old Style" w:hAnsi="Bookman Old Style"/>
          <w:lang w:val="es-CO"/>
        </w:rPr>
      </w:pPr>
      <w:r w:rsidRPr="009347E7">
        <w:rPr>
          <w:rFonts w:ascii="Bookman Old Style" w:hAnsi="Bookman Old Style"/>
          <w:lang w:val="es-CO"/>
        </w:rPr>
        <w:t xml:space="preserve">El </w:t>
      </w:r>
      <w:r w:rsidR="00B912AB">
        <w:rPr>
          <w:rFonts w:ascii="Bookman Old Style" w:hAnsi="Bookman Old Style"/>
          <w:lang w:val="es-CO"/>
        </w:rPr>
        <w:t>4</w:t>
      </w:r>
      <w:r w:rsidRPr="009347E7">
        <w:rPr>
          <w:rFonts w:ascii="Bookman Old Style" w:hAnsi="Bookman Old Style"/>
          <w:lang w:val="es-CO"/>
        </w:rPr>
        <w:t xml:space="preserve"> de </w:t>
      </w:r>
      <w:r w:rsidR="00B912AB">
        <w:rPr>
          <w:rFonts w:ascii="Bookman Old Style" w:hAnsi="Bookman Old Style"/>
          <w:lang w:val="es-CO"/>
        </w:rPr>
        <w:t>abril</w:t>
      </w:r>
      <w:r w:rsidRPr="009347E7">
        <w:rPr>
          <w:rFonts w:ascii="Bookman Old Style" w:hAnsi="Bookman Old Style"/>
          <w:lang w:val="es-CO"/>
        </w:rPr>
        <w:t xml:space="preserve"> de 201</w:t>
      </w:r>
      <w:r w:rsidR="00C879F2">
        <w:rPr>
          <w:rFonts w:ascii="Bookman Old Style" w:hAnsi="Bookman Old Style"/>
          <w:lang w:val="es-CO"/>
        </w:rPr>
        <w:t>8</w:t>
      </w:r>
      <w:r w:rsidRPr="009347E7">
        <w:rPr>
          <w:rFonts w:ascii="Bookman Old Style" w:hAnsi="Bookman Old Style"/>
          <w:lang w:val="es-CO"/>
        </w:rPr>
        <w:t xml:space="preserve">, </w:t>
      </w:r>
      <w:r w:rsidR="00B912AB">
        <w:rPr>
          <w:rFonts w:ascii="Bookman Old Style" w:hAnsi="Bookman Old Style"/>
          <w:lang w:val="es-CO"/>
        </w:rPr>
        <w:t>el señor</w:t>
      </w:r>
      <w:r w:rsidR="00C879F2">
        <w:rPr>
          <w:rFonts w:ascii="Bookman Old Style" w:hAnsi="Bookman Old Style"/>
          <w:lang w:val="es-CO"/>
        </w:rPr>
        <w:t xml:space="preserve"> </w:t>
      </w:r>
      <w:r w:rsidR="008112AD">
        <w:rPr>
          <w:rFonts w:ascii="Bookman Old Style" w:hAnsi="Bookman Old Style"/>
          <w:lang w:val="es-CO"/>
        </w:rPr>
        <w:t>HÉCTOR RAÚ</w:t>
      </w:r>
      <w:r w:rsidR="00B912AB">
        <w:rPr>
          <w:rFonts w:ascii="Bookman Old Style" w:hAnsi="Bookman Old Style"/>
          <w:lang w:val="es-CO"/>
        </w:rPr>
        <w:t>L ZAPATA MESA</w:t>
      </w:r>
      <w:r w:rsidRPr="009347E7">
        <w:rPr>
          <w:rFonts w:ascii="Bookman Old Style" w:hAnsi="Bookman Old Style"/>
          <w:lang w:val="es-CO"/>
        </w:rPr>
        <w:t xml:space="preserve">, por conducto de apoderado presentó demanda ordinaria laboral para reclamar </w:t>
      </w:r>
      <w:r w:rsidR="00B912AB">
        <w:rPr>
          <w:rFonts w:ascii="Bookman Old Style" w:hAnsi="Bookman Old Style"/>
          <w:lang w:val="es-CO"/>
        </w:rPr>
        <w:t>La devolución de las sumas que en exceso ha cobrado PORVENIR por concepto de administración de dineros cotizados a la Seguridad Social</w:t>
      </w:r>
      <w:r w:rsidR="00C879F2">
        <w:rPr>
          <w:rFonts w:ascii="Bookman Old Style" w:hAnsi="Bookman Old Style"/>
          <w:lang w:val="es-CO"/>
        </w:rPr>
        <w:t>.</w:t>
      </w:r>
      <w:r w:rsidRPr="009347E7">
        <w:rPr>
          <w:rFonts w:ascii="Bookman Old Style" w:hAnsi="Bookman Old Style"/>
          <w:lang w:val="es-CO"/>
        </w:rPr>
        <w:t xml:space="preserve"> </w:t>
      </w:r>
    </w:p>
    <w:p w:rsidR="009347E7" w:rsidRDefault="009347E7" w:rsidP="009347E7">
      <w:pPr>
        <w:spacing w:line="360" w:lineRule="auto"/>
        <w:jc w:val="both"/>
        <w:rPr>
          <w:rFonts w:ascii="Bookman Old Style" w:hAnsi="Bookman Old Style"/>
          <w:lang w:val="es-CO"/>
        </w:rPr>
      </w:pPr>
    </w:p>
    <w:p w:rsidR="00B912AB" w:rsidRDefault="00B912AB" w:rsidP="009347E7">
      <w:pPr>
        <w:spacing w:line="360" w:lineRule="auto"/>
        <w:jc w:val="both"/>
        <w:rPr>
          <w:rFonts w:ascii="Bookman Old Style" w:hAnsi="Bookman Old Style"/>
          <w:lang w:val="es-CO"/>
        </w:rPr>
      </w:pPr>
      <w:r>
        <w:rPr>
          <w:rFonts w:ascii="Bookman Old Style" w:hAnsi="Bookman Old Style"/>
          <w:lang w:val="es-CO"/>
        </w:rPr>
        <w:t>La demanda fue inicialmente instaurad</w:t>
      </w:r>
      <w:r w:rsidR="00CD3410">
        <w:rPr>
          <w:rFonts w:ascii="Bookman Old Style" w:hAnsi="Bookman Old Style"/>
          <w:lang w:val="es-CO"/>
        </w:rPr>
        <w:t>a</w:t>
      </w:r>
      <w:r>
        <w:rPr>
          <w:rFonts w:ascii="Bookman Old Style" w:hAnsi="Bookman Old Style"/>
          <w:lang w:val="es-CO"/>
        </w:rPr>
        <w:t xml:space="preserve"> ante la jurisdicci</w:t>
      </w:r>
      <w:r w:rsidR="00CD3410">
        <w:rPr>
          <w:rFonts w:ascii="Bookman Old Style" w:hAnsi="Bookman Old Style"/>
          <w:lang w:val="es-CO"/>
        </w:rPr>
        <w:t>ón l</w:t>
      </w:r>
      <w:r>
        <w:rPr>
          <w:rFonts w:ascii="Bookman Old Style" w:hAnsi="Bookman Old Style"/>
          <w:lang w:val="es-CO"/>
        </w:rPr>
        <w:t xml:space="preserve">aboral ordinaria, correspondiéndole su conocimiento al Juzgado Sexto Laboral del Circuito de Medellín, </w:t>
      </w:r>
      <w:r w:rsidR="00CD3410">
        <w:rPr>
          <w:rFonts w:ascii="Bookman Old Style" w:hAnsi="Bookman Old Style"/>
          <w:lang w:val="es-CO"/>
        </w:rPr>
        <w:t>que después de haber admitido la demanda (</w:t>
      </w:r>
      <w:proofErr w:type="spellStart"/>
      <w:r w:rsidR="00CD3410">
        <w:rPr>
          <w:rFonts w:ascii="Bookman Old Style" w:hAnsi="Bookman Old Style"/>
          <w:lang w:val="es-CO"/>
        </w:rPr>
        <w:t>fl</w:t>
      </w:r>
      <w:proofErr w:type="spellEnd"/>
      <w:r w:rsidR="00CD3410">
        <w:rPr>
          <w:rFonts w:ascii="Bookman Old Style" w:hAnsi="Bookman Old Style"/>
          <w:lang w:val="es-CO"/>
        </w:rPr>
        <w:t xml:space="preserve"> 45), mediante providencia de 27 de agosto de 2019 declaró la falta de competencia ordenando la remisión a los jueces administrativo (r) (</w:t>
      </w:r>
      <w:proofErr w:type="spellStart"/>
      <w:r w:rsidR="00CD3410">
        <w:rPr>
          <w:rFonts w:ascii="Bookman Old Style" w:hAnsi="Bookman Old Style"/>
          <w:lang w:val="es-CO"/>
        </w:rPr>
        <w:t>fl</w:t>
      </w:r>
      <w:proofErr w:type="spellEnd"/>
      <w:r w:rsidR="00CD3410">
        <w:rPr>
          <w:rFonts w:ascii="Bookman Old Style" w:hAnsi="Bookman Old Style"/>
          <w:lang w:val="es-CO"/>
        </w:rPr>
        <w:t xml:space="preserve"> 122)</w:t>
      </w:r>
    </w:p>
    <w:p w:rsidR="00CD3410" w:rsidRPr="009347E7" w:rsidRDefault="00CD3410" w:rsidP="009347E7">
      <w:pPr>
        <w:spacing w:line="360" w:lineRule="auto"/>
        <w:jc w:val="both"/>
        <w:rPr>
          <w:rFonts w:ascii="Bookman Old Style" w:hAnsi="Bookman Old Style"/>
          <w:lang w:val="es-CO"/>
        </w:rPr>
      </w:pPr>
    </w:p>
    <w:p w:rsidR="00631E38" w:rsidRDefault="00631E38" w:rsidP="00B912AB">
      <w:pPr>
        <w:spacing w:line="360" w:lineRule="auto"/>
        <w:jc w:val="both"/>
        <w:rPr>
          <w:rFonts w:ascii="Bookman Old Style" w:hAnsi="Bookman Old Style"/>
          <w:lang w:val="es-CO"/>
        </w:rPr>
      </w:pPr>
      <w:r>
        <w:rPr>
          <w:rFonts w:ascii="Bookman Old Style" w:hAnsi="Bookman Old Style"/>
          <w:lang w:val="es-CO"/>
        </w:rPr>
        <w:t xml:space="preserve">Los argumentos del referido despacho para remitir el proceso por competencia fueron los siguientes: </w:t>
      </w:r>
    </w:p>
    <w:p w:rsidR="00631E38" w:rsidRDefault="00631E38" w:rsidP="00B912AB">
      <w:pPr>
        <w:spacing w:line="360" w:lineRule="auto"/>
        <w:jc w:val="both"/>
        <w:rPr>
          <w:rFonts w:ascii="Bookman Old Style" w:hAnsi="Bookman Old Style"/>
          <w:lang w:val="es-CO"/>
        </w:rPr>
      </w:pPr>
    </w:p>
    <w:p w:rsidR="00631E38" w:rsidRDefault="00B912AB" w:rsidP="00631E38">
      <w:pPr>
        <w:jc w:val="both"/>
        <w:rPr>
          <w:rFonts w:ascii="Bookman Old Style" w:hAnsi="Bookman Old Style"/>
          <w:i/>
          <w:lang w:val="es-CO"/>
        </w:rPr>
      </w:pPr>
      <w:r w:rsidRPr="00B912AB">
        <w:rPr>
          <w:rFonts w:ascii="Bookman Old Style" w:hAnsi="Bookman Old Style"/>
          <w:i/>
          <w:lang w:val="es-CO"/>
        </w:rPr>
        <w:t>“</w:t>
      </w:r>
      <w:r w:rsidR="00631E38">
        <w:rPr>
          <w:rFonts w:ascii="Bookman Old Style" w:hAnsi="Bookman Old Style"/>
          <w:i/>
          <w:lang w:val="es-CO"/>
        </w:rPr>
        <w:t>En el presente caso se tiene que conforme los hechos y pretensiones de la demanda, en esta se atribuye responsabilidad a la Superintendencia Financiera por su omisión en el deber de vigilancia a los fondos de pensiones, en los cobros excesivos realizados por estos por concepto de administración.</w:t>
      </w:r>
    </w:p>
    <w:p w:rsidR="00631E38" w:rsidRDefault="00631E38" w:rsidP="00631E38">
      <w:pPr>
        <w:jc w:val="both"/>
        <w:rPr>
          <w:rFonts w:ascii="Bookman Old Style" w:hAnsi="Bookman Old Style"/>
          <w:i/>
          <w:lang w:val="es-CO"/>
        </w:rPr>
      </w:pPr>
    </w:p>
    <w:p w:rsidR="00631E38" w:rsidRDefault="00631E38" w:rsidP="00631E38">
      <w:pPr>
        <w:jc w:val="both"/>
        <w:rPr>
          <w:rFonts w:ascii="Bookman Old Style" w:hAnsi="Bookman Old Style"/>
          <w:i/>
          <w:lang w:val="es-CO"/>
        </w:rPr>
      </w:pPr>
      <w:r>
        <w:rPr>
          <w:rFonts w:ascii="Bookman Old Style" w:hAnsi="Bookman Old Style"/>
          <w:i/>
          <w:lang w:val="es-CO"/>
        </w:rPr>
        <w:t>En consecuencia y teniendo en cuenta lo dispuesto en el artículo 104 antes citado y por el cual se determinan los asuntos que debe conocer la jurisdicción de lo Contencioso Administrativo, considera el Despacho que legalmente no tiene competencia para asumir el conocimiento del presente asunto…”</w:t>
      </w:r>
    </w:p>
    <w:p w:rsidR="00B912AB" w:rsidRPr="00B912AB" w:rsidRDefault="00B912AB" w:rsidP="00631E38">
      <w:pPr>
        <w:jc w:val="both"/>
        <w:rPr>
          <w:rFonts w:ascii="Bookman Old Style" w:hAnsi="Bookman Old Style"/>
          <w:lang w:val="es-CO"/>
        </w:rPr>
      </w:pPr>
    </w:p>
    <w:p w:rsidR="00B912AB" w:rsidRPr="00B912AB" w:rsidRDefault="00B912AB" w:rsidP="00B912AB">
      <w:pPr>
        <w:spacing w:line="360" w:lineRule="auto"/>
        <w:jc w:val="both"/>
        <w:rPr>
          <w:rFonts w:ascii="Bookman Old Style" w:hAnsi="Bookman Old Style"/>
          <w:lang w:val="es-CO"/>
        </w:rPr>
      </w:pPr>
      <w:r w:rsidRPr="00B912AB">
        <w:rPr>
          <w:rFonts w:ascii="Bookman Old Style" w:hAnsi="Bookman Old Style"/>
          <w:lang w:val="es-CO"/>
        </w:rPr>
        <w:lastRenderedPageBreak/>
        <w:t xml:space="preserve">En virtud del referido reparto, correspondió a este Juzgado el conocimiento del asunto de la referencia; en razón de lo anterior procede el Despacho a establecer lo relacionado con la competencia para conocer sobre la demanda de la referencia, para lo cual se realizan las siguientes, </w:t>
      </w:r>
    </w:p>
    <w:p w:rsidR="00B912AB" w:rsidRPr="00B912AB" w:rsidRDefault="00B912AB" w:rsidP="00B912AB">
      <w:pPr>
        <w:spacing w:line="360" w:lineRule="auto"/>
        <w:jc w:val="center"/>
        <w:rPr>
          <w:rFonts w:ascii="Bookman Old Style" w:hAnsi="Bookman Old Style"/>
          <w:lang w:val="es-CO"/>
        </w:rPr>
      </w:pPr>
    </w:p>
    <w:p w:rsidR="009347E7" w:rsidRPr="009347E7" w:rsidRDefault="009347E7" w:rsidP="009347E7">
      <w:pPr>
        <w:spacing w:line="360" w:lineRule="auto"/>
        <w:jc w:val="center"/>
        <w:rPr>
          <w:rFonts w:ascii="Bookman Old Style" w:hAnsi="Bookman Old Style"/>
          <w:b/>
          <w:lang w:val="es-CO"/>
        </w:rPr>
      </w:pPr>
      <w:r w:rsidRPr="009347E7">
        <w:rPr>
          <w:rFonts w:ascii="Bookman Old Style" w:hAnsi="Bookman Old Style"/>
          <w:b/>
          <w:lang w:val="es-CO"/>
        </w:rPr>
        <w:t>CONSIDERACIONES</w:t>
      </w:r>
    </w:p>
    <w:p w:rsidR="009347E7" w:rsidRPr="009347E7" w:rsidRDefault="009347E7" w:rsidP="009347E7">
      <w:pPr>
        <w:spacing w:line="360" w:lineRule="auto"/>
        <w:jc w:val="both"/>
        <w:rPr>
          <w:rFonts w:ascii="Bookman Old Style" w:hAnsi="Bookman Old Style" w:cs="Arial"/>
          <w:lang w:val="es-CO"/>
        </w:rPr>
      </w:pPr>
    </w:p>
    <w:p w:rsidR="009347E7" w:rsidRPr="009347E7" w:rsidRDefault="009347E7" w:rsidP="009347E7">
      <w:pPr>
        <w:spacing w:line="360" w:lineRule="auto"/>
        <w:jc w:val="both"/>
        <w:rPr>
          <w:rFonts w:ascii="Bookman Old Style" w:hAnsi="Bookman Old Style" w:cs="Arial"/>
        </w:rPr>
      </w:pPr>
      <w:r w:rsidRPr="009347E7">
        <w:rPr>
          <w:rFonts w:ascii="Bookman Old Style" w:hAnsi="Bookman Old Style" w:cs="Arial"/>
        </w:rPr>
        <w:t>Con el propósito de determinar la competencia del Despacho para conocer del presente asunto, es prudente traer a colación lo dispuesto por el numeral 4 del artículo 104 del CPACA, que regula la competencia de lo Contencioso Administrativos, en los siguientes términos:</w:t>
      </w:r>
    </w:p>
    <w:p w:rsidR="009347E7" w:rsidRPr="009347E7" w:rsidRDefault="009347E7" w:rsidP="009347E7">
      <w:pPr>
        <w:spacing w:line="360" w:lineRule="auto"/>
        <w:jc w:val="both"/>
        <w:rPr>
          <w:rFonts w:ascii="Bookman Old Style" w:hAnsi="Bookman Old Style" w:cs="Arial"/>
        </w:rPr>
      </w:pPr>
    </w:p>
    <w:p w:rsidR="00FD3F14" w:rsidRDefault="009347E7" w:rsidP="009347E7">
      <w:pPr>
        <w:ind w:left="567"/>
        <w:jc w:val="both"/>
        <w:rPr>
          <w:rFonts w:ascii="Bookman Old Style" w:hAnsi="Bookman Old Style" w:cs="Arial"/>
          <w:color w:val="000000"/>
          <w:sz w:val="22"/>
          <w:szCs w:val="22"/>
          <w:shd w:val="clear" w:color="auto" w:fill="FFFFFF"/>
        </w:rPr>
      </w:pPr>
      <w:r w:rsidRPr="009347E7">
        <w:rPr>
          <w:rFonts w:ascii="Bookman Old Style" w:hAnsi="Bookman Old Style" w:cs="Arial"/>
          <w:sz w:val="22"/>
        </w:rPr>
        <w:t>“</w:t>
      </w:r>
      <w:r w:rsidRPr="00FD3F14">
        <w:rPr>
          <w:rFonts w:ascii="Bookman Old Style" w:hAnsi="Bookman Old Style" w:cs="Arial"/>
          <w:b/>
          <w:i/>
          <w:sz w:val="22"/>
        </w:rPr>
        <w:t>Artículo 104. De la jurisdicción de lo Contencioso Administrativo</w:t>
      </w:r>
      <w:r w:rsidRPr="009347E7">
        <w:rPr>
          <w:rFonts w:ascii="Bookman Old Style" w:hAnsi="Bookman Old Style" w:cs="Arial"/>
          <w:i/>
          <w:sz w:val="22"/>
          <w:szCs w:val="22"/>
        </w:rPr>
        <w:t xml:space="preserve">. </w:t>
      </w:r>
      <w:r w:rsidRPr="009347E7">
        <w:rPr>
          <w:rFonts w:ascii="Bookman Old Style" w:hAnsi="Bookman Old Style" w:cs="Arial"/>
          <w:color w:val="000000"/>
          <w:sz w:val="22"/>
          <w:szCs w:val="22"/>
          <w:shd w:val="clear" w:color="auto" w:fill="FFFFFF"/>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r w:rsidR="000332C4">
        <w:rPr>
          <w:rFonts w:ascii="Bookman Old Style" w:hAnsi="Bookman Old Style" w:cs="Arial"/>
          <w:color w:val="000000"/>
          <w:sz w:val="22"/>
          <w:szCs w:val="22"/>
          <w:shd w:val="clear" w:color="auto" w:fill="FFFFFF"/>
        </w:rPr>
        <w:t xml:space="preserve"> </w:t>
      </w:r>
    </w:p>
    <w:p w:rsidR="00FD3F14" w:rsidRPr="00FD3F14" w:rsidRDefault="00FD3F14" w:rsidP="00FD3F14">
      <w:pPr>
        <w:widowControl w:val="0"/>
        <w:spacing w:line="360" w:lineRule="auto"/>
        <w:jc w:val="both"/>
        <w:rPr>
          <w:rFonts w:ascii="Bookman Old Style" w:hAnsi="Bookman Old Style" w:cs="Arial"/>
        </w:rPr>
      </w:pPr>
    </w:p>
    <w:p w:rsidR="00FD3F14" w:rsidRPr="00FD3F14" w:rsidRDefault="00FD3F14" w:rsidP="00FD3F14">
      <w:pPr>
        <w:widowControl w:val="0"/>
        <w:spacing w:line="360" w:lineRule="auto"/>
        <w:jc w:val="both"/>
        <w:rPr>
          <w:rFonts w:ascii="Bookman Old Style" w:hAnsi="Bookman Old Style" w:cs="Arial"/>
        </w:rPr>
      </w:pPr>
      <w:r w:rsidRPr="00FD3F14">
        <w:rPr>
          <w:rFonts w:ascii="Bookman Old Style" w:hAnsi="Bookman Old Style" w:cs="Arial"/>
        </w:rPr>
        <w:t xml:space="preserve">En lo referente a asuntos relacionados con la seguridad social, de manera expresa, indico el numeral 4 de la norma en comento, lo siguiente: </w:t>
      </w:r>
    </w:p>
    <w:p w:rsidR="00FD3F14" w:rsidRDefault="00FD3F14" w:rsidP="009347E7">
      <w:pPr>
        <w:ind w:left="567"/>
        <w:jc w:val="both"/>
        <w:rPr>
          <w:rFonts w:ascii="Bookman Old Style" w:hAnsi="Bookman Old Style" w:cs="Arial"/>
          <w:color w:val="000000"/>
          <w:sz w:val="22"/>
          <w:szCs w:val="22"/>
          <w:shd w:val="clear" w:color="auto" w:fill="FFFFFF"/>
        </w:rPr>
      </w:pPr>
    </w:p>
    <w:p w:rsidR="009347E7" w:rsidRPr="00C879F2" w:rsidRDefault="009347E7" w:rsidP="009347E7">
      <w:pPr>
        <w:ind w:left="567"/>
        <w:jc w:val="both"/>
        <w:rPr>
          <w:rFonts w:ascii="Bookman Old Style" w:hAnsi="Bookman Old Style" w:cs="Arial"/>
          <w:b/>
          <w:sz w:val="22"/>
        </w:rPr>
      </w:pPr>
      <w:r w:rsidRPr="009347E7">
        <w:rPr>
          <w:rFonts w:ascii="Bookman Old Style" w:hAnsi="Bookman Old Style" w:cs="Arial"/>
          <w:sz w:val="22"/>
        </w:rPr>
        <w:t xml:space="preserve">[…] </w:t>
      </w:r>
      <w:r w:rsidR="000332C4" w:rsidRPr="00FD3F14">
        <w:rPr>
          <w:rFonts w:ascii="Bookman Old Style" w:hAnsi="Bookman Old Style" w:cs="Arial"/>
          <w:b/>
          <w:i/>
          <w:sz w:val="22"/>
        </w:rPr>
        <w:t>4</w:t>
      </w:r>
      <w:r w:rsidR="000332C4" w:rsidRPr="009347E7">
        <w:rPr>
          <w:rFonts w:ascii="Bookman Old Style" w:hAnsi="Bookman Old Style" w:cs="Arial"/>
          <w:i/>
          <w:sz w:val="22"/>
        </w:rPr>
        <w:t xml:space="preserve">. </w:t>
      </w:r>
      <w:r w:rsidR="000332C4" w:rsidRPr="000332C4">
        <w:rPr>
          <w:rFonts w:ascii="Bookman Old Style" w:hAnsi="Bookman Old Style" w:cs="Arial"/>
          <w:b/>
          <w:i/>
          <w:color w:val="000000"/>
          <w:sz w:val="22"/>
          <w:szCs w:val="22"/>
          <w:shd w:val="clear" w:color="auto" w:fill="FFFFFF"/>
        </w:rPr>
        <w:t>Los</w:t>
      </w:r>
      <w:r w:rsidRPr="00C879F2">
        <w:rPr>
          <w:rFonts w:ascii="Bookman Old Style" w:hAnsi="Bookman Old Style" w:cs="Arial"/>
          <w:b/>
          <w:i/>
          <w:color w:val="000000"/>
          <w:sz w:val="22"/>
          <w:szCs w:val="22"/>
          <w:shd w:val="clear" w:color="auto" w:fill="FFFFFF"/>
        </w:rPr>
        <w:t xml:space="preserve"> relativos a la relación legal y reglamentaria entre </w:t>
      </w:r>
      <w:r w:rsidRPr="00C879F2">
        <w:rPr>
          <w:rFonts w:ascii="Bookman Old Style" w:hAnsi="Bookman Old Style" w:cs="Arial"/>
          <w:b/>
          <w:i/>
          <w:color w:val="000000"/>
          <w:sz w:val="22"/>
          <w:szCs w:val="22"/>
          <w:u w:val="single"/>
          <w:shd w:val="clear" w:color="auto" w:fill="FFFFFF"/>
        </w:rPr>
        <w:t>los servidores públicos</w:t>
      </w:r>
      <w:r w:rsidRPr="00C879F2">
        <w:rPr>
          <w:rFonts w:ascii="Bookman Old Style" w:hAnsi="Bookman Old Style" w:cs="Arial"/>
          <w:b/>
          <w:i/>
          <w:color w:val="000000"/>
          <w:sz w:val="22"/>
          <w:szCs w:val="22"/>
          <w:shd w:val="clear" w:color="auto" w:fill="FFFFFF"/>
        </w:rPr>
        <w:t xml:space="preserve"> y el Estado, y la seguridad social de los mismos, cuando dicho régimen esté administrado por una persona de derecho público.</w:t>
      </w:r>
      <w:r w:rsidRPr="00C879F2">
        <w:rPr>
          <w:rFonts w:ascii="Bookman Old Style" w:hAnsi="Bookman Old Style" w:cs="Arial"/>
          <w:b/>
          <w:i/>
          <w:sz w:val="22"/>
        </w:rPr>
        <w:t>”</w:t>
      </w:r>
    </w:p>
    <w:p w:rsidR="009347E7" w:rsidRPr="009347E7" w:rsidRDefault="009347E7" w:rsidP="009347E7">
      <w:pPr>
        <w:widowControl w:val="0"/>
        <w:spacing w:line="360" w:lineRule="auto"/>
        <w:jc w:val="both"/>
        <w:rPr>
          <w:rFonts w:ascii="Bookman Old Style" w:hAnsi="Bookman Old Style" w:cs="Arial"/>
        </w:rPr>
      </w:pPr>
    </w:p>
    <w:p w:rsidR="009347E7" w:rsidRDefault="009347E7" w:rsidP="009347E7">
      <w:pPr>
        <w:widowControl w:val="0"/>
        <w:spacing w:line="360" w:lineRule="auto"/>
        <w:jc w:val="both"/>
        <w:rPr>
          <w:rFonts w:ascii="Bookman Old Style" w:hAnsi="Bookman Old Style" w:cs="Arial"/>
          <w:b/>
        </w:rPr>
      </w:pPr>
      <w:r w:rsidRPr="009347E7">
        <w:rPr>
          <w:rFonts w:ascii="Bookman Old Style" w:hAnsi="Bookman Old Style" w:cs="Arial"/>
        </w:rPr>
        <w:t xml:space="preserve">Conforme a lo anterior, las únicas controversias en materia de seguridad social que pueden ser dirimidas en esta Jurisdicción </w:t>
      </w:r>
      <w:r w:rsidR="00C879F2">
        <w:rPr>
          <w:rFonts w:ascii="Bookman Old Style" w:hAnsi="Bookman Old Style" w:cs="Arial"/>
        </w:rPr>
        <w:t>son</w:t>
      </w:r>
      <w:r w:rsidRPr="009347E7">
        <w:rPr>
          <w:rFonts w:ascii="Bookman Old Style" w:hAnsi="Bookman Old Style" w:cs="Arial"/>
        </w:rPr>
        <w:t xml:space="preserve"> la</w:t>
      </w:r>
      <w:r w:rsidR="00C879F2">
        <w:rPr>
          <w:rFonts w:ascii="Bookman Old Style" w:hAnsi="Bookman Old Style" w:cs="Arial"/>
        </w:rPr>
        <w:t>s</w:t>
      </w:r>
      <w:r w:rsidRPr="009347E7">
        <w:rPr>
          <w:rFonts w:ascii="Bookman Old Style" w:hAnsi="Bookman Old Style" w:cs="Arial"/>
        </w:rPr>
        <w:t xml:space="preserve"> relativa</w:t>
      </w:r>
      <w:r w:rsidR="00C879F2">
        <w:rPr>
          <w:rFonts w:ascii="Bookman Old Style" w:hAnsi="Bookman Old Style" w:cs="Arial"/>
        </w:rPr>
        <w:t>s</w:t>
      </w:r>
      <w:r w:rsidRPr="009347E7">
        <w:rPr>
          <w:rFonts w:ascii="Bookman Old Style" w:hAnsi="Bookman Old Style" w:cs="Arial"/>
        </w:rPr>
        <w:t xml:space="preserve"> a </w:t>
      </w:r>
      <w:r w:rsidRPr="009347E7">
        <w:rPr>
          <w:rFonts w:ascii="Bookman Old Style" w:hAnsi="Bookman Old Style" w:cs="Arial"/>
          <w:b/>
        </w:rPr>
        <w:t>los servidores del Estado en virtud de su relación legal y reglamentaria y la seguridad social de los mismos cuando dicho régimen esté administrado por una persona de derecho público.</w:t>
      </w:r>
    </w:p>
    <w:p w:rsidR="00D20F39" w:rsidRDefault="00D20F39" w:rsidP="009347E7">
      <w:pPr>
        <w:widowControl w:val="0"/>
        <w:spacing w:line="360" w:lineRule="auto"/>
        <w:jc w:val="both"/>
        <w:rPr>
          <w:rFonts w:ascii="Bookman Old Style" w:hAnsi="Bookman Old Style" w:cs="Arial"/>
          <w:b/>
        </w:rPr>
      </w:pPr>
    </w:p>
    <w:p w:rsidR="00D20F39" w:rsidRDefault="00D20F39" w:rsidP="00D20F39">
      <w:pPr>
        <w:pStyle w:val="Textoindependiente2"/>
        <w:widowControl w:val="0"/>
        <w:spacing w:after="0" w:line="360" w:lineRule="auto"/>
        <w:jc w:val="both"/>
        <w:rPr>
          <w:rFonts w:ascii="Bookman Old Style" w:hAnsi="Bookman Old Style"/>
          <w:lang w:val="es-CO"/>
        </w:rPr>
      </w:pPr>
      <w:r>
        <w:rPr>
          <w:rFonts w:ascii="Bookman Old Style" w:hAnsi="Bookman Old Style" w:cs="Arial"/>
        </w:rPr>
        <w:t xml:space="preserve">Ahora bien, en el caso concreto, nos encontramos frente a una controversia suscitada </w:t>
      </w:r>
      <w:r w:rsidR="00C879F2">
        <w:rPr>
          <w:rFonts w:ascii="Bookman Old Style" w:hAnsi="Bookman Old Style" w:cs="Arial"/>
        </w:rPr>
        <w:t xml:space="preserve">por </w:t>
      </w:r>
      <w:r w:rsidR="00FD3F14">
        <w:rPr>
          <w:rFonts w:ascii="Bookman Old Style" w:hAnsi="Bookman Old Style" w:cs="Arial"/>
        </w:rPr>
        <w:t>el</w:t>
      </w:r>
      <w:r w:rsidR="00C879F2">
        <w:rPr>
          <w:rFonts w:ascii="Bookman Old Style" w:hAnsi="Bookman Old Style" w:cs="Arial"/>
        </w:rPr>
        <w:t xml:space="preserve"> señor </w:t>
      </w:r>
      <w:r w:rsidR="008112AD">
        <w:rPr>
          <w:rFonts w:ascii="Bookman Old Style" w:hAnsi="Bookman Old Style" w:cs="Arial"/>
        </w:rPr>
        <w:t>HÉ</w:t>
      </w:r>
      <w:r w:rsidR="00FD3F14">
        <w:rPr>
          <w:rFonts w:ascii="Bookman Old Style" w:hAnsi="Bookman Old Style" w:cs="Arial"/>
        </w:rPr>
        <w:t>CTOR RA</w:t>
      </w:r>
      <w:r w:rsidR="008112AD">
        <w:rPr>
          <w:rFonts w:ascii="Bookman Old Style" w:hAnsi="Bookman Old Style" w:cs="Arial"/>
        </w:rPr>
        <w:t>Ú</w:t>
      </w:r>
      <w:r w:rsidR="00FD3F14">
        <w:rPr>
          <w:rFonts w:ascii="Bookman Old Style" w:hAnsi="Bookman Old Style" w:cs="Arial"/>
        </w:rPr>
        <w:t>L ZAPATA MESA</w:t>
      </w:r>
      <w:r w:rsidR="00C879F2">
        <w:rPr>
          <w:rFonts w:ascii="Bookman Old Style" w:hAnsi="Bookman Old Style" w:cs="Arial"/>
        </w:rPr>
        <w:t xml:space="preserve">, quien al momento de </w:t>
      </w:r>
      <w:r w:rsidR="00EF1DFB">
        <w:rPr>
          <w:rFonts w:ascii="Bookman Old Style" w:hAnsi="Bookman Old Style" w:cs="Arial"/>
        </w:rPr>
        <w:t xml:space="preserve">presentar la demanda, según historia laboral obrante a folio 27, prestaba servicio a la empresa pavimentar S.A., es decir, </w:t>
      </w:r>
      <w:r w:rsidR="00C879F2">
        <w:rPr>
          <w:rFonts w:ascii="Bookman Old Style" w:hAnsi="Bookman Old Style" w:cs="Arial"/>
        </w:rPr>
        <w:t>ostentaba la calidad de trabajador</w:t>
      </w:r>
      <w:r w:rsidR="00EF1DFB">
        <w:rPr>
          <w:rFonts w:ascii="Bookman Old Style" w:hAnsi="Bookman Old Style" w:cs="Arial"/>
        </w:rPr>
        <w:t xml:space="preserve"> de la empresa privada</w:t>
      </w:r>
      <w:r>
        <w:rPr>
          <w:rFonts w:ascii="Bookman Old Style" w:hAnsi="Bookman Old Style"/>
          <w:lang w:val="es-CO"/>
        </w:rPr>
        <w:t>.</w:t>
      </w:r>
      <w:r w:rsidR="00EF1DFB">
        <w:rPr>
          <w:rFonts w:ascii="Bookman Old Style" w:hAnsi="Bookman Old Style"/>
          <w:lang w:val="es-CO"/>
        </w:rPr>
        <w:t xml:space="preserve"> Adicionalmente, se encuentra afiliado al fondo privado de pensiones. Es decir que en el presente asunto no se cumplen dos de los presupuestos que establece la norma para efectos de establecer la competencia en los Juzgados Administrativos, a saber: i) no se trata de servidor público, ii) la administradora de pensiones no es persona de derecho público.  </w:t>
      </w:r>
    </w:p>
    <w:p w:rsidR="00D20F39" w:rsidRPr="00D20F39" w:rsidRDefault="00D20F39" w:rsidP="00D20F39">
      <w:pPr>
        <w:pStyle w:val="Textoindependiente2"/>
        <w:widowControl w:val="0"/>
        <w:spacing w:after="0" w:line="360" w:lineRule="auto"/>
        <w:jc w:val="both"/>
        <w:rPr>
          <w:rFonts w:ascii="Bookman Old Style" w:hAnsi="Bookman Old Style"/>
          <w:lang w:val="es-CO"/>
        </w:rPr>
      </w:pPr>
      <w:r>
        <w:rPr>
          <w:rFonts w:ascii="Bookman Old Style" w:hAnsi="Bookman Old Style"/>
          <w:lang w:val="es-CO"/>
        </w:rPr>
        <w:lastRenderedPageBreak/>
        <w:t xml:space="preserve">Teniendo en cuenta lo anterior, esta Agencia Judicial, procede a traer a colación el artículo 2 de la Ley 712 de 2002, que modificó el artículo 2 del </w:t>
      </w:r>
      <w:r w:rsidRPr="00D20F39">
        <w:rPr>
          <w:rFonts w:ascii="Bookman Old Style" w:hAnsi="Bookman Old Style"/>
          <w:lang w:val="es-CO"/>
        </w:rPr>
        <w:t xml:space="preserve">Código Procesal del Trabajo y la Seguridad Social, el cual reza: </w:t>
      </w:r>
    </w:p>
    <w:p w:rsidR="00D20F39" w:rsidRPr="00D20F39" w:rsidRDefault="00D20F39" w:rsidP="00D20F39">
      <w:pPr>
        <w:pStyle w:val="Textoindependiente2"/>
        <w:widowControl w:val="0"/>
        <w:spacing w:after="0" w:line="360" w:lineRule="auto"/>
        <w:jc w:val="both"/>
        <w:rPr>
          <w:rFonts w:ascii="Bookman Old Style" w:hAnsi="Bookman Old Style"/>
          <w:lang w:val="es-CO"/>
        </w:rPr>
      </w:pPr>
    </w:p>
    <w:p w:rsidR="00D20F39" w:rsidRPr="00D20F39" w:rsidRDefault="00D20F39" w:rsidP="00D20F39">
      <w:pPr>
        <w:pStyle w:val="NormalWeb"/>
        <w:spacing w:before="0" w:beforeAutospacing="0" w:after="0" w:afterAutospacing="0" w:line="270" w:lineRule="atLeast"/>
        <w:ind w:left="708"/>
        <w:jc w:val="both"/>
        <w:rPr>
          <w:rFonts w:ascii="Bookman Old Style" w:hAnsi="Bookman Old Style" w:cs="Arial"/>
          <w:sz w:val="22"/>
          <w:szCs w:val="22"/>
        </w:rPr>
      </w:pPr>
      <w:r w:rsidRPr="00D20F39">
        <w:rPr>
          <w:rFonts w:ascii="Bookman Old Style" w:hAnsi="Bookman Old Style"/>
          <w:sz w:val="22"/>
          <w:szCs w:val="22"/>
          <w:lang w:val="es-CO"/>
        </w:rPr>
        <w:t>“</w:t>
      </w:r>
      <w:r w:rsidRPr="00D20F39">
        <w:rPr>
          <w:rFonts w:ascii="Bookman Old Style" w:hAnsi="Bookman Old Style" w:cs="Arial"/>
          <w:b/>
          <w:bCs/>
          <w:sz w:val="22"/>
          <w:szCs w:val="22"/>
        </w:rPr>
        <w:t>Artículo 2o.</w:t>
      </w:r>
      <w:r w:rsidRPr="00D20F39">
        <w:rPr>
          <w:rFonts w:ascii="Bookman Old Style" w:hAnsi="Bookman Old Style" w:cs="Arial"/>
          <w:b/>
          <w:sz w:val="22"/>
          <w:szCs w:val="22"/>
        </w:rPr>
        <w:t> </w:t>
      </w:r>
      <w:r w:rsidRPr="00D20F39">
        <w:rPr>
          <w:rStyle w:val="iaj"/>
          <w:rFonts w:ascii="Bookman Old Style" w:hAnsi="Bookman Old Style" w:cs="Arial"/>
          <w:b/>
          <w:iCs/>
          <w:sz w:val="22"/>
          <w:szCs w:val="22"/>
        </w:rPr>
        <w:t>Competencia General</w:t>
      </w:r>
      <w:r w:rsidRPr="00D20F39">
        <w:rPr>
          <w:rStyle w:val="iaj"/>
          <w:rFonts w:ascii="Bookman Old Style" w:hAnsi="Bookman Old Style" w:cs="Arial"/>
          <w:iCs/>
          <w:sz w:val="22"/>
          <w:szCs w:val="22"/>
        </w:rPr>
        <w:t>.</w:t>
      </w:r>
      <w:r w:rsidRPr="00D20F39">
        <w:rPr>
          <w:rFonts w:ascii="Bookman Old Style" w:hAnsi="Bookman Old Style" w:cs="Arial"/>
          <w:sz w:val="22"/>
          <w:szCs w:val="22"/>
        </w:rPr>
        <w:t> La Jurisdicción Ordinaria, en sus especialidades laborales y de seguridad social conoce de:</w:t>
      </w:r>
    </w:p>
    <w:p w:rsidR="00D20F39" w:rsidRPr="00D20F39" w:rsidRDefault="00D20F39" w:rsidP="00D20F39">
      <w:pPr>
        <w:pStyle w:val="NormalWeb"/>
        <w:numPr>
          <w:ilvl w:val="0"/>
          <w:numId w:val="8"/>
        </w:numPr>
        <w:spacing w:before="0" w:beforeAutospacing="0" w:after="0" w:afterAutospacing="0" w:line="270" w:lineRule="atLeast"/>
        <w:jc w:val="both"/>
        <w:rPr>
          <w:rFonts w:ascii="Bookman Old Style" w:hAnsi="Bookman Old Style" w:cs="Arial"/>
          <w:sz w:val="22"/>
          <w:szCs w:val="22"/>
        </w:rPr>
      </w:pPr>
      <w:r w:rsidRPr="00D20F39">
        <w:rPr>
          <w:rFonts w:ascii="Bookman Old Style" w:hAnsi="Bookman Old Style" w:cs="Arial"/>
          <w:sz w:val="22"/>
          <w:szCs w:val="22"/>
        </w:rPr>
        <w:t>…</w:t>
      </w:r>
    </w:p>
    <w:p w:rsidR="00D20F39" w:rsidRPr="00D20F39" w:rsidRDefault="00D20F39" w:rsidP="00D20F39">
      <w:pPr>
        <w:pStyle w:val="NormalWeb"/>
        <w:spacing w:before="0" w:beforeAutospacing="0" w:after="0" w:afterAutospacing="0" w:line="270" w:lineRule="atLeast"/>
        <w:ind w:left="708"/>
        <w:jc w:val="both"/>
        <w:rPr>
          <w:rFonts w:ascii="Bookman Old Style" w:hAnsi="Bookman Old Style" w:cs="Arial"/>
          <w:sz w:val="22"/>
          <w:szCs w:val="22"/>
        </w:rPr>
      </w:pPr>
      <w:r w:rsidRPr="00D20F39">
        <w:rPr>
          <w:rFonts w:ascii="Bookman Old Style" w:hAnsi="Bookman Old Style" w:cs="Arial"/>
          <w:sz w:val="22"/>
          <w:szCs w:val="22"/>
        </w:rPr>
        <w:t>(…)</w:t>
      </w:r>
    </w:p>
    <w:p w:rsidR="00D20F39" w:rsidRPr="00D20F39" w:rsidRDefault="00D20F39" w:rsidP="00D20F39">
      <w:pPr>
        <w:pStyle w:val="NormalWeb"/>
        <w:spacing w:before="0" w:beforeAutospacing="0" w:after="0" w:afterAutospacing="0" w:line="270" w:lineRule="atLeast"/>
        <w:ind w:left="708"/>
        <w:jc w:val="both"/>
        <w:rPr>
          <w:rFonts w:ascii="Bookman Old Style" w:hAnsi="Bookman Old Style" w:cs="Arial"/>
          <w:b/>
          <w:sz w:val="22"/>
          <w:szCs w:val="22"/>
        </w:rPr>
      </w:pPr>
      <w:r w:rsidRPr="00D20F39">
        <w:rPr>
          <w:rFonts w:ascii="Bookman Old Style" w:hAnsi="Bookman Old Style" w:cs="Arial"/>
          <w:sz w:val="22"/>
          <w:szCs w:val="22"/>
        </w:rPr>
        <w:t xml:space="preserve">4. </w:t>
      </w:r>
      <w:r w:rsidRPr="00D20F39">
        <w:rPr>
          <w:rFonts w:ascii="Bookman Old Style" w:hAnsi="Bookman Old Style" w:cs="Arial"/>
          <w:b/>
          <w:sz w:val="22"/>
          <w:szCs w:val="22"/>
        </w:rPr>
        <w:t xml:space="preserve">Las controversias referentes al sistema de seguridad social integral que se susciten entre los afiliados, beneficiarios o usuarios, </w:t>
      </w:r>
      <w:r w:rsidRPr="00D20F39">
        <w:rPr>
          <w:rFonts w:ascii="Bookman Old Style" w:hAnsi="Bookman Old Style" w:cs="Arial"/>
          <w:b/>
          <w:sz w:val="22"/>
          <w:szCs w:val="22"/>
          <w:u w:val="single"/>
        </w:rPr>
        <w:t>los empleadores y las entidades administradoras</w:t>
      </w:r>
      <w:r w:rsidRPr="00D20F39">
        <w:rPr>
          <w:rFonts w:ascii="Bookman Old Style" w:hAnsi="Bookman Old Style" w:cs="Arial"/>
          <w:b/>
          <w:sz w:val="22"/>
          <w:szCs w:val="22"/>
        </w:rPr>
        <w:t xml:space="preserve"> o prestadoras, cualquiera que sea la naturaleza de la relación jurídica y de los actos jurídicos que se controviertan.</w:t>
      </w:r>
    </w:p>
    <w:p w:rsidR="00D20F39" w:rsidRPr="00D20F39" w:rsidRDefault="00D20F39" w:rsidP="00D20F39">
      <w:pPr>
        <w:pStyle w:val="NormalWeb"/>
        <w:spacing w:before="0" w:beforeAutospacing="0" w:after="0" w:afterAutospacing="0" w:line="270" w:lineRule="atLeast"/>
        <w:ind w:left="708"/>
        <w:jc w:val="both"/>
        <w:rPr>
          <w:rFonts w:ascii="Bookman Old Style" w:hAnsi="Bookman Old Style" w:cs="Arial"/>
          <w:sz w:val="22"/>
          <w:szCs w:val="22"/>
        </w:rPr>
      </w:pPr>
      <w:r w:rsidRPr="00D20F39">
        <w:rPr>
          <w:rFonts w:ascii="Bookman Old Style" w:hAnsi="Bookman Old Style" w:cs="Arial"/>
          <w:sz w:val="22"/>
          <w:szCs w:val="22"/>
        </w:rPr>
        <w:t>5….</w:t>
      </w:r>
    </w:p>
    <w:p w:rsidR="00D20F39" w:rsidRPr="00D20F39" w:rsidRDefault="00D20F39" w:rsidP="00D20F39">
      <w:pPr>
        <w:pStyle w:val="NormalWeb"/>
        <w:spacing w:before="0" w:beforeAutospacing="0" w:after="0" w:afterAutospacing="0" w:line="270" w:lineRule="atLeast"/>
        <w:ind w:left="708"/>
        <w:jc w:val="both"/>
        <w:rPr>
          <w:rFonts w:ascii="Bookman Old Style" w:hAnsi="Bookman Old Style" w:cs="Arial"/>
          <w:i/>
          <w:sz w:val="20"/>
          <w:szCs w:val="20"/>
        </w:rPr>
      </w:pPr>
      <w:r w:rsidRPr="00D20F39">
        <w:rPr>
          <w:rFonts w:ascii="Bookman Old Style" w:hAnsi="Bookman Old Style" w:cs="Arial"/>
          <w:sz w:val="22"/>
          <w:szCs w:val="22"/>
        </w:rPr>
        <w:t>(…)” (negrilla fuera de texto)</w:t>
      </w:r>
    </w:p>
    <w:p w:rsidR="00D20F39" w:rsidRDefault="00D20F39" w:rsidP="00D20F39">
      <w:pPr>
        <w:pStyle w:val="Textoindependiente2"/>
        <w:widowControl w:val="0"/>
        <w:spacing w:after="0" w:line="360" w:lineRule="auto"/>
        <w:jc w:val="both"/>
        <w:rPr>
          <w:rFonts w:ascii="Bookman Old Style" w:hAnsi="Bookman Old Style"/>
          <w:lang w:val="es-CO"/>
        </w:rPr>
      </w:pPr>
    </w:p>
    <w:p w:rsidR="00D20F39" w:rsidRDefault="00D20F39" w:rsidP="00D20F39">
      <w:pPr>
        <w:pStyle w:val="Textoindependiente2"/>
        <w:widowControl w:val="0"/>
        <w:spacing w:after="0" w:line="360" w:lineRule="auto"/>
        <w:jc w:val="both"/>
        <w:rPr>
          <w:rFonts w:ascii="Bookman Old Style" w:hAnsi="Bookman Old Style"/>
          <w:lang w:val="es-CO"/>
        </w:rPr>
      </w:pPr>
      <w:r>
        <w:rPr>
          <w:rFonts w:ascii="Bookman Old Style" w:hAnsi="Bookman Old Style"/>
          <w:lang w:val="es-CO"/>
        </w:rPr>
        <w:t>A la luz de la norma citada</w:t>
      </w:r>
      <w:r w:rsidR="008863D0">
        <w:rPr>
          <w:rFonts w:ascii="Bookman Old Style" w:hAnsi="Bookman Old Style"/>
          <w:lang w:val="es-CO"/>
        </w:rPr>
        <w:t>, advierte</w:t>
      </w:r>
      <w:r>
        <w:rPr>
          <w:rFonts w:ascii="Bookman Old Style" w:hAnsi="Bookman Old Style"/>
          <w:lang w:val="es-CO"/>
        </w:rPr>
        <w:t xml:space="preserve"> el Despacho que la </w:t>
      </w:r>
      <w:r w:rsidR="00C879F2">
        <w:rPr>
          <w:rFonts w:ascii="Bookman Old Style" w:hAnsi="Bookman Old Style"/>
          <w:lang w:val="es-CO"/>
        </w:rPr>
        <w:t xml:space="preserve">presente </w:t>
      </w:r>
      <w:r>
        <w:rPr>
          <w:rFonts w:ascii="Bookman Old Style" w:hAnsi="Bookman Old Style"/>
          <w:lang w:val="es-CO"/>
        </w:rPr>
        <w:t xml:space="preserve">controversia </w:t>
      </w:r>
      <w:r w:rsidR="00C879F2">
        <w:rPr>
          <w:rFonts w:ascii="Bookman Old Style" w:hAnsi="Bookman Old Style"/>
          <w:lang w:val="es-CO"/>
        </w:rPr>
        <w:t xml:space="preserve">es </w:t>
      </w:r>
      <w:r>
        <w:rPr>
          <w:rFonts w:ascii="Bookman Old Style" w:hAnsi="Bookman Old Style"/>
          <w:lang w:val="es-CO"/>
        </w:rPr>
        <w:t xml:space="preserve">suscitada entre </w:t>
      </w:r>
      <w:r w:rsidR="008863D0">
        <w:rPr>
          <w:rFonts w:ascii="Bookman Old Style" w:hAnsi="Bookman Old Style"/>
          <w:lang w:val="es-CO"/>
        </w:rPr>
        <w:t>el</w:t>
      </w:r>
      <w:r w:rsidR="00C879F2">
        <w:rPr>
          <w:rFonts w:ascii="Bookman Old Style" w:hAnsi="Bookman Old Style"/>
          <w:lang w:val="es-CO"/>
        </w:rPr>
        <w:t xml:space="preserve"> señor </w:t>
      </w:r>
      <w:r w:rsidR="008112AD">
        <w:rPr>
          <w:rFonts w:ascii="Bookman Old Style" w:hAnsi="Bookman Old Style"/>
          <w:lang w:val="es-CO"/>
        </w:rPr>
        <w:t>HÉCTOR RAÚ</w:t>
      </w:r>
      <w:r w:rsidR="008863D0">
        <w:rPr>
          <w:rFonts w:ascii="Bookman Old Style" w:hAnsi="Bookman Old Style"/>
          <w:lang w:val="es-CO"/>
        </w:rPr>
        <w:t>L ZAPATA MESA</w:t>
      </w:r>
      <w:r w:rsidR="00C879F2">
        <w:rPr>
          <w:rFonts w:ascii="Bookman Old Style" w:hAnsi="Bookman Old Style"/>
          <w:lang w:val="es-CO"/>
        </w:rPr>
        <w:t>, quien no ostenta la calidad de servidor públic</w:t>
      </w:r>
      <w:r w:rsidR="008112AD">
        <w:rPr>
          <w:rFonts w:ascii="Bookman Old Style" w:hAnsi="Bookman Old Style"/>
          <w:lang w:val="es-CO"/>
        </w:rPr>
        <w:t>o</w:t>
      </w:r>
      <w:bookmarkStart w:id="0" w:name="_GoBack"/>
      <w:bookmarkEnd w:id="0"/>
      <w:r w:rsidR="00C879F2">
        <w:rPr>
          <w:rFonts w:ascii="Bookman Old Style" w:hAnsi="Bookman Old Style"/>
          <w:lang w:val="es-CO"/>
        </w:rPr>
        <w:t xml:space="preserve"> y </w:t>
      </w:r>
      <w:r w:rsidR="008863D0">
        <w:rPr>
          <w:rFonts w:ascii="Bookman Old Style" w:hAnsi="Bookman Old Style"/>
          <w:lang w:val="es-CO"/>
        </w:rPr>
        <w:t>PORVENIR S.A.</w:t>
      </w:r>
      <w:r w:rsidR="00C879F2">
        <w:rPr>
          <w:rFonts w:ascii="Bookman Old Style" w:hAnsi="Bookman Old Style"/>
          <w:lang w:val="es-CO"/>
        </w:rPr>
        <w:t xml:space="preserve">, que es una empresa privada, </w:t>
      </w:r>
      <w:r>
        <w:rPr>
          <w:rFonts w:ascii="Bookman Old Style" w:hAnsi="Bookman Old Style"/>
          <w:lang w:val="es-CO"/>
        </w:rPr>
        <w:t xml:space="preserve">en la que se pretende </w:t>
      </w:r>
      <w:r w:rsidR="008863D0">
        <w:rPr>
          <w:rFonts w:ascii="Bookman Old Style" w:hAnsi="Bookman Old Style"/>
          <w:lang w:val="es-CO"/>
        </w:rPr>
        <w:t>la devolución de dineros cobrados en exceso por la administración de los aportes al fondo de pensiones, y aunque se pretende derivar responsabilidad de la Superintendencia Financiera por la presunta omisión de su deber de vigilancia, no obstante dicha vinculación, no tiene la virtualidad de cambiar la naturaleza del asunto, correspondiéndole</w:t>
      </w:r>
      <w:r>
        <w:rPr>
          <w:rFonts w:ascii="Bookman Old Style" w:hAnsi="Bookman Old Style"/>
          <w:lang w:val="es-CO"/>
        </w:rPr>
        <w:t xml:space="preserve"> su conocimiento a la jurisdicción ordinaria. </w:t>
      </w:r>
    </w:p>
    <w:p w:rsidR="00D20F39" w:rsidRDefault="00D20F39" w:rsidP="00D20F39">
      <w:pPr>
        <w:pStyle w:val="Textoindependiente2"/>
        <w:widowControl w:val="0"/>
        <w:spacing w:after="0" w:line="360" w:lineRule="auto"/>
        <w:jc w:val="both"/>
        <w:rPr>
          <w:rFonts w:ascii="Bookman Old Style" w:hAnsi="Bookman Old Style"/>
          <w:lang w:val="es-CO"/>
        </w:rPr>
      </w:pPr>
    </w:p>
    <w:p w:rsidR="009347E7" w:rsidRPr="009347E7" w:rsidRDefault="00BF4F71" w:rsidP="009347E7">
      <w:pPr>
        <w:widowControl w:val="0"/>
        <w:spacing w:line="360" w:lineRule="auto"/>
        <w:jc w:val="both"/>
        <w:rPr>
          <w:rFonts w:ascii="Bookman Old Style" w:hAnsi="Bookman Old Style" w:cs="Arial"/>
          <w:sz w:val="22"/>
          <w:szCs w:val="22"/>
        </w:rPr>
      </w:pPr>
      <w:r>
        <w:rPr>
          <w:rFonts w:ascii="Bookman Old Style" w:hAnsi="Bookman Old Style" w:cs="Arial"/>
        </w:rPr>
        <w:t xml:space="preserve">Ha de aclararse que </w:t>
      </w:r>
      <w:r w:rsidR="009347E7" w:rsidRPr="009347E7">
        <w:rPr>
          <w:rFonts w:ascii="Bookman Old Style" w:hAnsi="Bookman Old Style" w:cs="Arial"/>
        </w:rPr>
        <w:t>en materia de seguridad social, la competencia de la jurisdicción ordinaria es principal, en tanto que el conocimiento de la jurisdicción contenciosa administrativa es de orden residual, premisa que es definitiva para dir</w:t>
      </w:r>
      <w:r w:rsidR="008863D0">
        <w:rPr>
          <w:rFonts w:ascii="Bookman Old Style" w:hAnsi="Bookman Old Style" w:cs="Arial"/>
        </w:rPr>
        <w:t>imir asuntos de esta naturaleza</w:t>
      </w:r>
      <w:r w:rsidR="009347E7" w:rsidRPr="009347E7">
        <w:rPr>
          <w:rFonts w:ascii="Bookman Old Style" w:hAnsi="Bookman Old Style" w:cs="Arial"/>
        </w:rPr>
        <w:t xml:space="preserve">. </w:t>
      </w:r>
    </w:p>
    <w:p w:rsidR="009347E7" w:rsidRPr="009347E7" w:rsidRDefault="009347E7" w:rsidP="009347E7">
      <w:pPr>
        <w:widowControl w:val="0"/>
        <w:spacing w:line="360" w:lineRule="auto"/>
        <w:ind w:left="705"/>
        <w:jc w:val="both"/>
        <w:rPr>
          <w:rFonts w:ascii="Bookman Old Style" w:hAnsi="Bookman Old Style" w:cs="Arial"/>
          <w:sz w:val="22"/>
          <w:szCs w:val="22"/>
        </w:rPr>
      </w:pPr>
    </w:p>
    <w:p w:rsidR="009347E7" w:rsidRPr="009347E7" w:rsidRDefault="009347E7" w:rsidP="009347E7">
      <w:pPr>
        <w:widowControl w:val="0"/>
        <w:spacing w:line="360" w:lineRule="auto"/>
        <w:jc w:val="both"/>
        <w:rPr>
          <w:rFonts w:ascii="Bookman Old Style" w:hAnsi="Bookman Old Style" w:cs="Arial"/>
        </w:rPr>
      </w:pPr>
      <w:r w:rsidRPr="009347E7">
        <w:rPr>
          <w:rFonts w:ascii="Bookman Old Style" w:hAnsi="Bookman Old Style" w:cs="Arial"/>
        </w:rPr>
        <w:t xml:space="preserve">Así las cosas, partiendo entonces de los límites impuestos en el Código de Procedimiento Administrativo y de lo Contencioso Administrativo, que atribuye a esta Jurisdicción la competencia para conocer de aquellos asuntos relativos a la relación </w:t>
      </w:r>
      <w:r w:rsidRPr="00D921B7">
        <w:rPr>
          <w:rFonts w:ascii="Bookman Old Style" w:hAnsi="Bookman Old Style" w:cs="Arial"/>
          <w:i/>
        </w:rPr>
        <w:t>legal y reglamentaria</w:t>
      </w:r>
      <w:r w:rsidRPr="009347E7">
        <w:rPr>
          <w:rFonts w:ascii="Bookman Old Style" w:hAnsi="Bookman Old Style" w:cs="Arial"/>
        </w:rPr>
        <w:t xml:space="preserve"> </w:t>
      </w:r>
      <w:r w:rsidRPr="00D921B7">
        <w:rPr>
          <w:rFonts w:ascii="Bookman Old Style" w:hAnsi="Bookman Old Style" w:cs="Arial"/>
          <w:i/>
        </w:rPr>
        <w:t>entre los servidores públicos y el Estado y la</w:t>
      </w:r>
      <w:r w:rsidR="00D20F39" w:rsidRPr="00D921B7">
        <w:rPr>
          <w:rFonts w:ascii="Bookman Old Style" w:hAnsi="Bookman Old Style" w:cs="Arial"/>
          <w:i/>
        </w:rPr>
        <w:t xml:space="preserve"> seguridad social de los mismo</w:t>
      </w:r>
      <w:r w:rsidR="00D20F39">
        <w:rPr>
          <w:rFonts w:ascii="Bookman Old Style" w:hAnsi="Bookman Old Style" w:cs="Arial"/>
        </w:rPr>
        <w:t xml:space="preserve">; y del tenor literal del artículo 2º de </w:t>
      </w:r>
      <w:r w:rsidR="00D20F39">
        <w:rPr>
          <w:rFonts w:ascii="Bookman Old Style" w:hAnsi="Bookman Old Style"/>
          <w:lang w:val="es-CO"/>
        </w:rPr>
        <w:t xml:space="preserve">Ley 712 de 2002, que establece en cabeza del Juez laboral ordinario la competencia para conocer de los conflictos surgidos entre empleador y administradora del régimen de seguridad social integral </w:t>
      </w:r>
      <w:r w:rsidR="00C35FC6">
        <w:rPr>
          <w:rFonts w:ascii="Bookman Old Style" w:hAnsi="Bookman Old Style"/>
          <w:lang w:val="es-CO"/>
        </w:rPr>
        <w:t>con trabajadores que cuentan con vinculación diferente a la legal y reglamentaria</w:t>
      </w:r>
      <w:r w:rsidR="00573F61">
        <w:rPr>
          <w:rFonts w:ascii="Bookman Old Style" w:hAnsi="Bookman Old Style"/>
          <w:lang w:val="es-CO"/>
        </w:rPr>
        <w:t>, l</w:t>
      </w:r>
      <w:r w:rsidRPr="009347E7">
        <w:rPr>
          <w:rFonts w:ascii="Bookman Old Style" w:hAnsi="Bookman Old Style" w:cs="Arial"/>
        </w:rPr>
        <w:t xml:space="preserve">a consecuencia jurídica es que ésta Judicatura carece de competencia para avocar el conocimiento del </w:t>
      </w:r>
      <w:r w:rsidRPr="009347E7">
        <w:rPr>
          <w:rFonts w:ascii="Bookman Old Style" w:hAnsi="Bookman Old Style" w:cs="Arial"/>
        </w:rPr>
        <w:lastRenderedPageBreak/>
        <w:t xml:space="preserve">presente asunto. </w:t>
      </w:r>
    </w:p>
    <w:p w:rsidR="009347E7" w:rsidRPr="009347E7" w:rsidRDefault="009347E7" w:rsidP="009347E7">
      <w:pPr>
        <w:suppressAutoHyphens/>
        <w:spacing w:line="360" w:lineRule="auto"/>
        <w:jc w:val="both"/>
        <w:rPr>
          <w:rFonts w:ascii="Bookman Old Style" w:hAnsi="Bookman Old Style" w:cs="Arial"/>
          <w:lang w:val="es-CO"/>
        </w:rPr>
      </w:pPr>
    </w:p>
    <w:p w:rsidR="000332C4" w:rsidRPr="000332C4" w:rsidRDefault="000332C4" w:rsidP="000332C4">
      <w:pPr>
        <w:suppressAutoHyphens/>
        <w:spacing w:line="360" w:lineRule="auto"/>
        <w:jc w:val="both"/>
        <w:rPr>
          <w:rFonts w:ascii="Bookman Old Style" w:hAnsi="Bookman Old Style" w:cs="Arial"/>
          <w:color w:val="FF0000"/>
          <w:lang w:val="es-CO"/>
        </w:rPr>
      </w:pPr>
      <w:r w:rsidRPr="000332C4">
        <w:rPr>
          <w:rFonts w:ascii="Bookman Old Style" w:hAnsi="Bookman Old Style" w:cs="Arial"/>
          <w:lang w:val="es-CO"/>
        </w:rPr>
        <w:t xml:space="preserve">Sin más consideraciones, se procederá a declarar la falta de competencia de éste Despacho para conocer del asunto, provocándose el conflicto negativo de competencia, para lo cual se remitirá la demanda ante </w:t>
      </w:r>
      <w:r w:rsidRPr="000332C4">
        <w:rPr>
          <w:rFonts w:ascii="Bookman Old Style" w:hAnsi="Bookman Old Style"/>
        </w:rPr>
        <w:t>la Sala Jurisdiccional Disciplinaria del Consejo Seccional de la Judicatura, para lo de su competencia, en los términos de los artículos 256 numeral 6 de la Constitución Nacional y artículos 112 numeral 2 de la Ley 270 de 1996, en armonía con el artículo 168 del CPACA.</w:t>
      </w:r>
    </w:p>
    <w:p w:rsidR="000332C4" w:rsidRPr="000332C4" w:rsidRDefault="000332C4" w:rsidP="000332C4">
      <w:pPr>
        <w:suppressAutoHyphens/>
        <w:spacing w:line="360" w:lineRule="auto"/>
        <w:jc w:val="both"/>
        <w:rPr>
          <w:rFonts w:ascii="Bookman Old Style" w:hAnsi="Bookman Old Style" w:cs="Arial"/>
          <w:color w:val="FF0000"/>
        </w:rPr>
      </w:pPr>
    </w:p>
    <w:p w:rsidR="000332C4" w:rsidRPr="000332C4" w:rsidRDefault="000332C4" w:rsidP="000332C4">
      <w:pPr>
        <w:spacing w:line="360" w:lineRule="auto"/>
        <w:jc w:val="both"/>
        <w:rPr>
          <w:rFonts w:ascii="Bookman Old Style" w:hAnsi="Bookman Old Style" w:cs="Arial"/>
          <w:b/>
        </w:rPr>
      </w:pPr>
      <w:r w:rsidRPr="000332C4">
        <w:rPr>
          <w:rFonts w:ascii="Bookman Old Style" w:hAnsi="Bookman Old Style" w:cs="Arial"/>
        </w:rPr>
        <w:t xml:space="preserve">En mérito de lo expuesto, el </w:t>
      </w:r>
      <w:r w:rsidRPr="000332C4">
        <w:rPr>
          <w:rFonts w:ascii="Bookman Old Style" w:hAnsi="Bookman Old Style" w:cs="Arial"/>
          <w:b/>
        </w:rPr>
        <w:t xml:space="preserve">JUZGADO CUARTO ADMINISTRATIVO ORAL DEL CIRCUITO DE MEDELLÍN, </w:t>
      </w:r>
    </w:p>
    <w:p w:rsidR="000332C4" w:rsidRPr="000332C4" w:rsidRDefault="000332C4" w:rsidP="000332C4">
      <w:pPr>
        <w:spacing w:line="360" w:lineRule="auto"/>
        <w:jc w:val="center"/>
        <w:rPr>
          <w:rFonts w:ascii="Bookman Old Style" w:hAnsi="Bookman Old Style" w:cs="Arial"/>
          <w:b/>
        </w:rPr>
      </w:pPr>
    </w:p>
    <w:p w:rsidR="000332C4" w:rsidRPr="000332C4" w:rsidRDefault="000332C4" w:rsidP="000332C4">
      <w:pPr>
        <w:spacing w:line="360" w:lineRule="auto"/>
        <w:jc w:val="center"/>
        <w:rPr>
          <w:rFonts w:ascii="Bookman Old Style" w:hAnsi="Bookman Old Style" w:cs="Arial"/>
          <w:b/>
        </w:rPr>
      </w:pPr>
      <w:r w:rsidRPr="000332C4">
        <w:rPr>
          <w:rFonts w:ascii="Bookman Old Style" w:hAnsi="Bookman Old Style" w:cs="Arial"/>
          <w:b/>
        </w:rPr>
        <w:t>RESUELVE</w:t>
      </w:r>
    </w:p>
    <w:p w:rsidR="000332C4" w:rsidRPr="000332C4" w:rsidRDefault="000332C4" w:rsidP="000332C4">
      <w:pPr>
        <w:spacing w:line="360" w:lineRule="auto"/>
        <w:rPr>
          <w:rFonts w:ascii="Bookman Old Style" w:hAnsi="Bookman Old Style" w:cs="Arial"/>
        </w:rPr>
      </w:pPr>
    </w:p>
    <w:p w:rsidR="000332C4" w:rsidRPr="000332C4" w:rsidRDefault="000332C4" w:rsidP="000332C4">
      <w:pPr>
        <w:suppressAutoHyphens/>
        <w:spacing w:line="360" w:lineRule="auto"/>
        <w:jc w:val="both"/>
        <w:rPr>
          <w:rFonts w:ascii="Bookman Old Style" w:hAnsi="Bookman Old Style" w:cs="Arial"/>
          <w:b/>
          <w:lang w:val="es-CO"/>
        </w:rPr>
      </w:pPr>
      <w:r w:rsidRPr="000332C4">
        <w:rPr>
          <w:rFonts w:ascii="Bookman Old Style" w:hAnsi="Bookman Old Style" w:cs="Arial"/>
          <w:b/>
          <w:lang w:val="es-CO"/>
        </w:rPr>
        <w:t>PRIMERO: Declarar</w:t>
      </w:r>
      <w:r w:rsidRPr="000332C4">
        <w:rPr>
          <w:rFonts w:ascii="Bookman Old Style" w:hAnsi="Bookman Old Style" w:cs="Arial"/>
          <w:lang w:val="es-CO"/>
        </w:rPr>
        <w:t xml:space="preserve"> la falta de jurisdicción de este Despacho para avocar el conocimiento de la demanda presentada por el </w:t>
      </w:r>
      <w:r w:rsidR="008863D0">
        <w:rPr>
          <w:rFonts w:ascii="Bookman Old Style" w:hAnsi="Bookman Old Style" w:cs="Arial"/>
          <w:lang w:val="es-CO"/>
        </w:rPr>
        <w:t>señor HECTOR RAUL ZAPATA MESA</w:t>
      </w:r>
      <w:r w:rsidRPr="000332C4">
        <w:rPr>
          <w:rFonts w:ascii="Bookman Old Style" w:hAnsi="Bookman Old Style" w:cs="Arial"/>
          <w:lang w:val="es-CO"/>
        </w:rPr>
        <w:t>, por las razones indicadas en la parte motiva</w:t>
      </w:r>
      <w:r w:rsidRPr="000332C4">
        <w:rPr>
          <w:rFonts w:ascii="Bookman Old Style" w:hAnsi="Bookman Old Style" w:cs="Arial"/>
          <w:b/>
          <w:lang w:val="es-CO"/>
        </w:rPr>
        <w:t>.</w:t>
      </w:r>
    </w:p>
    <w:p w:rsidR="000332C4" w:rsidRPr="000332C4" w:rsidRDefault="000332C4" w:rsidP="000332C4">
      <w:pPr>
        <w:suppressAutoHyphens/>
        <w:spacing w:line="360" w:lineRule="auto"/>
        <w:jc w:val="both"/>
        <w:rPr>
          <w:rFonts w:ascii="Bookman Old Style" w:hAnsi="Bookman Old Style" w:cs="Arial"/>
          <w:b/>
          <w:lang w:val="es-CO"/>
        </w:rPr>
      </w:pPr>
    </w:p>
    <w:p w:rsidR="000332C4" w:rsidRPr="000332C4" w:rsidRDefault="000332C4" w:rsidP="000332C4">
      <w:pPr>
        <w:suppressAutoHyphens/>
        <w:spacing w:line="360" w:lineRule="auto"/>
        <w:jc w:val="both"/>
        <w:rPr>
          <w:rFonts w:ascii="Bookman Old Style" w:hAnsi="Bookman Old Style" w:cs="Arial"/>
          <w:lang w:val="es-CO"/>
        </w:rPr>
      </w:pPr>
      <w:r w:rsidRPr="000332C4">
        <w:rPr>
          <w:rFonts w:ascii="Bookman Old Style" w:hAnsi="Bookman Old Style" w:cs="Arial"/>
          <w:b/>
          <w:lang w:val="es-CO"/>
        </w:rPr>
        <w:t xml:space="preserve">SEGUNDO: </w:t>
      </w:r>
      <w:r w:rsidRPr="000332C4">
        <w:rPr>
          <w:rFonts w:ascii="Bookman Old Style" w:hAnsi="Bookman Old Style" w:cs="Arial"/>
          <w:lang w:val="es-CO"/>
        </w:rPr>
        <w:t xml:space="preserve">Proponer el conflicto negativo de competencia, al Juzgado </w:t>
      </w:r>
      <w:r w:rsidR="008863D0">
        <w:rPr>
          <w:rFonts w:ascii="Bookman Old Style" w:hAnsi="Bookman Old Style" w:cs="Arial"/>
          <w:lang w:val="es-CO"/>
        </w:rPr>
        <w:t>Sexto</w:t>
      </w:r>
      <w:r w:rsidRPr="000332C4">
        <w:rPr>
          <w:rFonts w:ascii="Bookman Old Style" w:hAnsi="Bookman Old Style" w:cs="Arial"/>
          <w:lang w:val="es-CO"/>
        </w:rPr>
        <w:t xml:space="preserve"> Laboral del Circuito de Medellín, por las razones expuestas en el presente proveído.</w:t>
      </w:r>
    </w:p>
    <w:p w:rsidR="000332C4" w:rsidRPr="000332C4" w:rsidRDefault="000332C4" w:rsidP="000332C4">
      <w:pPr>
        <w:suppressAutoHyphens/>
        <w:spacing w:line="360" w:lineRule="auto"/>
        <w:jc w:val="both"/>
        <w:rPr>
          <w:rFonts w:ascii="Bookman Old Style" w:hAnsi="Bookman Old Style" w:cs="Arial"/>
          <w:lang w:val="es-CO"/>
        </w:rPr>
      </w:pPr>
    </w:p>
    <w:p w:rsidR="000332C4" w:rsidRPr="000332C4" w:rsidRDefault="000332C4" w:rsidP="000332C4">
      <w:pPr>
        <w:suppressAutoHyphens/>
        <w:spacing w:line="360" w:lineRule="auto"/>
        <w:jc w:val="both"/>
        <w:rPr>
          <w:rFonts w:ascii="Bookman Old Style" w:hAnsi="Bookman Old Style" w:cs="Arial"/>
          <w:lang w:val="es-CO"/>
        </w:rPr>
      </w:pPr>
      <w:r w:rsidRPr="000332C4">
        <w:rPr>
          <w:rFonts w:ascii="Bookman Old Style" w:hAnsi="Bookman Old Style" w:cs="Arial"/>
          <w:b/>
          <w:lang w:val="es-CO"/>
        </w:rPr>
        <w:t xml:space="preserve">TERCERO: </w:t>
      </w:r>
      <w:r w:rsidRPr="000332C4">
        <w:rPr>
          <w:rFonts w:ascii="Bookman Old Style" w:hAnsi="Bookman Old Style" w:cs="Arial"/>
          <w:lang w:val="es-CO"/>
        </w:rPr>
        <w:t xml:space="preserve">Ordenar la remisión del expediente a la </w:t>
      </w:r>
      <w:r w:rsidRPr="000332C4">
        <w:rPr>
          <w:rFonts w:ascii="Bookman Old Style" w:hAnsi="Bookman Old Style"/>
        </w:rPr>
        <w:t>la Sala Jurisdiccional Disciplinaria del Consejo Seccional de la Judicatura</w:t>
      </w:r>
      <w:r w:rsidRPr="000332C4">
        <w:rPr>
          <w:rFonts w:ascii="Bookman Old Style" w:hAnsi="Bookman Old Style" w:cs="Arial"/>
          <w:lang w:val="es-CO"/>
        </w:rPr>
        <w:t>, órgano competente para dirimir el conflicto de jurisdicción suscitado entre los mencionados despachos judiciales.</w:t>
      </w:r>
    </w:p>
    <w:p w:rsidR="000332C4" w:rsidRPr="000332C4" w:rsidRDefault="000332C4" w:rsidP="000332C4">
      <w:pPr>
        <w:suppressAutoHyphens/>
        <w:spacing w:line="360" w:lineRule="auto"/>
        <w:jc w:val="both"/>
        <w:rPr>
          <w:rFonts w:ascii="Bookman Old Style" w:hAnsi="Bookman Old Style" w:cs="Arial"/>
          <w:spacing w:val="-3"/>
        </w:rPr>
      </w:pPr>
    </w:p>
    <w:p w:rsidR="000332C4" w:rsidRPr="000332C4" w:rsidRDefault="000332C4" w:rsidP="000332C4">
      <w:pPr>
        <w:spacing w:line="360" w:lineRule="auto"/>
        <w:jc w:val="center"/>
        <w:rPr>
          <w:rFonts w:ascii="Bookman Old Style" w:hAnsi="Bookman Old Style"/>
          <w:b/>
          <w:lang w:val="es-CO"/>
        </w:rPr>
      </w:pPr>
      <w:r w:rsidRPr="000332C4">
        <w:rPr>
          <w:rFonts w:ascii="Bookman Old Style" w:hAnsi="Bookman Old Style"/>
          <w:b/>
          <w:lang w:val="es-CO"/>
        </w:rPr>
        <w:t>NOTIFÍQUESE</w:t>
      </w:r>
    </w:p>
    <w:p w:rsidR="000332C4" w:rsidRPr="000332C4" w:rsidRDefault="000332C4" w:rsidP="000332C4">
      <w:pPr>
        <w:spacing w:line="360" w:lineRule="auto"/>
        <w:jc w:val="center"/>
        <w:rPr>
          <w:rFonts w:ascii="Bookman Old Style" w:hAnsi="Bookman Old Style" w:cs="Arial"/>
          <w:b/>
          <w:bCs/>
          <w:lang w:val="es-CO"/>
        </w:rPr>
      </w:pPr>
    </w:p>
    <w:p w:rsidR="000332C4" w:rsidRPr="000332C4" w:rsidRDefault="000332C4" w:rsidP="000332C4">
      <w:pPr>
        <w:spacing w:line="360" w:lineRule="auto"/>
        <w:jc w:val="center"/>
        <w:rPr>
          <w:rFonts w:ascii="Bookman Old Style" w:hAnsi="Bookman Old Style" w:cs="Arial"/>
          <w:b/>
          <w:bCs/>
          <w:lang w:val="es-CO"/>
        </w:rPr>
      </w:pPr>
    </w:p>
    <w:p w:rsidR="000332C4" w:rsidRPr="000332C4" w:rsidRDefault="000332C4" w:rsidP="000332C4">
      <w:pPr>
        <w:spacing w:line="276" w:lineRule="auto"/>
        <w:jc w:val="center"/>
        <w:rPr>
          <w:rFonts w:ascii="Bookman Old Style" w:hAnsi="Bookman Old Style" w:cs="Arial"/>
          <w:b/>
          <w:bCs/>
          <w:lang w:val="es-CO"/>
        </w:rPr>
      </w:pPr>
      <w:r w:rsidRPr="000332C4">
        <w:rPr>
          <w:rFonts w:ascii="Bookman Old Style" w:hAnsi="Bookman Old Style" w:cs="Arial"/>
          <w:b/>
          <w:bCs/>
          <w:lang w:val="es-CO"/>
        </w:rPr>
        <w:t>EVANNY MARTÍNEZ CORREA</w:t>
      </w:r>
    </w:p>
    <w:p w:rsidR="000332C4" w:rsidRPr="000332C4" w:rsidRDefault="000332C4" w:rsidP="000332C4">
      <w:pPr>
        <w:spacing w:line="276" w:lineRule="auto"/>
        <w:jc w:val="center"/>
        <w:rPr>
          <w:rFonts w:ascii="Bookman Old Style" w:hAnsi="Bookman Old Style" w:cs="Arial"/>
          <w:b/>
          <w:bCs/>
          <w:lang w:val="es-CO"/>
        </w:rPr>
      </w:pPr>
      <w:r w:rsidRPr="000332C4">
        <w:rPr>
          <w:rFonts w:ascii="Bookman Old Style" w:hAnsi="Bookman Old Style" w:cs="Arial"/>
          <w:b/>
          <w:bCs/>
          <w:lang w:val="es-CO"/>
        </w:rPr>
        <w:t>JUEZ</w:t>
      </w:r>
    </w:p>
    <w:p w:rsidR="000332C4" w:rsidRPr="000332C4" w:rsidRDefault="000332C4" w:rsidP="000332C4">
      <w:pPr>
        <w:spacing w:line="360" w:lineRule="auto"/>
        <w:jc w:val="center"/>
        <w:rPr>
          <w:rFonts w:ascii="Bookman Old Style" w:hAnsi="Bookman Old Style" w:cs="Arial"/>
          <w:b/>
        </w:rPr>
      </w:pPr>
    </w:p>
    <w:p w:rsidR="000332C4" w:rsidRPr="000332C4" w:rsidRDefault="000332C4" w:rsidP="000332C4">
      <w:pPr>
        <w:spacing w:line="360" w:lineRule="auto"/>
        <w:jc w:val="center"/>
        <w:rPr>
          <w:rFonts w:ascii="Bookman Old Style" w:hAnsi="Bookman Old Style" w:cs="Arial"/>
          <w:b/>
        </w:rPr>
      </w:pPr>
    </w:p>
    <w:p w:rsidR="000332C4" w:rsidRPr="000332C4" w:rsidRDefault="000332C4" w:rsidP="000332C4">
      <w:pPr>
        <w:spacing w:line="276" w:lineRule="auto"/>
        <w:jc w:val="center"/>
        <w:rPr>
          <w:rFonts w:ascii="Bookman Old Style" w:eastAsia="Arial Unicode MS" w:hAnsi="Bookman Old Style" w:cs="Arial Unicode MS"/>
          <w:b/>
          <w:bCs/>
        </w:rPr>
      </w:pPr>
    </w:p>
    <w:tbl>
      <w:tblPr>
        <w:tblpPr w:leftFromText="141" w:rightFromText="141" w:vertAnchor="text" w:horzAnchor="margin" w:tblpXSpec="center" w:tblpY="233"/>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0332C4" w:rsidRPr="000332C4" w:rsidTr="00D50A21">
        <w:trPr>
          <w:trHeight w:val="2537"/>
          <w:tblHeader/>
        </w:trPr>
        <w:tc>
          <w:tcPr>
            <w:tcW w:w="5173" w:type="dxa"/>
            <w:tcBorders>
              <w:top w:val="single" w:sz="6" w:space="0" w:color="auto"/>
              <w:left w:val="single" w:sz="6" w:space="0" w:color="auto"/>
              <w:bottom w:val="single" w:sz="6" w:space="0" w:color="auto"/>
              <w:right w:val="single" w:sz="6" w:space="0" w:color="auto"/>
            </w:tcBorders>
          </w:tcPr>
          <w:p w:rsidR="000332C4" w:rsidRPr="000332C4" w:rsidRDefault="000332C4" w:rsidP="000332C4">
            <w:pPr>
              <w:jc w:val="center"/>
              <w:rPr>
                <w:rFonts w:ascii="Bookman Old Style" w:eastAsia="Arial Unicode MS" w:hAnsi="Bookman Old Style" w:cs="Arial"/>
                <w:b/>
                <w:sz w:val="18"/>
                <w:szCs w:val="18"/>
              </w:rPr>
            </w:pPr>
            <w:r w:rsidRPr="000332C4">
              <w:rPr>
                <w:rFonts w:ascii="Bookman Old Style" w:eastAsia="Arial Unicode MS" w:hAnsi="Bookman Old Style" w:cs="Arial Unicode MS"/>
                <w:b/>
                <w:sz w:val="18"/>
                <w:szCs w:val="18"/>
              </w:rPr>
              <w:lastRenderedPageBreak/>
              <w:br w:type="page"/>
            </w:r>
            <w:r w:rsidRPr="000332C4">
              <w:rPr>
                <w:rFonts w:ascii="Bookman Old Style" w:eastAsia="Arial Unicode MS" w:hAnsi="Bookman Old Style" w:cs="Arial"/>
                <w:b/>
                <w:sz w:val="18"/>
                <w:szCs w:val="18"/>
              </w:rPr>
              <w:t>JUZGADO CUARTO ADMINISTRATIVO ORAL DEL CIRCUITO MEDELLÍN</w:t>
            </w:r>
          </w:p>
          <w:p w:rsidR="000332C4" w:rsidRPr="000332C4" w:rsidRDefault="000332C4" w:rsidP="000332C4">
            <w:pPr>
              <w:jc w:val="center"/>
              <w:rPr>
                <w:rFonts w:ascii="Bookman Old Style" w:eastAsia="Arial Unicode MS" w:hAnsi="Bookman Old Style" w:cs="Arial"/>
                <w:sz w:val="18"/>
                <w:szCs w:val="18"/>
              </w:rPr>
            </w:pPr>
          </w:p>
          <w:p w:rsidR="008863D0" w:rsidRDefault="000332C4" w:rsidP="000332C4">
            <w:pPr>
              <w:jc w:val="both"/>
              <w:rPr>
                <w:rFonts w:ascii="Bookman Old Style" w:eastAsia="Arial Unicode MS" w:hAnsi="Bookman Old Style" w:cs="Arial"/>
                <w:b/>
                <w:sz w:val="18"/>
                <w:szCs w:val="18"/>
                <w:u w:val="single"/>
              </w:rPr>
            </w:pPr>
            <w:r w:rsidRPr="000332C4">
              <w:rPr>
                <w:rFonts w:ascii="Bookman Old Style" w:eastAsia="Arial Unicode MS" w:hAnsi="Bookman Old Style" w:cs="Arial"/>
                <w:sz w:val="18"/>
                <w:szCs w:val="18"/>
              </w:rPr>
              <w:t xml:space="preserve">Siendo las ocho de la mañana (8:00A.M) del día de hoy </w:t>
            </w:r>
          </w:p>
          <w:p w:rsidR="008863D0" w:rsidRDefault="008863D0" w:rsidP="000332C4">
            <w:pPr>
              <w:jc w:val="both"/>
              <w:rPr>
                <w:rFonts w:ascii="Bookman Old Style" w:eastAsia="Arial Unicode MS" w:hAnsi="Bookman Old Style" w:cs="Arial"/>
                <w:b/>
                <w:sz w:val="18"/>
                <w:szCs w:val="18"/>
                <w:u w:val="single"/>
              </w:rPr>
            </w:pPr>
          </w:p>
          <w:p w:rsidR="008863D0" w:rsidRDefault="008863D0" w:rsidP="000332C4">
            <w:pPr>
              <w:jc w:val="both"/>
              <w:rPr>
                <w:rFonts w:ascii="Bookman Old Style" w:eastAsia="Arial Unicode MS" w:hAnsi="Bookman Old Style" w:cs="Arial"/>
                <w:b/>
                <w:sz w:val="18"/>
                <w:szCs w:val="18"/>
                <w:u w:val="single"/>
              </w:rPr>
            </w:pPr>
          </w:p>
          <w:p w:rsidR="000332C4" w:rsidRPr="000332C4" w:rsidRDefault="008863D0" w:rsidP="000332C4">
            <w:pPr>
              <w:jc w:val="both"/>
              <w:rPr>
                <w:rFonts w:ascii="Bookman Old Style" w:eastAsia="Arial Unicode MS" w:hAnsi="Bookman Old Style" w:cs="Arial"/>
                <w:sz w:val="18"/>
                <w:szCs w:val="18"/>
              </w:rPr>
            </w:pPr>
            <w:r>
              <w:rPr>
                <w:rFonts w:ascii="Bookman Old Style" w:eastAsia="Arial Unicode MS" w:hAnsi="Bookman Old Style" w:cs="Arial"/>
                <w:b/>
                <w:sz w:val="18"/>
                <w:szCs w:val="18"/>
                <w:u w:val="single"/>
              </w:rPr>
              <w:t>______________________________________________________</w:t>
            </w:r>
            <w:r w:rsidR="000332C4" w:rsidRPr="000332C4">
              <w:rPr>
                <w:rFonts w:ascii="Bookman Old Style" w:eastAsia="Arial Unicode MS" w:hAnsi="Bookman Old Style" w:cs="Arial"/>
                <w:sz w:val="18"/>
                <w:szCs w:val="18"/>
              </w:rPr>
              <w:t xml:space="preserve"> se notifica a las partes la providencia que antecede por anotación en Estados.</w:t>
            </w:r>
          </w:p>
          <w:p w:rsidR="000332C4" w:rsidRPr="000332C4" w:rsidRDefault="000332C4" w:rsidP="000332C4">
            <w:pPr>
              <w:jc w:val="both"/>
              <w:rPr>
                <w:rFonts w:ascii="Bookman Old Style" w:eastAsia="Arial Unicode MS" w:hAnsi="Bookman Old Style" w:cs="Arial"/>
                <w:sz w:val="18"/>
                <w:szCs w:val="18"/>
              </w:rPr>
            </w:pPr>
          </w:p>
          <w:p w:rsidR="000332C4" w:rsidRPr="000332C4" w:rsidRDefault="000332C4" w:rsidP="000332C4">
            <w:pPr>
              <w:jc w:val="both"/>
              <w:rPr>
                <w:rFonts w:ascii="Bookman Old Style" w:eastAsia="Arial Unicode MS" w:hAnsi="Bookman Old Style" w:cs="Arial"/>
                <w:b/>
                <w:bCs/>
                <w:sz w:val="18"/>
                <w:szCs w:val="18"/>
                <w:u w:val="single"/>
              </w:rPr>
            </w:pPr>
          </w:p>
          <w:p w:rsidR="000332C4" w:rsidRPr="000332C4" w:rsidRDefault="000332C4" w:rsidP="000332C4">
            <w:pPr>
              <w:pBdr>
                <w:bottom w:val="single" w:sz="6" w:space="1" w:color="auto"/>
              </w:pBdr>
              <w:jc w:val="center"/>
              <w:rPr>
                <w:rFonts w:ascii="Bookman Old Style" w:eastAsia="Arial Unicode MS" w:hAnsi="Bookman Old Style" w:cs="Arial"/>
                <w:sz w:val="18"/>
                <w:szCs w:val="18"/>
              </w:rPr>
            </w:pPr>
          </w:p>
          <w:p w:rsidR="000332C4" w:rsidRPr="000332C4" w:rsidRDefault="000332C4" w:rsidP="000332C4">
            <w:pPr>
              <w:jc w:val="center"/>
              <w:rPr>
                <w:rFonts w:ascii="Bookman Old Style" w:eastAsia="Arial Unicode MS" w:hAnsi="Bookman Old Style" w:cs="Arial"/>
                <w:b/>
                <w:sz w:val="18"/>
                <w:szCs w:val="18"/>
              </w:rPr>
            </w:pPr>
            <w:r w:rsidRPr="000332C4">
              <w:rPr>
                <w:rFonts w:ascii="Bookman Old Style" w:eastAsia="Arial Unicode MS" w:hAnsi="Bookman Old Style" w:cs="Arial"/>
                <w:b/>
                <w:sz w:val="18"/>
                <w:szCs w:val="18"/>
              </w:rPr>
              <w:t xml:space="preserve">LUZ ÁNGELA GÓMEZ CALDERÓN </w:t>
            </w:r>
          </w:p>
          <w:p w:rsidR="000332C4" w:rsidRPr="000332C4" w:rsidRDefault="000332C4" w:rsidP="000332C4">
            <w:pPr>
              <w:jc w:val="center"/>
              <w:rPr>
                <w:rFonts w:ascii="Bookman Old Style" w:eastAsia="Arial Unicode MS" w:hAnsi="Bookman Old Style" w:cs="Arial Unicode MS"/>
                <w:sz w:val="18"/>
                <w:szCs w:val="18"/>
              </w:rPr>
            </w:pPr>
            <w:r w:rsidRPr="000332C4">
              <w:rPr>
                <w:rFonts w:ascii="Bookman Old Style" w:eastAsia="Arial Unicode MS" w:hAnsi="Bookman Old Style" w:cs="Arial"/>
                <w:sz w:val="18"/>
                <w:szCs w:val="18"/>
              </w:rPr>
              <w:t>Secretaria</w:t>
            </w:r>
          </w:p>
        </w:tc>
      </w:tr>
    </w:tbl>
    <w:p w:rsidR="000332C4" w:rsidRPr="000332C4" w:rsidRDefault="000332C4" w:rsidP="000332C4">
      <w:pPr>
        <w:jc w:val="center"/>
        <w:rPr>
          <w:rFonts w:ascii="Bookman Old Style" w:eastAsia="Arial Unicode MS" w:hAnsi="Bookman Old Style" w:cs="Arial Unicode MS"/>
          <w:bCs/>
        </w:rPr>
      </w:pPr>
    </w:p>
    <w:p w:rsidR="000332C4" w:rsidRPr="000332C4" w:rsidRDefault="000332C4" w:rsidP="000332C4">
      <w:pPr>
        <w:jc w:val="both"/>
        <w:rPr>
          <w:rFonts w:ascii="Bookman Old Style" w:eastAsia="Arial Unicode MS" w:hAnsi="Bookman Old Style" w:cs="Arial Unicode MS"/>
          <w:color w:val="A6A6A6"/>
          <w:sz w:val="18"/>
          <w:szCs w:val="18"/>
        </w:rPr>
      </w:pPr>
    </w:p>
    <w:p w:rsidR="000332C4" w:rsidRPr="000332C4" w:rsidRDefault="000332C4" w:rsidP="000332C4">
      <w:pPr>
        <w:jc w:val="both"/>
        <w:rPr>
          <w:rFonts w:ascii="Bookman Old Style" w:eastAsia="Arial Unicode MS" w:hAnsi="Bookman Old Style" w:cs="Arial Unicode MS"/>
          <w:color w:val="A6A6A6"/>
          <w:sz w:val="18"/>
          <w:szCs w:val="18"/>
        </w:rPr>
      </w:pPr>
      <w:r w:rsidRPr="000332C4">
        <w:rPr>
          <w:rFonts w:ascii="Bookman Old Style" w:eastAsia="Arial Unicode MS" w:hAnsi="Bookman Old Style" w:cs="Arial Unicode MS"/>
          <w:color w:val="A6A6A6"/>
          <w:sz w:val="18"/>
          <w:szCs w:val="18"/>
        </w:rPr>
        <w:lastRenderedPageBreak/>
        <w:t>S</w:t>
      </w:r>
    </w:p>
    <w:p w:rsidR="000332C4" w:rsidRPr="000332C4" w:rsidRDefault="000332C4" w:rsidP="000332C4">
      <w:pPr>
        <w:jc w:val="both"/>
        <w:rPr>
          <w:rFonts w:ascii="Bookman Old Style" w:eastAsia="Arial Unicode MS" w:hAnsi="Bookman Old Style" w:cs="Arial Unicode MS"/>
          <w:sz w:val="18"/>
          <w:szCs w:val="18"/>
        </w:rPr>
      </w:pPr>
    </w:p>
    <w:p w:rsidR="000332C4" w:rsidRPr="000332C4" w:rsidRDefault="000332C4" w:rsidP="000332C4">
      <w:pPr>
        <w:jc w:val="both"/>
        <w:rPr>
          <w:rFonts w:ascii="Bookman Old Style" w:eastAsia="Arial Unicode MS" w:hAnsi="Bookman Old Style" w:cs="Arial Unicode MS"/>
          <w:sz w:val="18"/>
          <w:szCs w:val="18"/>
        </w:rPr>
      </w:pPr>
    </w:p>
    <w:p w:rsidR="000332C4" w:rsidRPr="000332C4" w:rsidRDefault="000332C4" w:rsidP="000332C4">
      <w:pPr>
        <w:jc w:val="both"/>
        <w:rPr>
          <w:rFonts w:ascii="Bookman Old Style" w:eastAsia="Arial Unicode MS" w:hAnsi="Bookman Old Style" w:cs="Arial Unicode MS"/>
          <w:sz w:val="18"/>
          <w:szCs w:val="18"/>
        </w:rPr>
      </w:pPr>
    </w:p>
    <w:p w:rsidR="000332C4" w:rsidRPr="000332C4" w:rsidRDefault="000332C4" w:rsidP="000332C4">
      <w:pPr>
        <w:jc w:val="both"/>
        <w:rPr>
          <w:rFonts w:ascii="Bookman Old Style" w:eastAsia="Arial Unicode MS" w:hAnsi="Bookman Old Style" w:cs="Arial Unicode MS"/>
          <w:sz w:val="26"/>
          <w:szCs w:val="26"/>
        </w:rPr>
      </w:pPr>
    </w:p>
    <w:p w:rsidR="000332C4" w:rsidRPr="000332C4" w:rsidRDefault="000332C4" w:rsidP="000332C4">
      <w:pPr>
        <w:jc w:val="both"/>
        <w:rPr>
          <w:rFonts w:ascii="Bookman Old Style" w:eastAsia="Arial Unicode MS" w:hAnsi="Bookman Old Style" w:cs="Arial Unicode MS"/>
          <w:sz w:val="26"/>
          <w:szCs w:val="26"/>
        </w:rPr>
      </w:pPr>
    </w:p>
    <w:p w:rsidR="000332C4" w:rsidRPr="000332C4" w:rsidRDefault="000332C4" w:rsidP="000332C4">
      <w:pPr>
        <w:spacing w:line="360" w:lineRule="auto"/>
        <w:jc w:val="both"/>
        <w:rPr>
          <w:rFonts w:ascii="Bookman Old Style" w:hAnsi="Bookman Old Style" w:cs="Arial"/>
        </w:rPr>
      </w:pPr>
    </w:p>
    <w:p w:rsidR="00215FC5" w:rsidRPr="00FB369A" w:rsidRDefault="00215FC5" w:rsidP="000332C4">
      <w:pPr>
        <w:suppressAutoHyphens/>
        <w:spacing w:line="360" w:lineRule="auto"/>
        <w:jc w:val="both"/>
        <w:rPr>
          <w:rFonts w:ascii="Bookman Old Style" w:hAnsi="Bookman Old Style" w:cs="Arial"/>
        </w:rPr>
      </w:pPr>
    </w:p>
    <w:sectPr w:rsidR="00215FC5" w:rsidRPr="00FB369A" w:rsidSect="00CB1313">
      <w:footerReference w:type="default" r:id="rId9"/>
      <w:pgSz w:w="12242" w:h="18722" w:code="14"/>
      <w:pgMar w:top="1588" w:right="1531" w:bottom="158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28" w:rsidRDefault="00385128">
      <w:r>
        <w:separator/>
      </w:r>
    </w:p>
  </w:endnote>
  <w:endnote w:type="continuationSeparator" w:id="0">
    <w:p w:rsidR="00385128" w:rsidRDefault="0038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TE1D103D0t0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094" w:rsidRPr="00203518" w:rsidRDefault="00452094">
    <w:pPr>
      <w:pStyle w:val="Piedepgina"/>
      <w:jc w:val="right"/>
      <w:rPr>
        <w:sz w:val="18"/>
        <w:szCs w:val="18"/>
      </w:rPr>
    </w:pPr>
    <w:r w:rsidRPr="00203518">
      <w:rPr>
        <w:sz w:val="18"/>
        <w:szCs w:val="18"/>
      </w:rPr>
      <w:fldChar w:fldCharType="begin"/>
    </w:r>
    <w:r w:rsidRPr="00203518">
      <w:rPr>
        <w:sz w:val="18"/>
        <w:szCs w:val="18"/>
      </w:rPr>
      <w:instrText xml:space="preserve"> PAGE   \* MERGEFORMAT </w:instrText>
    </w:r>
    <w:r w:rsidRPr="00203518">
      <w:rPr>
        <w:sz w:val="18"/>
        <w:szCs w:val="18"/>
      </w:rPr>
      <w:fldChar w:fldCharType="separate"/>
    </w:r>
    <w:r w:rsidR="008112AD">
      <w:rPr>
        <w:noProof/>
        <w:sz w:val="18"/>
        <w:szCs w:val="18"/>
      </w:rPr>
      <w:t>5</w:t>
    </w:r>
    <w:r w:rsidRPr="00203518">
      <w:rPr>
        <w:sz w:val="18"/>
        <w:szCs w:val="18"/>
      </w:rPr>
      <w:fldChar w:fldCharType="end"/>
    </w:r>
  </w:p>
  <w:p w:rsidR="00452094" w:rsidRDefault="004520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28" w:rsidRDefault="00385128">
      <w:r>
        <w:separator/>
      </w:r>
    </w:p>
  </w:footnote>
  <w:footnote w:type="continuationSeparator" w:id="0">
    <w:p w:rsidR="00385128" w:rsidRDefault="0038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18BB"/>
    <w:multiLevelType w:val="hybridMultilevel"/>
    <w:tmpl w:val="62527712"/>
    <w:lvl w:ilvl="0" w:tplc="1B94859E">
      <w:start w:val="3"/>
      <w:numFmt w:val="lowerLetter"/>
      <w:lvlText w:val="%1.)"/>
      <w:lvlJc w:val="left"/>
      <w:pPr>
        <w:tabs>
          <w:tab w:val="num" w:pos="1380"/>
        </w:tabs>
        <w:ind w:left="1380" w:hanging="6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307F45D0"/>
    <w:multiLevelType w:val="multilevel"/>
    <w:tmpl w:val="6F3E2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3D4F5265"/>
    <w:multiLevelType w:val="hybridMultilevel"/>
    <w:tmpl w:val="78CA80EE"/>
    <w:lvl w:ilvl="0" w:tplc="D502248C">
      <w:start w:val="1"/>
      <w:numFmt w:val="lowerLetter"/>
      <w:lvlText w:val="%1."/>
      <w:lvlJc w:val="left"/>
      <w:pPr>
        <w:tabs>
          <w:tab w:val="num" w:pos="1605"/>
        </w:tabs>
        <w:ind w:left="1605" w:hanging="705"/>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nsid w:val="42AA26D7"/>
    <w:multiLevelType w:val="hybridMultilevel"/>
    <w:tmpl w:val="3522AE26"/>
    <w:lvl w:ilvl="0" w:tplc="9B6639F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42D40944"/>
    <w:multiLevelType w:val="hybridMultilevel"/>
    <w:tmpl w:val="7B285082"/>
    <w:lvl w:ilvl="0" w:tplc="B0E84362">
      <w:start w:val="1"/>
      <w:numFmt w:val="low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5">
    <w:nsid w:val="437648FF"/>
    <w:multiLevelType w:val="hybridMultilevel"/>
    <w:tmpl w:val="261093FC"/>
    <w:lvl w:ilvl="0" w:tplc="C6B4874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71FC30EF"/>
    <w:multiLevelType w:val="hybridMultilevel"/>
    <w:tmpl w:val="1CE00256"/>
    <w:lvl w:ilvl="0" w:tplc="240A0019">
      <w:start w:val="1"/>
      <w:numFmt w:val="lowerLetter"/>
      <w:lvlText w:val="%1."/>
      <w:lvlJc w:val="left"/>
      <w:pPr>
        <w:ind w:left="720" w:hanging="360"/>
      </w:pPr>
      <w:rPr>
        <w:rFonts w:hint="default"/>
      </w:rPr>
    </w:lvl>
    <w:lvl w:ilvl="1" w:tplc="240A000F">
      <w:start w:val="1"/>
      <w:numFmt w:val="decimal"/>
      <w:lvlText w:val="%2."/>
      <w:lvlJc w:val="left"/>
      <w:pPr>
        <w:ind w:left="1440" w:hanging="360"/>
      </w:pPr>
      <w:rPr>
        <w:rFont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71B2492"/>
    <w:multiLevelType w:val="hybridMultilevel"/>
    <w:tmpl w:val="1D42CB4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39"/>
    <w:rsid w:val="00027518"/>
    <w:rsid w:val="00030F2F"/>
    <w:rsid w:val="000332C4"/>
    <w:rsid w:val="00033639"/>
    <w:rsid w:val="00043F7E"/>
    <w:rsid w:val="00057FD7"/>
    <w:rsid w:val="00086440"/>
    <w:rsid w:val="0008783E"/>
    <w:rsid w:val="0009691F"/>
    <w:rsid w:val="000A3A23"/>
    <w:rsid w:val="000A3A70"/>
    <w:rsid w:val="000C2F00"/>
    <w:rsid w:val="000C4F7E"/>
    <w:rsid w:val="000E18B1"/>
    <w:rsid w:val="000E1B5B"/>
    <w:rsid w:val="000E43AC"/>
    <w:rsid w:val="000E73B5"/>
    <w:rsid w:val="000F7870"/>
    <w:rsid w:val="001107CD"/>
    <w:rsid w:val="001117E0"/>
    <w:rsid w:val="00116E73"/>
    <w:rsid w:val="001247B1"/>
    <w:rsid w:val="00125E5C"/>
    <w:rsid w:val="001521EF"/>
    <w:rsid w:val="00165556"/>
    <w:rsid w:val="00172259"/>
    <w:rsid w:val="001738CC"/>
    <w:rsid w:val="001835A5"/>
    <w:rsid w:val="0018684A"/>
    <w:rsid w:val="001A2F42"/>
    <w:rsid w:val="001B7BA9"/>
    <w:rsid w:val="001D127F"/>
    <w:rsid w:val="001E1035"/>
    <w:rsid w:val="001E7BD5"/>
    <w:rsid w:val="001F2932"/>
    <w:rsid w:val="00203518"/>
    <w:rsid w:val="002055D3"/>
    <w:rsid w:val="00207096"/>
    <w:rsid w:val="002159B3"/>
    <w:rsid w:val="00215FC5"/>
    <w:rsid w:val="00222A1C"/>
    <w:rsid w:val="002359CB"/>
    <w:rsid w:val="002369D0"/>
    <w:rsid w:val="002373B3"/>
    <w:rsid w:val="00240066"/>
    <w:rsid w:val="00243E2C"/>
    <w:rsid w:val="00246FE9"/>
    <w:rsid w:val="00265170"/>
    <w:rsid w:val="00274005"/>
    <w:rsid w:val="00276DF5"/>
    <w:rsid w:val="0028162A"/>
    <w:rsid w:val="00282989"/>
    <w:rsid w:val="00285966"/>
    <w:rsid w:val="002A1D42"/>
    <w:rsid w:val="002A5833"/>
    <w:rsid w:val="002C7540"/>
    <w:rsid w:val="002D10F9"/>
    <w:rsid w:val="002D32B5"/>
    <w:rsid w:val="002D3C24"/>
    <w:rsid w:val="002D3D07"/>
    <w:rsid w:val="002D4E0A"/>
    <w:rsid w:val="002D6990"/>
    <w:rsid w:val="002E75B4"/>
    <w:rsid w:val="002F7157"/>
    <w:rsid w:val="003041C8"/>
    <w:rsid w:val="00327F65"/>
    <w:rsid w:val="00336055"/>
    <w:rsid w:val="00340CDE"/>
    <w:rsid w:val="00341509"/>
    <w:rsid w:val="00343AF3"/>
    <w:rsid w:val="00343B86"/>
    <w:rsid w:val="0034799A"/>
    <w:rsid w:val="00352E3B"/>
    <w:rsid w:val="003808E1"/>
    <w:rsid w:val="00381176"/>
    <w:rsid w:val="00385128"/>
    <w:rsid w:val="00385ADA"/>
    <w:rsid w:val="00386E8C"/>
    <w:rsid w:val="003878C3"/>
    <w:rsid w:val="003960B2"/>
    <w:rsid w:val="003A1E4C"/>
    <w:rsid w:val="003C3FC5"/>
    <w:rsid w:val="003D23E8"/>
    <w:rsid w:val="003D3839"/>
    <w:rsid w:val="003D4E31"/>
    <w:rsid w:val="003D7C93"/>
    <w:rsid w:val="003E4EF7"/>
    <w:rsid w:val="0040200A"/>
    <w:rsid w:val="00404B2F"/>
    <w:rsid w:val="00414057"/>
    <w:rsid w:val="00414EEB"/>
    <w:rsid w:val="00421056"/>
    <w:rsid w:val="00434079"/>
    <w:rsid w:val="0043595A"/>
    <w:rsid w:val="00452094"/>
    <w:rsid w:val="00453D19"/>
    <w:rsid w:val="0045764E"/>
    <w:rsid w:val="00457DCF"/>
    <w:rsid w:val="0046056B"/>
    <w:rsid w:val="0046149C"/>
    <w:rsid w:val="00481A26"/>
    <w:rsid w:val="00484277"/>
    <w:rsid w:val="004935E2"/>
    <w:rsid w:val="00493E47"/>
    <w:rsid w:val="00497743"/>
    <w:rsid w:val="004A1887"/>
    <w:rsid w:val="004B00C1"/>
    <w:rsid w:val="004B4CE6"/>
    <w:rsid w:val="004B53B5"/>
    <w:rsid w:val="004F48A4"/>
    <w:rsid w:val="004F6726"/>
    <w:rsid w:val="005129BA"/>
    <w:rsid w:val="00512E8A"/>
    <w:rsid w:val="0052254A"/>
    <w:rsid w:val="00527345"/>
    <w:rsid w:val="005325A6"/>
    <w:rsid w:val="0054469E"/>
    <w:rsid w:val="005661F6"/>
    <w:rsid w:val="005671E3"/>
    <w:rsid w:val="00567532"/>
    <w:rsid w:val="00572AA3"/>
    <w:rsid w:val="00573F61"/>
    <w:rsid w:val="0058630F"/>
    <w:rsid w:val="005A1016"/>
    <w:rsid w:val="005B0E44"/>
    <w:rsid w:val="005D6AC5"/>
    <w:rsid w:val="005E53D2"/>
    <w:rsid w:val="005F1ADA"/>
    <w:rsid w:val="005F3423"/>
    <w:rsid w:val="005F6C69"/>
    <w:rsid w:val="00600928"/>
    <w:rsid w:val="0060098A"/>
    <w:rsid w:val="00607B49"/>
    <w:rsid w:val="00616357"/>
    <w:rsid w:val="00620D0F"/>
    <w:rsid w:val="00624669"/>
    <w:rsid w:val="00631E38"/>
    <w:rsid w:val="00646638"/>
    <w:rsid w:val="00647C2C"/>
    <w:rsid w:val="00651933"/>
    <w:rsid w:val="00662AE9"/>
    <w:rsid w:val="0066437D"/>
    <w:rsid w:val="006677F4"/>
    <w:rsid w:val="00674DAC"/>
    <w:rsid w:val="00680CFA"/>
    <w:rsid w:val="0069623F"/>
    <w:rsid w:val="00697499"/>
    <w:rsid w:val="006A14F7"/>
    <w:rsid w:val="006A2441"/>
    <w:rsid w:val="006C025D"/>
    <w:rsid w:val="006C2555"/>
    <w:rsid w:val="006D0EFB"/>
    <w:rsid w:val="006D15A6"/>
    <w:rsid w:val="006D3710"/>
    <w:rsid w:val="006D45C6"/>
    <w:rsid w:val="006D6D91"/>
    <w:rsid w:val="006E278C"/>
    <w:rsid w:val="006F2C78"/>
    <w:rsid w:val="006F766E"/>
    <w:rsid w:val="007062D0"/>
    <w:rsid w:val="0073012D"/>
    <w:rsid w:val="00731F8A"/>
    <w:rsid w:val="00734365"/>
    <w:rsid w:val="00744AB5"/>
    <w:rsid w:val="00760F7E"/>
    <w:rsid w:val="00782331"/>
    <w:rsid w:val="00787816"/>
    <w:rsid w:val="0079039A"/>
    <w:rsid w:val="00792BD5"/>
    <w:rsid w:val="007965FA"/>
    <w:rsid w:val="007A5926"/>
    <w:rsid w:val="007D4FF4"/>
    <w:rsid w:val="007E4136"/>
    <w:rsid w:val="00800BED"/>
    <w:rsid w:val="00806B6B"/>
    <w:rsid w:val="008102C2"/>
    <w:rsid w:val="008112AD"/>
    <w:rsid w:val="008124AD"/>
    <w:rsid w:val="00814A9C"/>
    <w:rsid w:val="00830EE4"/>
    <w:rsid w:val="008320C9"/>
    <w:rsid w:val="00835D22"/>
    <w:rsid w:val="00836900"/>
    <w:rsid w:val="00841171"/>
    <w:rsid w:val="0085050E"/>
    <w:rsid w:val="0085247A"/>
    <w:rsid w:val="00861F35"/>
    <w:rsid w:val="008646D3"/>
    <w:rsid w:val="00872882"/>
    <w:rsid w:val="0087427C"/>
    <w:rsid w:val="0087718A"/>
    <w:rsid w:val="00883A80"/>
    <w:rsid w:val="008863D0"/>
    <w:rsid w:val="00892BA5"/>
    <w:rsid w:val="00893F21"/>
    <w:rsid w:val="008A2260"/>
    <w:rsid w:val="008A6606"/>
    <w:rsid w:val="008A740F"/>
    <w:rsid w:val="008C4E53"/>
    <w:rsid w:val="008C514C"/>
    <w:rsid w:val="008C6CA3"/>
    <w:rsid w:val="008D1524"/>
    <w:rsid w:val="008D47E2"/>
    <w:rsid w:val="008E7842"/>
    <w:rsid w:val="008F3243"/>
    <w:rsid w:val="008F765E"/>
    <w:rsid w:val="00902F1B"/>
    <w:rsid w:val="00911147"/>
    <w:rsid w:val="009120BC"/>
    <w:rsid w:val="00915AA4"/>
    <w:rsid w:val="00921887"/>
    <w:rsid w:val="009272A0"/>
    <w:rsid w:val="0093316C"/>
    <w:rsid w:val="009347E7"/>
    <w:rsid w:val="00947B0C"/>
    <w:rsid w:val="00947F9F"/>
    <w:rsid w:val="0096684B"/>
    <w:rsid w:val="0097130A"/>
    <w:rsid w:val="009722F3"/>
    <w:rsid w:val="00980F93"/>
    <w:rsid w:val="0098311D"/>
    <w:rsid w:val="00984D17"/>
    <w:rsid w:val="0098657B"/>
    <w:rsid w:val="00993D17"/>
    <w:rsid w:val="00997301"/>
    <w:rsid w:val="009A6C94"/>
    <w:rsid w:val="009B2335"/>
    <w:rsid w:val="009B4911"/>
    <w:rsid w:val="009B6D50"/>
    <w:rsid w:val="009C40F2"/>
    <w:rsid w:val="009C6C7F"/>
    <w:rsid w:val="009C7F5F"/>
    <w:rsid w:val="009D79F8"/>
    <w:rsid w:val="009D7D0A"/>
    <w:rsid w:val="009F4F25"/>
    <w:rsid w:val="00A10C2B"/>
    <w:rsid w:val="00A14529"/>
    <w:rsid w:val="00A14BE1"/>
    <w:rsid w:val="00A15E27"/>
    <w:rsid w:val="00A22A86"/>
    <w:rsid w:val="00A23C01"/>
    <w:rsid w:val="00A27A76"/>
    <w:rsid w:val="00A301E4"/>
    <w:rsid w:val="00A42C53"/>
    <w:rsid w:val="00A53CBB"/>
    <w:rsid w:val="00A56519"/>
    <w:rsid w:val="00A636F0"/>
    <w:rsid w:val="00A75DE6"/>
    <w:rsid w:val="00A8498E"/>
    <w:rsid w:val="00A928D3"/>
    <w:rsid w:val="00A93328"/>
    <w:rsid w:val="00AA3E46"/>
    <w:rsid w:val="00AA50CB"/>
    <w:rsid w:val="00AD5928"/>
    <w:rsid w:val="00AE1E07"/>
    <w:rsid w:val="00AE7D2E"/>
    <w:rsid w:val="00AF35F5"/>
    <w:rsid w:val="00AF3D1E"/>
    <w:rsid w:val="00B06C04"/>
    <w:rsid w:val="00B06D11"/>
    <w:rsid w:val="00B13814"/>
    <w:rsid w:val="00B3515F"/>
    <w:rsid w:val="00B4493F"/>
    <w:rsid w:val="00B44FA3"/>
    <w:rsid w:val="00B47860"/>
    <w:rsid w:val="00B60709"/>
    <w:rsid w:val="00B65F43"/>
    <w:rsid w:val="00B82B10"/>
    <w:rsid w:val="00B90DE0"/>
    <w:rsid w:val="00B912AB"/>
    <w:rsid w:val="00B9232B"/>
    <w:rsid w:val="00B94649"/>
    <w:rsid w:val="00B96B47"/>
    <w:rsid w:val="00BB7560"/>
    <w:rsid w:val="00BD27EA"/>
    <w:rsid w:val="00BE05C3"/>
    <w:rsid w:val="00BE0D1B"/>
    <w:rsid w:val="00BE6A1C"/>
    <w:rsid w:val="00BF0707"/>
    <w:rsid w:val="00BF2949"/>
    <w:rsid w:val="00BF4F71"/>
    <w:rsid w:val="00BF7D18"/>
    <w:rsid w:val="00C1094B"/>
    <w:rsid w:val="00C11F66"/>
    <w:rsid w:val="00C152C7"/>
    <w:rsid w:val="00C17A46"/>
    <w:rsid w:val="00C267D3"/>
    <w:rsid w:val="00C35FC6"/>
    <w:rsid w:val="00C43D99"/>
    <w:rsid w:val="00C71556"/>
    <w:rsid w:val="00C8566A"/>
    <w:rsid w:val="00C879F2"/>
    <w:rsid w:val="00CA1A63"/>
    <w:rsid w:val="00CA31CD"/>
    <w:rsid w:val="00CA6EC0"/>
    <w:rsid w:val="00CB1313"/>
    <w:rsid w:val="00CB1A40"/>
    <w:rsid w:val="00CB4B05"/>
    <w:rsid w:val="00CC4D43"/>
    <w:rsid w:val="00CC7452"/>
    <w:rsid w:val="00CD3410"/>
    <w:rsid w:val="00CE470F"/>
    <w:rsid w:val="00D02CB0"/>
    <w:rsid w:val="00D051D2"/>
    <w:rsid w:val="00D0698B"/>
    <w:rsid w:val="00D1330C"/>
    <w:rsid w:val="00D14076"/>
    <w:rsid w:val="00D15A42"/>
    <w:rsid w:val="00D2018B"/>
    <w:rsid w:val="00D20F39"/>
    <w:rsid w:val="00D31EC4"/>
    <w:rsid w:val="00D322E6"/>
    <w:rsid w:val="00D32B74"/>
    <w:rsid w:val="00D3563F"/>
    <w:rsid w:val="00D41192"/>
    <w:rsid w:val="00D541B9"/>
    <w:rsid w:val="00D6026D"/>
    <w:rsid w:val="00D6147F"/>
    <w:rsid w:val="00D659B0"/>
    <w:rsid w:val="00D735C2"/>
    <w:rsid w:val="00D82DA4"/>
    <w:rsid w:val="00D8486F"/>
    <w:rsid w:val="00D921B7"/>
    <w:rsid w:val="00DB08CD"/>
    <w:rsid w:val="00DB0E60"/>
    <w:rsid w:val="00DB3900"/>
    <w:rsid w:val="00DD348D"/>
    <w:rsid w:val="00DE2390"/>
    <w:rsid w:val="00E00BCB"/>
    <w:rsid w:val="00E12CC3"/>
    <w:rsid w:val="00E145CF"/>
    <w:rsid w:val="00E174E3"/>
    <w:rsid w:val="00E330E0"/>
    <w:rsid w:val="00E33652"/>
    <w:rsid w:val="00E358EB"/>
    <w:rsid w:val="00E41558"/>
    <w:rsid w:val="00E7636F"/>
    <w:rsid w:val="00E8776B"/>
    <w:rsid w:val="00E93D30"/>
    <w:rsid w:val="00EA0885"/>
    <w:rsid w:val="00EA1A02"/>
    <w:rsid w:val="00EA6224"/>
    <w:rsid w:val="00EA6596"/>
    <w:rsid w:val="00EB4C06"/>
    <w:rsid w:val="00EB4D42"/>
    <w:rsid w:val="00EF19EE"/>
    <w:rsid w:val="00EF1DFB"/>
    <w:rsid w:val="00EF35C2"/>
    <w:rsid w:val="00F02CDB"/>
    <w:rsid w:val="00F0560A"/>
    <w:rsid w:val="00F06B53"/>
    <w:rsid w:val="00F079DB"/>
    <w:rsid w:val="00F2375A"/>
    <w:rsid w:val="00F34364"/>
    <w:rsid w:val="00F64681"/>
    <w:rsid w:val="00F75A96"/>
    <w:rsid w:val="00F76346"/>
    <w:rsid w:val="00F849BD"/>
    <w:rsid w:val="00F861AB"/>
    <w:rsid w:val="00F91CEF"/>
    <w:rsid w:val="00F96997"/>
    <w:rsid w:val="00FA4DBD"/>
    <w:rsid w:val="00FB369A"/>
    <w:rsid w:val="00FC7015"/>
    <w:rsid w:val="00FD3F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931739-5C7B-46E8-BA76-34298D76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7B1"/>
    <w:rPr>
      <w:sz w:val="24"/>
      <w:szCs w:val="24"/>
      <w:lang w:val="es-ES" w:eastAsia="es-ES"/>
    </w:rPr>
  </w:style>
  <w:style w:type="paragraph" w:styleId="Ttulo2">
    <w:name w:val="heading 2"/>
    <w:basedOn w:val="Normal"/>
    <w:next w:val="Normal"/>
    <w:qFormat/>
    <w:rsid w:val="00A8498E"/>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qFormat/>
    <w:rsid w:val="00F849B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link w:val="BodyText21Car"/>
    <w:rsid w:val="00980F93"/>
    <w:pPr>
      <w:overflowPunct w:val="0"/>
      <w:autoSpaceDE w:val="0"/>
      <w:autoSpaceDN w:val="0"/>
      <w:adjustRightInd w:val="0"/>
      <w:spacing w:line="480" w:lineRule="auto"/>
      <w:jc w:val="both"/>
      <w:textAlignment w:val="baseline"/>
    </w:pPr>
    <w:rPr>
      <w:rFonts w:ascii="Arial" w:hAnsi="Arial"/>
      <w:szCs w:val="20"/>
      <w:lang w:val="es-ES_tradnl"/>
    </w:rPr>
  </w:style>
  <w:style w:type="character" w:customStyle="1" w:styleId="BodyText21Car">
    <w:name w:val="Body Text 21 Car"/>
    <w:link w:val="BodyText21"/>
    <w:rsid w:val="00980F93"/>
    <w:rPr>
      <w:rFonts w:ascii="Arial" w:hAnsi="Arial"/>
      <w:sz w:val="24"/>
      <w:lang w:val="es-ES_tradnl" w:eastAsia="es-ES" w:bidi="ar-SA"/>
    </w:rPr>
  </w:style>
  <w:style w:type="paragraph" w:styleId="Textonotapie">
    <w:name w:val="footnote text"/>
    <w:aliases w:val="Texto nota pie Car,Footnote Text Char Char Char Char Char,Footnote Text Char Char Char Char,Footnote reference,FA Fu,texto de nota al pie,Footnote Text Cha,Footnote Text Char Char Char,FA Fußnotentext,FA Fuﬂnotentext,Footnote Text Char Ch"/>
    <w:basedOn w:val="Normal"/>
    <w:link w:val="TextonotapieCar1"/>
    <w:uiPriority w:val="99"/>
    <w:qFormat/>
    <w:rsid w:val="00980F93"/>
    <w:pPr>
      <w:overflowPunct w:val="0"/>
      <w:autoSpaceDE w:val="0"/>
      <w:autoSpaceDN w:val="0"/>
      <w:adjustRightInd w:val="0"/>
      <w:spacing w:line="480" w:lineRule="auto"/>
      <w:jc w:val="both"/>
      <w:textAlignment w:val="baseline"/>
    </w:pPr>
    <w:rPr>
      <w:rFonts w:ascii="Garamond" w:hAnsi="Garamond"/>
      <w:sz w:val="20"/>
      <w:szCs w:val="20"/>
      <w:lang w:val="es-ES_tradnl"/>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980F93"/>
    <w:rPr>
      <w:vertAlign w:val="superscript"/>
    </w:rPr>
  </w:style>
  <w:style w:type="character" w:customStyle="1" w:styleId="textonavy1">
    <w:name w:val="texto_navy1"/>
    <w:rsid w:val="00980F93"/>
    <w:rPr>
      <w:color w:val="000080"/>
    </w:rPr>
  </w:style>
  <w:style w:type="paragraph" w:styleId="Textoindependiente">
    <w:name w:val="Body Text"/>
    <w:basedOn w:val="Normal"/>
    <w:rsid w:val="002F7157"/>
    <w:pPr>
      <w:spacing w:line="360" w:lineRule="auto"/>
      <w:jc w:val="both"/>
    </w:pPr>
    <w:rPr>
      <w:rFonts w:ascii="Arial" w:hAnsi="Arial"/>
    </w:rPr>
  </w:style>
  <w:style w:type="table" w:styleId="Tablaconcuadrcula">
    <w:name w:val="Table Grid"/>
    <w:basedOn w:val="Tablanormal"/>
    <w:rsid w:val="00215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C152C7"/>
    <w:pPr>
      <w:spacing w:after="120" w:line="480" w:lineRule="auto"/>
    </w:pPr>
  </w:style>
  <w:style w:type="paragraph" w:customStyle="1" w:styleId="Textodebloque1">
    <w:name w:val="Texto de bloque1"/>
    <w:basedOn w:val="Normal"/>
    <w:rsid w:val="00A8498E"/>
    <w:pPr>
      <w:overflowPunct w:val="0"/>
      <w:autoSpaceDE w:val="0"/>
      <w:autoSpaceDN w:val="0"/>
      <w:adjustRightInd w:val="0"/>
      <w:ind w:left="851" w:right="851"/>
      <w:jc w:val="both"/>
      <w:textAlignment w:val="baseline"/>
    </w:pPr>
    <w:rPr>
      <w:rFonts w:ascii="Arial" w:hAnsi="Arial"/>
      <w:szCs w:val="20"/>
      <w:lang w:val="es-ES_tradnl"/>
    </w:rPr>
  </w:style>
  <w:style w:type="paragraph" w:styleId="NormalWeb">
    <w:name w:val="Normal (Web)"/>
    <w:basedOn w:val="Normal"/>
    <w:uiPriority w:val="99"/>
    <w:rsid w:val="00A8498E"/>
    <w:pPr>
      <w:spacing w:before="100" w:beforeAutospacing="1" w:after="100" w:afterAutospacing="1"/>
    </w:pPr>
  </w:style>
  <w:style w:type="paragraph" w:styleId="Textoindependiente3">
    <w:name w:val="Body Text 3"/>
    <w:basedOn w:val="Normal"/>
    <w:rsid w:val="00BF7D18"/>
    <w:pPr>
      <w:spacing w:after="120"/>
    </w:pPr>
    <w:rPr>
      <w:sz w:val="16"/>
      <w:szCs w:val="16"/>
    </w:rPr>
  </w:style>
  <w:style w:type="paragraph" w:customStyle="1" w:styleId="Textoindependiente21">
    <w:name w:val="Texto independiente 21"/>
    <w:basedOn w:val="Normal"/>
    <w:rsid w:val="00BF7D18"/>
    <w:pPr>
      <w:jc w:val="both"/>
    </w:pPr>
    <w:rPr>
      <w:rFonts w:ascii="Arial" w:hAnsi="Arial"/>
      <w:szCs w:val="20"/>
      <w:lang w:val="es-ES_tradnl"/>
    </w:rPr>
  </w:style>
  <w:style w:type="paragraph" w:styleId="Textodebloque">
    <w:name w:val="Block Text"/>
    <w:basedOn w:val="Normal"/>
    <w:rsid w:val="00BF7D18"/>
    <w:pPr>
      <w:ind w:left="851" w:right="1161"/>
      <w:jc w:val="both"/>
    </w:pPr>
    <w:rPr>
      <w:rFonts w:ascii="Arial" w:hAnsi="Arial" w:cs="Arial"/>
      <w:i/>
      <w:szCs w:val="20"/>
      <w:lang w:val="es-ES_tradnl"/>
    </w:rPr>
  </w:style>
  <w:style w:type="paragraph" w:styleId="Piedepgina">
    <w:name w:val="footer"/>
    <w:basedOn w:val="Normal"/>
    <w:link w:val="PiedepginaCar"/>
    <w:uiPriority w:val="99"/>
    <w:rsid w:val="006F2C78"/>
    <w:pPr>
      <w:tabs>
        <w:tab w:val="center" w:pos="4252"/>
        <w:tab w:val="right" w:pos="8504"/>
      </w:tabs>
      <w:overflowPunct w:val="0"/>
      <w:autoSpaceDE w:val="0"/>
      <w:autoSpaceDN w:val="0"/>
      <w:adjustRightInd w:val="0"/>
      <w:ind w:firstLine="706"/>
      <w:jc w:val="both"/>
      <w:textAlignment w:val="baseline"/>
    </w:pPr>
    <w:rPr>
      <w:rFonts w:ascii="Arial" w:hAnsi="Arial"/>
      <w:sz w:val="20"/>
      <w:szCs w:val="20"/>
      <w:lang w:val="x-none"/>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 Car,Footnote Text Char Char Char Car"/>
    <w:link w:val="Textonotapie"/>
    <w:uiPriority w:val="99"/>
    <w:rsid w:val="0028162A"/>
    <w:rPr>
      <w:rFonts w:ascii="Garamond" w:hAnsi="Garamond"/>
      <w:lang w:val="es-ES_tradnl" w:eastAsia="es-ES" w:bidi="ar-SA"/>
    </w:rPr>
  </w:style>
  <w:style w:type="character" w:customStyle="1" w:styleId="Ttulo5Car">
    <w:name w:val="Título 5 Car"/>
    <w:link w:val="Ttulo5"/>
    <w:semiHidden/>
    <w:rsid w:val="00F849BD"/>
    <w:rPr>
      <w:rFonts w:ascii="Calibri" w:hAnsi="Calibri"/>
      <w:b/>
      <w:bCs/>
      <w:i/>
      <w:iCs/>
      <w:sz w:val="26"/>
      <w:szCs w:val="26"/>
      <w:lang w:val="es-ES" w:eastAsia="es-ES" w:bidi="ar-SA"/>
    </w:rPr>
  </w:style>
  <w:style w:type="character" w:customStyle="1" w:styleId="Textoindependiente2Car">
    <w:name w:val="Texto independiente 2 Car"/>
    <w:link w:val="Textoindependiente2"/>
    <w:rsid w:val="003D4E31"/>
    <w:rPr>
      <w:sz w:val="24"/>
      <w:szCs w:val="24"/>
      <w:lang w:val="es-ES" w:eastAsia="es-ES"/>
    </w:rPr>
  </w:style>
  <w:style w:type="paragraph" w:styleId="Encabezado">
    <w:name w:val="header"/>
    <w:basedOn w:val="Normal"/>
    <w:link w:val="EncabezadoCar"/>
    <w:rsid w:val="00203518"/>
    <w:pPr>
      <w:tabs>
        <w:tab w:val="center" w:pos="4419"/>
        <w:tab w:val="right" w:pos="8838"/>
      </w:tabs>
    </w:pPr>
  </w:style>
  <w:style w:type="character" w:customStyle="1" w:styleId="EncabezadoCar">
    <w:name w:val="Encabezado Car"/>
    <w:link w:val="Encabezado"/>
    <w:rsid w:val="00203518"/>
    <w:rPr>
      <w:sz w:val="24"/>
      <w:szCs w:val="24"/>
      <w:lang w:val="es-ES" w:eastAsia="es-ES"/>
    </w:rPr>
  </w:style>
  <w:style w:type="character" w:customStyle="1" w:styleId="PiedepginaCar">
    <w:name w:val="Pie de página Car"/>
    <w:link w:val="Piedepgina"/>
    <w:uiPriority w:val="99"/>
    <w:rsid w:val="00203518"/>
    <w:rPr>
      <w:rFonts w:ascii="Arial" w:hAnsi="Arial"/>
      <w:lang w:eastAsia="es-ES"/>
    </w:rPr>
  </w:style>
  <w:style w:type="paragraph" w:styleId="Prrafodelista">
    <w:name w:val="List Paragraph"/>
    <w:basedOn w:val="Normal"/>
    <w:uiPriority w:val="34"/>
    <w:qFormat/>
    <w:rsid w:val="00434079"/>
    <w:pPr>
      <w:ind w:left="708"/>
    </w:pPr>
  </w:style>
  <w:style w:type="paragraph" w:styleId="Textodeglobo">
    <w:name w:val="Balloon Text"/>
    <w:basedOn w:val="Normal"/>
    <w:link w:val="TextodegloboCar"/>
    <w:rsid w:val="001D127F"/>
    <w:rPr>
      <w:rFonts w:ascii="Segoe UI" w:hAnsi="Segoe UI"/>
      <w:sz w:val="18"/>
      <w:szCs w:val="18"/>
    </w:rPr>
  </w:style>
  <w:style w:type="character" w:customStyle="1" w:styleId="TextodegloboCar">
    <w:name w:val="Texto de globo Car"/>
    <w:link w:val="Textodeglobo"/>
    <w:rsid w:val="001D127F"/>
    <w:rPr>
      <w:rFonts w:ascii="Segoe UI" w:hAnsi="Segoe UI" w:cs="Segoe UI"/>
      <w:sz w:val="18"/>
      <w:szCs w:val="18"/>
      <w:lang w:val="es-ES" w:eastAsia="es-ES"/>
    </w:rPr>
  </w:style>
  <w:style w:type="paragraph" w:customStyle="1" w:styleId="Default">
    <w:name w:val="Default"/>
    <w:rsid w:val="00497743"/>
    <w:pPr>
      <w:autoSpaceDE w:val="0"/>
      <w:autoSpaceDN w:val="0"/>
      <w:adjustRightInd w:val="0"/>
    </w:pPr>
    <w:rPr>
      <w:rFonts w:ascii="Lucida Sans" w:eastAsia="Calibri" w:hAnsi="Lucida Sans" w:cs="Lucida Sans"/>
      <w:color w:val="000000"/>
      <w:sz w:val="24"/>
      <w:szCs w:val="24"/>
      <w:lang w:val="es-ES" w:eastAsia="en-US"/>
    </w:rPr>
  </w:style>
  <w:style w:type="character" w:customStyle="1" w:styleId="apple-converted-space">
    <w:name w:val="apple-converted-space"/>
    <w:basedOn w:val="Fuentedeprrafopredeter"/>
    <w:rsid w:val="00497743"/>
  </w:style>
  <w:style w:type="paragraph" w:customStyle="1" w:styleId="Ttulo">
    <w:name w:val="Título"/>
    <w:basedOn w:val="Normal"/>
    <w:link w:val="TtuloCar"/>
    <w:qFormat/>
    <w:rsid w:val="0060098A"/>
    <w:pPr>
      <w:overflowPunct w:val="0"/>
      <w:autoSpaceDE w:val="0"/>
      <w:autoSpaceDN w:val="0"/>
      <w:adjustRightInd w:val="0"/>
      <w:spacing w:line="360" w:lineRule="auto"/>
      <w:jc w:val="center"/>
      <w:textAlignment w:val="baseline"/>
    </w:pPr>
    <w:rPr>
      <w:rFonts w:ascii="Arial" w:hAnsi="Arial" w:cs="Arial"/>
      <w:b/>
      <w:bCs/>
      <w:szCs w:val="20"/>
      <w:lang w:val="es-ES_tradnl"/>
    </w:rPr>
  </w:style>
  <w:style w:type="character" w:customStyle="1" w:styleId="TtuloCar">
    <w:name w:val="Título Car"/>
    <w:link w:val="Ttulo"/>
    <w:rsid w:val="0060098A"/>
    <w:rPr>
      <w:rFonts w:ascii="Arial" w:hAnsi="Arial" w:cs="Arial"/>
      <w:b/>
      <w:bCs/>
      <w:sz w:val="24"/>
      <w:lang w:val="es-ES_tradnl"/>
    </w:rPr>
  </w:style>
  <w:style w:type="character" w:customStyle="1" w:styleId="iaj">
    <w:name w:val="i_aj"/>
    <w:rsid w:val="0045764E"/>
  </w:style>
  <w:style w:type="character" w:styleId="Hipervnculo">
    <w:name w:val="Hyperlink"/>
    <w:uiPriority w:val="99"/>
    <w:unhideWhenUsed/>
    <w:rsid w:val="00457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9692">
      <w:bodyDiv w:val="1"/>
      <w:marLeft w:val="0"/>
      <w:marRight w:val="0"/>
      <w:marTop w:val="0"/>
      <w:marBottom w:val="0"/>
      <w:divBdr>
        <w:top w:val="none" w:sz="0" w:space="0" w:color="auto"/>
        <w:left w:val="none" w:sz="0" w:space="0" w:color="auto"/>
        <w:bottom w:val="none" w:sz="0" w:space="0" w:color="auto"/>
        <w:right w:val="none" w:sz="0" w:space="0" w:color="auto"/>
      </w:divBdr>
    </w:div>
    <w:div w:id="849762836">
      <w:bodyDiv w:val="1"/>
      <w:marLeft w:val="0"/>
      <w:marRight w:val="0"/>
      <w:marTop w:val="0"/>
      <w:marBottom w:val="0"/>
      <w:divBdr>
        <w:top w:val="none" w:sz="0" w:space="0" w:color="auto"/>
        <w:left w:val="none" w:sz="0" w:space="0" w:color="auto"/>
        <w:bottom w:val="none" w:sz="0" w:space="0" w:color="auto"/>
        <w:right w:val="none" w:sz="0" w:space="0" w:color="auto"/>
      </w:divBdr>
    </w:div>
    <w:div w:id="134960405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4713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DAB8-567A-4CA6-BB35-3151E37F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1240</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JUZGADO VEINTE ADMINISTRATIVO DEL CIRCUITO</vt:lpstr>
    </vt:vector>
  </TitlesOfParts>
  <Company>Consejo Superior de la Judicatura</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JUZGADO VEINTE ADMINISTRATIVO DEL CIRCUITO</dc:title>
  <dc:subject/>
  <dc:creator>Your User Name</dc:creator>
  <cp:keywords/>
  <dc:description/>
  <cp:lastModifiedBy>Alba Susana Florez p</cp:lastModifiedBy>
  <cp:revision>7</cp:revision>
  <cp:lastPrinted>2018-03-01T14:50:00Z</cp:lastPrinted>
  <dcterms:created xsi:type="dcterms:W3CDTF">2019-09-12T18:45:00Z</dcterms:created>
  <dcterms:modified xsi:type="dcterms:W3CDTF">2019-09-13T13:29:00Z</dcterms:modified>
</cp:coreProperties>
</file>