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i/>
          <w:iCs/>
          <w:noProof/>
          <w:color w:val="7F7F7F" w:themeColor="text1" w:themeTint="80"/>
          <w:kern w:val="20"/>
          <w:sz w:val="28"/>
          <w:szCs w:val="20"/>
          <w:lang w:val="en-US" w:eastAsia="ja-JP"/>
        </w:rPr>
        <w:id w:val="414904541"/>
        <w:docPartObj>
          <w:docPartGallery w:val="Cover Pages"/>
          <w:docPartUnique/>
        </w:docPartObj>
      </w:sdtPr>
      <w:sdtEndPr>
        <w:rPr>
          <w:noProof w:val="0"/>
        </w:rPr>
      </w:sdtEndPr>
      <w:sdtContent>
        <w:p w:rsidR="00F748B7" w:rsidRPr="003435E5" w:rsidRDefault="004E319B" w:rsidP="004D5671">
          <w:pPr>
            <w:tabs>
              <w:tab w:val="center" w:pos="4608"/>
            </w:tabs>
            <w:jc w:val="center"/>
            <w:rPr>
              <w:noProof/>
              <w:lang w:val="es-ES"/>
            </w:rPr>
          </w:pPr>
          <w:r>
            <w:rPr>
              <w:rFonts w:asciiTheme="minorHAnsi" w:eastAsiaTheme="minorHAnsi" w:hAnsiTheme="minorHAnsi" w:cstheme="minorBidi"/>
              <w:i/>
              <w:iCs/>
              <w:noProof/>
              <w:color w:val="7F7F7F" w:themeColor="text1" w:themeTint="80"/>
              <w:kern w:val="20"/>
              <w:sz w:val="28"/>
              <w:szCs w:val="20"/>
            </w:rPr>
            <w:drawing>
              <wp:inline distT="0" distB="0" distL="0" distR="0">
                <wp:extent cx="5981477" cy="573445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5592" cy="5747987"/>
                        </a:xfrm>
                        <a:prstGeom prst="rect">
                          <a:avLst/>
                        </a:prstGeom>
                        <a:noFill/>
                        <a:ln>
                          <a:noFill/>
                        </a:ln>
                      </pic:spPr>
                    </pic:pic>
                  </a:graphicData>
                </a:graphic>
              </wp:inline>
            </w:drawing>
          </w:r>
        </w:p>
        <w:p w:rsidR="00F748B7" w:rsidRPr="003435E5" w:rsidRDefault="00F748B7">
          <w:pPr>
            <w:rPr>
              <w:noProof/>
              <w:lang w:val="es-ES"/>
            </w:rPr>
          </w:pPr>
        </w:p>
        <w:p w:rsidR="00F748B7" w:rsidRDefault="00EC73D6" w:rsidP="00C50669">
          <w:pPr>
            <w:pStyle w:val="Descripcinbreve"/>
          </w:pPr>
          <w:r w:rsidRPr="003435E5">
            <w:rPr>
              <w:noProof/>
              <w:lang w:val="es-MX" w:eastAsia="es-MX"/>
            </w:rPr>
            <mc:AlternateContent>
              <mc:Choice Requires="wps">
                <w:drawing>
                  <wp:anchor distT="0" distB="0" distL="114300" distR="114300" simplePos="0" relativeHeight="251658752" behindDoc="0" locked="0" layoutInCell="1" allowOverlap="0" wp14:anchorId="3002FFCF" wp14:editId="3002FFD0">
                    <wp:simplePos x="0" y="0"/>
                    <wp:positionH relativeFrom="page">
                      <wp:posOffset>669851</wp:posOffset>
                    </wp:positionH>
                    <wp:positionV relativeFrom="page">
                      <wp:posOffset>6453962</wp:posOffset>
                    </wp:positionV>
                    <wp:extent cx="6464596" cy="3062177"/>
                    <wp:effectExtent l="0" t="0" r="12700" b="5080"/>
                    <wp:wrapNone/>
                    <wp:docPr id="6" name="Cuadro de texto 6" descr="Title, Subtitle, and Abstract"/>
                    <wp:cNvGraphicFramePr/>
                    <a:graphic xmlns:a="http://schemas.openxmlformats.org/drawingml/2006/main">
                      <a:graphicData uri="http://schemas.microsoft.com/office/word/2010/wordprocessingShape">
                        <wps:wsp>
                          <wps:cNvSpPr txBox="1"/>
                          <wps:spPr>
                            <a:xfrm>
                              <a:off x="0" y="0"/>
                              <a:ext cx="6464596" cy="3062177"/>
                            </a:xfrm>
                            <a:prstGeom prst="rect">
                              <a:avLst/>
                            </a:prstGeom>
                            <a:noFill/>
                            <a:ln w="6350">
                              <a:noFill/>
                            </a:ln>
                            <a:effectLst/>
                          </wps:spPr>
                          <wps:txbx>
                            <w:txbxContent>
                              <w:p w:rsidR="00CB6C04" w:rsidRPr="00411A15" w:rsidRDefault="00CB6C04" w:rsidP="008E6907">
                                <w:pPr>
                                  <w:pStyle w:val="Puesto"/>
                                  <w:shd w:val="clear" w:color="auto" w:fill="AA6736" w:themeFill="accent2" w:themeFillShade="BF"/>
                                  <w:jc w:val="center"/>
                                  <w:rPr>
                                    <w:sz w:val="52"/>
                                    <w:szCs w:val="52"/>
                                    <w:lang w:val="es-ES"/>
                                  </w:rPr>
                                </w:pPr>
                                <w:sdt>
                                  <w:sdtPr>
                                    <w:rPr>
                                      <w:caps w:val="0"/>
                                      <w:sz w:val="44"/>
                                      <w:szCs w:val="44"/>
                                      <w:lang w:val="es-ES"/>
                                    </w:rPr>
                                    <w:alias w:val="Título"/>
                                    <w:tag w:val=""/>
                                    <w:id w:val="-377322153"/>
                                    <w:dataBinding w:prefixMappings="xmlns:ns0='http://purl.org/dc/elements/1.1/' xmlns:ns1='http://schemas.openxmlformats.org/package/2006/metadata/core-properties' " w:xpath="/ns1:coreProperties[1]/ns0:title[1]" w:storeItemID="{6C3C8BC8-F283-45AE-878A-BAB7291924A1}"/>
                                    <w:text w:multiLine="1"/>
                                  </w:sdtPr>
                                  <w:sdtContent>
                                    <w:r w:rsidRPr="00B75C28">
                                      <w:rPr>
                                        <w:caps w:val="0"/>
                                        <w:sz w:val="44"/>
                                        <w:szCs w:val="44"/>
                                        <w:lang w:val="es-CO"/>
                                      </w:rPr>
                                      <w:t xml:space="preserve">INFORME DE REVISIÓN PARA LA ALTA DIRECCIÓN </w:t>
                                    </w:r>
                                    <w:r w:rsidRPr="00B75C28">
                                      <w:rPr>
                                        <w:caps w:val="0"/>
                                        <w:sz w:val="44"/>
                                        <w:szCs w:val="44"/>
                                        <w:lang w:val="es-CO"/>
                                      </w:rPr>
                                      <w:br/>
                                      <w:t>SISTEMA INTEGRADO DE GESTIÓN Y CONTROL DE CALIDAD</w:t>
                                    </w:r>
                                  </w:sdtContent>
                                </w:sdt>
                                <w:r w:rsidRPr="00B75C28">
                                  <w:rPr>
                                    <w:caps w:val="0"/>
                                    <w:sz w:val="44"/>
                                    <w:szCs w:val="44"/>
                                    <w:lang w:val="es-ES"/>
                                  </w:rPr>
                                  <w:t xml:space="preserve"> </w:t>
                                </w:r>
                              </w:p>
                              <w:p w:rsidR="00CB6C04" w:rsidRPr="008E6907" w:rsidRDefault="00CB6C04" w:rsidP="00EC73D6">
                                <w:pPr>
                                  <w:pStyle w:val="Subttulo"/>
                                  <w:rPr>
                                    <w:b/>
                                    <w:color w:val="0070C0"/>
                                    <w:lang w:val="es-ES"/>
                                    <w14:textOutline w14:w="9525" w14:cap="rnd" w14:cmpd="sng" w14:algn="ctr">
                                      <w14:solidFill>
                                        <w14:srgbClr w14:val="C00000"/>
                                      </w14:solidFill>
                                      <w14:prstDash w14:val="solid"/>
                                      <w14:bevel/>
                                    </w14:textOutline>
                                  </w:rPr>
                                </w:pPr>
                                <w:r w:rsidRPr="008E6907">
                                  <w:rPr>
                                    <w:b/>
                                    <w:color w:val="0070C0"/>
                                    <w:lang w:val="es-ES"/>
                                    <w14:textOutline w14:w="9525" w14:cap="rnd" w14:cmpd="sng" w14:algn="ctr">
                                      <w14:solidFill>
                                        <w14:srgbClr w14:val="C00000"/>
                                      </w14:solidFill>
                                      <w14:prstDash w14:val="solid"/>
                                      <w14:bevel/>
                                    </w14:textOutline>
                                  </w:rPr>
                                  <w:t>Octubre 2015</w:t>
                                </w:r>
                              </w:p>
                              <w:sdt>
                                <w:sdtPr>
                                  <w:rPr>
                                    <w:b/>
                                    <w:lang w:val="es-ES"/>
                                  </w:rPr>
                                  <w:alias w:val="Descripción breve"/>
                                  <w:tag w:val="Descripción breve"/>
                                  <w:id w:val="2123570106"/>
                                  <w:dataBinding w:prefixMappings="xmlns:ns0='http://schemas.microsoft.com/office/2006/coverPageProps'" w:xpath="/ns0:CoverPageProperties[1]/ns0:Abstract[1]" w:storeItemID="{55AF091B-3C7A-41E3-B477-F2FDAA23CFDA}"/>
                                  <w:text/>
                                </w:sdtPr>
                                <w:sdtContent>
                                  <w:p w:rsidR="00CB6C04" w:rsidRPr="002B18A5" w:rsidRDefault="00CB6C04" w:rsidP="00992AC6">
                                    <w:pPr>
                                      <w:pStyle w:val="Descripcinbreve"/>
                                      <w:ind w:left="426"/>
                                      <w:jc w:val="center"/>
                                      <w:rPr>
                                        <w:u w:val="single"/>
                                        <w:lang w:val="es-ES"/>
                                      </w:rPr>
                                    </w:pPr>
                                    <w:r>
                                      <w:rPr>
                                        <w:b/>
                                        <w:lang w:val="es-ES"/>
                                      </w:rPr>
                                      <w:t xml:space="preserve">Rendición de cuentas </w:t>
                                    </w:r>
                                    <w:r w:rsidRPr="00753B66">
                                      <w:rPr>
                                        <w:b/>
                                        <w:lang w:val="es-ES"/>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02FFCF" id="_x0000_t202" coordsize="21600,21600" o:spt="202" path="m,l,21600r21600,l21600,xe">
                    <v:stroke joinstyle="miter"/>
                    <v:path gradientshapeok="t" o:connecttype="rect"/>
                  </v:shapetype>
                  <v:shape id="Cuadro de texto 6" o:spid="_x0000_s1026" type="#_x0000_t202" alt="Title, Subtitle, and Abstract" style="position:absolute;left:0;text-align:left;margin-left:52.75pt;margin-top:508.2pt;width:509pt;height:24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XSSAIAAH0EAAAOAAAAZHJzL2Uyb0RvYy54bWysVMFu2zAMvQ/YPwg6b3WStukWxCmyFBkG&#10;FG2BZOhZluXEgCxqFBO7+/pRcpwO3U7DLjIlUo8i36Pnt11jxdFgqMHlcnwxksI4DWXtdrn8vl1/&#10;/CRFIOVKZcGZXL6YIG8X79/NWz8zE9iDLQ0KBnFh1vpc7on8LMuC3ptGhQvwxrGzAmwU8RZ3WYmq&#10;ZfTGZpPRaJq1gKVH0CYEPr3rnXKR8KvKaHqsqmBI2Fzy2yitmNYirtlirmY7VH5f69Mz1D+8olG1&#10;46RnqDtFShyw/gOqqTVCgIouNDQZVFWtTaqBqxmP3lSz2StvUi3cnODPbQr/D1Y/HJ9Q1GUup1I4&#10;1TBFq4MqEURpBJmOQLCjNEFz07Y1WfNBbA4F9RbzKpZFIFSaYitbH2aMuPGMSd0X6FgSw3ngw9ih&#10;rsImfrl2wX4m5eVMBOcTmg+nV9Or68+cWLPvcjSdjG9uIk72et1joK8GGhGNXCIznQhQx/tAfegQ&#10;ErM5WNfWJratEy2nuLwepQtnD4NbF2NN0s0JJpbUPz1a1BXdqc4CyhcuE6HXVPB6XfNT7lWgJ4Us&#10;Iq6MB4MeeakscEo4WVLsAX/+7TzGM7fslaJlUeYy/DgoNFLYb45ZjwoeDByMYjDcoVkB63zMI+d1&#10;MvkCkh3MCqF55nlZxizsUk5zrlwWg7mifjR43rRZLlMQ69QruncbryN0bFBs7LZ7VuhP3Y9CeYBB&#10;rmr2hoQ+tqdheSCo6sRQbGjfRWY2bljjiePTPMYh+n2fol7/GotfAAAA//8DAFBLAwQUAAYACAAA&#10;ACEAjt1PQ+MAAAAOAQAADwAAAGRycy9kb3ducmV2LnhtbEyPzU7DMBCE70i8g7VI3KiTtonaEKdC&#10;VAghcWgL5ezESxI1tqPY+SlPz+YEt5nd0ey36W7SDRuwc7U1AsJFAAxNYVVtSgGfHy8PG2DOS6Nk&#10;Yw0KuKKDXXZ7k8pE2dEccTj5klGJcYkUUHnfJpy7okIt3cK2aGj3bTstPdmu5KqTI5Xrhi+DIOZa&#10;1oYuVLLF5wqLy6nXAg4/+Tl+/+qv4/5tPxzx8tpH4UqI+7vp6RGYx8n/hWHGJ3TIiCm3vVGONeSD&#10;KKLoLMJ4DWyOhMsVzXJS6+0mBp6l/P8b2S8AAAD//wMAUEsBAi0AFAAGAAgAAAAhALaDOJL+AAAA&#10;4QEAABMAAAAAAAAAAAAAAAAAAAAAAFtDb250ZW50X1R5cGVzXS54bWxQSwECLQAUAAYACAAAACEA&#10;OP0h/9YAAACUAQAACwAAAAAAAAAAAAAAAAAvAQAAX3JlbHMvLnJlbHNQSwECLQAUAAYACAAAACEA&#10;YzNF0kgCAAB9BAAADgAAAAAAAAAAAAAAAAAuAgAAZHJzL2Uyb0RvYy54bWxQSwECLQAUAAYACAAA&#10;ACEAjt1PQ+MAAAAOAQAADwAAAAAAAAAAAAAAAACiBAAAZHJzL2Rvd25yZXYueG1sUEsFBgAAAAAE&#10;AAQA8wAAALIFAAAAAA==&#10;" o:allowoverlap="f" filled="f" stroked="f" strokeweight=".5pt">
                    <v:textbox inset="0,0,0,0">
                      <w:txbxContent>
                        <w:p w:rsidR="00CB6C04" w:rsidRPr="00411A15" w:rsidRDefault="00CB6C04" w:rsidP="008E6907">
                          <w:pPr>
                            <w:pStyle w:val="Puesto"/>
                            <w:shd w:val="clear" w:color="auto" w:fill="AA6736" w:themeFill="accent2" w:themeFillShade="BF"/>
                            <w:jc w:val="center"/>
                            <w:rPr>
                              <w:sz w:val="52"/>
                              <w:szCs w:val="52"/>
                              <w:lang w:val="es-ES"/>
                            </w:rPr>
                          </w:pPr>
                          <w:sdt>
                            <w:sdtPr>
                              <w:rPr>
                                <w:caps w:val="0"/>
                                <w:sz w:val="44"/>
                                <w:szCs w:val="44"/>
                                <w:lang w:val="es-ES"/>
                              </w:rPr>
                              <w:alias w:val="Título"/>
                              <w:tag w:val=""/>
                              <w:id w:val="-377322153"/>
                              <w:dataBinding w:prefixMappings="xmlns:ns0='http://purl.org/dc/elements/1.1/' xmlns:ns1='http://schemas.openxmlformats.org/package/2006/metadata/core-properties' " w:xpath="/ns1:coreProperties[1]/ns0:title[1]" w:storeItemID="{6C3C8BC8-F283-45AE-878A-BAB7291924A1}"/>
                              <w:text w:multiLine="1"/>
                            </w:sdtPr>
                            <w:sdtContent>
                              <w:r w:rsidRPr="00B75C28">
                                <w:rPr>
                                  <w:caps w:val="0"/>
                                  <w:sz w:val="44"/>
                                  <w:szCs w:val="44"/>
                                  <w:lang w:val="es-CO"/>
                                </w:rPr>
                                <w:t xml:space="preserve">INFORME DE REVISIÓN PARA LA ALTA DIRECCIÓN </w:t>
                              </w:r>
                              <w:r w:rsidRPr="00B75C28">
                                <w:rPr>
                                  <w:caps w:val="0"/>
                                  <w:sz w:val="44"/>
                                  <w:szCs w:val="44"/>
                                  <w:lang w:val="es-CO"/>
                                </w:rPr>
                                <w:br/>
                                <w:t>SISTEMA INTEGRADO DE GESTIÓN Y CONTROL DE CALIDAD</w:t>
                              </w:r>
                            </w:sdtContent>
                          </w:sdt>
                          <w:r w:rsidRPr="00B75C28">
                            <w:rPr>
                              <w:caps w:val="0"/>
                              <w:sz w:val="44"/>
                              <w:szCs w:val="44"/>
                              <w:lang w:val="es-ES"/>
                            </w:rPr>
                            <w:t xml:space="preserve"> </w:t>
                          </w:r>
                        </w:p>
                        <w:p w:rsidR="00CB6C04" w:rsidRPr="008E6907" w:rsidRDefault="00CB6C04" w:rsidP="00EC73D6">
                          <w:pPr>
                            <w:pStyle w:val="Subttulo"/>
                            <w:rPr>
                              <w:b/>
                              <w:color w:val="0070C0"/>
                              <w:lang w:val="es-ES"/>
                              <w14:textOutline w14:w="9525" w14:cap="rnd" w14:cmpd="sng" w14:algn="ctr">
                                <w14:solidFill>
                                  <w14:srgbClr w14:val="C00000"/>
                                </w14:solidFill>
                                <w14:prstDash w14:val="solid"/>
                                <w14:bevel/>
                              </w14:textOutline>
                            </w:rPr>
                          </w:pPr>
                          <w:r w:rsidRPr="008E6907">
                            <w:rPr>
                              <w:b/>
                              <w:color w:val="0070C0"/>
                              <w:lang w:val="es-ES"/>
                              <w14:textOutline w14:w="9525" w14:cap="rnd" w14:cmpd="sng" w14:algn="ctr">
                                <w14:solidFill>
                                  <w14:srgbClr w14:val="C00000"/>
                                </w14:solidFill>
                                <w14:prstDash w14:val="solid"/>
                                <w14:bevel/>
                              </w14:textOutline>
                            </w:rPr>
                            <w:t>Octubre 2015</w:t>
                          </w:r>
                        </w:p>
                        <w:sdt>
                          <w:sdtPr>
                            <w:rPr>
                              <w:b/>
                              <w:lang w:val="es-ES"/>
                            </w:rPr>
                            <w:alias w:val="Descripción breve"/>
                            <w:tag w:val="Descripción breve"/>
                            <w:id w:val="2123570106"/>
                            <w:dataBinding w:prefixMappings="xmlns:ns0='http://schemas.microsoft.com/office/2006/coverPageProps'" w:xpath="/ns0:CoverPageProperties[1]/ns0:Abstract[1]" w:storeItemID="{55AF091B-3C7A-41E3-B477-F2FDAA23CFDA}"/>
                            <w:text/>
                          </w:sdtPr>
                          <w:sdtContent>
                            <w:p w:rsidR="00CB6C04" w:rsidRPr="002B18A5" w:rsidRDefault="00CB6C04" w:rsidP="00992AC6">
                              <w:pPr>
                                <w:pStyle w:val="Descripcinbreve"/>
                                <w:ind w:left="426"/>
                                <w:jc w:val="center"/>
                                <w:rPr>
                                  <w:u w:val="single"/>
                                  <w:lang w:val="es-ES"/>
                                </w:rPr>
                              </w:pPr>
                              <w:r>
                                <w:rPr>
                                  <w:b/>
                                  <w:lang w:val="es-ES"/>
                                </w:rPr>
                                <w:t xml:space="preserve">Rendición de cuentas </w:t>
                              </w:r>
                              <w:r w:rsidRPr="00753B66">
                                <w:rPr>
                                  <w:b/>
                                  <w:lang w:val="es-ES"/>
                                </w:rPr>
                                <w:t xml:space="preserve">  </w:t>
                              </w:r>
                            </w:p>
                          </w:sdtContent>
                        </w:sdt>
                      </w:txbxContent>
                    </v:textbox>
                    <w10:wrap anchorx="page" anchory="page"/>
                  </v:shape>
                </w:pict>
              </mc:Fallback>
            </mc:AlternateContent>
          </w:r>
          <w:r w:rsidRPr="003435E5">
            <w:rPr>
              <w:lang w:val="es-ES"/>
            </w:rPr>
            <w:br w:type="page"/>
          </w:r>
        </w:p>
      </w:sdtContent>
    </w:sdt>
    <w:sdt>
      <w:sdtPr>
        <w:rPr>
          <w:rFonts w:ascii="Times New Roman" w:eastAsia="Times New Roman" w:hAnsi="Times New Roman" w:cs="Times New Roman"/>
          <w:color w:val="auto"/>
          <w:kern w:val="0"/>
          <w:sz w:val="20"/>
          <w:szCs w:val="24"/>
          <w:lang w:val="es-MX" w:eastAsia="es-MX"/>
        </w:rPr>
        <w:id w:val="1866023298"/>
        <w:docPartObj>
          <w:docPartGallery w:val="Table of Contents"/>
          <w:docPartUnique/>
        </w:docPartObj>
      </w:sdtPr>
      <w:sdtEndPr>
        <w:rPr>
          <w:b/>
          <w:bCs/>
          <w:noProof/>
          <w:sz w:val="24"/>
        </w:rPr>
      </w:sdtEndPr>
      <w:sdtContent>
        <w:p w:rsidR="00F748B7" w:rsidRPr="00F128D5" w:rsidRDefault="00EC73D6">
          <w:pPr>
            <w:pStyle w:val="TtulodeTDC"/>
            <w:rPr>
              <w:lang w:val="es-ES"/>
            </w:rPr>
          </w:pPr>
          <w:r w:rsidRPr="00F128D5">
            <w:rPr>
              <w:rFonts w:ascii="Cambria" w:hAnsi="Cambria"/>
              <w:color w:val="595959"/>
              <w:lang w:val="es-ES"/>
            </w:rPr>
            <w:t>Contenido</w:t>
          </w:r>
        </w:p>
        <w:p w:rsidR="00F037AF" w:rsidRDefault="00EC73D6">
          <w:pPr>
            <w:pStyle w:val="TDC1"/>
            <w:rPr>
              <w:rFonts w:eastAsiaTheme="minorEastAsia"/>
              <w:color w:val="auto"/>
              <w:kern w:val="0"/>
              <w:szCs w:val="22"/>
              <w:lang w:val="es-MX" w:eastAsia="es-MX"/>
            </w:rPr>
          </w:pPr>
          <w:r w:rsidRPr="00F128D5">
            <w:rPr>
              <w:lang w:val="es-ES"/>
            </w:rPr>
            <w:fldChar w:fldCharType="begin"/>
          </w:r>
          <w:r w:rsidRPr="00F128D5">
            <w:rPr>
              <w:lang w:val="es-ES"/>
            </w:rPr>
            <w:instrText xml:space="preserve"> TOC \o "1-1" \h \z \u </w:instrText>
          </w:r>
          <w:r w:rsidRPr="00F128D5">
            <w:rPr>
              <w:lang w:val="es-ES"/>
            </w:rPr>
            <w:fldChar w:fldCharType="separate"/>
          </w:r>
          <w:hyperlink w:anchor="_Toc436002470" w:history="1">
            <w:r w:rsidR="00F037AF" w:rsidRPr="000A24A2">
              <w:rPr>
                <w:rStyle w:val="Hipervnculo"/>
                <w:rFonts w:ascii="Cambria" w:hAnsi="Cambria"/>
                <w:b/>
                <w:lang w:val="es-ES"/>
              </w:rPr>
              <w:t>Introducción</w:t>
            </w:r>
            <w:r w:rsidR="00F037AF">
              <w:rPr>
                <w:webHidden/>
              </w:rPr>
              <w:tab/>
            </w:r>
            <w:r w:rsidR="00F037AF">
              <w:rPr>
                <w:webHidden/>
              </w:rPr>
              <w:fldChar w:fldCharType="begin"/>
            </w:r>
            <w:r w:rsidR="00F037AF">
              <w:rPr>
                <w:webHidden/>
              </w:rPr>
              <w:instrText xml:space="preserve"> PAGEREF _Toc436002470 \h </w:instrText>
            </w:r>
            <w:r w:rsidR="00F037AF">
              <w:rPr>
                <w:webHidden/>
              </w:rPr>
            </w:r>
            <w:r w:rsidR="00F037AF">
              <w:rPr>
                <w:webHidden/>
              </w:rPr>
              <w:fldChar w:fldCharType="separate"/>
            </w:r>
            <w:r w:rsidR="00F037AF">
              <w:rPr>
                <w:webHidden/>
              </w:rPr>
              <w:t>3</w:t>
            </w:r>
            <w:r w:rsidR="00F037AF">
              <w:rPr>
                <w:webHidden/>
              </w:rPr>
              <w:fldChar w:fldCharType="end"/>
            </w:r>
          </w:hyperlink>
        </w:p>
        <w:p w:rsidR="00F037AF" w:rsidRDefault="00F037AF">
          <w:pPr>
            <w:pStyle w:val="TDC1"/>
            <w:tabs>
              <w:tab w:val="left" w:pos="440"/>
            </w:tabs>
            <w:rPr>
              <w:rFonts w:eastAsiaTheme="minorEastAsia"/>
              <w:color w:val="auto"/>
              <w:kern w:val="0"/>
              <w:szCs w:val="22"/>
              <w:lang w:val="es-MX" w:eastAsia="es-MX"/>
            </w:rPr>
          </w:pPr>
          <w:hyperlink w:anchor="_Toc436002471" w:history="1">
            <w:r w:rsidRPr="000A24A2">
              <w:rPr>
                <w:rStyle w:val="Hipervnculo"/>
                <w:rFonts w:ascii="Cambria" w:hAnsi="Cambria"/>
                <w:b/>
                <w:lang w:val="es-ES"/>
              </w:rPr>
              <w:t>1.</w:t>
            </w:r>
            <w:r>
              <w:rPr>
                <w:rFonts w:eastAsiaTheme="minorEastAsia"/>
                <w:color w:val="auto"/>
                <w:kern w:val="0"/>
                <w:szCs w:val="22"/>
                <w:lang w:val="es-MX" w:eastAsia="es-MX"/>
              </w:rPr>
              <w:tab/>
            </w:r>
            <w:r w:rsidRPr="000A24A2">
              <w:rPr>
                <w:rStyle w:val="Hipervnculo"/>
                <w:rFonts w:ascii="Cambria" w:hAnsi="Cambria"/>
                <w:b/>
                <w:lang w:val="es-ES"/>
              </w:rPr>
              <w:t>Informe de Resultados Plan de Mantenimiento y Mejora del SIGCMA – Corte a 31 de Octubre de 2015.</w:t>
            </w:r>
            <w:r>
              <w:rPr>
                <w:webHidden/>
              </w:rPr>
              <w:tab/>
            </w:r>
            <w:r>
              <w:rPr>
                <w:webHidden/>
              </w:rPr>
              <w:fldChar w:fldCharType="begin"/>
            </w:r>
            <w:r>
              <w:rPr>
                <w:webHidden/>
              </w:rPr>
              <w:instrText xml:space="preserve"> PAGEREF _Toc436002471 \h </w:instrText>
            </w:r>
            <w:r>
              <w:rPr>
                <w:webHidden/>
              </w:rPr>
            </w:r>
            <w:r>
              <w:rPr>
                <w:webHidden/>
              </w:rPr>
              <w:fldChar w:fldCharType="separate"/>
            </w:r>
            <w:r>
              <w:rPr>
                <w:webHidden/>
              </w:rPr>
              <w:t>4</w:t>
            </w:r>
            <w:r>
              <w:rPr>
                <w:webHidden/>
              </w:rPr>
              <w:fldChar w:fldCharType="end"/>
            </w:r>
          </w:hyperlink>
        </w:p>
        <w:p w:rsidR="00F037AF" w:rsidRDefault="00F037AF">
          <w:pPr>
            <w:pStyle w:val="TDC1"/>
            <w:tabs>
              <w:tab w:val="left" w:pos="440"/>
            </w:tabs>
            <w:rPr>
              <w:rFonts w:eastAsiaTheme="minorEastAsia"/>
              <w:color w:val="auto"/>
              <w:kern w:val="0"/>
              <w:szCs w:val="22"/>
              <w:lang w:val="es-MX" w:eastAsia="es-MX"/>
            </w:rPr>
          </w:pPr>
          <w:hyperlink w:anchor="_Toc436002472" w:history="1">
            <w:r w:rsidRPr="000A24A2">
              <w:rPr>
                <w:rStyle w:val="Hipervnculo"/>
                <w:b/>
              </w:rPr>
              <w:t>2.</w:t>
            </w:r>
            <w:r>
              <w:rPr>
                <w:rFonts w:eastAsiaTheme="minorEastAsia"/>
                <w:color w:val="auto"/>
                <w:kern w:val="0"/>
                <w:szCs w:val="22"/>
                <w:lang w:val="es-MX" w:eastAsia="es-MX"/>
              </w:rPr>
              <w:tab/>
            </w:r>
            <w:r w:rsidRPr="000A24A2">
              <w:rPr>
                <w:rStyle w:val="Hipervnculo"/>
                <w:b/>
              </w:rPr>
              <w:t>Gestión de Recursos</w:t>
            </w:r>
            <w:r>
              <w:rPr>
                <w:webHidden/>
              </w:rPr>
              <w:tab/>
            </w:r>
            <w:r>
              <w:rPr>
                <w:webHidden/>
              </w:rPr>
              <w:fldChar w:fldCharType="begin"/>
            </w:r>
            <w:r>
              <w:rPr>
                <w:webHidden/>
              </w:rPr>
              <w:instrText xml:space="preserve"> PAGEREF _Toc436002472 \h </w:instrText>
            </w:r>
            <w:r>
              <w:rPr>
                <w:webHidden/>
              </w:rPr>
            </w:r>
            <w:r>
              <w:rPr>
                <w:webHidden/>
              </w:rPr>
              <w:fldChar w:fldCharType="separate"/>
            </w:r>
            <w:r>
              <w:rPr>
                <w:webHidden/>
              </w:rPr>
              <w:t>11</w:t>
            </w:r>
            <w:r>
              <w:rPr>
                <w:webHidden/>
              </w:rPr>
              <w:fldChar w:fldCharType="end"/>
            </w:r>
          </w:hyperlink>
        </w:p>
        <w:p w:rsidR="00F037AF" w:rsidRDefault="00F037AF">
          <w:pPr>
            <w:pStyle w:val="TDC1"/>
            <w:tabs>
              <w:tab w:val="left" w:pos="440"/>
            </w:tabs>
            <w:rPr>
              <w:rFonts w:eastAsiaTheme="minorEastAsia"/>
              <w:color w:val="auto"/>
              <w:kern w:val="0"/>
              <w:szCs w:val="22"/>
              <w:lang w:val="es-MX" w:eastAsia="es-MX"/>
            </w:rPr>
          </w:pPr>
          <w:hyperlink w:anchor="_Toc436002473" w:history="1">
            <w:r w:rsidRPr="000A24A2">
              <w:rPr>
                <w:rStyle w:val="Hipervnculo"/>
                <w:b/>
              </w:rPr>
              <w:t>3.</w:t>
            </w:r>
            <w:r>
              <w:rPr>
                <w:rFonts w:eastAsiaTheme="minorEastAsia"/>
                <w:color w:val="auto"/>
                <w:kern w:val="0"/>
                <w:szCs w:val="22"/>
                <w:lang w:val="es-MX" w:eastAsia="es-MX"/>
              </w:rPr>
              <w:tab/>
            </w:r>
            <w:r w:rsidRPr="000A24A2">
              <w:rPr>
                <w:rStyle w:val="Hipervnculo"/>
                <w:b/>
              </w:rPr>
              <w:t>Resultados Auditorías de Calidad</w:t>
            </w:r>
            <w:r>
              <w:rPr>
                <w:webHidden/>
              </w:rPr>
              <w:tab/>
            </w:r>
            <w:r>
              <w:rPr>
                <w:webHidden/>
              </w:rPr>
              <w:fldChar w:fldCharType="begin"/>
            </w:r>
            <w:r>
              <w:rPr>
                <w:webHidden/>
              </w:rPr>
              <w:instrText xml:space="preserve"> PAGEREF _Toc436002473 \h </w:instrText>
            </w:r>
            <w:r>
              <w:rPr>
                <w:webHidden/>
              </w:rPr>
            </w:r>
            <w:r>
              <w:rPr>
                <w:webHidden/>
              </w:rPr>
              <w:fldChar w:fldCharType="separate"/>
            </w:r>
            <w:r>
              <w:rPr>
                <w:webHidden/>
              </w:rPr>
              <w:t>14</w:t>
            </w:r>
            <w:r>
              <w:rPr>
                <w:webHidden/>
              </w:rPr>
              <w:fldChar w:fldCharType="end"/>
            </w:r>
          </w:hyperlink>
        </w:p>
        <w:p w:rsidR="00F037AF" w:rsidRDefault="00F037AF">
          <w:pPr>
            <w:pStyle w:val="TDC1"/>
            <w:tabs>
              <w:tab w:val="left" w:pos="440"/>
            </w:tabs>
            <w:rPr>
              <w:rFonts w:eastAsiaTheme="minorEastAsia"/>
              <w:color w:val="auto"/>
              <w:kern w:val="0"/>
              <w:szCs w:val="22"/>
              <w:lang w:val="es-MX" w:eastAsia="es-MX"/>
            </w:rPr>
          </w:pPr>
          <w:hyperlink w:anchor="_Toc436002474" w:history="1">
            <w:r w:rsidRPr="000A24A2">
              <w:rPr>
                <w:rStyle w:val="Hipervnculo"/>
                <w:b/>
              </w:rPr>
              <w:t>4.</w:t>
            </w:r>
            <w:r>
              <w:rPr>
                <w:rFonts w:eastAsiaTheme="minorEastAsia"/>
                <w:color w:val="auto"/>
                <w:kern w:val="0"/>
                <w:szCs w:val="22"/>
                <w:lang w:val="es-MX" w:eastAsia="es-MX"/>
              </w:rPr>
              <w:tab/>
            </w:r>
            <w:r w:rsidRPr="000A24A2">
              <w:rPr>
                <w:rStyle w:val="Hipervnculo"/>
                <w:b/>
              </w:rPr>
              <w:t>REULTADOS RETROALIMENTACIÓN DEL CLIENTE:</w:t>
            </w:r>
            <w:r>
              <w:rPr>
                <w:webHidden/>
              </w:rPr>
              <w:tab/>
            </w:r>
            <w:r>
              <w:rPr>
                <w:webHidden/>
              </w:rPr>
              <w:fldChar w:fldCharType="begin"/>
            </w:r>
            <w:r>
              <w:rPr>
                <w:webHidden/>
              </w:rPr>
              <w:instrText xml:space="preserve"> PAGEREF _Toc436002474 \h </w:instrText>
            </w:r>
            <w:r>
              <w:rPr>
                <w:webHidden/>
              </w:rPr>
            </w:r>
            <w:r>
              <w:rPr>
                <w:webHidden/>
              </w:rPr>
              <w:fldChar w:fldCharType="separate"/>
            </w:r>
            <w:r>
              <w:rPr>
                <w:webHidden/>
              </w:rPr>
              <w:t>18</w:t>
            </w:r>
            <w:r>
              <w:rPr>
                <w:webHidden/>
              </w:rPr>
              <w:fldChar w:fldCharType="end"/>
            </w:r>
          </w:hyperlink>
        </w:p>
        <w:p w:rsidR="00F037AF" w:rsidRDefault="00F037AF">
          <w:pPr>
            <w:pStyle w:val="TDC1"/>
            <w:tabs>
              <w:tab w:val="left" w:pos="440"/>
            </w:tabs>
            <w:rPr>
              <w:rFonts w:eastAsiaTheme="minorEastAsia"/>
              <w:color w:val="auto"/>
              <w:kern w:val="0"/>
              <w:szCs w:val="22"/>
              <w:lang w:val="es-MX" w:eastAsia="es-MX"/>
            </w:rPr>
          </w:pPr>
          <w:hyperlink w:anchor="_Toc436002475" w:history="1">
            <w:r w:rsidRPr="000A24A2">
              <w:rPr>
                <w:rStyle w:val="Hipervnculo"/>
                <w:b/>
              </w:rPr>
              <w:t>6.</w:t>
            </w:r>
            <w:r>
              <w:rPr>
                <w:rFonts w:eastAsiaTheme="minorEastAsia"/>
                <w:color w:val="auto"/>
                <w:kern w:val="0"/>
                <w:szCs w:val="22"/>
                <w:lang w:val="es-MX" w:eastAsia="es-MX"/>
              </w:rPr>
              <w:tab/>
            </w:r>
            <w:r w:rsidRPr="000A24A2">
              <w:rPr>
                <w:rStyle w:val="Hipervnculo"/>
                <w:b/>
              </w:rPr>
              <w:t>CONFORMIDAD DEL PRODUCTO Y/O SERVICIO:</w:t>
            </w:r>
            <w:r>
              <w:rPr>
                <w:webHidden/>
              </w:rPr>
              <w:tab/>
            </w:r>
            <w:r>
              <w:rPr>
                <w:webHidden/>
              </w:rPr>
              <w:fldChar w:fldCharType="begin"/>
            </w:r>
            <w:r>
              <w:rPr>
                <w:webHidden/>
              </w:rPr>
              <w:instrText xml:space="preserve"> PAGEREF _Toc436002475 \h </w:instrText>
            </w:r>
            <w:r>
              <w:rPr>
                <w:webHidden/>
              </w:rPr>
            </w:r>
            <w:r>
              <w:rPr>
                <w:webHidden/>
              </w:rPr>
              <w:fldChar w:fldCharType="separate"/>
            </w:r>
            <w:r>
              <w:rPr>
                <w:webHidden/>
              </w:rPr>
              <w:t>25</w:t>
            </w:r>
            <w:r>
              <w:rPr>
                <w:webHidden/>
              </w:rPr>
              <w:fldChar w:fldCharType="end"/>
            </w:r>
          </w:hyperlink>
        </w:p>
        <w:p w:rsidR="00F037AF" w:rsidRDefault="00F037AF">
          <w:pPr>
            <w:pStyle w:val="TDC1"/>
            <w:tabs>
              <w:tab w:val="left" w:pos="440"/>
            </w:tabs>
            <w:rPr>
              <w:rFonts w:eastAsiaTheme="minorEastAsia"/>
              <w:color w:val="auto"/>
              <w:kern w:val="0"/>
              <w:szCs w:val="22"/>
              <w:lang w:val="es-MX" w:eastAsia="es-MX"/>
            </w:rPr>
          </w:pPr>
          <w:hyperlink w:anchor="_Toc436002476" w:history="1">
            <w:r w:rsidRPr="000A24A2">
              <w:rPr>
                <w:rStyle w:val="Hipervnculo"/>
                <w:b/>
              </w:rPr>
              <w:t>7.</w:t>
            </w:r>
            <w:r>
              <w:rPr>
                <w:rFonts w:eastAsiaTheme="minorEastAsia"/>
                <w:color w:val="auto"/>
                <w:kern w:val="0"/>
                <w:szCs w:val="22"/>
                <w:lang w:val="es-MX" w:eastAsia="es-MX"/>
              </w:rPr>
              <w:tab/>
            </w:r>
            <w:r w:rsidRPr="000A24A2">
              <w:rPr>
                <w:rStyle w:val="Hipervnculo"/>
                <w:b/>
              </w:rPr>
              <w:t>ESTADO DE LAS ACCIONES CORRECTIVAS Y PREVENTIVAS</w:t>
            </w:r>
            <w:r>
              <w:rPr>
                <w:webHidden/>
              </w:rPr>
              <w:tab/>
            </w:r>
            <w:r>
              <w:rPr>
                <w:webHidden/>
              </w:rPr>
              <w:fldChar w:fldCharType="begin"/>
            </w:r>
            <w:r>
              <w:rPr>
                <w:webHidden/>
              </w:rPr>
              <w:instrText xml:space="preserve"> PAGEREF _Toc436002476 \h </w:instrText>
            </w:r>
            <w:r>
              <w:rPr>
                <w:webHidden/>
              </w:rPr>
            </w:r>
            <w:r>
              <w:rPr>
                <w:webHidden/>
              </w:rPr>
              <w:fldChar w:fldCharType="separate"/>
            </w:r>
            <w:r>
              <w:rPr>
                <w:webHidden/>
              </w:rPr>
              <w:t>35</w:t>
            </w:r>
            <w:r>
              <w:rPr>
                <w:webHidden/>
              </w:rPr>
              <w:fldChar w:fldCharType="end"/>
            </w:r>
          </w:hyperlink>
        </w:p>
        <w:p w:rsidR="00F037AF" w:rsidRDefault="00F037AF">
          <w:pPr>
            <w:pStyle w:val="TDC1"/>
            <w:tabs>
              <w:tab w:val="left" w:pos="440"/>
            </w:tabs>
            <w:rPr>
              <w:rFonts w:eastAsiaTheme="minorEastAsia"/>
              <w:color w:val="auto"/>
              <w:kern w:val="0"/>
              <w:szCs w:val="22"/>
              <w:lang w:val="es-MX" w:eastAsia="es-MX"/>
            </w:rPr>
          </w:pPr>
          <w:hyperlink w:anchor="_Toc436002477" w:history="1">
            <w:r w:rsidRPr="000A24A2">
              <w:rPr>
                <w:rStyle w:val="Hipervnculo"/>
                <w:b/>
              </w:rPr>
              <w:t>8.</w:t>
            </w:r>
            <w:r>
              <w:rPr>
                <w:rFonts w:eastAsiaTheme="minorEastAsia"/>
                <w:color w:val="auto"/>
                <w:kern w:val="0"/>
                <w:szCs w:val="22"/>
                <w:lang w:val="es-MX" w:eastAsia="es-MX"/>
              </w:rPr>
              <w:tab/>
            </w:r>
            <w:r w:rsidRPr="000A24A2">
              <w:rPr>
                <w:rStyle w:val="Hipervnculo"/>
                <w:b/>
              </w:rPr>
              <w:t>INFORME DE SEGUIMIENTO A ACCIONES PREVIAS DE REVISIÓN:</w:t>
            </w:r>
            <w:r>
              <w:rPr>
                <w:webHidden/>
              </w:rPr>
              <w:tab/>
            </w:r>
            <w:r>
              <w:rPr>
                <w:webHidden/>
              </w:rPr>
              <w:fldChar w:fldCharType="begin"/>
            </w:r>
            <w:r>
              <w:rPr>
                <w:webHidden/>
              </w:rPr>
              <w:instrText xml:space="preserve"> PAGEREF _Toc436002477 \h </w:instrText>
            </w:r>
            <w:r>
              <w:rPr>
                <w:webHidden/>
              </w:rPr>
            </w:r>
            <w:r>
              <w:rPr>
                <w:webHidden/>
              </w:rPr>
              <w:fldChar w:fldCharType="separate"/>
            </w:r>
            <w:r>
              <w:rPr>
                <w:webHidden/>
              </w:rPr>
              <w:t>36</w:t>
            </w:r>
            <w:r>
              <w:rPr>
                <w:webHidden/>
              </w:rPr>
              <w:fldChar w:fldCharType="end"/>
            </w:r>
          </w:hyperlink>
        </w:p>
        <w:p w:rsidR="00F037AF" w:rsidRDefault="00F037AF">
          <w:pPr>
            <w:pStyle w:val="TDC1"/>
            <w:tabs>
              <w:tab w:val="left" w:pos="440"/>
            </w:tabs>
            <w:rPr>
              <w:rFonts w:eastAsiaTheme="minorEastAsia"/>
              <w:color w:val="auto"/>
              <w:kern w:val="0"/>
              <w:szCs w:val="22"/>
              <w:lang w:val="es-MX" w:eastAsia="es-MX"/>
            </w:rPr>
          </w:pPr>
          <w:hyperlink w:anchor="_Toc436002478" w:history="1">
            <w:r w:rsidRPr="000A24A2">
              <w:rPr>
                <w:rStyle w:val="Hipervnculo"/>
                <w:b/>
              </w:rPr>
              <w:t>9.</w:t>
            </w:r>
            <w:r>
              <w:rPr>
                <w:rFonts w:eastAsiaTheme="minorEastAsia"/>
                <w:color w:val="auto"/>
                <w:kern w:val="0"/>
                <w:szCs w:val="22"/>
                <w:lang w:val="es-MX" w:eastAsia="es-MX"/>
              </w:rPr>
              <w:tab/>
            </w:r>
            <w:r w:rsidRPr="000A24A2">
              <w:rPr>
                <w:rStyle w:val="Hipervnculo"/>
                <w:b/>
              </w:rPr>
              <w:t>CAMBIOS QUE PODRÍAN AFECTAR EL SISTEMA</w:t>
            </w:r>
            <w:r>
              <w:rPr>
                <w:webHidden/>
              </w:rPr>
              <w:tab/>
            </w:r>
            <w:r>
              <w:rPr>
                <w:webHidden/>
              </w:rPr>
              <w:fldChar w:fldCharType="begin"/>
            </w:r>
            <w:r>
              <w:rPr>
                <w:webHidden/>
              </w:rPr>
              <w:instrText xml:space="preserve"> PAGEREF _Toc436002478 \h </w:instrText>
            </w:r>
            <w:r>
              <w:rPr>
                <w:webHidden/>
              </w:rPr>
            </w:r>
            <w:r>
              <w:rPr>
                <w:webHidden/>
              </w:rPr>
              <w:fldChar w:fldCharType="separate"/>
            </w:r>
            <w:r>
              <w:rPr>
                <w:webHidden/>
              </w:rPr>
              <w:t>37</w:t>
            </w:r>
            <w:r>
              <w:rPr>
                <w:webHidden/>
              </w:rPr>
              <w:fldChar w:fldCharType="end"/>
            </w:r>
          </w:hyperlink>
        </w:p>
        <w:p w:rsidR="00F037AF" w:rsidRDefault="00F037AF">
          <w:pPr>
            <w:pStyle w:val="TDC1"/>
            <w:tabs>
              <w:tab w:val="left" w:pos="660"/>
            </w:tabs>
            <w:rPr>
              <w:rFonts w:eastAsiaTheme="minorEastAsia"/>
              <w:color w:val="auto"/>
              <w:kern w:val="0"/>
              <w:szCs w:val="22"/>
              <w:lang w:val="es-MX" w:eastAsia="es-MX"/>
            </w:rPr>
          </w:pPr>
          <w:hyperlink w:anchor="_Toc436002479" w:history="1">
            <w:r w:rsidRPr="000A24A2">
              <w:rPr>
                <w:rStyle w:val="Hipervnculo"/>
                <w:rFonts w:ascii="Trebuchet MS" w:eastAsia="Calibri" w:hAnsi="Trebuchet MS"/>
                <w:b/>
                <w:lang w:val="es-ES" w:eastAsia="es-CO"/>
              </w:rPr>
              <w:t>10.</w:t>
            </w:r>
            <w:r>
              <w:rPr>
                <w:rFonts w:eastAsiaTheme="minorEastAsia"/>
                <w:color w:val="auto"/>
                <w:kern w:val="0"/>
                <w:szCs w:val="22"/>
                <w:lang w:val="es-MX" w:eastAsia="es-MX"/>
              </w:rPr>
              <w:tab/>
            </w:r>
            <w:r w:rsidRPr="000A24A2">
              <w:rPr>
                <w:rStyle w:val="Hipervnculo"/>
                <w:rFonts w:ascii="Trebuchet MS" w:eastAsia="Calibri" w:hAnsi="Trebuchet MS"/>
                <w:b/>
                <w:lang w:val="es-ES" w:eastAsia="es-CO"/>
              </w:rPr>
              <w:t>RECOMENDACIONES PARA LA MEJORA</w:t>
            </w:r>
            <w:r>
              <w:rPr>
                <w:webHidden/>
              </w:rPr>
              <w:tab/>
            </w:r>
            <w:r>
              <w:rPr>
                <w:webHidden/>
              </w:rPr>
              <w:fldChar w:fldCharType="begin"/>
            </w:r>
            <w:r>
              <w:rPr>
                <w:webHidden/>
              </w:rPr>
              <w:instrText xml:space="preserve"> PAGEREF _Toc436002479 \h </w:instrText>
            </w:r>
            <w:r>
              <w:rPr>
                <w:webHidden/>
              </w:rPr>
            </w:r>
            <w:r>
              <w:rPr>
                <w:webHidden/>
              </w:rPr>
              <w:fldChar w:fldCharType="separate"/>
            </w:r>
            <w:r>
              <w:rPr>
                <w:webHidden/>
              </w:rPr>
              <w:t>38</w:t>
            </w:r>
            <w:r>
              <w:rPr>
                <w:webHidden/>
              </w:rPr>
              <w:fldChar w:fldCharType="end"/>
            </w:r>
          </w:hyperlink>
        </w:p>
        <w:p w:rsidR="00F748B7" w:rsidRDefault="00EC73D6">
          <w:pPr>
            <w:rPr>
              <w:b/>
              <w:bCs/>
              <w:noProof/>
            </w:rPr>
          </w:pPr>
          <w:r w:rsidRPr="00F128D5">
            <w:rPr>
              <w:lang w:val="es-ES"/>
            </w:rPr>
            <w:fldChar w:fldCharType="end"/>
          </w:r>
        </w:p>
      </w:sdtContent>
    </w:sdt>
    <w:p w:rsidR="00F748B7" w:rsidRPr="00D87E0F" w:rsidRDefault="00483BBE">
      <w:pPr>
        <w:pStyle w:val="Ttulo1"/>
        <w:rPr>
          <w:rFonts w:ascii="Cambria" w:hAnsi="Cambria"/>
          <w:b/>
          <w:color w:val="0070C0"/>
          <w:lang w:val="es-ES"/>
        </w:rPr>
      </w:pPr>
      <w:bookmarkStart w:id="0" w:name="_Toc436002470"/>
      <w:r w:rsidRPr="00D87E0F">
        <w:rPr>
          <w:rFonts w:ascii="Cambria" w:hAnsi="Cambria"/>
          <w:b/>
          <w:color w:val="0070C0"/>
          <w:lang w:val="es-ES"/>
        </w:rPr>
        <w:lastRenderedPageBreak/>
        <w:t>Introducción</w:t>
      </w:r>
      <w:bookmarkEnd w:id="0"/>
    </w:p>
    <w:p w:rsidR="0010335C" w:rsidRPr="00E52648" w:rsidRDefault="0010335C" w:rsidP="0010335C">
      <w:pPr>
        <w:pStyle w:val="CUERPOTEXTO"/>
      </w:pPr>
      <w:r w:rsidRPr="00E52648">
        <w:t xml:space="preserve">El </w:t>
      </w:r>
      <w:r>
        <w:t xml:space="preserve">Comité del Sistema Integrado de Gestión y Control de la Calidad y Medio Ambiente, presenta a consideración de los H Magistrados Representantes del SIGCMA el </w:t>
      </w:r>
      <w:r w:rsidRPr="00B7091D">
        <w:rPr>
          <w:b/>
        </w:rPr>
        <w:t xml:space="preserve">Informe </w:t>
      </w:r>
      <w:r>
        <w:rPr>
          <w:b/>
        </w:rPr>
        <w:t xml:space="preserve">Parcial </w:t>
      </w:r>
      <w:r w:rsidRPr="00B7091D">
        <w:rPr>
          <w:b/>
        </w:rPr>
        <w:t>de Revisión para la Alta Dirección correspondiente al</w:t>
      </w:r>
      <w:r>
        <w:rPr>
          <w:b/>
        </w:rPr>
        <w:t xml:space="preserve"> periodo comprendido entre el 1 de enero y el 31 de octubre de 2015, </w:t>
      </w:r>
      <w:r>
        <w:t xml:space="preserve">de conformidad con lo establecido en los numerales </w:t>
      </w:r>
      <w:r w:rsidRPr="00B7091D">
        <w:rPr>
          <w:b/>
          <w:u w:val="single"/>
        </w:rPr>
        <w:t>5.6.1</w:t>
      </w:r>
      <w:r>
        <w:rPr>
          <w:b/>
          <w:u w:val="single"/>
        </w:rPr>
        <w:t xml:space="preserve"> y 5.6.2</w:t>
      </w:r>
      <w:r w:rsidRPr="00B7091D">
        <w:rPr>
          <w:b/>
          <w:u w:val="single"/>
        </w:rPr>
        <w:t xml:space="preserve"> de la norma NTCGP 1000:2009</w:t>
      </w:r>
      <w:r w:rsidRPr="00E52648">
        <w:t>.</w:t>
      </w:r>
    </w:p>
    <w:p w:rsidR="0010335C" w:rsidRPr="00E52648" w:rsidRDefault="0010335C" w:rsidP="0010335C">
      <w:pPr>
        <w:pStyle w:val="CUERPOTEXTO"/>
      </w:pPr>
    </w:p>
    <w:p w:rsidR="0010335C" w:rsidRDefault="0010335C" w:rsidP="0010335C">
      <w:pPr>
        <w:pStyle w:val="CUERPOTEXTO"/>
      </w:pPr>
      <w:r>
        <w:t>En cumplimiento de lo dispuesto en la preceptuada norma, así como de las necesidades propias de la organización, el documento presentado se encuentra estructurado de la siguiente forma:</w:t>
      </w:r>
    </w:p>
    <w:p w:rsidR="0010335C" w:rsidRDefault="0010335C" w:rsidP="0010335C">
      <w:pPr>
        <w:pStyle w:val="CUERPOTEXTO"/>
      </w:pPr>
    </w:p>
    <w:p w:rsidR="0010335C" w:rsidRPr="00FB6C2F" w:rsidRDefault="0010335C" w:rsidP="0010335C">
      <w:pPr>
        <w:pStyle w:val="CUERPOTEXTO"/>
        <w:numPr>
          <w:ilvl w:val="0"/>
          <w:numId w:val="34"/>
        </w:numPr>
        <w:rPr>
          <w:color w:val="auto"/>
        </w:rPr>
      </w:pPr>
      <w:r w:rsidRPr="00FB6C2F">
        <w:rPr>
          <w:color w:val="auto"/>
        </w:rPr>
        <w:t>Informe Parcial de resultados Plan de Mantenimiento y Mejoramiento del SIGCMA 2015, corte a 31 de octubre.</w:t>
      </w:r>
    </w:p>
    <w:p w:rsidR="0010335C" w:rsidRPr="00FB6C2F" w:rsidRDefault="0010335C" w:rsidP="0010335C">
      <w:pPr>
        <w:pStyle w:val="CUERPOTEXTO"/>
        <w:numPr>
          <w:ilvl w:val="0"/>
          <w:numId w:val="34"/>
        </w:numPr>
        <w:rPr>
          <w:color w:val="auto"/>
        </w:rPr>
      </w:pPr>
      <w:r w:rsidRPr="00FB6C2F">
        <w:rPr>
          <w:color w:val="auto"/>
        </w:rPr>
        <w:t>Gestión de los recursos de inversión asignados para el proceso de implementación del sistema de gestión de calidad.</w:t>
      </w:r>
    </w:p>
    <w:p w:rsidR="0010335C" w:rsidRPr="00FB6C2F" w:rsidRDefault="0010335C" w:rsidP="0010335C">
      <w:pPr>
        <w:pStyle w:val="CUERPOTEXTO"/>
        <w:numPr>
          <w:ilvl w:val="0"/>
          <w:numId w:val="34"/>
        </w:numPr>
        <w:rPr>
          <w:color w:val="auto"/>
        </w:rPr>
      </w:pPr>
      <w:r w:rsidRPr="00FB6C2F">
        <w:rPr>
          <w:color w:val="auto"/>
        </w:rPr>
        <w:t>Resultados de auditorías de calidad (internas y externas)</w:t>
      </w:r>
    </w:p>
    <w:p w:rsidR="0010335C" w:rsidRPr="00FB6C2F" w:rsidRDefault="0010335C" w:rsidP="0010335C">
      <w:pPr>
        <w:pStyle w:val="CUERPOTEXTO"/>
        <w:numPr>
          <w:ilvl w:val="0"/>
          <w:numId w:val="34"/>
        </w:numPr>
        <w:rPr>
          <w:color w:val="auto"/>
        </w:rPr>
      </w:pPr>
      <w:r w:rsidRPr="00FB6C2F">
        <w:rPr>
          <w:color w:val="auto"/>
        </w:rPr>
        <w:t>Retroalimentación del cliente</w:t>
      </w:r>
    </w:p>
    <w:p w:rsidR="0010335C" w:rsidRPr="00FB6C2F" w:rsidRDefault="0010335C" w:rsidP="0010335C">
      <w:pPr>
        <w:pStyle w:val="CUERPOTEXTO"/>
        <w:numPr>
          <w:ilvl w:val="0"/>
          <w:numId w:val="34"/>
        </w:numPr>
        <w:rPr>
          <w:color w:val="auto"/>
        </w:rPr>
      </w:pPr>
      <w:r w:rsidRPr="00FB6C2F">
        <w:rPr>
          <w:color w:val="auto"/>
        </w:rPr>
        <w:t>Desempeño de los procesos</w:t>
      </w:r>
    </w:p>
    <w:p w:rsidR="0010335C" w:rsidRPr="00FB6C2F" w:rsidRDefault="0010335C" w:rsidP="0010335C">
      <w:pPr>
        <w:pStyle w:val="CUERPOTEXTO"/>
        <w:numPr>
          <w:ilvl w:val="0"/>
          <w:numId w:val="34"/>
        </w:numPr>
        <w:rPr>
          <w:color w:val="auto"/>
        </w:rPr>
      </w:pPr>
      <w:r w:rsidRPr="00FB6C2F">
        <w:rPr>
          <w:color w:val="auto"/>
        </w:rPr>
        <w:t>Conformidad de productos y servicios</w:t>
      </w:r>
    </w:p>
    <w:p w:rsidR="0010335C" w:rsidRPr="00FB6C2F" w:rsidRDefault="0010335C" w:rsidP="0010335C">
      <w:pPr>
        <w:pStyle w:val="CUERPOTEXTO"/>
        <w:numPr>
          <w:ilvl w:val="0"/>
          <w:numId w:val="34"/>
        </w:numPr>
        <w:rPr>
          <w:color w:val="auto"/>
        </w:rPr>
      </w:pPr>
      <w:r w:rsidRPr="00FB6C2F">
        <w:rPr>
          <w:color w:val="auto"/>
        </w:rPr>
        <w:t>Estado de acciones correctivas y preventivas</w:t>
      </w:r>
    </w:p>
    <w:p w:rsidR="0010335C" w:rsidRPr="00FB6C2F" w:rsidRDefault="0010335C" w:rsidP="0010335C">
      <w:pPr>
        <w:pStyle w:val="CUERPOTEXTO"/>
        <w:numPr>
          <w:ilvl w:val="0"/>
          <w:numId w:val="34"/>
        </w:numPr>
        <w:rPr>
          <w:color w:val="auto"/>
        </w:rPr>
      </w:pPr>
      <w:r w:rsidRPr="00FB6C2F">
        <w:rPr>
          <w:color w:val="auto"/>
        </w:rPr>
        <w:t>Informe de seguimiento a las acciones previas efectuadas por la Dirección</w:t>
      </w:r>
    </w:p>
    <w:p w:rsidR="0010335C" w:rsidRPr="00FB6C2F" w:rsidRDefault="0010335C" w:rsidP="0010335C">
      <w:pPr>
        <w:pStyle w:val="CUERPOTEXTO"/>
        <w:numPr>
          <w:ilvl w:val="0"/>
          <w:numId w:val="34"/>
        </w:numPr>
        <w:rPr>
          <w:color w:val="auto"/>
        </w:rPr>
      </w:pPr>
      <w:r w:rsidRPr="00FB6C2F">
        <w:rPr>
          <w:color w:val="auto"/>
        </w:rPr>
        <w:t>Cambios que podrían afectar el sistema</w:t>
      </w:r>
    </w:p>
    <w:p w:rsidR="0010335C" w:rsidRPr="00FB6C2F" w:rsidRDefault="0010335C" w:rsidP="0010335C">
      <w:pPr>
        <w:pStyle w:val="CUERPOTEXTO"/>
        <w:numPr>
          <w:ilvl w:val="0"/>
          <w:numId w:val="34"/>
        </w:numPr>
        <w:rPr>
          <w:color w:val="auto"/>
        </w:rPr>
      </w:pPr>
      <w:r w:rsidRPr="00FB6C2F">
        <w:rPr>
          <w:color w:val="auto"/>
        </w:rPr>
        <w:t>Recomendaciones para la mejora</w:t>
      </w:r>
    </w:p>
    <w:p w:rsidR="0010335C" w:rsidRPr="00FB6C2F" w:rsidRDefault="0010335C" w:rsidP="0010335C">
      <w:pPr>
        <w:pStyle w:val="CUERPOTEXTO"/>
        <w:numPr>
          <w:ilvl w:val="0"/>
          <w:numId w:val="34"/>
        </w:numPr>
        <w:rPr>
          <w:color w:val="auto"/>
        </w:rPr>
      </w:pPr>
      <w:r w:rsidRPr="00FB6C2F">
        <w:rPr>
          <w:color w:val="auto"/>
        </w:rPr>
        <w:t>Resultados sobre la gestión realizada en los riesgos de la Entidad</w:t>
      </w:r>
    </w:p>
    <w:p w:rsidR="0010335C" w:rsidRDefault="0010335C" w:rsidP="0010335C">
      <w:pPr>
        <w:pStyle w:val="CUERPOTEXTO"/>
      </w:pPr>
    </w:p>
    <w:p w:rsidR="0010335C" w:rsidRDefault="0010335C" w:rsidP="0010335C">
      <w:pPr>
        <w:pStyle w:val="CUERPOTEXTO"/>
      </w:pPr>
      <w:r>
        <w:t>Vale la pena mencionar que, el Informe incluye la ampliación del sistema integrado de gestión y control de la calidad y medio ambiente en la Sala de Casación Civil de la Corte Suprema de Justicia, el Tribunal Administrativo de Bolívar, los Juzgados Administrativos de Cartagena, los Juzgados del municipio de El Carmen de Bolívar, los Juzgados de las Especialidades Civil, Familia y Laboral del municipio de Armeni</w:t>
      </w:r>
      <w:r w:rsidR="00041AF9">
        <w:t xml:space="preserve">a y los Despachos Judiciales del municipio de </w:t>
      </w:r>
      <w:r>
        <w:t>Chaparral</w:t>
      </w:r>
      <w:r w:rsidR="00041AF9">
        <w:t xml:space="preserve"> en el Tolima</w:t>
      </w:r>
      <w:r>
        <w:t>.</w:t>
      </w:r>
    </w:p>
    <w:p w:rsidR="0010335C" w:rsidRDefault="0010335C" w:rsidP="0010335C">
      <w:pPr>
        <w:pStyle w:val="CUERPOTEXTO"/>
      </w:pPr>
    </w:p>
    <w:p w:rsidR="0010335C" w:rsidRPr="00E52648" w:rsidRDefault="0010335C" w:rsidP="0010335C">
      <w:pPr>
        <w:pStyle w:val="CUERPOTEXTO"/>
      </w:pPr>
      <w:r>
        <w:t xml:space="preserve">De esta forma, se logra cumplir con el propósito de irradiar las buenas prácticas establecidas  por la Sala Administrativa del Consejo Superior de la Judicatura en </w:t>
      </w:r>
      <w:r w:rsidR="00041AF9">
        <w:t xml:space="preserve">el   más alto nivel de la jurisdicción ordinaria  </w:t>
      </w:r>
      <w:r>
        <w:t>y en dos (2) de las</w:t>
      </w:r>
      <w:r w:rsidR="00041AF9">
        <w:t xml:space="preserve"> regiones clasificadas por el Gobierno Nacional como </w:t>
      </w:r>
      <w:r>
        <w:t>Zonas de</w:t>
      </w:r>
      <w:r w:rsidR="00041AF9">
        <w:t xml:space="preserve"> Consolidación; El Carmen de Bolívar y el Sur del Tolima</w:t>
      </w:r>
      <w:r w:rsidR="00D87E0F">
        <w:t>, contribuyendo con otra de tantas estrategias adoptadas por la Corporación a la paz del país.</w:t>
      </w:r>
    </w:p>
    <w:p w:rsidR="0010335C" w:rsidRPr="00D87E0F" w:rsidRDefault="0010335C" w:rsidP="0010335C">
      <w:pPr>
        <w:rPr>
          <w:rFonts w:cstheme="minorHAnsi"/>
          <w:sz w:val="20"/>
          <w:szCs w:val="20"/>
          <w:lang w:val="es-ES"/>
        </w:rPr>
      </w:pPr>
    </w:p>
    <w:p w:rsidR="0010335C" w:rsidRPr="0010335C" w:rsidRDefault="0010335C" w:rsidP="00BE6C4E">
      <w:pPr>
        <w:pStyle w:val="CUERPOTEXTO"/>
        <w:rPr>
          <w:lang w:val="es-MX"/>
        </w:rPr>
      </w:pPr>
    </w:p>
    <w:p w:rsidR="0010335C" w:rsidRDefault="0010335C" w:rsidP="00BE6C4E">
      <w:pPr>
        <w:pStyle w:val="CUERPOTEXTO"/>
      </w:pPr>
    </w:p>
    <w:p w:rsidR="0010335C" w:rsidRDefault="0010335C" w:rsidP="00BE6C4E">
      <w:pPr>
        <w:pStyle w:val="CUERPOTEXTO"/>
      </w:pPr>
    </w:p>
    <w:p w:rsidR="00D87E0F" w:rsidRDefault="00D87E0F" w:rsidP="00BE6C4E">
      <w:pPr>
        <w:pStyle w:val="CUERPOTEXTO"/>
      </w:pPr>
    </w:p>
    <w:p w:rsidR="00C43703" w:rsidRPr="009D58FF" w:rsidRDefault="00D87E0F" w:rsidP="009D58FF">
      <w:pPr>
        <w:pStyle w:val="Ttulo1"/>
        <w:numPr>
          <w:ilvl w:val="0"/>
          <w:numId w:val="35"/>
        </w:numPr>
        <w:spacing w:after="0"/>
        <w:jc w:val="both"/>
        <w:rPr>
          <w:rFonts w:ascii="Cambria" w:hAnsi="Cambria"/>
          <w:b/>
          <w:color w:val="0070C0"/>
          <w:sz w:val="28"/>
          <w:szCs w:val="28"/>
          <w:lang w:val="es-ES"/>
        </w:rPr>
      </w:pPr>
      <w:bookmarkStart w:id="1" w:name="_Toc436002471"/>
      <w:r w:rsidRPr="009D58FF">
        <w:rPr>
          <w:rFonts w:ascii="Cambria" w:hAnsi="Cambria"/>
          <w:b/>
          <w:color w:val="0070C0"/>
          <w:sz w:val="28"/>
          <w:szCs w:val="28"/>
          <w:lang w:val="es-ES"/>
        </w:rPr>
        <w:lastRenderedPageBreak/>
        <w:t>Informe de Resultados Plan de Mantenimiento y Mejora del SIGCMA – Corte a 31 de Octubre de 2015.</w:t>
      </w:r>
      <w:bookmarkEnd w:id="1"/>
    </w:p>
    <w:p w:rsidR="009D58FF" w:rsidRPr="009D58FF" w:rsidRDefault="009D58FF" w:rsidP="009D58FF">
      <w:pPr>
        <w:pBdr>
          <w:bottom w:val="single" w:sz="4" w:space="1" w:color="auto"/>
        </w:pBdr>
        <w:rPr>
          <w:lang w:val="es-ES" w:eastAsia="ja-JP"/>
        </w:rPr>
      </w:pPr>
    </w:p>
    <w:p w:rsidR="009D58FF" w:rsidRDefault="009D58FF" w:rsidP="00C43703">
      <w:pPr>
        <w:pStyle w:val="CUERPOTEXTO"/>
      </w:pPr>
    </w:p>
    <w:p w:rsidR="008E6907" w:rsidRDefault="008E6907" w:rsidP="00C43703">
      <w:pPr>
        <w:pStyle w:val="CUERPOTEXTO"/>
      </w:pPr>
      <w:r>
        <w:t>El Plan de Mantenimiento y Mejora del SIGCMA para el 2015 se concentró fundamentalmente en dar respuesta a las directrices dadas por la Sala Administrativa del Consejo Superior de la Judicatura a través de  los Acuerdos PSAA14-10160 y 10161 de junio de 2014</w:t>
      </w:r>
      <w:r w:rsidR="0050123D">
        <w:t>.</w:t>
      </w:r>
    </w:p>
    <w:p w:rsidR="008E6907" w:rsidRDefault="008E6907" w:rsidP="00C43703">
      <w:pPr>
        <w:pStyle w:val="CUERPOTEXTO"/>
      </w:pPr>
    </w:p>
    <w:p w:rsidR="0050123D" w:rsidRDefault="008E6907" w:rsidP="00C43703">
      <w:pPr>
        <w:pStyle w:val="CUERPOTEXTO"/>
      </w:pPr>
      <w:r>
        <w:t xml:space="preserve">El objetivo definido por el Comité del SIGCMA y validado por el Magistrado Representante de la Alta Dirección, Doctor Ricardo Monroy Church </w:t>
      </w:r>
      <w:r w:rsidR="00272CCE">
        <w:t>fue:</w:t>
      </w:r>
      <w:r w:rsidR="0050123D">
        <w:t xml:space="preserve"> </w:t>
      </w:r>
    </w:p>
    <w:p w:rsidR="00D87E0F" w:rsidRDefault="00D87E0F" w:rsidP="00C43703">
      <w:pPr>
        <w:pStyle w:val="CUERPOTEXTO"/>
      </w:pPr>
    </w:p>
    <w:p w:rsidR="00D87E0F" w:rsidRDefault="00D87E0F" w:rsidP="009D58FF">
      <w:pPr>
        <w:pStyle w:val="CUERPOTEXTO"/>
        <w:outlineLvl w:val="1"/>
        <w:rPr>
          <w:b/>
          <w:color w:val="AA6736" w:themeColor="accent2" w:themeShade="BF"/>
        </w:rPr>
      </w:pPr>
      <w:r w:rsidRPr="00272CCE">
        <w:rPr>
          <w:b/>
          <w:color w:val="AA6736" w:themeColor="accent2" w:themeShade="BF"/>
        </w:rPr>
        <w:t xml:space="preserve">OBJETIVO GENERAL: </w:t>
      </w:r>
    </w:p>
    <w:p w:rsidR="00272CCE" w:rsidRPr="00272CCE" w:rsidRDefault="00272CCE" w:rsidP="0073344B">
      <w:pPr>
        <w:pStyle w:val="CUERPOTEXTO"/>
        <w:pBdr>
          <w:bottom w:val="single" w:sz="4" w:space="1" w:color="auto"/>
        </w:pBdr>
        <w:rPr>
          <w:b/>
          <w:color w:val="AA6736" w:themeColor="accent2" w:themeShade="BF"/>
        </w:rPr>
      </w:pPr>
    </w:p>
    <w:p w:rsidR="00D87E0F" w:rsidRDefault="00D87E0F" w:rsidP="00C43703">
      <w:pPr>
        <w:pStyle w:val="CUERPOTEXTO"/>
      </w:pPr>
    </w:p>
    <w:p w:rsidR="00D87E0F" w:rsidRDefault="00D87E0F" w:rsidP="00D87E0F">
      <w:pPr>
        <w:jc w:val="both"/>
        <w:rPr>
          <w:rFonts w:asciiTheme="majorHAnsi" w:eastAsia="Calibri" w:hAnsiTheme="majorHAnsi"/>
          <w:color w:val="404040" w:themeColor="text1" w:themeTint="BF"/>
          <w:lang w:eastAsia="es-CO"/>
        </w:rPr>
      </w:pPr>
      <w:r>
        <w:rPr>
          <w:rFonts w:asciiTheme="majorHAnsi" w:eastAsia="Calibri" w:hAnsiTheme="majorHAnsi"/>
          <w:color w:val="404040" w:themeColor="text1" w:themeTint="BF"/>
          <w:lang w:eastAsia="es-CO"/>
        </w:rPr>
        <w:t xml:space="preserve">Consolidar el Sistema de Gestión de Calidad, integrando los principios y conceptos de responsabilidad social, control y medio ambiente, con el propósito de propiciar las condiciones adecuadas para el fortalecimiento de la gestión administrativa y judicial, de conformidad con las políticas y directrices dadas por la Sala Administrativa del Consejo Superior de la Judicatura a través de los Acuerdos PSAA14-10160 y 10161 de 2014.   </w:t>
      </w:r>
    </w:p>
    <w:p w:rsidR="00272CCE" w:rsidRDefault="00272CCE" w:rsidP="00D87E0F">
      <w:pPr>
        <w:jc w:val="both"/>
        <w:rPr>
          <w:rFonts w:asciiTheme="majorHAnsi" w:eastAsia="Calibri" w:hAnsiTheme="majorHAnsi"/>
          <w:color w:val="404040" w:themeColor="text1" w:themeTint="BF"/>
          <w:lang w:eastAsia="es-CO"/>
        </w:rPr>
      </w:pPr>
    </w:p>
    <w:p w:rsidR="00272CCE" w:rsidRDefault="00272CCE" w:rsidP="00D87E0F">
      <w:pPr>
        <w:jc w:val="both"/>
        <w:rPr>
          <w:rFonts w:asciiTheme="majorHAnsi" w:eastAsia="Calibri" w:hAnsiTheme="majorHAnsi"/>
          <w:color w:val="404040" w:themeColor="text1" w:themeTint="BF"/>
          <w:lang w:eastAsia="es-CO"/>
        </w:rPr>
      </w:pPr>
      <w:r>
        <w:rPr>
          <w:rFonts w:asciiTheme="majorHAnsi" w:eastAsia="Calibri" w:hAnsiTheme="majorHAnsi"/>
          <w:color w:val="404040" w:themeColor="text1" w:themeTint="BF"/>
          <w:lang w:eastAsia="es-CO"/>
        </w:rPr>
        <w:t>Para monitorear el cumplimiento del objetivo general establecido se formularon dos (2)   indicadores cuyas fichas técnicas  se muestra a continuación:</w:t>
      </w:r>
    </w:p>
    <w:p w:rsidR="00272CCE" w:rsidRDefault="00272CCE" w:rsidP="00D87E0F">
      <w:pPr>
        <w:jc w:val="both"/>
        <w:rPr>
          <w:rFonts w:asciiTheme="majorHAnsi" w:eastAsia="Calibri" w:hAnsiTheme="majorHAnsi"/>
          <w:color w:val="404040" w:themeColor="text1" w:themeTint="BF"/>
          <w:lang w:eastAsia="es-CO"/>
        </w:rPr>
      </w:pPr>
    </w:p>
    <w:tbl>
      <w:tblPr>
        <w:tblW w:w="5000" w:type="pct"/>
        <w:tblCellMar>
          <w:left w:w="70" w:type="dxa"/>
          <w:right w:w="70" w:type="dxa"/>
        </w:tblCellMar>
        <w:tblLook w:val="04A0" w:firstRow="1" w:lastRow="0" w:firstColumn="1" w:lastColumn="0" w:noHBand="0" w:noVBand="1"/>
      </w:tblPr>
      <w:tblGrid>
        <w:gridCol w:w="1680"/>
        <w:gridCol w:w="2445"/>
        <w:gridCol w:w="2122"/>
        <w:gridCol w:w="2581"/>
      </w:tblGrid>
      <w:tr w:rsidR="00272CCE" w:rsidRPr="00492409" w:rsidTr="00800F48">
        <w:trPr>
          <w:trHeight w:val="1252"/>
          <w:tblHeader/>
        </w:trPr>
        <w:tc>
          <w:tcPr>
            <w:tcW w:w="951"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272CCE" w:rsidRPr="00272CCE" w:rsidRDefault="00272CCE" w:rsidP="00272CCE">
            <w:pPr>
              <w:jc w:val="center"/>
              <w:rPr>
                <w:rFonts w:ascii="Arial" w:hAnsi="Arial" w:cs="Arial"/>
                <w:b/>
                <w:bCs/>
                <w:color w:val="FFFFFF"/>
                <w:sz w:val="16"/>
                <w:szCs w:val="16"/>
              </w:rPr>
            </w:pPr>
            <w:r w:rsidRPr="00272CCE">
              <w:rPr>
                <w:rFonts w:ascii="Arial" w:hAnsi="Arial" w:cs="Arial"/>
                <w:b/>
                <w:bCs/>
                <w:color w:val="FFFFFF"/>
                <w:sz w:val="16"/>
                <w:szCs w:val="16"/>
              </w:rPr>
              <w:t xml:space="preserve">PROCESO </w:t>
            </w:r>
          </w:p>
        </w:tc>
        <w:tc>
          <w:tcPr>
            <w:tcW w:w="1385" w:type="pct"/>
            <w:tcBorders>
              <w:top w:val="single" w:sz="4" w:space="0" w:color="auto"/>
              <w:left w:val="nil"/>
              <w:bottom w:val="single" w:sz="4" w:space="0" w:color="auto"/>
              <w:right w:val="single" w:sz="4" w:space="0" w:color="auto"/>
            </w:tcBorders>
            <w:shd w:val="clear" w:color="auto" w:fill="auto"/>
            <w:vAlign w:val="center"/>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 xml:space="preserve">Mejoramiento y Evaluación del </w:t>
            </w:r>
            <w:r>
              <w:rPr>
                <w:rFonts w:ascii="Arial" w:hAnsi="Arial" w:cs="Arial"/>
                <w:sz w:val="16"/>
                <w:szCs w:val="16"/>
              </w:rPr>
              <w:t>SIGCMA</w:t>
            </w:r>
          </w:p>
        </w:tc>
        <w:tc>
          <w:tcPr>
            <w:tcW w:w="1202" w:type="pct"/>
            <w:tcBorders>
              <w:top w:val="single" w:sz="4" w:space="0" w:color="auto"/>
              <w:left w:val="nil"/>
              <w:bottom w:val="single" w:sz="4" w:space="0" w:color="auto"/>
              <w:right w:val="single" w:sz="4" w:space="0" w:color="auto"/>
            </w:tcBorders>
            <w:shd w:val="clear" w:color="000000" w:fill="002060"/>
            <w:vAlign w:val="center"/>
            <w:hideMark/>
          </w:tcPr>
          <w:p w:rsidR="00272CCE" w:rsidRPr="00272CCE" w:rsidRDefault="00272CCE" w:rsidP="00272CCE">
            <w:pPr>
              <w:jc w:val="center"/>
              <w:rPr>
                <w:rFonts w:ascii="Arial" w:hAnsi="Arial" w:cs="Arial"/>
                <w:b/>
                <w:bCs/>
                <w:color w:val="FFFFFF"/>
                <w:sz w:val="16"/>
                <w:szCs w:val="16"/>
              </w:rPr>
            </w:pPr>
            <w:r w:rsidRPr="00272CCE">
              <w:rPr>
                <w:rFonts w:ascii="Arial" w:hAnsi="Arial" w:cs="Arial"/>
                <w:b/>
                <w:bCs/>
                <w:color w:val="FFFFFF"/>
                <w:sz w:val="16"/>
                <w:szCs w:val="16"/>
              </w:rPr>
              <w:t>OBJETIVO DEL PROCESO</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Optimizar la operación del SGC a partir de la planeación, análisis, evaluación  y aplicación de metodologías y herramientas que permitan  la mejora continua y la innovación  en la organización.</w:t>
            </w:r>
          </w:p>
        </w:tc>
      </w:tr>
      <w:tr w:rsidR="00272CCE" w:rsidRPr="00492409" w:rsidTr="00272CCE">
        <w:trPr>
          <w:trHeight w:val="410"/>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Nombre del indicador</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 xml:space="preserve">Cumplimiento de los Proyectos Contemplados en el Plan de Mantenimiento y Mejoramiento del Sistema </w:t>
            </w:r>
          </w:p>
        </w:tc>
      </w:tr>
      <w:tr w:rsidR="00272CCE" w:rsidRPr="00492409" w:rsidTr="00272CCE">
        <w:trPr>
          <w:trHeight w:val="402"/>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Objetivo del indicador</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 xml:space="preserve">Hacer seguimiento a los proyectos contemplados en el Plan de Mantenimiento y Mejoramiento del Sistema </w:t>
            </w:r>
          </w:p>
        </w:tc>
      </w:tr>
      <w:tr w:rsidR="00272CCE" w:rsidRPr="00492409" w:rsidTr="00272CCE">
        <w:trPr>
          <w:trHeight w:val="556"/>
        </w:trPr>
        <w:tc>
          <w:tcPr>
            <w:tcW w:w="2336" w:type="pct"/>
            <w:gridSpan w:val="2"/>
            <w:tcBorders>
              <w:top w:val="single" w:sz="4" w:space="0" w:color="auto"/>
              <w:left w:val="single" w:sz="4" w:space="0" w:color="auto"/>
              <w:bottom w:val="single" w:sz="4" w:space="0" w:color="auto"/>
              <w:right w:val="single" w:sz="4" w:space="0" w:color="000000"/>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Objetivo del plan sectorial de desarrollo vigente que impacta este indicador</w:t>
            </w:r>
          </w:p>
        </w:tc>
        <w:tc>
          <w:tcPr>
            <w:tcW w:w="2664" w:type="pct"/>
            <w:gridSpan w:val="2"/>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Pr>
                <w:rFonts w:ascii="Arial" w:hAnsi="Arial" w:cs="Arial"/>
                <w:sz w:val="16"/>
                <w:szCs w:val="16"/>
              </w:rPr>
              <w:t xml:space="preserve">Objetivo Fortalecimiento Institucional </w:t>
            </w:r>
          </w:p>
        </w:tc>
      </w:tr>
      <w:tr w:rsidR="00272CCE" w:rsidRPr="00492409" w:rsidTr="00272CCE">
        <w:trPr>
          <w:trHeight w:val="516"/>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 xml:space="preserve">Formula:          </w:t>
            </w:r>
          </w:p>
        </w:tc>
        <w:tc>
          <w:tcPr>
            <w:tcW w:w="1385"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(No. Proyectos Cumplidos / No. Proyectos programados)*100</w:t>
            </w:r>
          </w:p>
        </w:tc>
        <w:tc>
          <w:tcPr>
            <w:tcW w:w="1202" w:type="pct"/>
            <w:tcBorders>
              <w:top w:val="nil"/>
              <w:left w:val="nil"/>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 xml:space="preserve">Escala:            </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Porcentaje</w:t>
            </w:r>
          </w:p>
        </w:tc>
      </w:tr>
      <w:tr w:rsidR="00272CCE" w:rsidRPr="00492409" w:rsidTr="00272CCE">
        <w:trPr>
          <w:trHeight w:val="871"/>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 xml:space="preserve">Fuentes de Datos: </w:t>
            </w:r>
          </w:p>
        </w:tc>
        <w:tc>
          <w:tcPr>
            <w:tcW w:w="1385"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Informes de avance de los Proyectos contemplados en el plan de Mantenimiento y Mejoramiento del Sistema</w:t>
            </w:r>
          </w:p>
        </w:tc>
        <w:tc>
          <w:tcPr>
            <w:tcW w:w="1202" w:type="pct"/>
            <w:tcBorders>
              <w:top w:val="nil"/>
              <w:left w:val="nil"/>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Tipo de Indicador</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Eficacia</w:t>
            </w:r>
          </w:p>
        </w:tc>
      </w:tr>
      <w:tr w:rsidR="00272CCE" w:rsidRPr="00492409" w:rsidTr="00272CCE">
        <w:trPr>
          <w:trHeight w:val="779"/>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Periodicidad Cálculo:</w:t>
            </w:r>
          </w:p>
        </w:tc>
        <w:tc>
          <w:tcPr>
            <w:tcW w:w="1385"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Trimestral</w:t>
            </w:r>
          </w:p>
        </w:tc>
        <w:tc>
          <w:tcPr>
            <w:tcW w:w="1202" w:type="pct"/>
            <w:tcBorders>
              <w:top w:val="nil"/>
              <w:left w:val="nil"/>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Tendencia</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Creciente</w:t>
            </w:r>
          </w:p>
        </w:tc>
      </w:tr>
      <w:tr w:rsidR="00272CCE" w:rsidRPr="00492409" w:rsidTr="00800F48">
        <w:trPr>
          <w:trHeight w:val="684"/>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Nivel de referencia:</w:t>
            </w:r>
          </w:p>
        </w:tc>
        <w:tc>
          <w:tcPr>
            <w:tcW w:w="1385" w:type="pct"/>
            <w:tcBorders>
              <w:top w:val="nil"/>
              <w:left w:val="nil"/>
              <w:bottom w:val="nil"/>
              <w:right w:val="nil"/>
            </w:tcBorders>
            <w:shd w:val="clear" w:color="auto" w:fill="auto"/>
            <w:vAlign w:val="center"/>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80%</w:t>
            </w:r>
          </w:p>
        </w:tc>
        <w:tc>
          <w:tcPr>
            <w:tcW w:w="1202"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Criterio para establecer el nivel de referencia:</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Estándar</w:t>
            </w:r>
          </w:p>
        </w:tc>
      </w:tr>
      <w:tr w:rsidR="00272CCE" w:rsidRPr="00492409" w:rsidTr="00272CCE">
        <w:trPr>
          <w:trHeight w:val="516"/>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lastRenderedPageBreak/>
              <w:t>Nivel de Desagregación:</w:t>
            </w:r>
          </w:p>
        </w:tc>
        <w:tc>
          <w:tcPr>
            <w:tcW w:w="1385" w:type="pct"/>
            <w:tcBorders>
              <w:top w:val="single" w:sz="4" w:space="0" w:color="auto"/>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N/A</w:t>
            </w:r>
          </w:p>
        </w:tc>
        <w:tc>
          <w:tcPr>
            <w:tcW w:w="1202" w:type="pct"/>
            <w:tcBorders>
              <w:top w:val="nil"/>
              <w:left w:val="nil"/>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 xml:space="preserve">Método de Graficación: </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Diagrama de Barras</w:t>
            </w:r>
          </w:p>
        </w:tc>
      </w:tr>
      <w:tr w:rsidR="00272CCE" w:rsidRPr="00492409" w:rsidTr="00272CCE">
        <w:trPr>
          <w:trHeight w:val="30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72CCE" w:rsidRPr="00272CCE" w:rsidRDefault="00272CCE" w:rsidP="00272CCE">
            <w:pPr>
              <w:jc w:val="center"/>
              <w:rPr>
                <w:rFonts w:ascii="Arial" w:hAnsi="Arial" w:cs="Arial"/>
                <w:b/>
                <w:bCs/>
                <w:sz w:val="16"/>
                <w:szCs w:val="16"/>
              </w:rPr>
            </w:pPr>
            <w:r w:rsidRPr="00272CCE">
              <w:rPr>
                <w:rFonts w:ascii="Arial" w:hAnsi="Arial" w:cs="Arial"/>
                <w:b/>
                <w:bCs/>
                <w:sz w:val="16"/>
                <w:szCs w:val="16"/>
              </w:rPr>
              <w:t>RESPONSABILIDADES</w:t>
            </w:r>
          </w:p>
        </w:tc>
      </w:tr>
      <w:tr w:rsidR="00272CCE" w:rsidRPr="00492409" w:rsidTr="00800F48">
        <w:trPr>
          <w:trHeight w:val="412"/>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Responsable del Cálculo:</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Servidor Judicial asignado</w:t>
            </w:r>
          </w:p>
        </w:tc>
      </w:tr>
      <w:tr w:rsidR="00272CCE" w:rsidRPr="00492409" w:rsidTr="00272CCE">
        <w:trPr>
          <w:trHeight w:val="511"/>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Responsable del Seguimiento y Análisis:</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Coordinador Nacional SIGCMA</w:t>
            </w:r>
          </w:p>
        </w:tc>
      </w:tr>
      <w:tr w:rsidR="00272CCE" w:rsidRPr="00492409" w:rsidTr="00272CCE">
        <w:trPr>
          <w:trHeight w:val="339"/>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Observaciones:</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N.A</w:t>
            </w:r>
          </w:p>
        </w:tc>
      </w:tr>
    </w:tbl>
    <w:p w:rsidR="00272CCE" w:rsidRPr="00917AB8" w:rsidRDefault="00272CCE" w:rsidP="00D87E0F">
      <w:pPr>
        <w:jc w:val="both"/>
        <w:rPr>
          <w:rFonts w:asciiTheme="majorHAnsi" w:eastAsia="Calibri" w:hAnsiTheme="majorHAnsi"/>
          <w:color w:val="404040" w:themeColor="text1" w:themeTint="BF"/>
          <w:lang w:eastAsia="es-CO"/>
        </w:rPr>
      </w:pPr>
    </w:p>
    <w:tbl>
      <w:tblPr>
        <w:tblW w:w="5000" w:type="pct"/>
        <w:tblCellMar>
          <w:left w:w="70" w:type="dxa"/>
          <w:right w:w="70" w:type="dxa"/>
        </w:tblCellMar>
        <w:tblLook w:val="04A0" w:firstRow="1" w:lastRow="0" w:firstColumn="1" w:lastColumn="0" w:noHBand="0" w:noVBand="1"/>
      </w:tblPr>
      <w:tblGrid>
        <w:gridCol w:w="1680"/>
        <w:gridCol w:w="2445"/>
        <w:gridCol w:w="2122"/>
        <w:gridCol w:w="2581"/>
      </w:tblGrid>
      <w:tr w:rsidR="00272CCE" w:rsidRPr="00272CCE" w:rsidTr="00272CCE">
        <w:trPr>
          <w:trHeight w:val="1548"/>
          <w:tblHeader/>
        </w:trPr>
        <w:tc>
          <w:tcPr>
            <w:tcW w:w="951"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272CCE" w:rsidRPr="00272CCE" w:rsidRDefault="00272CCE" w:rsidP="00272CCE">
            <w:pPr>
              <w:jc w:val="center"/>
              <w:rPr>
                <w:rFonts w:ascii="Arial" w:hAnsi="Arial" w:cs="Arial"/>
                <w:b/>
                <w:bCs/>
                <w:color w:val="FFFFFF"/>
                <w:sz w:val="16"/>
                <w:szCs w:val="16"/>
              </w:rPr>
            </w:pPr>
            <w:r w:rsidRPr="00272CCE">
              <w:rPr>
                <w:rFonts w:ascii="Arial" w:hAnsi="Arial" w:cs="Arial"/>
                <w:b/>
                <w:bCs/>
                <w:color w:val="FFFFFF"/>
                <w:sz w:val="16"/>
                <w:szCs w:val="16"/>
              </w:rPr>
              <w:t xml:space="preserve">PROCESO </w:t>
            </w:r>
          </w:p>
        </w:tc>
        <w:tc>
          <w:tcPr>
            <w:tcW w:w="1385" w:type="pct"/>
            <w:tcBorders>
              <w:top w:val="single" w:sz="4" w:space="0" w:color="auto"/>
              <w:left w:val="nil"/>
              <w:bottom w:val="single" w:sz="4" w:space="0" w:color="auto"/>
              <w:right w:val="single" w:sz="4" w:space="0" w:color="auto"/>
            </w:tcBorders>
            <w:shd w:val="clear" w:color="auto" w:fill="auto"/>
            <w:vAlign w:val="center"/>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 xml:space="preserve">Mejoramiento y Evaluación del </w:t>
            </w:r>
            <w:r>
              <w:rPr>
                <w:rFonts w:ascii="Arial" w:hAnsi="Arial" w:cs="Arial"/>
                <w:sz w:val="16"/>
                <w:szCs w:val="16"/>
              </w:rPr>
              <w:t>SIGCMA</w:t>
            </w:r>
          </w:p>
        </w:tc>
        <w:tc>
          <w:tcPr>
            <w:tcW w:w="1202" w:type="pct"/>
            <w:tcBorders>
              <w:top w:val="single" w:sz="4" w:space="0" w:color="auto"/>
              <w:left w:val="nil"/>
              <w:bottom w:val="single" w:sz="4" w:space="0" w:color="auto"/>
              <w:right w:val="single" w:sz="4" w:space="0" w:color="auto"/>
            </w:tcBorders>
            <w:shd w:val="clear" w:color="000000" w:fill="002060"/>
            <w:vAlign w:val="center"/>
            <w:hideMark/>
          </w:tcPr>
          <w:p w:rsidR="00272CCE" w:rsidRPr="00272CCE" w:rsidRDefault="00272CCE" w:rsidP="00272CCE">
            <w:pPr>
              <w:jc w:val="center"/>
              <w:rPr>
                <w:rFonts w:ascii="Arial" w:hAnsi="Arial" w:cs="Arial"/>
                <w:b/>
                <w:bCs/>
                <w:color w:val="FFFFFF"/>
                <w:sz w:val="16"/>
                <w:szCs w:val="16"/>
              </w:rPr>
            </w:pPr>
            <w:r w:rsidRPr="00272CCE">
              <w:rPr>
                <w:rFonts w:ascii="Arial" w:hAnsi="Arial" w:cs="Arial"/>
                <w:b/>
                <w:bCs/>
                <w:color w:val="FFFFFF"/>
                <w:sz w:val="16"/>
                <w:szCs w:val="16"/>
              </w:rPr>
              <w:t>OBJETIVO DEL PROCESO</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Optimizar la operación del SGC a partir de la planeación, análisis, evaluación y aplicación de metodologías y herramientas que permitan la mejora continua y la innovación  en la organización.</w:t>
            </w:r>
          </w:p>
        </w:tc>
      </w:tr>
      <w:tr w:rsidR="00272CCE" w:rsidRPr="00272CCE" w:rsidTr="00272CCE">
        <w:trPr>
          <w:trHeight w:val="609"/>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Nombre del indicador</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spacing w:after="240"/>
              <w:jc w:val="both"/>
              <w:rPr>
                <w:rFonts w:ascii="Arial" w:hAnsi="Arial" w:cs="Arial"/>
                <w:sz w:val="16"/>
                <w:szCs w:val="16"/>
              </w:rPr>
            </w:pPr>
            <w:r w:rsidRPr="00272CCE">
              <w:rPr>
                <w:rFonts w:ascii="Arial" w:hAnsi="Arial" w:cs="Arial"/>
                <w:sz w:val="16"/>
                <w:szCs w:val="16"/>
              </w:rPr>
              <w:br/>
              <w:t>Cumplimiento de Metas contempladas los Objetivos Específicos</w:t>
            </w:r>
          </w:p>
        </w:tc>
      </w:tr>
      <w:tr w:rsidR="00272CCE" w:rsidRPr="00272CCE" w:rsidTr="00272CCE">
        <w:trPr>
          <w:trHeight w:val="556"/>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Objetivo del indicador</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Controlar el avance y cumplimiento de los Objetivos específicos del Plan de Mantenimiento y Mejoramiento del SGC</w:t>
            </w:r>
          </w:p>
        </w:tc>
      </w:tr>
      <w:tr w:rsidR="00272CCE" w:rsidRPr="00272CCE" w:rsidTr="00272CCE">
        <w:trPr>
          <w:trHeight w:val="556"/>
        </w:trPr>
        <w:tc>
          <w:tcPr>
            <w:tcW w:w="2336" w:type="pct"/>
            <w:gridSpan w:val="2"/>
            <w:tcBorders>
              <w:top w:val="single" w:sz="4" w:space="0" w:color="auto"/>
              <w:left w:val="single" w:sz="4" w:space="0" w:color="auto"/>
              <w:bottom w:val="single" w:sz="4" w:space="0" w:color="auto"/>
              <w:right w:val="single" w:sz="4" w:space="0" w:color="000000"/>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Objetivo del plan sectorial de desarrollo vigente que impacta este indicador</w:t>
            </w:r>
          </w:p>
        </w:tc>
        <w:tc>
          <w:tcPr>
            <w:tcW w:w="2664" w:type="pct"/>
            <w:gridSpan w:val="2"/>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 </w:t>
            </w:r>
          </w:p>
        </w:tc>
      </w:tr>
      <w:tr w:rsidR="00272CCE" w:rsidRPr="00272CCE" w:rsidTr="00272CCE">
        <w:trPr>
          <w:trHeight w:val="598"/>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 xml:space="preserve">Formula:          </w:t>
            </w:r>
          </w:p>
        </w:tc>
        <w:tc>
          <w:tcPr>
            <w:tcW w:w="1385"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(No. Metas de los Objetivos Específicos Cumplidos / No. Metas de los Objetivos Específicos Establecidos)*100</w:t>
            </w:r>
          </w:p>
        </w:tc>
        <w:tc>
          <w:tcPr>
            <w:tcW w:w="1202" w:type="pct"/>
            <w:tcBorders>
              <w:top w:val="nil"/>
              <w:left w:val="nil"/>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 xml:space="preserve">Escala:            </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Porcentaje</w:t>
            </w:r>
          </w:p>
        </w:tc>
      </w:tr>
      <w:tr w:rsidR="00272CCE" w:rsidRPr="00272CCE" w:rsidTr="00272CCE">
        <w:trPr>
          <w:trHeight w:val="591"/>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 xml:space="preserve">Fuentes de Datos: </w:t>
            </w:r>
          </w:p>
        </w:tc>
        <w:tc>
          <w:tcPr>
            <w:tcW w:w="1385"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Plan de Mantenimiento y Mejoramiento del SGC</w:t>
            </w:r>
          </w:p>
        </w:tc>
        <w:tc>
          <w:tcPr>
            <w:tcW w:w="1202" w:type="pct"/>
            <w:tcBorders>
              <w:top w:val="nil"/>
              <w:left w:val="nil"/>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Tipo de Indicador</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Eficacia</w:t>
            </w:r>
          </w:p>
        </w:tc>
      </w:tr>
      <w:tr w:rsidR="00272CCE" w:rsidRPr="00272CCE" w:rsidTr="00272CCE">
        <w:trPr>
          <w:trHeight w:val="543"/>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Periodicidad Cálculo:</w:t>
            </w:r>
          </w:p>
        </w:tc>
        <w:tc>
          <w:tcPr>
            <w:tcW w:w="1385"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Trimestral</w:t>
            </w:r>
          </w:p>
        </w:tc>
        <w:tc>
          <w:tcPr>
            <w:tcW w:w="1202" w:type="pct"/>
            <w:tcBorders>
              <w:top w:val="nil"/>
              <w:left w:val="nil"/>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Tendencia</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Creciente</w:t>
            </w:r>
          </w:p>
        </w:tc>
      </w:tr>
      <w:tr w:rsidR="00272CCE" w:rsidRPr="00272CCE" w:rsidTr="00272CCE">
        <w:trPr>
          <w:trHeight w:val="812"/>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Nivel de referencia:</w:t>
            </w:r>
          </w:p>
        </w:tc>
        <w:tc>
          <w:tcPr>
            <w:tcW w:w="1385" w:type="pct"/>
            <w:tcBorders>
              <w:top w:val="nil"/>
              <w:left w:val="nil"/>
              <w:bottom w:val="nil"/>
              <w:right w:val="nil"/>
            </w:tcBorders>
            <w:shd w:val="clear" w:color="auto" w:fill="auto"/>
            <w:vAlign w:val="center"/>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80%</w:t>
            </w:r>
          </w:p>
        </w:tc>
        <w:tc>
          <w:tcPr>
            <w:tcW w:w="1202"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Criterio para establecer el nivel de referencia:</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Estándar</w:t>
            </w:r>
          </w:p>
        </w:tc>
      </w:tr>
      <w:tr w:rsidR="00272CCE" w:rsidRPr="00272CCE" w:rsidTr="00272CCE">
        <w:trPr>
          <w:trHeight w:val="516"/>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Nivel de Desagregación:</w:t>
            </w:r>
          </w:p>
        </w:tc>
        <w:tc>
          <w:tcPr>
            <w:tcW w:w="1385" w:type="pct"/>
            <w:tcBorders>
              <w:top w:val="single" w:sz="4" w:space="0" w:color="auto"/>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N/A</w:t>
            </w:r>
          </w:p>
        </w:tc>
        <w:tc>
          <w:tcPr>
            <w:tcW w:w="1202" w:type="pct"/>
            <w:tcBorders>
              <w:top w:val="nil"/>
              <w:left w:val="nil"/>
              <w:bottom w:val="single" w:sz="4" w:space="0" w:color="auto"/>
              <w:right w:val="single" w:sz="4" w:space="0" w:color="auto"/>
            </w:tcBorders>
            <w:shd w:val="clear" w:color="auto" w:fill="auto"/>
            <w:hideMark/>
          </w:tcPr>
          <w:p w:rsidR="00272CCE" w:rsidRPr="00272CCE" w:rsidRDefault="00272CCE" w:rsidP="00272CCE">
            <w:pPr>
              <w:rPr>
                <w:rFonts w:ascii="Arial" w:hAnsi="Arial" w:cs="Arial"/>
                <w:b/>
                <w:bCs/>
                <w:sz w:val="16"/>
                <w:szCs w:val="16"/>
              </w:rPr>
            </w:pPr>
            <w:r w:rsidRPr="00272CCE">
              <w:rPr>
                <w:rFonts w:ascii="Arial" w:hAnsi="Arial" w:cs="Arial"/>
                <w:b/>
                <w:bCs/>
                <w:sz w:val="16"/>
                <w:szCs w:val="16"/>
              </w:rPr>
              <w:t xml:space="preserve">Método de Graficación: </w:t>
            </w:r>
          </w:p>
        </w:tc>
        <w:tc>
          <w:tcPr>
            <w:tcW w:w="1461" w:type="pct"/>
            <w:tcBorders>
              <w:top w:val="nil"/>
              <w:left w:val="nil"/>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Diagrama de Barras</w:t>
            </w:r>
          </w:p>
        </w:tc>
      </w:tr>
      <w:tr w:rsidR="00272CCE" w:rsidRPr="00272CCE" w:rsidTr="00272CCE">
        <w:trPr>
          <w:trHeight w:val="30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72CCE" w:rsidRPr="00272CCE" w:rsidRDefault="00272CCE" w:rsidP="00272CCE">
            <w:pPr>
              <w:jc w:val="center"/>
              <w:rPr>
                <w:rFonts w:ascii="Arial" w:hAnsi="Arial" w:cs="Arial"/>
                <w:b/>
                <w:bCs/>
                <w:sz w:val="16"/>
                <w:szCs w:val="16"/>
              </w:rPr>
            </w:pPr>
            <w:r w:rsidRPr="00272CCE">
              <w:rPr>
                <w:rFonts w:ascii="Arial" w:hAnsi="Arial" w:cs="Arial"/>
                <w:b/>
                <w:bCs/>
                <w:sz w:val="16"/>
                <w:szCs w:val="16"/>
              </w:rPr>
              <w:t>RESPONSABILIDADES</w:t>
            </w:r>
          </w:p>
        </w:tc>
      </w:tr>
      <w:tr w:rsidR="00272CCE" w:rsidRPr="00272CCE" w:rsidTr="00800F48">
        <w:trPr>
          <w:trHeight w:val="420"/>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Responsable del Cálculo:</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Servidor Judicial asignado</w:t>
            </w:r>
          </w:p>
        </w:tc>
      </w:tr>
      <w:tr w:rsidR="00272CCE" w:rsidRPr="00272CCE" w:rsidTr="00272CCE">
        <w:trPr>
          <w:trHeight w:val="511"/>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Responsable del Seguimiento y Análisis:</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Coordinador Nacional SIGCMA</w:t>
            </w:r>
          </w:p>
        </w:tc>
      </w:tr>
      <w:tr w:rsidR="00272CCE" w:rsidRPr="00272CCE" w:rsidTr="00272CCE">
        <w:trPr>
          <w:trHeight w:val="472"/>
        </w:trPr>
        <w:tc>
          <w:tcPr>
            <w:tcW w:w="951" w:type="pct"/>
            <w:tcBorders>
              <w:top w:val="nil"/>
              <w:left w:val="single" w:sz="4" w:space="0" w:color="auto"/>
              <w:bottom w:val="single" w:sz="4" w:space="0" w:color="auto"/>
              <w:right w:val="single" w:sz="4" w:space="0" w:color="auto"/>
            </w:tcBorders>
            <w:shd w:val="clear" w:color="auto" w:fill="auto"/>
            <w:hideMark/>
          </w:tcPr>
          <w:p w:rsidR="00272CCE" w:rsidRPr="00272CCE" w:rsidRDefault="00272CCE" w:rsidP="00272CCE">
            <w:pPr>
              <w:jc w:val="both"/>
              <w:rPr>
                <w:rFonts w:ascii="Arial" w:hAnsi="Arial" w:cs="Arial"/>
                <w:b/>
                <w:bCs/>
                <w:sz w:val="16"/>
                <w:szCs w:val="16"/>
              </w:rPr>
            </w:pPr>
            <w:r w:rsidRPr="00272CCE">
              <w:rPr>
                <w:rFonts w:ascii="Arial" w:hAnsi="Arial" w:cs="Arial"/>
                <w:b/>
                <w:bCs/>
                <w:sz w:val="16"/>
                <w:szCs w:val="16"/>
              </w:rPr>
              <w:t>Observaciones:</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272CCE" w:rsidRPr="00272CCE" w:rsidRDefault="00272CCE" w:rsidP="00272CCE">
            <w:pPr>
              <w:jc w:val="both"/>
              <w:rPr>
                <w:rFonts w:ascii="Arial" w:hAnsi="Arial" w:cs="Arial"/>
                <w:sz w:val="16"/>
                <w:szCs w:val="16"/>
              </w:rPr>
            </w:pPr>
            <w:r w:rsidRPr="00272CCE">
              <w:rPr>
                <w:rFonts w:ascii="Arial" w:hAnsi="Arial" w:cs="Arial"/>
                <w:sz w:val="16"/>
                <w:szCs w:val="16"/>
              </w:rPr>
              <w:t>N.A</w:t>
            </w:r>
          </w:p>
        </w:tc>
      </w:tr>
    </w:tbl>
    <w:p w:rsidR="00D87E0F" w:rsidRDefault="00D87E0F" w:rsidP="00C43703">
      <w:pPr>
        <w:pStyle w:val="CUERPOTEXTO"/>
        <w:rPr>
          <w:lang w:val="es-MX"/>
        </w:rPr>
      </w:pPr>
    </w:p>
    <w:p w:rsidR="00272CCE" w:rsidRDefault="00272CCE" w:rsidP="00C43703">
      <w:pPr>
        <w:pStyle w:val="CUERPOTEXTO"/>
        <w:rPr>
          <w:lang w:val="es-MX"/>
        </w:rPr>
      </w:pPr>
    </w:p>
    <w:p w:rsidR="00272CCE" w:rsidRDefault="00272CCE" w:rsidP="00C43703">
      <w:pPr>
        <w:pStyle w:val="CUERPOTEXTO"/>
        <w:rPr>
          <w:lang w:val="es-MX"/>
        </w:rPr>
      </w:pPr>
    </w:p>
    <w:p w:rsidR="00336C77" w:rsidRDefault="00336C77" w:rsidP="00C43703">
      <w:pPr>
        <w:pStyle w:val="CUERPOTEXTO"/>
        <w:rPr>
          <w:lang w:val="es-MX"/>
        </w:rPr>
      </w:pPr>
      <w:r>
        <w:rPr>
          <w:lang w:val="es-MX"/>
        </w:rPr>
        <w:lastRenderedPageBreak/>
        <w:t xml:space="preserve">En total se establecieron cuatro (4) objetivos específicos, el último orientado al cumplimiento de la Política del SIGCMA y que representa la gestión realizada frente a los objetivos del SIGCMA formulados por la organización mediante Acuerdo 10161 de 2014. </w:t>
      </w:r>
    </w:p>
    <w:p w:rsidR="00336C77" w:rsidRDefault="00336C77" w:rsidP="00C43703">
      <w:pPr>
        <w:pStyle w:val="CUERPOTEXTO"/>
        <w:rPr>
          <w:lang w:val="es-MX"/>
        </w:rPr>
      </w:pPr>
    </w:p>
    <w:p w:rsidR="00272CCE" w:rsidRDefault="00800F48" w:rsidP="00C43703">
      <w:pPr>
        <w:pStyle w:val="CUERPOTEXTO"/>
        <w:rPr>
          <w:lang w:val="es-MX"/>
        </w:rPr>
      </w:pPr>
      <w:r>
        <w:rPr>
          <w:lang w:val="es-MX"/>
        </w:rPr>
        <w:t xml:space="preserve">Los resultados obtenidos hasta el 31 de octubre </w:t>
      </w:r>
      <w:r w:rsidR="00745F61">
        <w:rPr>
          <w:lang w:val="es-MX"/>
        </w:rPr>
        <w:t xml:space="preserve">arrojan un cumplimiento del objetivo general del 69%.  No obstante este resultado  </w:t>
      </w:r>
      <w:r w:rsidR="0073344B">
        <w:rPr>
          <w:lang w:val="es-MX"/>
        </w:rPr>
        <w:t xml:space="preserve">no </w:t>
      </w:r>
      <w:r w:rsidR="00745F61">
        <w:rPr>
          <w:lang w:val="es-MX"/>
        </w:rPr>
        <w:t>es</w:t>
      </w:r>
      <w:r w:rsidR="0073344B">
        <w:rPr>
          <w:lang w:val="es-MX"/>
        </w:rPr>
        <w:t xml:space="preserve"> definitivo, puesto que durante los meses de noviembre y diciembre hay un peso significativo en el desarrollo de los proyectos y cumplimiento de las metas establecidas. </w:t>
      </w:r>
      <w:r>
        <w:rPr>
          <w:lang w:val="es-MX"/>
        </w:rPr>
        <w:t xml:space="preserve"> </w:t>
      </w:r>
    </w:p>
    <w:p w:rsidR="00745F61" w:rsidRDefault="00745F61" w:rsidP="00C43703">
      <w:pPr>
        <w:pStyle w:val="CUERPOTEXTO"/>
        <w:rPr>
          <w:lang w:val="es-MX"/>
        </w:rPr>
      </w:pPr>
    </w:p>
    <w:p w:rsidR="00745F61" w:rsidRDefault="00745F61" w:rsidP="00C43703">
      <w:pPr>
        <w:pStyle w:val="CUERPOTEXTO"/>
        <w:rPr>
          <w:lang w:val="es-MX"/>
        </w:rPr>
      </w:pPr>
      <w:r>
        <w:rPr>
          <w:lang w:val="es-MX"/>
        </w:rPr>
        <w:t>A continuación se presentan los resultados por cada objetivo específico establecido:</w:t>
      </w:r>
    </w:p>
    <w:p w:rsidR="00272CCE" w:rsidRDefault="00272CCE" w:rsidP="00C43703">
      <w:pPr>
        <w:pStyle w:val="CUERPOTEXTO"/>
        <w:rPr>
          <w:lang w:val="es-MX"/>
        </w:rPr>
      </w:pPr>
    </w:p>
    <w:p w:rsidR="00E81A3C" w:rsidRPr="00F268D9" w:rsidRDefault="00C00B6A" w:rsidP="009D58FF">
      <w:pPr>
        <w:pStyle w:val="CUERPOTEXTO"/>
        <w:numPr>
          <w:ilvl w:val="0"/>
          <w:numId w:val="34"/>
        </w:numPr>
        <w:outlineLvl w:val="2"/>
        <w:rPr>
          <w:color w:val="0070C0"/>
          <w:lang w:val="es-MX"/>
        </w:rPr>
      </w:pPr>
      <w:r w:rsidRPr="00F268D9">
        <w:rPr>
          <w:color w:val="0070C0"/>
          <w:lang w:val="es-MX"/>
        </w:rPr>
        <w:t>Fortalecimiento de la Transparencia Institucional:</w:t>
      </w:r>
    </w:p>
    <w:p w:rsidR="00C00B6A" w:rsidRDefault="00C00B6A" w:rsidP="00C00B6A">
      <w:pPr>
        <w:pStyle w:val="CUERPOTEXTO"/>
        <w:rPr>
          <w:lang w:val="es-MX"/>
        </w:rPr>
      </w:pPr>
    </w:p>
    <w:p w:rsidR="00C00B6A" w:rsidRDefault="00C00B6A" w:rsidP="00C00B6A">
      <w:pPr>
        <w:pStyle w:val="CUERPOTEXTO"/>
        <w:rPr>
          <w:lang w:val="es-MX"/>
        </w:rPr>
      </w:pPr>
      <w:r>
        <w:rPr>
          <w:lang w:val="es-MX"/>
        </w:rPr>
        <w:t>Se establecieron cuatro (4) objetivos específicos y quince (15) estrategias para dar respuesta al fortalecimiento de la transparencia institucional.</w:t>
      </w:r>
    </w:p>
    <w:p w:rsidR="00C00B6A" w:rsidRDefault="00C00B6A" w:rsidP="00C00B6A">
      <w:pPr>
        <w:pStyle w:val="CUERPOTEXTO"/>
        <w:rPr>
          <w:lang w:val="es-MX"/>
        </w:rPr>
      </w:pPr>
    </w:p>
    <w:p w:rsidR="00C00B6A" w:rsidRDefault="00C00B6A" w:rsidP="00C00B6A">
      <w:pPr>
        <w:pStyle w:val="CUERPOTEXTO"/>
        <w:rPr>
          <w:lang w:val="es-MX"/>
        </w:rPr>
      </w:pPr>
      <w:r>
        <w:rPr>
          <w:lang w:val="es-MX"/>
        </w:rPr>
        <w:t xml:space="preserve">El resultado del avance acumulado obtenido a 31 de octubre de 2015 es del 75%, afectado principalmente por el retraso producido en la implementación </w:t>
      </w:r>
      <w:r w:rsidR="00F268D9">
        <w:rPr>
          <w:lang w:val="es-MX"/>
        </w:rPr>
        <w:t xml:space="preserve"> del SIGCMA en la Sala de Consulta del Consejo de Estado, dada la congestión judicial que presente esa Alta Corte en la actualidad. </w:t>
      </w:r>
    </w:p>
    <w:p w:rsidR="00C00B6A" w:rsidRDefault="00C00B6A" w:rsidP="00C00B6A">
      <w:pPr>
        <w:pStyle w:val="CUERPOTEXTO"/>
        <w:rPr>
          <w:lang w:val="es-MX"/>
        </w:rPr>
      </w:pPr>
    </w:p>
    <w:tbl>
      <w:tblPr>
        <w:tblW w:w="5000" w:type="pct"/>
        <w:tblCellMar>
          <w:left w:w="70" w:type="dxa"/>
          <w:right w:w="70" w:type="dxa"/>
        </w:tblCellMar>
        <w:tblLook w:val="04A0" w:firstRow="1" w:lastRow="0" w:firstColumn="1" w:lastColumn="0" w:noHBand="0" w:noVBand="1"/>
      </w:tblPr>
      <w:tblGrid>
        <w:gridCol w:w="5572"/>
        <w:gridCol w:w="1086"/>
        <w:gridCol w:w="1086"/>
        <w:gridCol w:w="1084"/>
      </w:tblGrid>
      <w:tr w:rsidR="00C00B6A" w:rsidRPr="00C00B6A" w:rsidTr="00F268D9">
        <w:trPr>
          <w:trHeight w:val="839"/>
          <w:tblHeader/>
        </w:trPr>
        <w:tc>
          <w:tcPr>
            <w:tcW w:w="3156"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C00B6A" w:rsidRPr="00C00B6A" w:rsidRDefault="00C00B6A" w:rsidP="00C00B6A">
            <w:pPr>
              <w:jc w:val="center"/>
              <w:rPr>
                <w:rFonts w:ascii="Calibri" w:hAnsi="Calibri"/>
                <w:color w:val="FFFFFF"/>
                <w:sz w:val="18"/>
                <w:szCs w:val="18"/>
              </w:rPr>
            </w:pPr>
            <w:r w:rsidRPr="00C00B6A">
              <w:rPr>
                <w:rFonts w:ascii="Calibri" w:hAnsi="Calibri"/>
                <w:color w:val="FFFFFF"/>
                <w:sz w:val="18"/>
                <w:szCs w:val="18"/>
              </w:rPr>
              <w:t>OBJETIVOS ESPECÍFICOS</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C00B6A" w:rsidRPr="00C00B6A" w:rsidRDefault="00C00B6A" w:rsidP="00C00B6A">
            <w:pPr>
              <w:jc w:val="center"/>
              <w:rPr>
                <w:rFonts w:ascii="Calibri" w:hAnsi="Calibri"/>
                <w:color w:val="FFFFFF"/>
                <w:sz w:val="18"/>
                <w:szCs w:val="18"/>
              </w:rPr>
            </w:pPr>
            <w:r w:rsidRPr="00C00B6A">
              <w:rPr>
                <w:rFonts w:ascii="Calibri" w:hAnsi="Calibri"/>
                <w:color w:val="FFFFFF"/>
                <w:sz w:val="18"/>
                <w:szCs w:val="18"/>
              </w:rPr>
              <w:t xml:space="preserve">No. Estrategias </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C00B6A" w:rsidRPr="00C00B6A" w:rsidRDefault="00C00B6A" w:rsidP="00C00B6A">
            <w:pPr>
              <w:jc w:val="center"/>
              <w:rPr>
                <w:rFonts w:ascii="Calibri" w:hAnsi="Calibri"/>
                <w:color w:val="FFFFFF"/>
                <w:sz w:val="18"/>
                <w:szCs w:val="18"/>
              </w:rPr>
            </w:pPr>
            <w:r w:rsidRPr="00C00B6A">
              <w:rPr>
                <w:rFonts w:ascii="Calibri" w:hAnsi="Calibri"/>
                <w:color w:val="FFFFFF"/>
                <w:sz w:val="18"/>
                <w:szCs w:val="18"/>
              </w:rPr>
              <w:t>Resultado Objetivo Específico</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C00B6A" w:rsidRPr="00C00B6A" w:rsidRDefault="00C00B6A" w:rsidP="00C00B6A">
            <w:pPr>
              <w:jc w:val="center"/>
              <w:rPr>
                <w:rFonts w:ascii="Calibri" w:hAnsi="Calibri"/>
                <w:color w:val="FFFFFF"/>
                <w:sz w:val="18"/>
                <w:szCs w:val="18"/>
              </w:rPr>
            </w:pPr>
            <w:r w:rsidRPr="00C00B6A">
              <w:rPr>
                <w:rFonts w:ascii="Calibri" w:hAnsi="Calibri"/>
                <w:color w:val="FFFFFF"/>
                <w:sz w:val="18"/>
                <w:szCs w:val="18"/>
              </w:rPr>
              <w:t>Resultado Objetivo Plan</w:t>
            </w:r>
          </w:p>
        </w:tc>
      </w:tr>
      <w:tr w:rsidR="00C00B6A" w:rsidRPr="00C00B6A" w:rsidTr="00C00B6A">
        <w:trPr>
          <w:trHeight w:val="1838"/>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C00B6A" w:rsidRPr="00C00B6A" w:rsidRDefault="00C00B6A" w:rsidP="00C00B6A">
            <w:pPr>
              <w:jc w:val="both"/>
              <w:rPr>
                <w:rFonts w:ascii="Calibri" w:hAnsi="Calibri"/>
                <w:color w:val="000000"/>
                <w:sz w:val="18"/>
                <w:szCs w:val="18"/>
              </w:rPr>
            </w:pPr>
            <w:r w:rsidRPr="00C00B6A">
              <w:rPr>
                <w:rFonts w:ascii="Calibri" w:hAnsi="Calibri"/>
                <w:color w:val="000000"/>
                <w:sz w:val="18"/>
                <w:szCs w:val="18"/>
              </w:rPr>
              <w:t>1.1 Lograr el mantenimiento de la certificación dada en las normas de calidad NTCGP 1000:2009 y NTC ISO 9001:2008 en la Sala Administrativa del Consejo Superior de la Judicatura y Dirección Ejecutiva de Administración Judicial (Nivel Central y Seccional), y Despachos Judiciales que actualmente se encuentran certificados</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4</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98%</w:t>
            </w:r>
          </w:p>
        </w:tc>
        <w:tc>
          <w:tcPr>
            <w:tcW w:w="615" w:type="pct"/>
            <w:tcBorders>
              <w:top w:val="nil"/>
              <w:left w:val="nil"/>
              <w:bottom w:val="single" w:sz="4" w:space="0" w:color="auto"/>
              <w:right w:val="single" w:sz="4" w:space="0" w:color="auto"/>
            </w:tcBorders>
            <w:shd w:val="clear" w:color="000000" w:fill="FFC000"/>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75%</w:t>
            </w:r>
          </w:p>
        </w:tc>
      </w:tr>
      <w:tr w:rsidR="00C00B6A" w:rsidRPr="00C00B6A" w:rsidTr="00C00B6A">
        <w:trPr>
          <w:trHeight w:val="2612"/>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C00B6A" w:rsidRPr="00C00B6A" w:rsidRDefault="00C00B6A" w:rsidP="00C00B6A">
            <w:pPr>
              <w:jc w:val="both"/>
              <w:rPr>
                <w:rFonts w:ascii="Calibri" w:hAnsi="Calibri"/>
                <w:color w:val="000000"/>
                <w:sz w:val="18"/>
                <w:szCs w:val="18"/>
              </w:rPr>
            </w:pPr>
            <w:r w:rsidRPr="00C00B6A">
              <w:rPr>
                <w:rFonts w:ascii="Calibri" w:hAnsi="Calibri"/>
                <w:color w:val="000000"/>
                <w:sz w:val="18"/>
                <w:szCs w:val="18"/>
              </w:rPr>
              <w:t>1.2 Ampliar la cobertura en la certificación del sistema de gestión de calidad en los Despachos Judiciales siguientes: Tribunal Administrativo de Santander, Tribunal Administrativo del Caquetá, Tribunales Administrativo y Sala de Restitución de Tierras de Bolívar, Juzgados Administrativos de Cartagena, Juzgados de la localidad de El Carmen de Bolívar, Tribunal Administrativo y Sala de Restitución de Tierras del Tolima, Juzgados del Circuito Judicial de  Chaparral,  y Juzgados del Circuito Judicial de Armenia.</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4</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81%</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 </w:t>
            </w:r>
          </w:p>
        </w:tc>
      </w:tr>
      <w:tr w:rsidR="00C00B6A" w:rsidRPr="00C00B6A" w:rsidTr="00C00B6A">
        <w:trPr>
          <w:trHeight w:val="1279"/>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C00B6A" w:rsidRPr="00C00B6A" w:rsidRDefault="00C00B6A" w:rsidP="00C00B6A">
            <w:pPr>
              <w:jc w:val="both"/>
              <w:rPr>
                <w:rFonts w:ascii="Calibri" w:hAnsi="Calibri"/>
                <w:color w:val="000000"/>
                <w:sz w:val="18"/>
                <w:szCs w:val="18"/>
              </w:rPr>
            </w:pPr>
            <w:r w:rsidRPr="00C00B6A">
              <w:rPr>
                <w:rFonts w:ascii="Calibri" w:hAnsi="Calibri"/>
                <w:color w:val="000000"/>
                <w:sz w:val="18"/>
                <w:szCs w:val="18"/>
              </w:rPr>
              <w:lastRenderedPageBreak/>
              <w:t>1.3 Institucionalizar la comunicación en la Rama Judicial orientando sus estrategias  al cumplimiento de principios como la publicidad, la transparencia y la participación ciudadana.</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4</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63%</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 </w:t>
            </w:r>
          </w:p>
        </w:tc>
      </w:tr>
      <w:tr w:rsidR="00C00B6A" w:rsidRPr="00C00B6A" w:rsidTr="00C00B6A">
        <w:trPr>
          <w:trHeight w:val="1150"/>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C00B6A" w:rsidRPr="00C00B6A" w:rsidRDefault="00C00B6A" w:rsidP="00C00B6A">
            <w:pPr>
              <w:jc w:val="both"/>
              <w:rPr>
                <w:rFonts w:ascii="Calibri" w:hAnsi="Calibri"/>
                <w:color w:val="000000"/>
                <w:sz w:val="18"/>
                <w:szCs w:val="18"/>
              </w:rPr>
            </w:pPr>
            <w:r w:rsidRPr="00C00B6A">
              <w:rPr>
                <w:rFonts w:ascii="Calibri" w:hAnsi="Calibri"/>
                <w:color w:val="000000"/>
                <w:sz w:val="18"/>
                <w:szCs w:val="18"/>
              </w:rPr>
              <w:t>1.4 Diseñar, implementar y certificar el Sistema de Gestión de Calidad en la Sala de Consulta del Consejo de Estado y la  Sala de Casación Civil de la Corte Suprema de Justicia.</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3</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60%</w:t>
            </w:r>
          </w:p>
        </w:tc>
        <w:tc>
          <w:tcPr>
            <w:tcW w:w="615" w:type="pct"/>
            <w:tcBorders>
              <w:top w:val="nil"/>
              <w:left w:val="nil"/>
              <w:bottom w:val="single" w:sz="4" w:space="0" w:color="auto"/>
              <w:right w:val="single" w:sz="4" w:space="0" w:color="auto"/>
            </w:tcBorders>
            <w:shd w:val="clear" w:color="auto" w:fill="auto"/>
            <w:noWrap/>
            <w:vAlign w:val="center"/>
            <w:hideMark/>
          </w:tcPr>
          <w:p w:rsidR="00C00B6A" w:rsidRPr="00C00B6A" w:rsidRDefault="00C00B6A" w:rsidP="00C00B6A">
            <w:pPr>
              <w:jc w:val="center"/>
              <w:rPr>
                <w:rFonts w:ascii="Calibri" w:hAnsi="Calibri"/>
                <w:color w:val="000000"/>
                <w:sz w:val="18"/>
                <w:szCs w:val="18"/>
              </w:rPr>
            </w:pPr>
            <w:r w:rsidRPr="00C00B6A">
              <w:rPr>
                <w:rFonts w:ascii="Calibri" w:hAnsi="Calibri"/>
                <w:color w:val="000000"/>
                <w:sz w:val="18"/>
                <w:szCs w:val="18"/>
              </w:rPr>
              <w:t> </w:t>
            </w:r>
          </w:p>
        </w:tc>
      </w:tr>
    </w:tbl>
    <w:p w:rsidR="00C00B6A" w:rsidRDefault="00C00B6A" w:rsidP="00C00B6A">
      <w:pPr>
        <w:pStyle w:val="CUERPOTEXTO"/>
        <w:rPr>
          <w:lang w:val="es-MX"/>
        </w:rPr>
      </w:pPr>
    </w:p>
    <w:p w:rsidR="00C00B6A" w:rsidRDefault="00C00B6A" w:rsidP="00C00B6A">
      <w:pPr>
        <w:pStyle w:val="CUERPOTEXTO"/>
        <w:rPr>
          <w:lang w:val="es-MX"/>
        </w:rPr>
      </w:pPr>
    </w:p>
    <w:p w:rsidR="00C00B6A" w:rsidRPr="00F268D9" w:rsidRDefault="00F268D9" w:rsidP="009D58FF">
      <w:pPr>
        <w:pStyle w:val="CUERPOTEXTO"/>
        <w:numPr>
          <w:ilvl w:val="0"/>
          <w:numId w:val="34"/>
        </w:numPr>
        <w:outlineLvl w:val="2"/>
        <w:rPr>
          <w:color w:val="0070C0"/>
          <w:lang w:val="es-MX"/>
        </w:rPr>
      </w:pPr>
      <w:r w:rsidRPr="00F268D9">
        <w:rPr>
          <w:color w:val="0070C0"/>
          <w:lang w:val="es-MX"/>
        </w:rPr>
        <w:t>Garantizar la Operación del SIGCMA</w:t>
      </w:r>
    </w:p>
    <w:p w:rsidR="00F268D9" w:rsidRDefault="00F268D9" w:rsidP="00F268D9">
      <w:pPr>
        <w:pStyle w:val="CUERPOTEXTO"/>
        <w:rPr>
          <w:lang w:val="es-MX"/>
        </w:rPr>
      </w:pPr>
    </w:p>
    <w:p w:rsidR="00F268D9" w:rsidRDefault="00F268D9" w:rsidP="00F268D9">
      <w:pPr>
        <w:pStyle w:val="CUERPOTEXTO"/>
        <w:rPr>
          <w:lang w:val="es-MX"/>
        </w:rPr>
      </w:pPr>
      <w:r>
        <w:rPr>
          <w:lang w:val="es-MX"/>
        </w:rPr>
        <w:t>Se establecieron siete (7) objetivos específicos y quince (15) estrategias para garantizar la operación del SIGCMA.</w:t>
      </w:r>
    </w:p>
    <w:p w:rsidR="00F268D9" w:rsidRDefault="00F268D9" w:rsidP="00F268D9">
      <w:pPr>
        <w:pStyle w:val="CUERPOTEXTO"/>
        <w:rPr>
          <w:lang w:val="es-MX"/>
        </w:rPr>
      </w:pPr>
    </w:p>
    <w:p w:rsidR="00F268D9" w:rsidRDefault="00F268D9" w:rsidP="00F268D9">
      <w:pPr>
        <w:pStyle w:val="CUERPOTEXTO"/>
        <w:rPr>
          <w:lang w:val="es-MX"/>
        </w:rPr>
      </w:pPr>
      <w:r>
        <w:rPr>
          <w:lang w:val="es-MX"/>
        </w:rPr>
        <w:t xml:space="preserve">El resultado del avance acumulado obtenido a 31 de octubre de 2015 es del 82%, afectado principalmente por no llevarse a cabo la contratación para realizar el Diplomado en HSEQ, la asesoría al SIGCMA y capacitaciones en temas relacionados con el sistema de gestión ambiental. </w:t>
      </w:r>
    </w:p>
    <w:p w:rsidR="00F268D9" w:rsidRDefault="00F268D9" w:rsidP="00F268D9">
      <w:pPr>
        <w:pStyle w:val="CUERPOTEXTO"/>
        <w:rPr>
          <w:lang w:val="es-MX"/>
        </w:rPr>
      </w:pPr>
    </w:p>
    <w:p w:rsidR="00F268D9" w:rsidRDefault="00F268D9" w:rsidP="00F268D9">
      <w:pPr>
        <w:pStyle w:val="CUERPOTEXTO"/>
        <w:rPr>
          <w:lang w:val="es-MX"/>
        </w:rPr>
      </w:pPr>
      <w:r>
        <w:rPr>
          <w:lang w:val="es-MX"/>
        </w:rPr>
        <w:t>No obstante, la organización a través del equipo de profesionales formados y el apoyo de la Escuela Judicial Rodrigo Lara Bonilla ha mitigado el impacto observado desplazando formadores especializados a las distintas zonas del  país.</w:t>
      </w:r>
    </w:p>
    <w:p w:rsidR="00F268D9" w:rsidRDefault="00F268D9" w:rsidP="00F268D9">
      <w:pPr>
        <w:pStyle w:val="CUERPOTEXTO"/>
        <w:rPr>
          <w:lang w:val="es-MX"/>
        </w:rPr>
      </w:pPr>
    </w:p>
    <w:tbl>
      <w:tblPr>
        <w:tblW w:w="5000" w:type="pct"/>
        <w:tblCellMar>
          <w:left w:w="70" w:type="dxa"/>
          <w:right w:w="70" w:type="dxa"/>
        </w:tblCellMar>
        <w:tblLook w:val="04A0" w:firstRow="1" w:lastRow="0" w:firstColumn="1" w:lastColumn="0" w:noHBand="0" w:noVBand="1"/>
      </w:tblPr>
      <w:tblGrid>
        <w:gridCol w:w="5572"/>
        <w:gridCol w:w="1086"/>
        <w:gridCol w:w="1086"/>
        <w:gridCol w:w="1084"/>
      </w:tblGrid>
      <w:tr w:rsidR="00F268D9" w:rsidRPr="00F268D9" w:rsidTr="00F268D9">
        <w:trPr>
          <w:trHeight w:val="839"/>
          <w:tblHeader/>
        </w:trPr>
        <w:tc>
          <w:tcPr>
            <w:tcW w:w="3156"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F268D9" w:rsidRPr="00F268D9" w:rsidRDefault="00F268D9" w:rsidP="00F268D9">
            <w:pPr>
              <w:jc w:val="center"/>
              <w:rPr>
                <w:rFonts w:ascii="Calibri" w:hAnsi="Calibri"/>
                <w:color w:val="FFFFFF"/>
                <w:sz w:val="18"/>
                <w:szCs w:val="18"/>
              </w:rPr>
            </w:pPr>
            <w:r w:rsidRPr="00F268D9">
              <w:rPr>
                <w:rFonts w:ascii="Calibri" w:hAnsi="Calibri"/>
                <w:color w:val="FFFFFF"/>
                <w:sz w:val="18"/>
                <w:szCs w:val="18"/>
              </w:rPr>
              <w:t>OBJETIVOS ESPECÍFICOS</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F268D9" w:rsidRPr="00F268D9" w:rsidRDefault="00F268D9" w:rsidP="00F268D9">
            <w:pPr>
              <w:jc w:val="center"/>
              <w:rPr>
                <w:rFonts w:ascii="Calibri" w:hAnsi="Calibri"/>
                <w:color w:val="FFFFFF"/>
                <w:sz w:val="18"/>
                <w:szCs w:val="18"/>
              </w:rPr>
            </w:pPr>
            <w:r w:rsidRPr="00F268D9">
              <w:rPr>
                <w:rFonts w:ascii="Calibri" w:hAnsi="Calibri"/>
                <w:color w:val="FFFFFF"/>
                <w:sz w:val="18"/>
                <w:szCs w:val="18"/>
              </w:rPr>
              <w:t xml:space="preserve">No. Estrategias </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F268D9" w:rsidRPr="00F268D9" w:rsidRDefault="00F268D9" w:rsidP="00F268D9">
            <w:pPr>
              <w:jc w:val="center"/>
              <w:rPr>
                <w:rFonts w:ascii="Calibri" w:hAnsi="Calibri"/>
                <w:color w:val="FFFFFF"/>
                <w:sz w:val="18"/>
                <w:szCs w:val="18"/>
              </w:rPr>
            </w:pPr>
            <w:r w:rsidRPr="00F268D9">
              <w:rPr>
                <w:rFonts w:ascii="Calibri" w:hAnsi="Calibri"/>
                <w:color w:val="FFFFFF"/>
                <w:sz w:val="18"/>
                <w:szCs w:val="18"/>
              </w:rPr>
              <w:t>Resultado Objetivo Específico</w:t>
            </w:r>
          </w:p>
        </w:tc>
        <w:tc>
          <w:tcPr>
            <w:tcW w:w="614" w:type="pct"/>
            <w:tcBorders>
              <w:top w:val="single" w:sz="4" w:space="0" w:color="auto"/>
              <w:left w:val="nil"/>
              <w:bottom w:val="single" w:sz="4" w:space="0" w:color="auto"/>
              <w:right w:val="single" w:sz="4" w:space="0" w:color="auto"/>
            </w:tcBorders>
            <w:shd w:val="clear" w:color="000000" w:fill="C00000"/>
            <w:vAlign w:val="center"/>
            <w:hideMark/>
          </w:tcPr>
          <w:p w:rsidR="00F268D9" w:rsidRPr="00F268D9" w:rsidRDefault="00F268D9" w:rsidP="00F268D9">
            <w:pPr>
              <w:jc w:val="center"/>
              <w:rPr>
                <w:rFonts w:ascii="Calibri" w:hAnsi="Calibri"/>
                <w:color w:val="FFFFFF"/>
                <w:sz w:val="18"/>
                <w:szCs w:val="18"/>
              </w:rPr>
            </w:pPr>
            <w:r w:rsidRPr="00F268D9">
              <w:rPr>
                <w:rFonts w:ascii="Calibri" w:hAnsi="Calibri"/>
                <w:color w:val="FFFFFF"/>
                <w:sz w:val="18"/>
                <w:szCs w:val="18"/>
              </w:rPr>
              <w:t>Resultado Objetivo Plan</w:t>
            </w:r>
          </w:p>
        </w:tc>
      </w:tr>
      <w:tr w:rsidR="00F268D9" w:rsidRPr="00F268D9" w:rsidTr="00F268D9">
        <w:trPr>
          <w:trHeight w:val="1172"/>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F268D9" w:rsidRPr="00F268D9" w:rsidRDefault="00F268D9" w:rsidP="00F268D9">
            <w:pPr>
              <w:jc w:val="both"/>
              <w:rPr>
                <w:rFonts w:ascii="Calibri" w:hAnsi="Calibri"/>
                <w:color w:val="000000"/>
                <w:sz w:val="18"/>
                <w:szCs w:val="18"/>
              </w:rPr>
            </w:pPr>
            <w:r w:rsidRPr="00F268D9">
              <w:rPr>
                <w:rFonts w:ascii="Calibri" w:hAnsi="Calibri"/>
                <w:color w:val="000000"/>
                <w:sz w:val="18"/>
                <w:szCs w:val="18"/>
              </w:rPr>
              <w:t xml:space="preserve">2.1 Desarrollar y/o fortalecer las competencias del talento humano teniendo en cuenta la integración con los sistemas de control, medio ambiente, así como las recomendaciones dadas en la materia de responsabilidad social. </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4</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57%</w:t>
            </w:r>
          </w:p>
        </w:tc>
        <w:tc>
          <w:tcPr>
            <w:tcW w:w="614" w:type="pct"/>
            <w:tcBorders>
              <w:top w:val="nil"/>
              <w:left w:val="nil"/>
              <w:bottom w:val="single" w:sz="4" w:space="0" w:color="auto"/>
              <w:right w:val="single" w:sz="4" w:space="0" w:color="auto"/>
            </w:tcBorders>
            <w:shd w:val="clear" w:color="000000" w:fill="66FF33"/>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82%</w:t>
            </w:r>
          </w:p>
        </w:tc>
      </w:tr>
      <w:tr w:rsidR="00F268D9" w:rsidRPr="00F268D9" w:rsidTr="00F268D9">
        <w:trPr>
          <w:trHeight w:val="943"/>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F268D9" w:rsidRPr="00F268D9" w:rsidRDefault="00F268D9" w:rsidP="00F268D9">
            <w:pPr>
              <w:jc w:val="both"/>
              <w:rPr>
                <w:rFonts w:ascii="Calibri" w:hAnsi="Calibri"/>
                <w:color w:val="000000"/>
                <w:sz w:val="18"/>
                <w:szCs w:val="18"/>
              </w:rPr>
            </w:pPr>
            <w:r w:rsidRPr="00F268D9">
              <w:rPr>
                <w:rFonts w:ascii="Calibri" w:hAnsi="Calibri"/>
                <w:color w:val="000000"/>
                <w:sz w:val="18"/>
                <w:szCs w:val="18"/>
              </w:rPr>
              <w:t>2.2 Diseñar e implementar mecanismos y herramientas de comunicación que garanticen la divulgación y entendimiento del sistema integrado de gestión y control de la calidad y medio ambiente “SIGCMA”.</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2</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42%</w:t>
            </w:r>
          </w:p>
        </w:tc>
        <w:tc>
          <w:tcPr>
            <w:tcW w:w="614"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 </w:t>
            </w:r>
          </w:p>
        </w:tc>
      </w:tr>
      <w:tr w:rsidR="00F268D9" w:rsidRPr="00F268D9" w:rsidTr="00F268D9">
        <w:trPr>
          <w:trHeight w:val="843"/>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F268D9" w:rsidRPr="00F268D9" w:rsidRDefault="00F268D9" w:rsidP="00F268D9">
            <w:pPr>
              <w:jc w:val="both"/>
              <w:rPr>
                <w:rFonts w:ascii="Calibri" w:hAnsi="Calibri"/>
                <w:color w:val="000000"/>
                <w:sz w:val="18"/>
                <w:szCs w:val="18"/>
              </w:rPr>
            </w:pPr>
            <w:r w:rsidRPr="00F268D9">
              <w:rPr>
                <w:rFonts w:ascii="Calibri" w:hAnsi="Calibri"/>
                <w:color w:val="000000"/>
                <w:sz w:val="18"/>
                <w:szCs w:val="18"/>
              </w:rPr>
              <w:t xml:space="preserve">2.3 Hacer de las estrategias de comunicación un elemento relevante en el proceso de consolidación de la imagen institucional y de acercamiento con los diversos públicos y partes interesadas. </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100%</w:t>
            </w:r>
          </w:p>
        </w:tc>
        <w:tc>
          <w:tcPr>
            <w:tcW w:w="614"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 </w:t>
            </w:r>
          </w:p>
        </w:tc>
      </w:tr>
      <w:tr w:rsidR="00F268D9" w:rsidRPr="00F268D9" w:rsidTr="00F268D9">
        <w:trPr>
          <w:trHeight w:val="699"/>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F268D9" w:rsidRPr="00F268D9" w:rsidRDefault="00F268D9" w:rsidP="00F268D9">
            <w:pPr>
              <w:jc w:val="both"/>
              <w:rPr>
                <w:rFonts w:ascii="Calibri" w:hAnsi="Calibri"/>
                <w:color w:val="000000"/>
                <w:sz w:val="18"/>
                <w:szCs w:val="18"/>
              </w:rPr>
            </w:pPr>
            <w:r w:rsidRPr="00F268D9">
              <w:rPr>
                <w:rFonts w:ascii="Calibri" w:hAnsi="Calibri"/>
                <w:color w:val="000000"/>
                <w:sz w:val="18"/>
                <w:szCs w:val="18"/>
              </w:rPr>
              <w:t>2.4 Definir las directrices y estrategias que permitan materializar las políticas de comunicación interna y externa.</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100%</w:t>
            </w:r>
          </w:p>
        </w:tc>
        <w:tc>
          <w:tcPr>
            <w:tcW w:w="614"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 </w:t>
            </w:r>
          </w:p>
        </w:tc>
      </w:tr>
      <w:tr w:rsidR="00F268D9" w:rsidRPr="00F268D9" w:rsidTr="00F268D9">
        <w:trPr>
          <w:trHeight w:val="1000"/>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F268D9" w:rsidRPr="00F268D9" w:rsidRDefault="00F268D9" w:rsidP="00F268D9">
            <w:pPr>
              <w:jc w:val="both"/>
              <w:rPr>
                <w:rFonts w:ascii="Calibri" w:hAnsi="Calibri"/>
                <w:color w:val="000000"/>
                <w:sz w:val="18"/>
                <w:szCs w:val="18"/>
              </w:rPr>
            </w:pPr>
            <w:r w:rsidRPr="00F268D9">
              <w:rPr>
                <w:rFonts w:ascii="Calibri" w:hAnsi="Calibri"/>
                <w:color w:val="000000"/>
                <w:sz w:val="18"/>
                <w:szCs w:val="18"/>
              </w:rPr>
              <w:lastRenderedPageBreak/>
              <w:t>2.5 Fomentar el conocimiento y comprensión de la estructura organizacional y la gestión de la Rama Judicial para generar mayores niveles de confianza y credibilidad en la ciudadanía</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100%</w:t>
            </w:r>
          </w:p>
        </w:tc>
        <w:tc>
          <w:tcPr>
            <w:tcW w:w="614"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 </w:t>
            </w:r>
          </w:p>
        </w:tc>
      </w:tr>
      <w:tr w:rsidR="00F268D9" w:rsidRPr="00F268D9" w:rsidTr="00F268D9">
        <w:trPr>
          <w:trHeight w:val="679"/>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F268D9" w:rsidRPr="00F268D9" w:rsidRDefault="00F268D9" w:rsidP="00F268D9">
            <w:pPr>
              <w:jc w:val="both"/>
              <w:rPr>
                <w:rFonts w:ascii="Calibri" w:hAnsi="Calibri"/>
                <w:color w:val="000000"/>
                <w:sz w:val="18"/>
                <w:szCs w:val="18"/>
              </w:rPr>
            </w:pPr>
            <w:r w:rsidRPr="00F268D9">
              <w:rPr>
                <w:rFonts w:ascii="Calibri" w:hAnsi="Calibri"/>
                <w:color w:val="000000"/>
                <w:sz w:val="18"/>
                <w:szCs w:val="18"/>
              </w:rPr>
              <w:t>2.6 Promover en los servidores judiciales la cultura de comunicación institucional, como  eje estratégico y transversal de la Rama Judicial.</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100%</w:t>
            </w:r>
          </w:p>
        </w:tc>
        <w:tc>
          <w:tcPr>
            <w:tcW w:w="614"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 </w:t>
            </w:r>
          </w:p>
        </w:tc>
      </w:tr>
      <w:tr w:rsidR="00F268D9" w:rsidRPr="00F268D9" w:rsidTr="00F268D9">
        <w:trPr>
          <w:trHeight w:val="1116"/>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F268D9" w:rsidRPr="00F268D9" w:rsidRDefault="00F268D9" w:rsidP="00F268D9">
            <w:pPr>
              <w:jc w:val="both"/>
              <w:rPr>
                <w:rFonts w:ascii="Calibri" w:hAnsi="Calibri"/>
                <w:color w:val="000000"/>
                <w:sz w:val="18"/>
                <w:szCs w:val="18"/>
              </w:rPr>
            </w:pPr>
            <w:r w:rsidRPr="00F268D9">
              <w:rPr>
                <w:rFonts w:ascii="Calibri" w:hAnsi="Calibri"/>
                <w:color w:val="000000"/>
                <w:sz w:val="18"/>
                <w:szCs w:val="18"/>
              </w:rPr>
              <w:t>2.7 Llevar a cabo la revisión del sistema de gestión de calidad en la Sala Administrativa del Consejo Superior de la Judicatura, Dirección Ejecutiva de Administración Judicial (Nivel Central       y Seccional), Despachos judiciales certificados y Despachos judiciales en proceso de certificación</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5</w:t>
            </w:r>
          </w:p>
        </w:tc>
        <w:tc>
          <w:tcPr>
            <w:tcW w:w="615"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78%</w:t>
            </w:r>
          </w:p>
        </w:tc>
        <w:tc>
          <w:tcPr>
            <w:tcW w:w="614" w:type="pct"/>
            <w:tcBorders>
              <w:top w:val="nil"/>
              <w:left w:val="nil"/>
              <w:bottom w:val="single" w:sz="4" w:space="0" w:color="auto"/>
              <w:right w:val="single" w:sz="4" w:space="0" w:color="auto"/>
            </w:tcBorders>
            <w:shd w:val="clear" w:color="auto" w:fill="auto"/>
            <w:noWrap/>
            <w:vAlign w:val="center"/>
            <w:hideMark/>
          </w:tcPr>
          <w:p w:rsidR="00F268D9" w:rsidRPr="00F268D9" w:rsidRDefault="00F268D9" w:rsidP="00F268D9">
            <w:pPr>
              <w:jc w:val="center"/>
              <w:rPr>
                <w:rFonts w:ascii="Calibri" w:hAnsi="Calibri"/>
                <w:color w:val="000000"/>
                <w:sz w:val="18"/>
                <w:szCs w:val="18"/>
              </w:rPr>
            </w:pPr>
            <w:r w:rsidRPr="00F268D9">
              <w:rPr>
                <w:rFonts w:ascii="Calibri" w:hAnsi="Calibri"/>
                <w:color w:val="000000"/>
                <w:sz w:val="18"/>
                <w:szCs w:val="18"/>
              </w:rPr>
              <w:t> </w:t>
            </w:r>
          </w:p>
        </w:tc>
      </w:tr>
    </w:tbl>
    <w:p w:rsidR="00F268D9" w:rsidRDefault="00F268D9" w:rsidP="00F268D9">
      <w:pPr>
        <w:pStyle w:val="CUERPOTEXTO"/>
        <w:rPr>
          <w:lang w:val="es-MX"/>
        </w:rPr>
      </w:pPr>
    </w:p>
    <w:p w:rsidR="00C00B6A" w:rsidRDefault="00C00B6A" w:rsidP="00C00B6A">
      <w:pPr>
        <w:pStyle w:val="CUERPOTEXTO"/>
        <w:rPr>
          <w:lang w:val="es-MX"/>
        </w:rPr>
      </w:pPr>
    </w:p>
    <w:p w:rsidR="00C00B6A" w:rsidRPr="00703E39" w:rsidRDefault="00703E39" w:rsidP="009D58FF">
      <w:pPr>
        <w:pStyle w:val="CUERPOTEXTO"/>
        <w:numPr>
          <w:ilvl w:val="0"/>
          <w:numId w:val="34"/>
        </w:numPr>
        <w:outlineLvl w:val="2"/>
        <w:rPr>
          <w:color w:val="0070C0"/>
          <w:lang w:val="es-MX"/>
        </w:rPr>
      </w:pPr>
      <w:r w:rsidRPr="00703E39">
        <w:rPr>
          <w:color w:val="0070C0"/>
          <w:lang w:val="es-MX"/>
        </w:rPr>
        <w:t xml:space="preserve">Consolidar la mejora </w:t>
      </w:r>
    </w:p>
    <w:p w:rsidR="00703E39" w:rsidRDefault="00703E39" w:rsidP="00703E39">
      <w:pPr>
        <w:pStyle w:val="CUERPOTEXTO"/>
        <w:rPr>
          <w:lang w:val="es-MX"/>
        </w:rPr>
      </w:pPr>
    </w:p>
    <w:p w:rsidR="00703E39" w:rsidRDefault="00703E39" w:rsidP="00703E39">
      <w:pPr>
        <w:pStyle w:val="CUERPOTEXTO"/>
        <w:rPr>
          <w:lang w:val="es-MX"/>
        </w:rPr>
      </w:pPr>
      <w:r>
        <w:rPr>
          <w:lang w:val="es-MX"/>
        </w:rPr>
        <w:t>Se establecieron cinco (5) objetivos específicos y cinco (5) estrategias para consolidar  la mejora del SIGCMA.</w:t>
      </w:r>
    </w:p>
    <w:p w:rsidR="00703E39" w:rsidRDefault="00703E39" w:rsidP="00703E39">
      <w:pPr>
        <w:pStyle w:val="CUERPOTEXTO"/>
        <w:rPr>
          <w:lang w:val="es-MX"/>
        </w:rPr>
      </w:pPr>
    </w:p>
    <w:p w:rsidR="00703E39" w:rsidRDefault="00703E39" w:rsidP="00703E39">
      <w:pPr>
        <w:pStyle w:val="CUERPOTEXTO"/>
        <w:rPr>
          <w:lang w:val="es-MX"/>
        </w:rPr>
      </w:pPr>
      <w:r>
        <w:rPr>
          <w:lang w:val="es-MX"/>
        </w:rPr>
        <w:t xml:space="preserve">El resultado del avance acumulado obtenido a 31 de octubre de 2015 es del 44%, afectado principalmente por no aprobarse el proyecto para realizar la actualización del software de gestión de calidad, el cual tiene como principal propósito la automatización de las sedes administrativas y judiciales en la operación de sus procesos, especialmente los relacionados con el sistema de QRSs. </w:t>
      </w:r>
    </w:p>
    <w:p w:rsidR="00703E39" w:rsidRDefault="00703E39" w:rsidP="00703E39">
      <w:pPr>
        <w:pStyle w:val="CUERPOTEXTO"/>
        <w:rPr>
          <w:lang w:val="es-MX"/>
        </w:rPr>
      </w:pPr>
    </w:p>
    <w:p w:rsidR="00703E39" w:rsidRDefault="00703E39" w:rsidP="00703E39">
      <w:pPr>
        <w:pStyle w:val="CUERPOTEXTO"/>
        <w:rPr>
          <w:lang w:val="es-MX"/>
        </w:rPr>
      </w:pPr>
      <w:r>
        <w:rPr>
          <w:lang w:val="es-MX"/>
        </w:rPr>
        <w:t xml:space="preserve">Para mitigar el riesgo que genera la falta de actualización de la plataforma sobre la cual opera el SIGCMA, se decidió mantener la documentación en medios magnéticos y físicos que eviten la pérdida de la información del sistema. </w:t>
      </w:r>
    </w:p>
    <w:p w:rsidR="00703E39" w:rsidRDefault="00703E39" w:rsidP="00703E39">
      <w:pPr>
        <w:pStyle w:val="CUERPOTEXTO"/>
        <w:rPr>
          <w:lang w:val="es-MX"/>
        </w:rPr>
      </w:pPr>
    </w:p>
    <w:p w:rsidR="00703E39" w:rsidRDefault="00703E39" w:rsidP="00703E39">
      <w:pPr>
        <w:pStyle w:val="CUERPOTEXTO"/>
        <w:rPr>
          <w:lang w:val="es-MX"/>
        </w:rPr>
      </w:pPr>
    </w:p>
    <w:tbl>
      <w:tblPr>
        <w:tblW w:w="5000" w:type="pct"/>
        <w:tblCellMar>
          <w:left w:w="70" w:type="dxa"/>
          <w:right w:w="70" w:type="dxa"/>
        </w:tblCellMar>
        <w:tblLook w:val="04A0" w:firstRow="1" w:lastRow="0" w:firstColumn="1" w:lastColumn="0" w:noHBand="0" w:noVBand="1"/>
      </w:tblPr>
      <w:tblGrid>
        <w:gridCol w:w="5572"/>
        <w:gridCol w:w="1086"/>
        <w:gridCol w:w="1086"/>
        <w:gridCol w:w="1084"/>
      </w:tblGrid>
      <w:tr w:rsidR="00703E39" w:rsidRPr="00703E39" w:rsidTr="00703E39">
        <w:trPr>
          <w:trHeight w:val="839"/>
          <w:tblHeader/>
        </w:trPr>
        <w:tc>
          <w:tcPr>
            <w:tcW w:w="3156"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703E39" w:rsidRPr="00703E39" w:rsidRDefault="00703E39" w:rsidP="00703E39">
            <w:pPr>
              <w:jc w:val="center"/>
              <w:rPr>
                <w:rFonts w:ascii="Calibri" w:hAnsi="Calibri"/>
                <w:color w:val="FFFFFF"/>
                <w:sz w:val="18"/>
                <w:szCs w:val="18"/>
              </w:rPr>
            </w:pPr>
            <w:r w:rsidRPr="00703E39">
              <w:rPr>
                <w:rFonts w:ascii="Calibri" w:hAnsi="Calibri"/>
                <w:color w:val="FFFFFF"/>
                <w:sz w:val="18"/>
                <w:szCs w:val="18"/>
              </w:rPr>
              <w:t>OBJETIVOS ESPECÍFICOS</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703E39" w:rsidRPr="00703E39" w:rsidRDefault="00703E39" w:rsidP="00703E39">
            <w:pPr>
              <w:jc w:val="center"/>
              <w:rPr>
                <w:rFonts w:ascii="Calibri" w:hAnsi="Calibri"/>
                <w:color w:val="FFFFFF"/>
                <w:sz w:val="18"/>
                <w:szCs w:val="18"/>
              </w:rPr>
            </w:pPr>
            <w:r w:rsidRPr="00703E39">
              <w:rPr>
                <w:rFonts w:ascii="Calibri" w:hAnsi="Calibri"/>
                <w:color w:val="FFFFFF"/>
                <w:sz w:val="18"/>
                <w:szCs w:val="18"/>
              </w:rPr>
              <w:t xml:space="preserve">No. Estrategias </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703E39" w:rsidRPr="00703E39" w:rsidRDefault="00703E39" w:rsidP="00703E39">
            <w:pPr>
              <w:jc w:val="center"/>
              <w:rPr>
                <w:rFonts w:ascii="Calibri" w:hAnsi="Calibri"/>
                <w:color w:val="FFFFFF"/>
                <w:sz w:val="18"/>
                <w:szCs w:val="18"/>
              </w:rPr>
            </w:pPr>
            <w:r w:rsidRPr="00703E39">
              <w:rPr>
                <w:rFonts w:ascii="Calibri" w:hAnsi="Calibri"/>
                <w:color w:val="FFFFFF"/>
                <w:sz w:val="18"/>
                <w:szCs w:val="18"/>
              </w:rPr>
              <w:t>Resultado Objetivo Específico</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703E39" w:rsidRPr="00703E39" w:rsidRDefault="00703E39" w:rsidP="00703E39">
            <w:pPr>
              <w:jc w:val="center"/>
              <w:rPr>
                <w:rFonts w:ascii="Calibri" w:hAnsi="Calibri"/>
                <w:color w:val="FFFFFF"/>
                <w:sz w:val="18"/>
                <w:szCs w:val="18"/>
              </w:rPr>
            </w:pPr>
            <w:r w:rsidRPr="00703E39">
              <w:rPr>
                <w:rFonts w:ascii="Calibri" w:hAnsi="Calibri"/>
                <w:color w:val="FFFFFF"/>
                <w:sz w:val="18"/>
                <w:szCs w:val="18"/>
              </w:rPr>
              <w:t>Resultado Objetivo Plan</w:t>
            </w:r>
          </w:p>
        </w:tc>
      </w:tr>
      <w:tr w:rsidR="00703E39" w:rsidRPr="00703E39" w:rsidTr="00703E39">
        <w:trPr>
          <w:trHeight w:val="865"/>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3.1 Revisar y adecuar los mecanismos de seguimiento y medición, ajustando la formulación a la revisión de gestión en los componentes de responsabilidad, control y medio ambiente.</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5%</w:t>
            </w:r>
          </w:p>
        </w:tc>
        <w:tc>
          <w:tcPr>
            <w:tcW w:w="615" w:type="pct"/>
            <w:tcBorders>
              <w:top w:val="nil"/>
              <w:left w:val="nil"/>
              <w:bottom w:val="single" w:sz="4" w:space="0" w:color="auto"/>
              <w:right w:val="single" w:sz="4" w:space="0" w:color="auto"/>
            </w:tcBorders>
            <w:shd w:val="clear" w:color="000000" w:fill="FF0000"/>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44%</w:t>
            </w:r>
          </w:p>
        </w:tc>
      </w:tr>
      <w:tr w:rsidR="00703E39" w:rsidRPr="00703E39" w:rsidTr="00703E39">
        <w:trPr>
          <w:trHeight w:val="1378"/>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3.2 Revisar y adecuar los procedimientos de norma la norma de calidad teniendo en cuenta las recomendaciones de los consultores y el Ente Certificador, así como la incorporación de los requisitos y/o recomendaciones contenidos en el Modelo Estándar de Control Interno “MECI 1000:2014”, NTCISO 14001:2004, NTCISO 31000 y NTCISO 26000.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23%</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703E39">
        <w:trPr>
          <w:trHeight w:val="1006"/>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3.3 Preparar a la organización para la incorporación de nuevas herramientas y metodologías contenidas en la actualización de las normas de calidad, control y gestión (MECI 1000:2014, ISO 31000, ISO 26000, ISO 14001).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90%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703E39">
        <w:trPr>
          <w:trHeight w:val="599"/>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lastRenderedPageBreak/>
              <w:t>3.4  Actualizar la metodología de riesgos utilizada para el sistema de gestión de calidad.</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100%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703E39">
        <w:trPr>
          <w:trHeight w:val="739"/>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3.5 Automatizar el sistema de quejas, reclamos y sugerencias en los Despachos Judiciales certificados.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bl>
    <w:p w:rsidR="00703E39" w:rsidRDefault="00703E39" w:rsidP="00703E39">
      <w:pPr>
        <w:pStyle w:val="CUERPOTEXTO"/>
        <w:rPr>
          <w:lang w:val="es-MX"/>
        </w:rPr>
      </w:pPr>
    </w:p>
    <w:p w:rsidR="00C00B6A" w:rsidRDefault="00C00B6A" w:rsidP="00C43703">
      <w:pPr>
        <w:pStyle w:val="CUERPOTEXTO"/>
        <w:rPr>
          <w:lang w:val="es-MX"/>
        </w:rPr>
      </w:pPr>
    </w:p>
    <w:p w:rsidR="00C00B6A" w:rsidRPr="0040661C" w:rsidRDefault="00703E39" w:rsidP="009D58FF">
      <w:pPr>
        <w:pStyle w:val="CUERPOTEXTO"/>
        <w:numPr>
          <w:ilvl w:val="0"/>
          <w:numId w:val="34"/>
        </w:numPr>
        <w:outlineLvl w:val="2"/>
        <w:rPr>
          <w:color w:val="0070C0"/>
          <w:lang w:val="es-MX"/>
        </w:rPr>
      </w:pPr>
      <w:r w:rsidRPr="0040661C">
        <w:rPr>
          <w:color w:val="0070C0"/>
          <w:lang w:val="es-MX"/>
        </w:rPr>
        <w:t>Garantizar el Cumplimiento de la Política del SIGCMA</w:t>
      </w:r>
    </w:p>
    <w:p w:rsidR="00703E39" w:rsidRDefault="00703E39" w:rsidP="00703E39">
      <w:pPr>
        <w:pStyle w:val="CUERPOTEXTO"/>
        <w:rPr>
          <w:lang w:val="es-MX"/>
        </w:rPr>
      </w:pPr>
    </w:p>
    <w:p w:rsidR="0040661C" w:rsidRDefault="0040661C" w:rsidP="0040661C">
      <w:pPr>
        <w:pStyle w:val="CUERPOTEXTO"/>
        <w:rPr>
          <w:lang w:val="es-MX"/>
        </w:rPr>
      </w:pPr>
      <w:r>
        <w:rPr>
          <w:lang w:val="es-MX"/>
        </w:rPr>
        <w:t>Se establecieron once (11) objetivos específicos o del SIGCMA (Definidos en el Acuerdo 10161 de 2014) y veinticinco (25) estrategias para garantizar el cumplimiento de los objetivos  del SIGCMA.</w:t>
      </w:r>
    </w:p>
    <w:p w:rsidR="0040661C" w:rsidRDefault="0040661C" w:rsidP="0040661C">
      <w:pPr>
        <w:pStyle w:val="CUERPOTEXTO"/>
        <w:rPr>
          <w:lang w:val="es-MX"/>
        </w:rPr>
      </w:pPr>
    </w:p>
    <w:p w:rsidR="0040661C" w:rsidRDefault="0040661C" w:rsidP="0040661C">
      <w:pPr>
        <w:pStyle w:val="CUERPOTEXTO"/>
        <w:rPr>
          <w:lang w:val="es-MX"/>
        </w:rPr>
      </w:pPr>
      <w:r>
        <w:rPr>
          <w:lang w:val="es-MX"/>
        </w:rPr>
        <w:t>El resultado del avance acumulado obtenido a 31 de octubre de 2015 es del 69%, afectado principalmente por la aprobación del Acto Legislativo No. 2, mediante el cual se elimina la Sala Administrativa del Consejo Superior de la Judicatura y se crea la Gerencia de la Rama Judicial.</w:t>
      </w:r>
    </w:p>
    <w:p w:rsidR="0040661C" w:rsidRDefault="0040661C" w:rsidP="0040661C">
      <w:pPr>
        <w:pStyle w:val="CUERPOTEXTO"/>
        <w:rPr>
          <w:lang w:val="es-MX"/>
        </w:rPr>
      </w:pPr>
    </w:p>
    <w:p w:rsidR="0040661C" w:rsidRDefault="0040661C" w:rsidP="0040661C">
      <w:pPr>
        <w:pStyle w:val="CUERPOTEXTO"/>
        <w:rPr>
          <w:lang w:val="es-MX"/>
        </w:rPr>
      </w:pPr>
      <w:r>
        <w:rPr>
          <w:lang w:val="es-MX"/>
        </w:rPr>
        <w:t xml:space="preserve">Sobre el particular vale la pena señalar que el objetivo específico </w:t>
      </w:r>
      <w:r w:rsidRPr="0040661C">
        <w:rPr>
          <w:i/>
          <w:color w:val="0070C0"/>
          <w:lang w:val="es-MX"/>
        </w:rPr>
        <w:t>“</w:t>
      </w:r>
      <w:r w:rsidRPr="00703E39">
        <w:rPr>
          <w:i/>
          <w:color w:val="0070C0"/>
          <w:lang w:val="es-MX"/>
        </w:rPr>
        <w:t>4.2 Avanzar hacia el enfoque sistémico integral de la Rama Judicial, por medio de la armonización y coordinación de los esfuerzos de los distintos órganos que la integran</w:t>
      </w:r>
      <w:r w:rsidRPr="0040661C">
        <w:rPr>
          <w:i/>
          <w:color w:val="0070C0"/>
          <w:lang w:val="es-MX"/>
        </w:rPr>
        <w:t>”</w:t>
      </w:r>
      <w:r>
        <w:rPr>
          <w:i/>
          <w:color w:val="0070C0"/>
          <w:lang w:val="es-MX"/>
        </w:rPr>
        <w:t xml:space="preserve">, </w:t>
      </w:r>
      <w:r>
        <w:rPr>
          <w:color w:val="auto"/>
          <w:lang w:val="es-MX"/>
        </w:rPr>
        <w:t xml:space="preserve">no ha permitido avances significativos debido a la incertidumbre de la integración y propósitos del nuevo  Consejo de Gobierno.  No obstante el trabajo coordinado que se viene realizando con la Corte Suprema de Justicia (integrante del Consejo de Gobierno), prevé </w:t>
      </w:r>
      <w:r w:rsidR="002D579D">
        <w:rPr>
          <w:color w:val="auto"/>
          <w:lang w:val="es-MX"/>
        </w:rPr>
        <w:t>en buen resultado en esta materia finalizando el 2015</w:t>
      </w:r>
      <w:r>
        <w:rPr>
          <w:lang w:val="es-MX"/>
        </w:rPr>
        <w:t xml:space="preserve">. </w:t>
      </w:r>
    </w:p>
    <w:p w:rsidR="002D579D" w:rsidRDefault="002D579D" w:rsidP="0040661C">
      <w:pPr>
        <w:pStyle w:val="CUERPOTEXTO"/>
        <w:rPr>
          <w:lang w:val="es-MX"/>
        </w:rPr>
      </w:pPr>
    </w:p>
    <w:p w:rsidR="002D579D" w:rsidRDefault="002D579D" w:rsidP="0040661C">
      <w:pPr>
        <w:pStyle w:val="CUERPOTEXTO"/>
        <w:rPr>
          <w:color w:val="auto"/>
          <w:lang w:val="es-MX"/>
        </w:rPr>
      </w:pPr>
      <w:r>
        <w:rPr>
          <w:lang w:val="es-MX"/>
        </w:rPr>
        <w:t>De otra parte el objetivo específico “</w:t>
      </w:r>
      <w:r w:rsidRPr="00703E39">
        <w:rPr>
          <w:i/>
          <w:color w:val="0070C0"/>
          <w:lang w:val="es-MX"/>
        </w:rPr>
        <w:t>4.6 Reconocer la importancia del talento humano y de la gestión del conocimiento en la Administración de Justicia</w:t>
      </w:r>
      <w:r>
        <w:rPr>
          <w:i/>
          <w:color w:val="0070C0"/>
          <w:lang w:val="es-MX"/>
        </w:rPr>
        <w:t xml:space="preserve">”, </w:t>
      </w:r>
      <w:r>
        <w:rPr>
          <w:color w:val="auto"/>
          <w:lang w:val="es-MX"/>
        </w:rPr>
        <w:t>está programado para realizarse en el mes de diciembre como es costumbre todos los años.</w:t>
      </w:r>
    </w:p>
    <w:p w:rsidR="002D579D" w:rsidRDefault="002D579D" w:rsidP="0040661C">
      <w:pPr>
        <w:pStyle w:val="CUERPOTEXTO"/>
        <w:rPr>
          <w:color w:val="auto"/>
          <w:lang w:val="es-MX"/>
        </w:rPr>
      </w:pPr>
    </w:p>
    <w:p w:rsidR="002D579D" w:rsidRPr="002D579D" w:rsidRDefault="002D579D" w:rsidP="0040661C">
      <w:pPr>
        <w:pStyle w:val="CUERPOTEXTO"/>
        <w:rPr>
          <w:i/>
          <w:color w:val="0070C0"/>
          <w:lang w:val="es-MX"/>
        </w:rPr>
      </w:pPr>
      <w:r>
        <w:rPr>
          <w:color w:val="auto"/>
          <w:lang w:val="es-MX"/>
        </w:rPr>
        <w:t>Sin considerar estos dos objetivos específicos el avance a 31 de octubre de los Objetivos del SIGCMA sería del 84%.  Y si se considerar exclusivamente los objetivos relacionados con el sistema de gestión de calidad (es decir sin incluir ambiental), el indicador sería del 92%, faltando dos (2) meses para la terminación de la vigencia.</w:t>
      </w:r>
      <w:r w:rsidRPr="00703E39">
        <w:rPr>
          <w:i/>
          <w:color w:val="0070C0"/>
          <w:lang w:val="es-MX"/>
        </w:rPr>
        <w:t xml:space="preserve">  </w:t>
      </w:r>
    </w:p>
    <w:p w:rsidR="00703E39" w:rsidRDefault="00703E39" w:rsidP="00703E39">
      <w:pPr>
        <w:pStyle w:val="CUERPOTEXTO"/>
        <w:rPr>
          <w:lang w:val="es-MX"/>
        </w:rPr>
      </w:pPr>
    </w:p>
    <w:tbl>
      <w:tblPr>
        <w:tblW w:w="5000" w:type="pct"/>
        <w:tblCellMar>
          <w:left w:w="70" w:type="dxa"/>
          <w:right w:w="70" w:type="dxa"/>
        </w:tblCellMar>
        <w:tblLook w:val="04A0" w:firstRow="1" w:lastRow="0" w:firstColumn="1" w:lastColumn="0" w:noHBand="0" w:noVBand="1"/>
      </w:tblPr>
      <w:tblGrid>
        <w:gridCol w:w="5572"/>
        <w:gridCol w:w="1086"/>
        <w:gridCol w:w="1086"/>
        <w:gridCol w:w="1084"/>
      </w:tblGrid>
      <w:tr w:rsidR="00703E39" w:rsidRPr="00703E39" w:rsidTr="0040661C">
        <w:trPr>
          <w:trHeight w:val="839"/>
          <w:tblHeader/>
        </w:trPr>
        <w:tc>
          <w:tcPr>
            <w:tcW w:w="3156"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703E39" w:rsidRPr="00703E39" w:rsidRDefault="00703E39" w:rsidP="00703E39">
            <w:pPr>
              <w:jc w:val="center"/>
              <w:rPr>
                <w:rFonts w:ascii="Calibri" w:hAnsi="Calibri"/>
                <w:color w:val="FFFFFF"/>
                <w:sz w:val="18"/>
                <w:szCs w:val="18"/>
              </w:rPr>
            </w:pPr>
            <w:r w:rsidRPr="00703E39">
              <w:rPr>
                <w:rFonts w:ascii="Calibri" w:hAnsi="Calibri"/>
                <w:color w:val="FFFFFF"/>
                <w:sz w:val="18"/>
                <w:szCs w:val="18"/>
              </w:rPr>
              <w:lastRenderedPageBreak/>
              <w:t>OBJETIVOS ESPECÍFICOS</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703E39" w:rsidRPr="00703E39" w:rsidRDefault="00703E39" w:rsidP="00703E39">
            <w:pPr>
              <w:jc w:val="center"/>
              <w:rPr>
                <w:rFonts w:ascii="Calibri" w:hAnsi="Calibri"/>
                <w:color w:val="FFFFFF"/>
                <w:sz w:val="18"/>
                <w:szCs w:val="18"/>
              </w:rPr>
            </w:pPr>
            <w:r w:rsidRPr="00703E39">
              <w:rPr>
                <w:rFonts w:ascii="Calibri" w:hAnsi="Calibri"/>
                <w:color w:val="FFFFFF"/>
                <w:sz w:val="18"/>
                <w:szCs w:val="18"/>
              </w:rPr>
              <w:t xml:space="preserve">No. Estrategias </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703E39" w:rsidRPr="00703E39" w:rsidRDefault="00703E39" w:rsidP="00703E39">
            <w:pPr>
              <w:jc w:val="center"/>
              <w:rPr>
                <w:rFonts w:ascii="Calibri" w:hAnsi="Calibri"/>
                <w:color w:val="FFFFFF"/>
                <w:sz w:val="18"/>
                <w:szCs w:val="18"/>
              </w:rPr>
            </w:pPr>
            <w:r w:rsidRPr="00703E39">
              <w:rPr>
                <w:rFonts w:ascii="Calibri" w:hAnsi="Calibri"/>
                <w:color w:val="FFFFFF"/>
                <w:sz w:val="18"/>
                <w:szCs w:val="18"/>
              </w:rPr>
              <w:t>Resultado Objetivo Específico</w:t>
            </w:r>
          </w:p>
        </w:tc>
        <w:tc>
          <w:tcPr>
            <w:tcW w:w="615" w:type="pct"/>
            <w:tcBorders>
              <w:top w:val="single" w:sz="4" w:space="0" w:color="auto"/>
              <w:left w:val="nil"/>
              <w:bottom w:val="single" w:sz="4" w:space="0" w:color="auto"/>
              <w:right w:val="single" w:sz="4" w:space="0" w:color="auto"/>
            </w:tcBorders>
            <w:shd w:val="clear" w:color="000000" w:fill="C00000"/>
            <w:vAlign w:val="center"/>
            <w:hideMark/>
          </w:tcPr>
          <w:p w:rsidR="00703E39" w:rsidRPr="00703E39" w:rsidRDefault="00703E39" w:rsidP="00703E39">
            <w:pPr>
              <w:jc w:val="center"/>
              <w:rPr>
                <w:rFonts w:ascii="Calibri" w:hAnsi="Calibri"/>
                <w:color w:val="FFFFFF"/>
                <w:sz w:val="18"/>
                <w:szCs w:val="18"/>
              </w:rPr>
            </w:pPr>
            <w:r w:rsidRPr="00703E39">
              <w:rPr>
                <w:rFonts w:ascii="Calibri" w:hAnsi="Calibri"/>
                <w:color w:val="FFFFFF"/>
                <w:sz w:val="18"/>
                <w:szCs w:val="18"/>
              </w:rPr>
              <w:t>Resultado Objetivo Plan</w:t>
            </w:r>
          </w:p>
        </w:tc>
      </w:tr>
      <w:tr w:rsidR="00703E39" w:rsidRPr="00703E39" w:rsidTr="0040661C">
        <w:trPr>
          <w:trHeight w:val="763"/>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4.1 Garantizar el acceso a la Justicia, reconociendo al usuario como razón de ser de la misma.</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4</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79%</w:t>
            </w:r>
          </w:p>
        </w:tc>
        <w:tc>
          <w:tcPr>
            <w:tcW w:w="615" w:type="pct"/>
            <w:tcBorders>
              <w:top w:val="nil"/>
              <w:left w:val="nil"/>
              <w:bottom w:val="single" w:sz="4" w:space="0" w:color="auto"/>
              <w:right w:val="single" w:sz="4" w:space="0" w:color="auto"/>
            </w:tcBorders>
            <w:shd w:val="clear" w:color="000000" w:fill="FFC000"/>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69%</w:t>
            </w:r>
          </w:p>
        </w:tc>
      </w:tr>
      <w:tr w:rsidR="00703E39" w:rsidRPr="00703E39" w:rsidTr="0040661C">
        <w:trPr>
          <w:trHeight w:val="831"/>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4.2 Avanzar hacia el enfoque sistémico integral de la Rama Judicial, por medio de la armonización y coordinación de los esfuerzos de los distintos órganos que la integran.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40661C">
        <w:trPr>
          <w:trHeight w:val="701"/>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4.3 Cumplir los requisitos de los usuarios de conformidad con la Constitución y la Ley de los esfuerzos de los distintos órganos que la integran.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2</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100%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40661C">
        <w:trPr>
          <w:trHeight w:val="981"/>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4.4  Incrementar los niveles de satisfacción al usuario, estableciendo metas que respondan a las necesidades y expectativas de los usuarios internos y externos, a partir del fortalecimiento de las estrategias de planeación, gestión eficaz y eficiente de sus procesos.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2</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71%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40661C">
        <w:trPr>
          <w:trHeight w:val="697"/>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4.5 Fomentar la cultura organizacional de calidad, Control y medio ambiente, orientada a la responsabilidad social y ética del servidor Judicial.</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100%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40661C">
        <w:trPr>
          <w:trHeight w:val="707"/>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4.6 Reconocer la importancia del talento humano y de la gestión del conocimiento en la Administración de Justicia.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2</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40661C">
        <w:trPr>
          <w:trHeight w:val="703"/>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4.7 Fortalecer continuamente las competencias y el liderazgo del talento humano de la organización.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2</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100%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703E39">
        <w:trPr>
          <w:trHeight w:val="806"/>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4.8 - Mejorar continuamente el Sistema Integrado de Gestión y Control de la Calidad y del Medio Ambiente “SIGCMA”.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3</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93%</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40661C">
        <w:trPr>
          <w:trHeight w:val="822"/>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4.9 Aprovechar eficientemente los recursos naturales utilizados por la entidad, en especial el uso del papel, el agua y la energía, y gestionar de manera racional los residuos sólidos.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2</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50%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703E39">
        <w:trPr>
          <w:trHeight w:val="774"/>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703E39" w:rsidRDefault="00703E39" w:rsidP="00703E39">
            <w:pPr>
              <w:jc w:val="both"/>
              <w:rPr>
                <w:rFonts w:ascii="Calibri" w:hAnsi="Calibri"/>
                <w:color w:val="000000"/>
                <w:sz w:val="18"/>
                <w:szCs w:val="18"/>
              </w:rPr>
            </w:pPr>
            <w:r w:rsidRPr="00703E39">
              <w:rPr>
                <w:rFonts w:ascii="Calibri" w:hAnsi="Calibri"/>
                <w:color w:val="000000"/>
                <w:sz w:val="18"/>
                <w:szCs w:val="18"/>
              </w:rPr>
              <w:t xml:space="preserve">4.10 Prevenir la contaminación ambiental potencial generada por las actividades administrativas y judiciales.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3</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100%</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r w:rsidR="00703E39" w:rsidRPr="00703E39" w:rsidTr="0040661C">
        <w:trPr>
          <w:trHeight w:val="606"/>
        </w:trPr>
        <w:tc>
          <w:tcPr>
            <w:tcW w:w="3156" w:type="pct"/>
            <w:tcBorders>
              <w:top w:val="nil"/>
              <w:left w:val="single" w:sz="4" w:space="0" w:color="auto"/>
              <w:bottom w:val="single" w:sz="4" w:space="0" w:color="auto"/>
              <w:right w:val="single" w:sz="4" w:space="0" w:color="auto"/>
            </w:tcBorders>
            <w:shd w:val="clear" w:color="auto" w:fill="auto"/>
            <w:vAlign w:val="center"/>
            <w:hideMark/>
          </w:tcPr>
          <w:p w:rsidR="00703E39" w:rsidRPr="00B430AC" w:rsidRDefault="00703E39" w:rsidP="00703E39">
            <w:pPr>
              <w:jc w:val="both"/>
              <w:rPr>
                <w:rFonts w:ascii="Calibri" w:hAnsi="Calibri"/>
                <w:color w:val="000000"/>
                <w:sz w:val="18"/>
                <w:szCs w:val="18"/>
              </w:rPr>
            </w:pPr>
            <w:r w:rsidRPr="00B430AC">
              <w:rPr>
                <w:rFonts w:ascii="Calibri" w:hAnsi="Calibri"/>
                <w:color w:val="000000"/>
                <w:sz w:val="18"/>
                <w:szCs w:val="18"/>
              </w:rPr>
              <w:t xml:space="preserve">4.11 Garantizar el oportuno y eficaz cumplimiento de la legislación ambiental aplicable a las actividades administrativas y  laborales.  </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B430AC" w:rsidRDefault="00703E39" w:rsidP="00703E39">
            <w:pPr>
              <w:jc w:val="center"/>
              <w:rPr>
                <w:rFonts w:ascii="Calibri" w:hAnsi="Calibri"/>
                <w:color w:val="000000"/>
                <w:sz w:val="18"/>
                <w:szCs w:val="18"/>
              </w:rPr>
            </w:pPr>
            <w:r w:rsidRPr="00B430AC">
              <w:rPr>
                <w:rFonts w:ascii="Calibri" w:hAnsi="Calibri"/>
                <w:color w:val="000000"/>
                <w:sz w:val="18"/>
                <w:szCs w:val="18"/>
              </w:rPr>
              <w:t>3</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B430AC">
              <w:rPr>
                <w:rFonts w:ascii="Calibri" w:hAnsi="Calibri"/>
                <w:color w:val="000000"/>
                <w:sz w:val="18"/>
                <w:szCs w:val="18"/>
              </w:rPr>
              <w:t>67%</w:t>
            </w:r>
          </w:p>
        </w:tc>
        <w:tc>
          <w:tcPr>
            <w:tcW w:w="615" w:type="pct"/>
            <w:tcBorders>
              <w:top w:val="nil"/>
              <w:left w:val="nil"/>
              <w:bottom w:val="single" w:sz="4" w:space="0" w:color="auto"/>
              <w:right w:val="single" w:sz="4" w:space="0" w:color="auto"/>
            </w:tcBorders>
            <w:shd w:val="clear" w:color="auto" w:fill="auto"/>
            <w:noWrap/>
            <w:vAlign w:val="center"/>
            <w:hideMark/>
          </w:tcPr>
          <w:p w:rsidR="00703E39" w:rsidRPr="00703E39" w:rsidRDefault="00703E39" w:rsidP="00703E39">
            <w:pPr>
              <w:jc w:val="center"/>
              <w:rPr>
                <w:rFonts w:ascii="Calibri" w:hAnsi="Calibri"/>
                <w:color w:val="000000"/>
                <w:sz w:val="18"/>
                <w:szCs w:val="18"/>
              </w:rPr>
            </w:pPr>
            <w:r w:rsidRPr="00703E39">
              <w:rPr>
                <w:rFonts w:ascii="Calibri" w:hAnsi="Calibri"/>
                <w:color w:val="000000"/>
                <w:sz w:val="18"/>
                <w:szCs w:val="18"/>
              </w:rPr>
              <w:t> </w:t>
            </w:r>
          </w:p>
        </w:tc>
      </w:tr>
    </w:tbl>
    <w:p w:rsidR="00703E39" w:rsidRDefault="00703E39" w:rsidP="00703E39">
      <w:pPr>
        <w:pStyle w:val="CUERPOTEXTO"/>
        <w:rPr>
          <w:lang w:val="es-MX"/>
        </w:rPr>
      </w:pPr>
    </w:p>
    <w:p w:rsidR="00B430AC" w:rsidRDefault="00B430AC" w:rsidP="00703E39">
      <w:pPr>
        <w:pStyle w:val="CUERPOTEXTO"/>
        <w:rPr>
          <w:lang w:val="es-MX"/>
        </w:rPr>
      </w:pPr>
    </w:p>
    <w:p w:rsidR="00951963" w:rsidRDefault="00951963" w:rsidP="00C43703">
      <w:pPr>
        <w:pStyle w:val="CUERPOTEXTO"/>
      </w:pPr>
      <w:r>
        <w:t>Pocas son las organizaciones que pueden registrar entre sus logros contar con un sistema integrado de gestión y control de la calidad en la totalidad de las sedes administrativas y en un número significativo de Despachos Judiciales (278 a 2014).</w:t>
      </w:r>
    </w:p>
    <w:p w:rsidR="00B430AC" w:rsidRDefault="00B430AC" w:rsidP="00C43703">
      <w:pPr>
        <w:pStyle w:val="CUERPOTEXTO"/>
      </w:pPr>
    </w:p>
    <w:p w:rsidR="00B430AC" w:rsidRDefault="00B430AC" w:rsidP="00C43703">
      <w:pPr>
        <w:pStyle w:val="CUERPOTEXTO"/>
      </w:pPr>
      <w:r>
        <w:t>Para tal propósito la Sala Administrativa del Consejo Superior de la Judicatura destinó recursos parar el presente año por  $1.049 millones de pesos distribuidos de la siguiente forma:</w:t>
      </w:r>
    </w:p>
    <w:p w:rsidR="00956F5A" w:rsidRDefault="00956F5A" w:rsidP="00C43703">
      <w:pPr>
        <w:pStyle w:val="CUERPOTEXTO"/>
      </w:pPr>
    </w:p>
    <w:p w:rsidR="00956F5A" w:rsidRDefault="00956F5A" w:rsidP="00C43703">
      <w:pPr>
        <w:pStyle w:val="CUERPOTEXTO"/>
      </w:pPr>
    </w:p>
    <w:p w:rsidR="009D58FF" w:rsidRDefault="009D58FF" w:rsidP="00C43703">
      <w:pPr>
        <w:pStyle w:val="CUERPOTEXTO"/>
      </w:pPr>
    </w:p>
    <w:p w:rsidR="009D58FF" w:rsidRDefault="009D58FF" w:rsidP="00C43703">
      <w:pPr>
        <w:pStyle w:val="CUERPOTEXTO"/>
      </w:pPr>
    </w:p>
    <w:p w:rsidR="009D58FF" w:rsidRPr="009D58FF" w:rsidRDefault="009D58FF" w:rsidP="009D58FF">
      <w:pPr>
        <w:pStyle w:val="CUERPOTEXTO"/>
        <w:numPr>
          <w:ilvl w:val="0"/>
          <w:numId w:val="35"/>
        </w:numPr>
        <w:outlineLvl w:val="0"/>
        <w:rPr>
          <w:b/>
          <w:color w:val="0070C0"/>
          <w:sz w:val="28"/>
          <w:szCs w:val="28"/>
        </w:rPr>
      </w:pPr>
      <w:bookmarkStart w:id="2" w:name="_Toc436002472"/>
      <w:r w:rsidRPr="009D58FF">
        <w:rPr>
          <w:b/>
          <w:color w:val="0070C0"/>
          <w:sz w:val="28"/>
          <w:szCs w:val="28"/>
        </w:rPr>
        <w:t>Gestión de Recursos</w:t>
      </w:r>
      <w:bookmarkEnd w:id="2"/>
    </w:p>
    <w:p w:rsidR="009D58FF" w:rsidRDefault="009D58FF" w:rsidP="009D58FF">
      <w:pPr>
        <w:pStyle w:val="CUERPOTEXTO"/>
        <w:pBdr>
          <w:bottom w:val="single" w:sz="4" w:space="1" w:color="auto"/>
        </w:pBdr>
      </w:pPr>
    </w:p>
    <w:p w:rsidR="009D58FF" w:rsidRDefault="009D58FF" w:rsidP="00C43703">
      <w:pPr>
        <w:pStyle w:val="CUERPOTEXTO"/>
      </w:pPr>
    </w:p>
    <w:p w:rsidR="009D58FF" w:rsidRDefault="009D58FF" w:rsidP="00C43703">
      <w:pPr>
        <w:pStyle w:val="CUERPOTEXTO"/>
      </w:pPr>
      <w:r>
        <w:t xml:space="preserve">El cuadro mostrado a continuación muestra </w:t>
      </w:r>
      <w:r w:rsidR="004070CB">
        <w:t>la asignación de recursos por proyectos y sedes incluidas:</w:t>
      </w:r>
    </w:p>
    <w:p w:rsidR="009D58FF" w:rsidRDefault="009D58FF" w:rsidP="00C43703">
      <w:pPr>
        <w:pStyle w:val="CUERPOTEXTO"/>
      </w:pPr>
    </w:p>
    <w:tbl>
      <w:tblPr>
        <w:tblW w:w="8455" w:type="dxa"/>
        <w:tblCellMar>
          <w:left w:w="70" w:type="dxa"/>
          <w:right w:w="70" w:type="dxa"/>
        </w:tblCellMar>
        <w:tblLook w:val="04A0" w:firstRow="1" w:lastRow="0" w:firstColumn="1" w:lastColumn="0" w:noHBand="0" w:noVBand="1"/>
      </w:tblPr>
      <w:tblGrid>
        <w:gridCol w:w="1661"/>
        <w:gridCol w:w="5279"/>
        <w:gridCol w:w="1670"/>
      </w:tblGrid>
      <w:tr w:rsidR="00956F5A" w:rsidRPr="00E470D2" w:rsidTr="00E67F42">
        <w:trPr>
          <w:trHeight w:val="630"/>
          <w:tblHeader/>
        </w:trPr>
        <w:tc>
          <w:tcPr>
            <w:tcW w:w="1661" w:type="dxa"/>
            <w:vMerge w:val="restar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956F5A" w:rsidRPr="00E470D2" w:rsidRDefault="00956F5A" w:rsidP="00272CCE">
            <w:pPr>
              <w:jc w:val="center"/>
              <w:rPr>
                <w:rFonts w:ascii="Calibri" w:hAnsi="Calibri"/>
                <w:color w:val="000000"/>
                <w:sz w:val="22"/>
                <w:szCs w:val="22"/>
              </w:rPr>
            </w:pPr>
            <w:r w:rsidRPr="00E470D2">
              <w:rPr>
                <w:rFonts w:ascii="Calibri" w:hAnsi="Calibri"/>
                <w:color w:val="000000"/>
                <w:sz w:val="22"/>
                <w:szCs w:val="22"/>
              </w:rPr>
              <w:t>PROYECTO</w:t>
            </w:r>
          </w:p>
        </w:tc>
        <w:tc>
          <w:tcPr>
            <w:tcW w:w="6794" w:type="dxa"/>
            <w:gridSpan w:val="2"/>
            <w:tcBorders>
              <w:top w:val="single" w:sz="4" w:space="0" w:color="auto"/>
              <w:left w:val="nil"/>
              <w:bottom w:val="single" w:sz="4" w:space="0" w:color="auto"/>
              <w:right w:val="single" w:sz="4" w:space="0" w:color="auto"/>
            </w:tcBorders>
            <w:shd w:val="clear" w:color="000000" w:fill="002060"/>
            <w:vAlign w:val="center"/>
            <w:hideMark/>
          </w:tcPr>
          <w:p w:rsidR="00956F5A" w:rsidRPr="00E470D2" w:rsidRDefault="00956F5A" w:rsidP="00272CCE">
            <w:pPr>
              <w:jc w:val="center"/>
              <w:rPr>
                <w:rFonts w:ascii="Calibri" w:hAnsi="Calibri"/>
                <w:b/>
                <w:bCs/>
                <w:color w:val="FFFFFF"/>
                <w:sz w:val="20"/>
                <w:szCs w:val="20"/>
              </w:rPr>
            </w:pPr>
            <w:r w:rsidRPr="00E470D2">
              <w:rPr>
                <w:rFonts w:ascii="Calibri" w:hAnsi="Calibri"/>
                <w:b/>
                <w:bCs/>
                <w:color w:val="FFFFFF"/>
                <w:sz w:val="20"/>
                <w:szCs w:val="20"/>
              </w:rPr>
              <w:t xml:space="preserve">DISTRIBUCIÓN DE RECURSOS POR  </w:t>
            </w:r>
            <w:r w:rsidRPr="00E470D2">
              <w:rPr>
                <w:rFonts w:ascii="Calibri" w:hAnsi="Calibri"/>
                <w:b/>
                <w:bCs/>
                <w:color w:val="FFFFFF"/>
                <w:sz w:val="20"/>
                <w:szCs w:val="20"/>
              </w:rPr>
              <w:br/>
              <w:t>RECURSOS DE INVERSIÓN</w:t>
            </w:r>
          </w:p>
        </w:tc>
      </w:tr>
      <w:tr w:rsidR="00956F5A" w:rsidRPr="00E470D2" w:rsidTr="00E67F42">
        <w:trPr>
          <w:trHeight w:val="520"/>
          <w:tblHeader/>
        </w:trPr>
        <w:tc>
          <w:tcPr>
            <w:tcW w:w="1661" w:type="dxa"/>
            <w:vMerge/>
            <w:tcBorders>
              <w:top w:val="single" w:sz="4" w:space="0" w:color="auto"/>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000000" w:fill="C00000"/>
            <w:vAlign w:val="center"/>
            <w:hideMark/>
          </w:tcPr>
          <w:p w:rsidR="00956F5A" w:rsidRPr="00E470D2" w:rsidRDefault="00956F5A" w:rsidP="00272CCE">
            <w:pPr>
              <w:jc w:val="center"/>
              <w:rPr>
                <w:rFonts w:ascii="Calibri" w:hAnsi="Calibri"/>
                <w:b/>
                <w:bCs/>
                <w:color w:val="FFFFFF"/>
                <w:sz w:val="20"/>
                <w:szCs w:val="20"/>
              </w:rPr>
            </w:pPr>
            <w:r w:rsidRPr="00E470D2">
              <w:rPr>
                <w:rFonts w:ascii="Calibri" w:hAnsi="Calibri"/>
                <w:b/>
                <w:bCs/>
                <w:color w:val="FFFFFF"/>
                <w:sz w:val="20"/>
                <w:szCs w:val="20"/>
              </w:rPr>
              <w:t>SUBPROYECTO</w:t>
            </w:r>
          </w:p>
        </w:tc>
        <w:tc>
          <w:tcPr>
            <w:tcW w:w="1515" w:type="dxa"/>
            <w:tcBorders>
              <w:top w:val="nil"/>
              <w:left w:val="nil"/>
              <w:bottom w:val="single" w:sz="4" w:space="0" w:color="auto"/>
              <w:right w:val="single" w:sz="4" w:space="0" w:color="auto"/>
            </w:tcBorders>
            <w:shd w:val="clear" w:color="000000" w:fill="C00000"/>
            <w:vAlign w:val="center"/>
            <w:hideMark/>
          </w:tcPr>
          <w:p w:rsidR="00956F5A" w:rsidRPr="00E470D2" w:rsidRDefault="00956F5A" w:rsidP="00272CCE">
            <w:pPr>
              <w:jc w:val="center"/>
              <w:rPr>
                <w:rFonts w:ascii="Calibri" w:hAnsi="Calibri"/>
                <w:b/>
                <w:bCs/>
                <w:color w:val="FFFFFF"/>
                <w:sz w:val="20"/>
                <w:szCs w:val="20"/>
              </w:rPr>
            </w:pPr>
            <w:r w:rsidRPr="00E470D2">
              <w:rPr>
                <w:rFonts w:ascii="Calibri" w:hAnsi="Calibri"/>
                <w:b/>
                <w:bCs/>
                <w:color w:val="FFFFFF"/>
                <w:sz w:val="20"/>
                <w:szCs w:val="20"/>
              </w:rPr>
              <w:t>RECURSOS INICIALES</w:t>
            </w:r>
          </w:p>
        </w:tc>
      </w:tr>
      <w:tr w:rsidR="00956F5A" w:rsidRPr="00E470D2" w:rsidTr="00E67F42">
        <w:trPr>
          <w:trHeight w:val="520"/>
        </w:trPr>
        <w:tc>
          <w:tcPr>
            <w:tcW w:w="16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6F5A" w:rsidRPr="00E470D2" w:rsidRDefault="00956F5A" w:rsidP="00272CCE">
            <w:pPr>
              <w:jc w:val="center"/>
              <w:rPr>
                <w:rFonts w:ascii="Calibri" w:hAnsi="Calibri"/>
                <w:color w:val="000000"/>
                <w:sz w:val="22"/>
                <w:szCs w:val="22"/>
              </w:rPr>
            </w:pPr>
            <w:r w:rsidRPr="00E470D2">
              <w:rPr>
                <w:rFonts w:ascii="Calibri" w:hAnsi="Calibri"/>
                <w:color w:val="000000"/>
                <w:sz w:val="22"/>
                <w:szCs w:val="22"/>
              </w:rPr>
              <w:t>CERTIFICACIÓN</w:t>
            </w: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Recertificación Sala Administrativa Nivel Central y Seccional</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$25.000.000,00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Recertificación Juzgados Itagüí y Envigado</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$3.000.000,00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Recertificación Juzgados Civiles del Circuito de Barranquilla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$4.000.000,00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Recertificación Juzgados SAP Bucaramanga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$4.500.000,00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Recertificación Juzgados Buga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$3.000.000,00</w:t>
            </w:r>
          </w:p>
        </w:tc>
      </w:tr>
      <w:tr w:rsidR="00956F5A" w:rsidRPr="00E470D2" w:rsidTr="00E67F42">
        <w:trPr>
          <w:trHeight w:val="610"/>
        </w:trPr>
        <w:tc>
          <w:tcPr>
            <w:tcW w:w="1661" w:type="dxa"/>
            <w:vMerge/>
            <w:tcBorders>
              <w:top w:val="nil"/>
              <w:left w:val="single" w:sz="4" w:space="0" w:color="auto"/>
              <w:bottom w:val="single" w:sz="4" w:space="0" w:color="auto"/>
              <w:right w:val="single" w:sz="4" w:space="0" w:color="auto"/>
            </w:tcBorders>
            <w:vAlign w:val="center"/>
          </w:tcPr>
          <w:p w:rsidR="00956F5A" w:rsidRPr="00E470D2" w:rsidRDefault="00956F5A" w:rsidP="00272CCE">
            <w:pPr>
              <w:rPr>
                <w:rFonts w:ascii="Calibri" w:hAnsi="Calibri"/>
                <w:color w:val="000000"/>
                <w:sz w:val="22"/>
                <w:szCs w:val="22"/>
              </w:rPr>
            </w:pPr>
          </w:p>
        </w:tc>
        <w:tc>
          <w:tcPr>
            <w:tcW w:w="5279" w:type="dxa"/>
            <w:tcBorders>
              <w:top w:val="single" w:sz="4" w:space="0" w:color="auto"/>
              <w:left w:val="nil"/>
              <w:bottom w:val="single" w:sz="4" w:space="0" w:color="auto"/>
              <w:right w:val="single" w:sz="4" w:space="0" w:color="auto"/>
            </w:tcBorders>
            <w:shd w:val="clear" w:color="auto" w:fill="auto"/>
            <w:noWrap/>
            <w:vAlign w:val="center"/>
          </w:tcPr>
          <w:p w:rsidR="00956F5A" w:rsidRPr="00E470D2" w:rsidRDefault="00956F5A" w:rsidP="00272CCE">
            <w:pPr>
              <w:jc w:val="both"/>
              <w:rPr>
                <w:rFonts w:ascii="Calibri" w:hAnsi="Calibri"/>
                <w:color w:val="000000"/>
                <w:sz w:val="20"/>
                <w:szCs w:val="20"/>
              </w:rPr>
            </w:pPr>
            <w:r>
              <w:rPr>
                <w:rFonts w:ascii="Calibri" w:hAnsi="Calibri"/>
                <w:color w:val="000000"/>
                <w:sz w:val="20"/>
                <w:szCs w:val="20"/>
              </w:rPr>
              <w:t xml:space="preserve">Tribunal Administrativo de Santander, Tribunal Administrativo del Caquetá </w:t>
            </w:r>
          </w:p>
        </w:tc>
        <w:tc>
          <w:tcPr>
            <w:tcW w:w="1515" w:type="dxa"/>
            <w:tcBorders>
              <w:top w:val="single" w:sz="4" w:space="0" w:color="auto"/>
              <w:left w:val="nil"/>
              <w:bottom w:val="single" w:sz="4" w:space="0" w:color="auto"/>
              <w:right w:val="single" w:sz="4" w:space="0" w:color="auto"/>
            </w:tcBorders>
            <w:shd w:val="clear" w:color="auto" w:fill="auto"/>
            <w:vAlign w:val="center"/>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w:t>
            </w:r>
            <w:r>
              <w:rPr>
                <w:rFonts w:ascii="Calibri" w:hAnsi="Calibri"/>
                <w:color w:val="000000"/>
                <w:sz w:val="20"/>
                <w:szCs w:val="20"/>
              </w:rPr>
              <w:t>5</w:t>
            </w:r>
            <w:r w:rsidRPr="00E470D2">
              <w:rPr>
                <w:rFonts w:ascii="Calibri" w:hAnsi="Calibri"/>
                <w:color w:val="000000"/>
                <w:sz w:val="20"/>
                <w:szCs w:val="20"/>
              </w:rPr>
              <w:t>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single" w:sz="4" w:space="0" w:color="auto"/>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Certificación Zona Consolidación Carmen de Bolívar</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$12.000.000,00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Pr>
                <w:rFonts w:ascii="Calibri" w:hAnsi="Calibri"/>
                <w:color w:val="000000"/>
                <w:sz w:val="20"/>
                <w:szCs w:val="20"/>
              </w:rPr>
              <w:t>Certificación</w:t>
            </w:r>
            <w:r w:rsidRPr="00E470D2">
              <w:rPr>
                <w:rFonts w:ascii="Calibri" w:hAnsi="Calibri"/>
                <w:color w:val="000000"/>
                <w:sz w:val="20"/>
                <w:szCs w:val="20"/>
              </w:rPr>
              <w:t xml:space="preserve"> Zona Consolidación Cordillera Central - Chaparral</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$12.000.000,00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Certificación Centro de Servicios y Juzgados del SAP Paloquemao</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$20.000.000,00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000000" w:fill="FFFFFF"/>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Certificación Juzgados del Distrito Judicial de Armenia</w:t>
            </w:r>
          </w:p>
        </w:tc>
        <w:tc>
          <w:tcPr>
            <w:tcW w:w="1515" w:type="dxa"/>
            <w:tcBorders>
              <w:top w:val="nil"/>
              <w:left w:val="nil"/>
              <w:bottom w:val="single" w:sz="4" w:space="0" w:color="auto"/>
              <w:right w:val="single" w:sz="4" w:space="0" w:color="auto"/>
            </w:tcBorders>
            <w:shd w:val="clear" w:color="000000" w:fill="FFFFFF"/>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$10.000.000,00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000000" w:fill="FFFFFF"/>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Certificación</w:t>
            </w:r>
            <w:r>
              <w:rPr>
                <w:rFonts w:ascii="Calibri" w:hAnsi="Calibri"/>
                <w:color w:val="000000"/>
                <w:sz w:val="20"/>
                <w:szCs w:val="20"/>
              </w:rPr>
              <w:t xml:space="preserve"> Sala de Consulta del Consejo de Estado y </w:t>
            </w:r>
            <w:r w:rsidRPr="00E470D2">
              <w:rPr>
                <w:rFonts w:ascii="Calibri" w:hAnsi="Calibri"/>
                <w:color w:val="000000"/>
                <w:sz w:val="20"/>
                <w:szCs w:val="20"/>
              </w:rPr>
              <w:t xml:space="preserve"> Sala Civil Corte Suprema</w:t>
            </w:r>
          </w:p>
        </w:tc>
        <w:tc>
          <w:tcPr>
            <w:tcW w:w="1515" w:type="dxa"/>
            <w:tcBorders>
              <w:top w:val="nil"/>
              <w:left w:val="nil"/>
              <w:bottom w:val="single" w:sz="4" w:space="0" w:color="auto"/>
              <w:right w:val="single" w:sz="4" w:space="0" w:color="auto"/>
            </w:tcBorders>
            <w:shd w:val="clear" w:color="000000" w:fill="FFFFFF"/>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w:t>
            </w:r>
            <w:r>
              <w:rPr>
                <w:rFonts w:ascii="Calibri" w:hAnsi="Calibri"/>
                <w:color w:val="000000"/>
                <w:sz w:val="20"/>
                <w:szCs w:val="20"/>
              </w:rPr>
              <w:t>6</w:t>
            </w:r>
            <w:r w:rsidRPr="00E470D2">
              <w:rPr>
                <w:rFonts w:ascii="Calibri" w:hAnsi="Calibri"/>
                <w:color w:val="000000"/>
                <w:sz w:val="20"/>
                <w:szCs w:val="20"/>
              </w:rPr>
              <w:t>.000.000,00</w:t>
            </w:r>
          </w:p>
        </w:tc>
      </w:tr>
      <w:tr w:rsidR="00956F5A" w:rsidRPr="00E470D2" w:rsidTr="00E67F42">
        <w:trPr>
          <w:trHeight w:val="290"/>
        </w:trPr>
        <w:tc>
          <w:tcPr>
            <w:tcW w:w="6940"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56F5A" w:rsidRPr="00E470D2" w:rsidRDefault="00956F5A" w:rsidP="00272CCE">
            <w:pPr>
              <w:jc w:val="center"/>
              <w:rPr>
                <w:rFonts w:ascii="Calibri" w:hAnsi="Calibri"/>
                <w:color w:val="000000"/>
                <w:sz w:val="22"/>
                <w:szCs w:val="22"/>
              </w:rPr>
            </w:pPr>
            <w:r w:rsidRPr="00E470D2">
              <w:rPr>
                <w:rFonts w:ascii="Calibri" w:hAnsi="Calibri"/>
                <w:color w:val="000000"/>
                <w:sz w:val="22"/>
                <w:szCs w:val="22"/>
              </w:rPr>
              <w:t>SUBTOTAL</w:t>
            </w:r>
          </w:p>
        </w:tc>
        <w:tc>
          <w:tcPr>
            <w:tcW w:w="1515" w:type="dxa"/>
            <w:tcBorders>
              <w:top w:val="nil"/>
              <w:left w:val="nil"/>
              <w:bottom w:val="single" w:sz="4" w:space="0" w:color="auto"/>
              <w:right w:val="single" w:sz="4" w:space="0" w:color="auto"/>
            </w:tcBorders>
            <w:shd w:val="clear" w:color="000000" w:fill="FFFF00"/>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w:t>
            </w:r>
            <w:r>
              <w:rPr>
                <w:rFonts w:ascii="Calibri" w:hAnsi="Calibri"/>
                <w:color w:val="000000"/>
                <w:sz w:val="20"/>
                <w:szCs w:val="20"/>
              </w:rPr>
              <w:t>100</w:t>
            </w:r>
            <w:r w:rsidRPr="00E470D2">
              <w:rPr>
                <w:rFonts w:ascii="Calibri" w:hAnsi="Calibri"/>
                <w:color w:val="000000"/>
                <w:sz w:val="20"/>
                <w:szCs w:val="20"/>
              </w:rPr>
              <w:t>.</w:t>
            </w:r>
            <w:r>
              <w:rPr>
                <w:rFonts w:ascii="Calibri" w:hAnsi="Calibri"/>
                <w:color w:val="000000"/>
                <w:sz w:val="20"/>
                <w:szCs w:val="20"/>
              </w:rPr>
              <w:t>0</w:t>
            </w:r>
            <w:r w:rsidRPr="00E470D2">
              <w:rPr>
                <w:rFonts w:ascii="Calibri" w:hAnsi="Calibri"/>
                <w:color w:val="000000"/>
                <w:sz w:val="20"/>
                <w:szCs w:val="20"/>
              </w:rPr>
              <w:t>00.000,00</w:t>
            </w:r>
          </w:p>
        </w:tc>
      </w:tr>
      <w:tr w:rsidR="00956F5A" w:rsidRPr="00E470D2" w:rsidTr="00E67F42">
        <w:trPr>
          <w:trHeight w:val="290"/>
        </w:trPr>
        <w:tc>
          <w:tcPr>
            <w:tcW w:w="1661" w:type="dxa"/>
            <w:vMerge w:val="restart"/>
            <w:tcBorders>
              <w:top w:val="nil"/>
              <w:left w:val="single" w:sz="4" w:space="0" w:color="auto"/>
              <w:bottom w:val="single" w:sz="4" w:space="0" w:color="auto"/>
              <w:right w:val="single" w:sz="4" w:space="0" w:color="auto"/>
            </w:tcBorders>
            <w:shd w:val="clear" w:color="auto" w:fill="auto"/>
            <w:vAlign w:val="center"/>
            <w:hideMark/>
          </w:tcPr>
          <w:p w:rsidR="00956F5A" w:rsidRPr="00E470D2" w:rsidRDefault="00956F5A" w:rsidP="00272CCE">
            <w:pPr>
              <w:jc w:val="both"/>
              <w:rPr>
                <w:rFonts w:ascii="Calibri" w:hAnsi="Calibri"/>
                <w:color w:val="000000"/>
                <w:sz w:val="22"/>
                <w:szCs w:val="22"/>
              </w:rPr>
            </w:pPr>
            <w:r w:rsidRPr="00E470D2">
              <w:rPr>
                <w:rFonts w:ascii="Calibri" w:hAnsi="Calibri"/>
                <w:color w:val="000000"/>
                <w:sz w:val="22"/>
                <w:szCs w:val="22"/>
              </w:rPr>
              <w:t>CAPACITACIÓN DIPLOMADO SIGCMA</w:t>
            </w: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 xml:space="preserve">Sala Administrativa Nivel Central </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$60.000.000,00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Bogotá</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$6.000.000,00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Paloquemao</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$10.000.000,00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Barranquilla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$2.500.000,00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Civiles del Circuito de Barranquilla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$2.500.000,00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Santander</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$2.500.000,00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SAP Bucaramanga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$2.500.000,00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Cali</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$3.000.000,00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Buga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$3.000.000,00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Medellín</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$3.000.000,00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Itagüí y Envigado</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$5.000.000,00</w:t>
            </w:r>
          </w:p>
        </w:tc>
      </w:tr>
      <w:tr w:rsidR="00956F5A" w:rsidRPr="00E470D2" w:rsidTr="00E67F42">
        <w:trPr>
          <w:trHeight w:val="290"/>
        </w:trPr>
        <w:tc>
          <w:tcPr>
            <w:tcW w:w="6940"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56F5A" w:rsidRPr="00E470D2" w:rsidRDefault="00956F5A" w:rsidP="00272CCE">
            <w:pPr>
              <w:jc w:val="center"/>
              <w:rPr>
                <w:rFonts w:ascii="Calibri" w:hAnsi="Calibri"/>
                <w:color w:val="000000"/>
                <w:sz w:val="22"/>
                <w:szCs w:val="22"/>
              </w:rPr>
            </w:pPr>
            <w:r w:rsidRPr="00E470D2">
              <w:rPr>
                <w:rFonts w:ascii="Calibri" w:hAnsi="Calibri"/>
                <w:color w:val="000000"/>
                <w:sz w:val="22"/>
                <w:szCs w:val="22"/>
              </w:rPr>
              <w:lastRenderedPageBreak/>
              <w:t>SUBTOTAL CAPACITACIÓN</w:t>
            </w:r>
          </w:p>
        </w:tc>
        <w:tc>
          <w:tcPr>
            <w:tcW w:w="1515" w:type="dxa"/>
            <w:tcBorders>
              <w:top w:val="nil"/>
              <w:left w:val="nil"/>
              <w:bottom w:val="single" w:sz="4" w:space="0" w:color="auto"/>
              <w:right w:val="single" w:sz="4" w:space="0" w:color="auto"/>
            </w:tcBorders>
            <w:shd w:val="clear" w:color="000000" w:fill="FFFF00"/>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$100.000.000,00</w:t>
            </w:r>
          </w:p>
        </w:tc>
      </w:tr>
      <w:tr w:rsidR="00956F5A" w:rsidRPr="00E470D2" w:rsidTr="00E67F42">
        <w:trPr>
          <w:trHeight w:val="290"/>
        </w:trPr>
        <w:tc>
          <w:tcPr>
            <w:tcW w:w="1661" w:type="dxa"/>
            <w:vMerge w:val="restart"/>
            <w:tcBorders>
              <w:top w:val="nil"/>
              <w:left w:val="single" w:sz="4" w:space="0" w:color="auto"/>
              <w:bottom w:val="single" w:sz="4" w:space="0" w:color="auto"/>
              <w:right w:val="single" w:sz="4" w:space="0" w:color="auto"/>
            </w:tcBorders>
            <w:shd w:val="clear" w:color="auto" w:fill="auto"/>
            <w:vAlign w:val="center"/>
            <w:hideMark/>
          </w:tcPr>
          <w:p w:rsidR="00956F5A" w:rsidRPr="00E470D2" w:rsidRDefault="00956F5A" w:rsidP="00272CCE">
            <w:pPr>
              <w:jc w:val="both"/>
              <w:rPr>
                <w:rFonts w:ascii="Calibri" w:hAnsi="Calibri"/>
                <w:color w:val="000000"/>
                <w:sz w:val="22"/>
                <w:szCs w:val="22"/>
              </w:rPr>
            </w:pPr>
            <w:r w:rsidRPr="00E470D2">
              <w:rPr>
                <w:rFonts w:ascii="Calibri" w:hAnsi="Calibri"/>
                <w:color w:val="000000"/>
                <w:sz w:val="22"/>
                <w:szCs w:val="22"/>
              </w:rPr>
              <w:t>CAPACITACIÓN AMBIENTAL</w:t>
            </w: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 xml:space="preserve">Sala Administrativa Nivel Central </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$60.000.000,00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Bogotá</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$6.000.000,00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Paloquemao</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$10.000.000,00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Barranquilla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$5.000.000,00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Santander</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$5.000.000,00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Cali</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$3.000.000,00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Seccional Medellín</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$3.000.000,00</w:t>
            </w:r>
          </w:p>
        </w:tc>
      </w:tr>
      <w:tr w:rsidR="00956F5A" w:rsidRPr="00E470D2" w:rsidTr="00E67F42">
        <w:trPr>
          <w:trHeight w:val="290"/>
        </w:trPr>
        <w:tc>
          <w:tcPr>
            <w:tcW w:w="6940"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56F5A" w:rsidRPr="00E470D2" w:rsidRDefault="00956F5A" w:rsidP="00272CCE">
            <w:pPr>
              <w:jc w:val="center"/>
              <w:rPr>
                <w:rFonts w:ascii="Calibri" w:hAnsi="Calibri"/>
                <w:color w:val="000000"/>
                <w:sz w:val="22"/>
                <w:szCs w:val="22"/>
              </w:rPr>
            </w:pPr>
            <w:r w:rsidRPr="00E470D2">
              <w:rPr>
                <w:rFonts w:ascii="Calibri" w:hAnsi="Calibri"/>
                <w:color w:val="000000"/>
                <w:sz w:val="22"/>
                <w:szCs w:val="22"/>
              </w:rPr>
              <w:t>SUBTOTAL CAPACITACIÓN</w:t>
            </w:r>
          </w:p>
        </w:tc>
        <w:tc>
          <w:tcPr>
            <w:tcW w:w="1515" w:type="dxa"/>
            <w:tcBorders>
              <w:top w:val="nil"/>
              <w:left w:val="nil"/>
              <w:bottom w:val="single" w:sz="4" w:space="0" w:color="auto"/>
              <w:right w:val="single" w:sz="4" w:space="0" w:color="auto"/>
            </w:tcBorders>
            <w:shd w:val="clear" w:color="000000" w:fill="FFFF00"/>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$92.000.000,00</w:t>
            </w:r>
          </w:p>
        </w:tc>
      </w:tr>
      <w:tr w:rsidR="00956F5A" w:rsidRPr="00E470D2" w:rsidTr="00E67F42">
        <w:trPr>
          <w:trHeight w:val="520"/>
        </w:trPr>
        <w:tc>
          <w:tcPr>
            <w:tcW w:w="16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6F5A" w:rsidRPr="00E470D2" w:rsidRDefault="00956F5A" w:rsidP="00272CCE">
            <w:pPr>
              <w:jc w:val="center"/>
              <w:rPr>
                <w:rFonts w:ascii="Calibri" w:hAnsi="Calibri"/>
                <w:color w:val="000000"/>
                <w:sz w:val="22"/>
                <w:szCs w:val="22"/>
              </w:rPr>
            </w:pPr>
            <w:r w:rsidRPr="00E470D2">
              <w:rPr>
                <w:rFonts w:ascii="Calibri" w:hAnsi="Calibri"/>
                <w:color w:val="000000"/>
                <w:sz w:val="22"/>
                <w:szCs w:val="22"/>
              </w:rPr>
              <w:t>ASESORÍA</w:t>
            </w: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Sala Administrativa Nivel Central y Seccional</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$45.000.000,00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Itagüí y Envigado</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$2.500.000,00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Civiles del Circuito de Barranquilla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$2.500.000,00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SAP Bucaramanga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$10.000.000,00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SAP Buga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$12.000.000,00</w:t>
            </w:r>
          </w:p>
        </w:tc>
      </w:tr>
      <w:tr w:rsidR="00956F5A" w:rsidRPr="00E470D2" w:rsidTr="00E67F42">
        <w:trPr>
          <w:trHeight w:val="29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Juzgados del Circuito de Armenia</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$18.000.000,00</w:t>
            </w:r>
          </w:p>
        </w:tc>
      </w:tr>
      <w:tr w:rsidR="00956F5A" w:rsidRPr="00E470D2" w:rsidTr="00E67F42">
        <w:trPr>
          <w:trHeight w:val="520"/>
        </w:trPr>
        <w:tc>
          <w:tcPr>
            <w:tcW w:w="1661" w:type="dxa"/>
            <w:vMerge/>
            <w:tcBorders>
              <w:top w:val="nil"/>
              <w:left w:val="single" w:sz="4" w:space="0" w:color="auto"/>
              <w:bottom w:val="single" w:sz="4" w:space="0" w:color="auto"/>
              <w:right w:val="single" w:sz="4" w:space="0" w:color="auto"/>
            </w:tcBorders>
            <w:vAlign w:val="center"/>
            <w:hideMark/>
          </w:tcPr>
          <w:p w:rsidR="00956F5A" w:rsidRPr="00E470D2" w:rsidRDefault="00956F5A" w:rsidP="00272CCE">
            <w:pPr>
              <w:rPr>
                <w:rFonts w:ascii="Calibri" w:hAnsi="Calibri"/>
                <w:color w:val="000000"/>
                <w:sz w:val="22"/>
                <w:szCs w:val="22"/>
              </w:rPr>
            </w:pPr>
          </w:p>
        </w:tc>
        <w:tc>
          <w:tcPr>
            <w:tcW w:w="5279" w:type="dxa"/>
            <w:tcBorders>
              <w:top w:val="nil"/>
              <w:left w:val="nil"/>
              <w:bottom w:val="single" w:sz="4" w:space="0" w:color="auto"/>
              <w:right w:val="single" w:sz="4" w:space="0" w:color="auto"/>
            </w:tcBorders>
            <w:shd w:val="clear" w:color="auto" w:fill="auto"/>
            <w:noWrap/>
            <w:vAlign w:val="center"/>
            <w:hideMark/>
          </w:tcPr>
          <w:p w:rsidR="00956F5A" w:rsidRPr="00E470D2" w:rsidRDefault="00956F5A" w:rsidP="00272CCE">
            <w:pPr>
              <w:jc w:val="both"/>
              <w:rPr>
                <w:rFonts w:ascii="Calibri" w:hAnsi="Calibri"/>
                <w:color w:val="000000"/>
                <w:sz w:val="20"/>
                <w:szCs w:val="20"/>
              </w:rPr>
            </w:pPr>
            <w:r w:rsidRPr="00E470D2">
              <w:rPr>
                <w:rFonts w:ascii="Calibri" w:hAnsi="Calibri"/>
                <w:color w:val="000000"/>
                <w:sz w:val="20"/>
                <w:szCs w:val="20"/>
              </w:rPr>
              <w:t>Centro de Servicios y Juzgados del SAP Paloquemao</w:t>
            </w:r>
          </w:p>
        </w:tc>
        <w:tc>
          <w:tcPr>
            <w:tcW w:w="1515" w:type="dxa"/>
            <w:tcBorders>
              <w:top w:val="nil"/>
              <w:left w:val="nil"/>
              <w:bottom w:val="single" w:sz="4" w:space="0" w:color="auto"/>
              <w:right w:val="single" w:sz="4" w:space="0" w:color="auto"/>
            </w:tcBorders>
            <w:shd w:val="clear" w:color="auto" w:fill="auto"/>
            <w:vAlign w:val="center"/>
            <w:hideMark/>
          </w:tcPr>
          <w:p w:rsidR="00956F5A" w:rsidRPr="00E470D2" w:rsidRDefault="00956F5A" w:rsidP="00272CCE">
            <w:pPr>
              <w:jc w:val="right"/>
              <w:rPr>
                <w:rFonts w:ascii="Calibri" w:hAnsi="Calibri"/>
                <w:color w:val="000000"/>
                <w:sz w:val="20"/>
                <w:szCs w:val="20"/>
              </w:rPr>
            </w:pPr>
            <w:r w:rsidRPr="00E470D2">
              <w:rPr>
                <w:rFonts w:ascii="Calibri" w:hAnsi="Calibri"/>
                <w:color w:val="000000"/>
                <w:sz w:val="20"/>
                <w:szCs w:val="20"/>
              </w:rPr>
              <w:t>$10.000.000,00</w:t>
            </w:r>
          </w:p>
        </w:tc>
      </w:tr>
      <w:tr w:rsidR="00E67F42" w:rsidRPr="00E470D2" w:rsidTr="00E67F42">
        <w:trPr>
          <w:trHeight w:val="290"/>
        </w:trPr>
        <w:tc>
          <w:tcPr>
            <w:tcW w:w="6940"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67F42" w:rsidRPr="00E470D2" w:rsidRDefault="00E67F42" w:rsidP="00E67F42">
            <w:pPr>
              <w:jc w:val="center"/>
              <w:rPr>
                <w:rFonts w:ascii="Calibri" w:hAnsi="Calibri"/>
                <w:color w:val="000000"/>
                <w:sz w:val="22"/>
                <w:szCs w:val="22"/>
              </w:rPr>
            </w:pPr>
            <w:r>
              <w:rPr>
                <w:rFonts w:ascii="Calibri" w:hAnsi="Calibri"/>
                <w:color w:val="000000"/>
                <w:sz w:val="22"/>
                <w:szCs w:val="22"/>
              </w:rPr>
              <w:t>SUBTOTAL AESORÍA</w:t>
            </w:r>
          </w:p>
        </w:tc>
        <w:tc>
          <w:tcPr>
            <w:tcW w:w="1515" w:type="dxa"/>
            <w:tcBorders>
              <w:top w:val="nil"/>
              <w:left w:val="nil"/>
              <w:bottom w:val="single" w:sz="4" w:space="0" w:color="auto"/>
              <w:right w:val="single" w:sz="4" w:space="0" w:color="auto"/>
            </w:tcBorders>
            <w:shd w:val="clear" w:color="000000" w:fill="FFFF00"/>
            <w:vAlign w:val="center"/>
            <w:hideMark/>
          </w:tcPr>
          <w:p w:rsidR="00E67F42" w:rsidRPr="00E470D2" w:rsidRDefault="00E67F42" w:rsidP="00E67F42">
            <w:pPr>
              <w:jc w:val="right"/>
              <w:rPr>
                <w:rFonts w:ascii="Calibri" w:hAnsi="Calibri"/>
                <w:color w:val="000000"/>
                <w:sz w:val="20"/>
                <w:szCs w:val="20"/>
              </w:rPr>
            </w:pPr>
            <w:r w:rsidRPr="00E470D2">
              <w:rPr>
                <w:rFonts w:ascii="Calibri" w:hAnsi="Calibri"/>
                <w:color w:val="000000"/>
                <w:sz w:val="20"/>
                <w:szCs w:val="20"/>
              </w:rPr>
              <w:t>$</w:t>
            </w:r>
            <w:r>
              <w:rPr>
                <w:rFonts w:ascii="Calibri" w:hAnsi="Calibri"/>
                <w:color w:val="000000"/>
                <w:sz w:val="20"/>
                <w:szCs w:val="20"/>
              </w:rPr>
              <w:t>100</w:t>
            </w:r>
            <w:r w:rsidRPr="00E470D2">
              <w:rPr>
                <w:rFonts w:ascii="Calibri" w:hAnsi="Calibri"/>
                <w:color w:val="000000"/>
                <w:sz w:val="20"/>
                <w:szCs w:val="20"/>
              </w:rPr>
              <w:t>.000.000,00</w:t>
            </w:r>
          </w:p>
        </w:tc>
      </w:tr>
      <w:tr w:rsidR="00B430AC" w:rsidRPr="00E470D2" w:rsidTr="00E67F42">
        <w:trPr>
          <w:trHeight w:val="29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0AC" w:rsidRPr="00E470D2" w:rsidRDefault="00B430AC" w:rsidP="00272CCE">
            <w:pPr>
              <w:jc w:val="center"/>
              <w:rPr>
                <w:rFonts w:ascii="Calibri" w:hAnsi="Calibri"/>
                <w:color w:val="000000"/>
                <w:sz w:val="22"/>
                <w:szCs w:val="22"/>
              </w:rPr>
            </w:pPr>
            <w:r>
              <w:rPr>
                <w:rFonts w:ascii="Calibri" w:hAnsi="Calibri"/>
                <w:color w:val="000000"/>
                <w:sz w:val="22"/>
                <w:szCs w:val="22"/>
              </w:rPr>
              <w:t>NORMA SECTOR</w:t>
            </w:r>
          </w:p>
        </w:tc>
        <w:tc>
          <w:tcPr>
            <w:tcW w:w="5279" w:type="dxa"/>
            <w:tcBorders>
              <w:top w:val="single" w:sz="4" w:space="0" w:color="auto"/>
              <w:left w:val="single" w:sz="4" w:space="0" w:color="auto"/>
              <w:bottom w:val="single" w:sz="4" w:space="0" w:color="auto"/>
              <w:right w:val="single" w:sz="4" w:space="0" w:color="auto"/>
            </w:tcBorders>
            <w:shd w:val="clear" w:color="auto" w:fill="auto"/>
            <w:vAlign w:val="center"/>
          </w:tcPr>
          <w:p w:rsidR="00B430AC" w:rsidRPr="00E67F42" w:rsidRDefault="00B430AC" w:rsidP="00E67F42">
            <w:pPr>
              <w:jc w:val="both"/>
              <w:rPr>
                <w:rFonts w:ascii="Calibri" w:hAnsi="Calibri"/>
                <w:color w:val="000000"/>
                <w:sz w:val="20"/>
                <w:szCs w:val="20"/>
              </w:rPr>
            </w:pPr>
            <w:r w:rsidRPr="00E67F42">
              <w:rPr>
                <w:rFonts w:ascii="Calibri" w:hAnsi="Calibri"/>
                <w:color w:val="000000"/>
                <w:sz w:val="20"/>
                <w:szCs w:val="20"/>
              </w:rPr>
              <w:t>Rama Judicial</w:t>
            </w:r>
          </w:p>
        </w:tc>
        <w:tc>
          <w:tcPr>
            <w:tcW w:w="1515" w:type="dxa"/>
            <w:tcBorders>
              <w:top w:val="single" w:sz="4" w:space="0" w:color="auto"/>
              <w:left w:val="nil"/>
              <w:bottom w:val="single" w:sz="4" w:space="0" w:color="auto"/>
              <w:right w:val="single" w:sz="4" w:space="0" w:color="auto"/>
            </w:tcBorders>
            <w:shd w:val="clear" w:color="auto" w:fill="auto"/>
            <w:vAlign w:val="center"/>
          </w:tcPr>
          <w:p w:rsidR="00B430AC" w:rsidRPr="00E470D2" w:rsidRDefault="00B430AC" w:rsidP="00272CCE">
            <w:pPr>
              <w:jc w:val="right"/>
              <w:rPr>
                <w:rFonts w:ascii="Calibri" w:hAnsi="Calibri"/>
                <w:color w:val="000000"/>
                <w:sz w:val="20"/>
                <w:szCs w:val="20"/>
              </w:rPr>
            </w:pPr>
            <w:r>
              <w:rPr>
                <w:rFonts w:ascii="Calibri" w:hAnsi="Calibri"/>
                <w:color w:val="000000"/>
                <w:sz w:val="20"/>
                <w:szCs w:val="20"/>
              </w:rPr>
              <w:t>$498.000.000,00</w:t>
            </w:r>
          </w:p>
        </w:tc>
      </w:tr>
      <w:tr w:rsidR="00B430AC" w:rsidRPr="00E470D2" w:rsidTr="00E67F42">
        <w:trPr>
          <w:trHeight w:val="29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0AC" w:rsidRPr="00E470D2" w:rsidRDefault="00B430AC" w:rsidP="00272CCE">
            <w:pPr>
              <w:jc w:val="center"/>
              <w:rPr>
                <w:rFonts w:ascii="Calibri" w:hAnsi="Calibri"/>
                <w:color w:val="000000"/>
                <w:sz w:val="22"/>
                <w:szCs w:val="22"/>
              </w:rPr>
            </w:pPr>
            <w:r>
              <w:rPr>
                <w:rFonts w:ascii="Calibri" w:hAnsi="Calibri"/>
                <w:color w:val="000000"/>
                <w:sz w:val="22"/>
                <w:szCs w:val="22"/>
              </w:rPr>
              <w:t>SENSIBILIZACIÓN Y CAPACITACIÓN BÁSICA</w:t>
            </w:r>
          </w:p>
        </w:tc>
        <w:tc>
          <w:tcPr>
            <w:tcW w:w="5279" w:type="dxa"/>
            <w:tcBorders>
              <w:top w:val="single" w:sz="4" w:space="0" w:color="auto"/>
              <w:left w:val="single" w:sz="4" w:space="0" w:color="auto"/>
              <w:bottom w:val="single" w:sz="4" w:space="0" w:color="auto"/>
              <w:right w:val="single" w:sz="4" w:space="0" w:color="auto"/>
            </w:tcBorders>
            <w:shd w:val="clear" w:color="auto" w:fill="auto"/>
            <w:vAlign w:val="center"/>
          </w:tcPr>
          <w:p w:rsidR="00B430AC" w:rsidRPr="00E67F42" w:rsidRDefault="00B430AC" w:rsidP="00E67F42">
            <w:pPr>
              <w:jc w:val="both"/>
              <w:rPr>
                <w:rFonts w:ascii="Calibri" w:hAnsi="Calibri"/>
                <w:color w:val="000000"/>
                <w:sz w:val="20"/>
                <w:szCs w:val="20"/>
              </w:rPr>
            </w:pPr>
            <w:r w:rsidRPr="00E67F42">
              <w:rPr>
                <w:rFonts w:ascii="Calibri" w:hAnsi="Calibri"/>
                <w:color w:val="000000"/>
                <w:sz w:val="20"/>
                <w:szCs w:val="20"/>
              </w:rPr>
              <w:t>Sedes Administrativas y Judiciales certificadas</w:t>
            </w:r>
          </w:p>
        </w:tc>
        <w:tc>
          <w:tcPr>
            <w:tcW w:w="1515" w:type="dxa"/>
            <w:tcBorders>
              <w:top w:val="single" w:sz="4" w:space="0" w:color="auto"/>
              <w:left w:val="nil"/>
              <w:bottom w:val="single" w:sz="4" w:space="0" w:color="auto"/>
              <w:right w:val="single" w:sz="4" w:space="0" w:color="auto"/>
            </w:tcBorders>
            <w:shd w:val="clear" w:color="auto" w:fill="auto"/>
            <w:vAlign w:val="center"/>
          </w:tcPr>
          <w:p w:rsidR="00B430AC" w:rsidRPr="00E470D2" w:rsidRDefault="00B430AC" w:rsidP="00272CCE">
            <w:pPr>
              <w:jc w:val="right"/>
              <w:rPr>
                <w:rFonts w:ascii="Calibri" w:hAnsi="Calibri"/>
                <w:color w:val="000000"/>
                <w:sz w:val="20"/>
                <w:szCs w:val="20"/>
              </w:rPr>
            </w:pPr>
            <w:r>
              <w:rPr>
                <w:rFonts w:ascii="Calibri" w:hAnsi="Calibri"/>
                <w:color w:val="000000"/>
                <w:sz w:val="20"/>
                <w:szCs w:val="20"/>
              </w:rPr>
              <w:t>$159.000.000</w:t>
            </w:r>
            <w:r w:rsidR="00E67F42">
              <w:rPr>
                <w:rFonts w:ascii="Calibri" w:hAnsi="Calibri"/>
                <w:color w:val="000000"/>
                <w:sz w:val="20"/>
                <w:szCs w:val="20"/>
              </w:rPr>
              <w:t>,00</w:t>
            </w:r>
          </w:p>
        </w:tc>
      </w:tr>
      <w:tr w:rsidR="00956F5A" w:rsidRPr="00E470D2" w:rsidTr="00E67F42">
        <w:trPr>
          <w:trHeight w:val="290"/>
        </w:trPr>
        <w:tc>
          <w:tcPr>
            <w:tcW w:w="6940"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56F5A" w:rsidRPr="00E470D2" w:rsidRDefault="00956F5A" w:rsidP="00E67F42">
            <w:pPr>
              <w:jc w:val="center"/>
              <w:rPr>
                <w:rFonts w:ascii="Calibri" w:hAnsi="Calibri"/>
                <w:color w:val="000000"/>
                <w:sz w:val="22"/>
                <w:szCs w:val="22"/>
              </w:rPr>
            </w:pPr>
            <w:r w:rsidRPr="00E470D2">
              <w:rPr>
                <w:rFonts w:ascii="Calibri" w:hAnsi="Calibri"/>
                <w:color w:val="000000"/>
                <w:sz w:val="22"/>
                <w:szCs w:val="22"/>
              </w:rPr>
              <w:t xml:space="preserve">SUBTOTAL </w:t>
            </w:r>
            <w:r w:rsidR="00E67F42">
              <w:rPr>
                <w:rFonts w:ascii="Calibri" w:hAnsi="Calibri"/>
                <w:color w:val="000000"/>
                <w:sz w:val="22"/>
                <w:szCs w:val="22"/>
              </w:rPr>
              <w:t>PROYECTOS ESPECIALES</w:t>
            </w:r>
          </w:p>
        </w:tc>
        <w:tc>
          <w:tcPr>
            <w:tcW w:w="1515" w:type="dxa"/>
            <w:tcBorders>
              <w:top w:val="single" w:sz="4" w:space="0" w:color="auto"/>
              <w:left w:val="nil"/>
              <w:bottom w:val="single" w:sz="4" w:space="0" w:color="auto"/>
              <w:right w:val="single" w:sz="4" w:space="0" w:color="auto"/>
            </w:tcBorders>
            <w:shd w:val="clear" w:color="000000" w:fill="FFFF00"/>
            <w:vAlign w:val="center"/>
            <w:hideMark/>
          </w:tcPr>
          <w:p w:rsidR="00956F5A" w:rsidRPr="00E470D2" w:rsidRDefault="00956F5A" w:rsidP="00E67F42">
            <w:pPr>
              <w:jc w:val="right"/>
              <w:rPr>
                <w:rFonts w:ascii="Calibri" w:hAnsi="Calibri"/>
                <w:color w:val="000000"/>
                <w:sz w:val="20"/>
                <w:szCs w:val="20"/>
              </w:rPr>
            </w:pPr>
            <w:r w:rsidRPr="00E470D2">
              <w:rPr>
                <w:rFonts w:ascii="Calibri" w:hAnsi="Calibri"/>
                <w:color w:val="000000"/>
                <w:sz w:val="20"/>
                <w:szCs w:val="20"/>
              </w:rPr>
              <w:t>$</w:t>
            </w:r>
            <w:r w:rsidR="00E67F42">
              <w:rPr>
                <w:rFonts w:ascii="Calibri" w:hAnsi="Calibri"/>
                <w:color w:val="000000"/>
                <w:sz w:val="20"/>
                <w:szCs w:val="20"/>
              </w:rPr>
              <w:t>657</w:t>
            </w:r>
            <w:r w:rsidRPr="00E470D2">
              <w:rPr>
                <w:rFonts w:ascii="Calibri" w:hAnsi="Calibri"/>
                <w:color w:val="000000"/>
                <w:sz w:val="20"/>
                <w:szCs w:val="20"/>
              </w:rPr>
              <w:t>.000.000,00</w:t>
            </w:r>
          </w:p>
        </w:tc>
      </w:tr>
      <w:tr w:rsidR="00956F5A" w:rsidRPr="00F962F6" w:rsidTr="00E67F42">
        <w:trPr>
          <w:trHeight w:val="290"/>
        </w:trPr>
        <w:tc>
          <w:tcPr>
            <w:tcW w:w="6940"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rsidR="00956F5A" w:rsidRPr="00F962F6" w:rsidRDefault="00956F5A" w:rsidP="00272CCE">
            <w:pPr>
              <w:jc w:val="center"/>
              <w:rPr>
                <w:rFonts w:ascii="Calibri" w:hAnsi="Calibri"/>
                <w:b/>
                <w:color w:val="FFFFFF" w:themeColor="background1"/>
                <w:sz w:val="22"/>
                <w:szCs w:val="22"/>
              </w:rPr>
            </w:pPr>
            <w:r w:rsidRPr="00F962F6">
              <w:rPr>
                <w:rFonts w:ascii="Calibri" w:hAnsi="Calibri"/>
                <w:b/>
                <w:color w:val="FFFFFF" w:themeColor="background1"/>
                <w:sz w:val="22"/>
                <w:szCs w:val="22"/>
              </w:rPr>
              <w:t>TOTAL RECURSOS INVERSIÓN PROYECTRO CALIDAD</w:t>
            </w:r>
          </w:p>
        </w:tc>
        <w:tc>
          <w:tcPr>
            <w:tcW w:w="1515" w:type="dxa"/>
            <w:tcBorders>
              <w:top w:val="single" w:sz="4" w:space="0" w:color="auto"/>
              <w:left w:val="nil"/>
              <w:bottom w:val="single" w:sz="4" w:space="0" w:color="auto"/>
              <w:right w:val="single" w:sz="4" w:space="0" w:color="auto"/>
            </w:tcBorders>
            <w:shd w:val="clear" w:color="auto" w:fill="002060"/>
            <w:vAlign w:val="center"/>
          </w:tcPr>
          <w:p w:rsidR="00956F5A" w:rsidRPr="00F962F6" w:rsidRDefault="00956F5A" w:rsidP="00E67F42">
            <w:pPr>
              <w:jc w:val="right"/>
              <w:rPr>
                <w:rFonts w:ascii="Calibri" w:hAnsi="Calibri"/>
                <w:b/>
                <w:color w:val="FFFFFF" w:themeColor="background1"/>
                <w:sz w:val="20"/>
                <w:szCs w:val="20"/>
              </w:rPr>
            </w:pPr>
            <w:r w:rsidRPr="00F962F6">
              <w:rPr>
                <w:rFonts w:ascii="Calibri" w:hAnsi="Calibri"/>
                <w:b/>
                <w:color w:val="FFFFFF" w:themeColor="background1"/>
                <w:sz w:val="20"/>
                <w:szCs w:val="20"/>
              </w:rPr>
              <w:t>$</w:t>
            </w:r>
            <w:r w:rsidR="00E67F42">
              <w:rPr>
                <w:rFonts w:ascii="Calibri" w:hAnsi="Calibri"/>
                <w:b/>
                <w:color w:val="FFFFFF" w:themeColor="background1"/>
                <w:sz w:val="20"/>
                <w:szCs w:val="20"/>
              </w:rPr>
              <w:t>1.049</w:t>
            </w:r>
            <w:r w:rsidRPr="00F962F6">
              <w:rPr>
                <w:rFonts w:ascii="Calibri" w:hAnsi="Calibri"/>
                <w:b/>
                <w:color w:val="FFFFFF" w:themeColor="background1"/>
                <w:sz w:val="20"/>
                <w:szCs w:val="20"/>
              </w:rPr>
              <w:t>.000.000,00</w:t>
            </w:r>
          </w:p>
        </w:tc>
      </w:tr>
    </w:tbl>
    <w:p w:rsidR="00956F5A" w:rsidRDefault="00956F5A" w:rsidP="00C43703">
      <w:pPr>
        <w:pStyle w:val="CUERPOTEXTO"/>
      </w:pPr>
    </w:p>
    <w:p w:rsidR="00956F5A" w:rsidRDefault="00956F5A" w:rsidP="00C43703">
      <w:pPr>
        <w:pStyle w:val="CUERPOTEXTO"/>
      </w:pPr>
    </w:p>
    <w:p w:rsidR="00951963" w:rsidRDefault="00E67F42" w:rsidP="00C43703">
      <w:pPr>
        <w:pStyle w:val="CUERPOTEXTO"/>
      </w:pPr>
      <w:r>
        <w:t xml:space="preserve">De los $1.049 millones asignados se han comprometido recursos por $757 millones, correspondientes a la certificación de las normas, la realización de jornadas de sensibilización y capacitación, y el desarrollo de una norma para el sector justicia, para un 72,16% de ejecución. </w:t>
      </w:r>
    </w:p>
    <w:p w:rsidR="00E67F42" w:rsidRDefault="00E67F42" w:rsidP="00C43703">
      <w:pPr>
        <w:pStyle w:val="CUERPOTEXTO"/>
      </w:pPr>
    </w:p>
    <w:p w:rsidR="00E67F42" w:rsidRDefault="00E67F42" w:rsidP="00C43703">
      <w:pPr>
        <w:pStyle w:val="CUERPOTEXTO"/>
      </w:pPr>
      <w:r>
        <w:t>El cuadro siguiente muestra los proyectos y cronogramas de trabajo estimados para el desarrollo de estos temas:</w:t>
      </w:r>
    </w:p>
    <w:p w:rsidR="00E67F42" w:rsidRDefault="00E67F42" w:rsidP="00C43703">
      <w:pPr>
        <w:pStyle w:val="CUERPOTEX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9"/>
        <w:gridCol w:w="1347"/>
        <w:gridCol w:w="1508"/>
        <w:gridCol w:w="1185"/>
        <w:gridCol w:w="1024"/>
        <w:gridCol w:w="1695"/>
      </w:tblGrid>
      <w:tr w:rsidR="00956F5A" w:rsidRPr="002744E8" w:rsidTr="009D58FF">
        <w:trPr>
          <w:trHeight w:val="640"/>
          <w:tblHeader/>
        </w:trPr>
        <w:tc>
          <w:tcPr>
            <w:tcW w:w="1172" w:type="pct"/>
            <w:shd w:val="clear" w:color="auto" w:fill="002060"/>
            <w:vAlign w:val="center"/>
            <w:hideMark/>
          </w:tcPr>
          <w:p w:rsidR="00956F5A" w:rsidRPr="00EC0F44" w:rsidRDefault="00956F5A" w:rsidP="00272CCE">
            <w:pPr>
              <w:jc w:val="center"/>
              <w:rPr>
                <w:rFonts w:ascii="Arial" w:hAnsi="Arial" w:cs="Arial"/>
                <w:b/>
                <w:bCs/>
                <w:color w:val="FFFFFF" w:themeColor="background1"/>
                <w:sz w:val="14"/>
                <w:szCs w:val="14"/>
                <w:lang w:val="es-ES" w:eastAsia="es-ES"/>
              </w:rPr>
            </w:pPr>
            <w:r w:rsidRPr="00EC0F44">
              <w:rPr>
                <w:rFonts w:ascii="Arial" w:hAnsi="Arial" w:cs="Arial"/>
                <w:b/>
                <w:bCs/>
                <w:color w:val="FFFFFF" w:themeColor="background1"/>
                <w:sz w:val="14"/>
                <w:szCs w:val="14"/>
                <w:lang w:val="es-ES" w:eastAsia="es-ES"/>
              </w:rPr>
              <w:lastRenderedPageBreak/>
              <w:t>INVERSIÓN 2014 UNIDAD DE DESARROLLO Y ANÁLISIS ESTADÍSTICO</w:t>
            </w:r>
            <w:r w:rsidRPr="002744E8">
              <w:rPr>
                <w:rFonts w:ascii="Arial" w:hAnsi="Arial" w:cs="Arial"/>
                <w:b/>
                <w:bCs/>
                <w:color w:val="FFFFFF" w:themeColor="background1"/>
                <w:sz w:val="14"/>
                <w:szCs w:val="14"/>
                <w:lang w:val="es-ES" w:eastAsia="es-ES"/>
              </w:rPr>
              <w:t xml:space="preserve"> – SISTEMA DE GESTIÓN DE CALIDAD</w:t>
            </w:r>
          </w:p>
        </w:tc>
        <w:tc>
          <w:tcPr>
            <w:tcW w:w="763" w:type="pct"/>
            <w:shd w:val="clear" w:color="auto" w:fill="002060"/>
            <w:vAlign w:val="center"/>
            <w:hideMark/>
          </w:tcPr>
          <w:p w:rsidR="00956F5A" w:rsidRPr="00EC0F44" w:rsidRDefault="00956F5A" w:rsidP="00272CCE">
            <w:pPr>
              <w:jc w:val="center"/>
              <w:rPr>
                <w:rFonts w:ascii="Arial" w:hAnsi="Arial" w:cs="Arial"/>
                <w:b/>
                <w:bCs/>
                <w:color w:val="FFFFFF" w:themeColor="background1"/>
                <w:sz w:val="14"/>
                <w:szCs w:val="14"/>
                <w:lang w:val="es-ES" w:eastAsia="es-ES"/>
              </w:rPr>
            </w:pPr>
            <w:r w:rsidRPr="002744E8">
              <w:rPr>
                <w:rFonts w:ascii="Arial" w:hAnsi="Arial" w:cs="Arial"/>
                <w:b/>
                <w:bCs/>
                <w:color w:val="FFFFFF" w:themeColor="background1"/>
                <w:sz w:val="14"/>
                <w:szCs w:val="14"/>
                <w:lang w:val="es-ES" w:eastAsia="es-ES"/>
              </w:rPr>
              <w:t>Fecha Inicio Actividad</w:t>
            </w:r>
          </w:p>
        </w:tc>
        <w:tc>
          <w:tcPr>
            <w:tcW w:w="854" w:type="pct"/>
            <w:shd w:val="clear" w:color="auto" w:fill="002060"/>
            <w:vAlign w:val="center"/>
            <w:hideMark/>
          </w:tcPr>
          <w:p w:rsidR="00956F5A" w:rsidRPr="00EC0F44" w:rsidRDefault="00956F5A" w:rsidP="00272CCE">
            <w:pPr>
              <w:jc w:val="center"/>
              <w:rPr>
                <w:rFonts w:ascii="Arial" w:hAnsi="Arial" w:cs="Arial"/>
                <w:b/>
                <w:bCs/>
                <w:color w:val="FFFFFF" w:themeColor="background1"/>
                <w:sz w:val="14"/>
                <w:szCs w:val="14"/>
                <w:lang w:val="es-ES" w:eastAsia="es-ES"/>
              </w:rPr>
            </w:pPr>
            <w:r w:rsidRPr="002744E8">
              <w:rPr>
                <w:rFonts w:ascii="Arial" w:hAnsi="Arial" w:cs="Arial"/>
                <w:b/>
                <w:bCs/>
                <w:color w:val="FFFFFF" w:themeColor="background1"/>
                <w:sz w:val="14"/>
                <w:szCs w:val="14"/>
                <w:lang w:val="es-ES" w:eastAsia="es-ES"/>
              </w:rPr>
              <w:t>Fecha Finalización Actividad</w:t>
            </w:r>
          </w:p>
        </w:tc>
        <w:tc>
          <w:tcPr>
            <w:tcW w:w="671" w:type="pct"/>
            <w:shd w:val="clear" w:color="auto" w:fill="002060"/>
            <w:vAlign w:val="center"/>
            <w:hideMark/>
          </w:tcPr>
          <w:p w:rsidR="00956F5A" w:rsidRPr="00EC0F44" w:rsidRDefault="00956F5A" w:rsidP="00272CCE">
            <w:pPr>
              <w:jc w:val="center"/>
              <w:rPr>
                <w:rFonts w:ascii="Arial" w:hAnsi="Arial" w:cs="Arial"/>
                <w:b/>
                <w:bCs/>
                <w:color w:val="FFFFFF" w:themeColor="background1"/>
                <w:sz w:val="14"/>
                <w:szCs w:val="14"/>
                <w:lang w:val="es-ES" w:eastAsia="es-ES"/>
              </w:rPr>
            </w:pPr>
            <w:r w:rsidRPr="002744E8">
              <w:rPr>
                <w:rFonts w:ascii="Arial" w:hAnsi="Arial" w:cs="Arial"/>
                <w:b/>
                <w:bCs/>
                <w:color w:val="FFFFFF" w:themeColor="background1"/>
                <w:sz w:val="14"/>
                <w:szCs w:val="14"/>
                <w:lang w:val="es-ES" w:eastAsia="es-ES"/>
              </w:rPr>
              <w:t>Plazo en semanas</w:t>
            </w:r>
          </w:p>
        </w:tc>
        <w:tc>
          <w:tcPr>
            <w:tcW w:w="580" w:type="pct"/>
            <w:shd w:val="clear" w:color="auto" w:fill="002060"/>
            <w:vAlign w:val="center"/>
            <w:hideMark/>
          </w:tcPr>
          <w:p w:rsidR="00956F5A" w:rsidRPr="00EC0F44" w:rsidRDefault="00956F5A" w:rsidP="00272CCE">
            <w:pPr>
              <w:jc w:val="center"/>
              <w:rPr>
                <w:rFonts w:ascii="Arial" w:hAnsi="Arial" w:cs="Arial"/>
                <w:b/>
                <w:bCs/>
                <w:color w:val="FFFFFF" w:themeColor="background1"/>
                <w:sz w:val="14"/>
                <w:szCs w:val="14"/>
                <w:lang w:val="es-ES" w:eastAsia="es-ES"/>
              </w:rPr>
            </w:pPr>
            <w:r w:rsidRPr="002744E8">
              <w:rPr>
                <w:rFonts w:ascii="Arial" w:hAnsi="Arial" w:cs="Arial"/>
                <w:b/>
                <w:bCs/>
                <w:color w:val="FFFFFF" w:themeColor="background1"/>
                <w:sz w:val="14"/>
                <w:szCs w:val="14"/>
                <w:lang w:val="es-ES" w:eastAsia="es-ES"/>
              </w:rPr>
              <w:t>Avance físico</w:t>
            </w:r>
          </w:p>
        </w:tc>
        <w:tc>
          <w:tcPr>
            <w:tcW w:w="960" w:type="pct"/>
            <w:shd w:val="clear" w:color="auto" w:fill="002060"/>
            <w:vAlign w:val="center"/>
            <w:hideMark/>
          </w:tcPr>
          <w:p w:rsidR="00956F5A" w:rsidRPr="00EC0F44" w:rsidRDefault="00956F5A" w:rsidP="00272CCE">
            <w:pPr>
              <w:jc w:val="center"/>
              <w:rPr>
                <w:rFonts w:ascii="Arial" w:hAnsi="Arial" w:cs="Arial"/>
                <w:b/>
                <w:color w:val="FFFFFF" w:themeColor="background1"/>
                <w:sz w:val="14"/>
                <w:szCs w:val="14"/>
                <w:lang w:val="es-ES" w:eastAsia="es-ES"/>
              </w:rPr>
            </w:pPr>
            <w:r w:rsidRPr="002744E8">
              <w:rPr>
                <w:rFonts w:ascii="Arial" w:hAnsi="Arial" w:cs="Arial"/>
                <w:b/>
                <w:color w:val="FFFFFF" w:themeColor="background1"/>
                <w:sz w:val="14"/>
                <w:szCs w:val="14"/>
                <w:lang w:val="es-ES" w:eastAsia="es-ES"/>
              </w:rPr>
              <w:t>SOPORTE</w:t>
            </w:r>
          </w:p>
        </w:tc>
      </w:tr>
      <w:tr w:rsidR="00956F5A" w:rsidRPr="00EC0F44" w:rsidTr="009D58FF">
        <w:trPr>
          <w:trHeight w:val="940"/>
        </w:trPr>
        <w:tc>
          <w:tcPr>
            <w:tcW w:w="1172" w:type="pct"/>
            <w:shd w:val="clear" w:color="auto" w:fill="auto"/>
            <w:vAlign w:val="center"/>
            <w:hideMark/>
          </w:tcPr>
          <w:p w:rsidR="00956F5A" w:rsidRPr="00EC0F44" w:rsidRDefault="009D58FF" w:rsidP="00272CCE">
            <w:pPr>
              <w:jc w:val="both"/>
              <w:rPr>
                <w:rFonts w:ascii="Arial" w:hAnsi="Arial" w:cs="Arial"/>
                <w:b/>
                <w:bCs/>
                <w:color w:val="000000"/>
                <w:sz w:val="14"/>
                <w:szCs w:val="14"/>
                <w:lang w:val="es-ES" w:eastAsia="es-ES"/>
              </w:rPr>
            </w:pPr>
            <w:r>
              <w:rPr>
                <w:rFonts w:ascii="Arial" w:hAnsi="Arial" w:cs="Arial"/>
                <w:b/>
                <w:bCs/>
                <w:color w:val="000000"/>
                <w:sz w:val="14"/>
                <w:szCs w:val="14"/>
                <w:lang w:val="es-ES" w:eastAsia="es-ES"/>
              </w:rPr>
              <w:t>C</w:t>
            </w:r>
            <w:r w:rsidR="00956F5A" w:rsidRPr="00EC0F44">
              <w:rPr>
                <w:rFonts w:ascii="Arial" w:hAnsi="Arial" w:cs="Arial"/>
                <w:b/>
                <w:bCs/>
                <w:color w:val="000000"/>
                <w:sz w:val="14"/>
                <w:szCs w:val="14"/>
                <w:lang w:val="es-ES" w:eastAsia="es-ES"/>
              </w:rPr>
              <w:t>ertificación  del Sistema Integrado de Gestión de Calidad de la Sala Administrativa del Consejo Superior de la Judicatura y Ampliación a Despachos Judiciales</w:t>
            </w:r>
          </w:p>
        </w:tc>
        <w:tc>
          <w:tcPr>
            <w:tcW w:w="763" w:type="pct"/>
            <w:shd w:val="clear" w:color="000000" w:fill="FDE9D9"/>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02/01/2014</w:t>
            </w:r>
          </w:p>
        </w:tc>
        <w:tc>
          <w:tcPr>
            <w:tcW w:w="854" w:type="pct"/>
            <w:shd w:val="clear" w:color="000000" w:fill="FDE9D9"/>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30/11/2014</w:t>
            </w:r>
          </w:p>
        </w:tc>
        <w:tc>
          <w:tcPr>
            <w:tcW w:w="671" w:type="pct"/>
            <w:shd w:val="clear" w:color="000000" w:fill="EBF1DE"/>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47,43</w:t>
            </w:r>
          </w:p>
        </w:tc>
        <w:tc>
          <w:tcPr>
            <w:tcW w:w="580" w:type="pct"/>
            <w:shd w:val="clear" w:color="000000" w:fill="EBF1DE"/>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100%</w:t>
            </w:r>
          </w:p>
        </w:tc>
        <w:tc>
          <w:tcPr>
            <w:tcW w:w="960" w:type="pct"/>
            <w:shd w:val="clear" w:color="000000" w:fill="E4DFEC"/>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 </w:t>
            </w:r>
          </w:p>
        </w:tc>
      </w:tr>
      <w:tr w:rsidR="00956F5A" w:rsidRPr="00EC0F44" w:rsidTr="009D58FF">
        <w:trPr>
          <w:trHeight w:val="30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Aprobación de Marcos Lógicos</w:t>
            </w:r>
          </w:p>
        </w:tc>
        <w:tc>
          <w:tcPr>
            <w:tcW w:w="763" w:type="pct"/>
            <w:shd w:val="clear" w:color="000000" w:fill="FDE9D9"/>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02/01/2014</w:t>
            </w:r>
          </w:p>
        </w:tc>
        <w:tc>
          <w:tcPr>
            <w:tcW w:w="854" w:type="pct"/>
            <w:shd w:val="clear" w:color="000000" w:fill="FDE9D9"/>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31/01/2014</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4,14</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956F5A" w:rsidRPr="00EC0F44" w:rsidRDefault="00956F5A" w:rsidP="00272CCE">
            <w:pPr>
              <w:jc w:val="center"/>
              <w:rPr>
                <w:rFonts w:ascii="Arial" w:hAnsi="Arial" w:cs="Arial"/>
                <w:color w:val="000000"/>
                <w:sz w:val="14"/>
                <w:szCs w:val="14"/>
                <w:lang w:val="es-ES" w:eastAsia="es-ES"/>
              </w:rPr>
            </w:pPr>
            <w:r w:rsidRPr="00EC0F44">
              <w:rPr>
                <w:rFonts w:ascii="Arial" w:hAnsi="Arial" w:cs="Arial"/>
                <w:color w:val="000000"/>
                <w:sz w:val="14"/>
                <w:szCs w:val="14"/>
                <w:lang w:val="es-ES" w:eastAsia="es-ES"/>
              </w:rPr>
              <w:t>Acuerdo PSAA14-10085</w:t>
            </w:r>
          </w:p>
        </w:tc>
      </w:tr>
      <w:tr w:rsidR="00956F5A" w:rsidRPr="00EC0F44" w:rsidTr="009D58FF">
        <w:trPr>
          <w:trHeight w:val="62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Presentación de condiciones técnicas a DEAJ</w:t>
            </w:r>
          </w:p>
        </w:tc>
        <w:tc>
          <w:tcPr>
            <w:tcW w:w="763" w:type="pct"/>
            <w:shd w:val="clear" w:color="000000" w:fill="FDE9D9"/>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02/01/2014</w:t>
            </w:r>
          </w:p>
        </w:tc>
        <w:tc>
          <w:tcPr>
            <w:tcW w:w="854" w:type="pct"/>
            <w:shd w:val="clear" w:color="000000" w:fill="FDE9D9"/>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28/02/2014</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8,14</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956F5A" w:rsidRPr="00EC0F44" w:rsidRDefault="00956F5A" w:rsidP="009D58FF">
            <w:pPr>
              <w:jc w:val="center"/>
              <w:rPr>
                <w:rFonts w:ascii="Arial" w:hAnsi="Arial" w:cs="Arial"/>
                <w:sz w:val="14"/>
                <w:szCs w:val="14"/>
                <w:lang w:val="es-ES" w:eastAsia="es-ES"/>
              </w:rPr>
            </w:pPr>
            <w:r w:rsidRPr="00EC0F44">
              <w:rPr>
                <w:rFonts w:ascii="Arial" w:hAnsi="Arial" w:cs="Arial"/>
                <w:sz w:val="14"/>
                <w:szCs w:val="14"/>
                <w:lang w:val="es-ES" w:eastAsia="es-ES"/>
              </w:rPr>
              <w:t>UDAEOF1</w:t>
            </w:r>
            <w:r w:rsidR="009D58FF">
              <w:rPr>
                <w:rFonts w:ascii="Arial" w:hAnsi="Arial" w:cs="Arial"/>
                <w:sz w:val="14"/>
                <w:szCs w:val="14"/>
                <w:lang w:val="es-ES" w:eastAsia="es-ES"/>
              </w:rPr>
              <w:t>5</w:t>
            </w:r>
            <w:r w:rsidRPr="00EC0F44">
              <w:rPr>
                <w:rFonts w:ascii="Arial" w:hAnsi="Arial" w:cs="Arial"/>
                <w:sz w:val="14"/>
                <w:szCs w:val="14"/>
                <w:lang w:val="es-ES" w:eastAsia="es-ES"/>
              </w:rPr>
              <w:t>-294 - Estudio previo, estudio del sector, condiciones técnicas</w:t>
            </w:r>
          </w:p>
        </w:tc>
      </w:tr>
      <w:tr w:rsidR="00956F5A" w:rsidRPr="00EC0F44" w:rsidTr="009D58FF">
        <w:trPr>
          <w:trHeight w:val="30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Ejecución Contractual</w:t>
            </w:r>
          </w:p>
        </w:tc>
        <w:tc>
          <w:tcPr>
            <w:tcW w:w="763" w:type="pct"/>
            <w:shd w:val="clear" w:color="000000" w:fill="FDE9D9"/>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01/08/2014</w:t>
            </w:r>
          </w:p>
        </w:tc>
        <w:tc>
          <w:tcPr>
            <w:tcW w:w="854" w:type="pct"/>
            <w:shd w:val="clear" w:color="000000" w:fill="FDE9D9"/>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30/11/2014</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17,29</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956F5A" w:rsidRPr="00EC0F44" w:rsidRDefault="00956F5A" w:rsidP="009D58FF">
            <w:pPr>
              <w:jc w:val="center"/>
              <w:rPr>
                <w:rFonts w:ascii="Arial" w:hAnsi="Arial" w:cs="Arial"/>
                <w:sz w:val="14"/>
                <w:szCs w:val="14"/>
                <w:lang w:val="es-ES" w:eastAsia="es-ES"/>
              </w:rPr>
            </w:pPr>
            <w:r w:rsidRPr="00EC0F44">
              <w:rPr>
                <w:rFonts w:ascii="Arial" w:hAnsi="Arial" w:cs="Arial"/>
                <w:sz w:val="14"/>
                <w:szCs w:val="14"/>
                <w:lang w:val="es-ES" w:eastAsia="es-ES"/>
              </w:rPr>
              <w:t>CD 14 2014</w:t>
            </w:r>
            <w:r w:rsidR="009D58FF">
              <w:rPr>
                <w:rFonts w:ascii="Arial" w:hAnsi="Arial" w:cs="Arial"/>
                <w:sz w:val="14"/>
                <w:szCs w:val="14"/>
                <w:lang w:val="es-ES" w:eastAsia="es-ES"/>
              </w:rPr>
              <w:t>5</w:t>
            </w:r>
            <w:r w:rsidRPr="00EC0F44">
              <w:rPr>
                <w:rFonts w:ascii="Arial" w:hAnsi="Arial" w:cs="Arial"/>
                <w:sz w:val="14"/>
                <w:szCs w:val="14"/>
                <w:lang w:val="es-ES" w:eastAsia="es-ES"/>
              </w:rPr>
              <w:t xml:space="preserve"> - Contrato 0</w:t>
            </w:r>
            <w:r w:rsidR="009D58FF">
              <w:rPr>
                <w:rFonts w:ascii="Arial" w:hAnsi="Arial" w:cs="Arial"/>
                <w:sz w:val="14"/>
                <w:szCs w:val="14"/>
                <w:lang w:val="es-ES" w:eastAsia="es-ES"/>
              </w:rPr>
              <w:t>90</w:t>
            </w:r>
            <w:r w:rsidRPr="00EC0F44">
              <w:rPr>
                <w:rFonts w:ascii="Arial" w:hAnsi="Arial" w:cs="Arial"/>
                <w:sz w:val="14"/>
                <w:szCs w:val="14"/>
                <w:lang w:val="es-ES" w:eastAsia="es-ES"/>
              </w:rPr>
              <w:t xml:space="preserve"> 201</w:t>
            </w:r>
            <w:r w:rsidR="009D58FF">
              <w:rPr>
                <w:rFonts w:ascii="Arial" w:hAnsi="Arial" w:cs="Arial"/>
                <w:sz w:val="14"/>
                <w:szCs w:val="14"/>
                <w:lang w:val="es-ES" w:eastAsia="es-ES"/>
              </w:rPr>
              <w:t>5</w:t>
            </w:r>
            <w:r w:rsidRPr="00EC0F44">
              <w:rPr>
                <w:rFonts w:ascii="Arial" w:hAnsi="Arial" w:cs="Arial"/>
                <w:sz w:val="14"/>
                <w:szCs w:val="14"/>
                <w:lang w:val="es-ES" w:eastAsia="es-ES"/>
              </w:rPr>
              <w:t xml:space="preserve"> - Acta de inicio </w:t>
            </w:r>
            <w:r w:rsidR="009D58FF">
              <w:rPr>
                <w:rFonts w:ascii="Arial" w:hAnsi="Arial" w:cs="Arial"/>
                <w:sz w:val="14"/>
                <w:szCs w:val="14"/>
                <w:lang w:val="es-ES" w:eastAsia="es-ES"/>
              </w:rPr>
              <w:t>–</w:t>
            </w:r>
            <w:r w:rsidRPr="00EC0F44">
              <w:rPr>
                <w:rFonts w:ascii="Arial" w:hAnsi="Arial" w:cs="Arial"/>
                <w:sz w:val="14"/>
                <w:szCs w:val="14"/>
                <w:lang w:val="es-ES" w:eastAsia="es-ES"/>
              </w:rPr>
              <w:t xml:space="preserve"> </w:t>
            </w:r>
            <w:r w:rsidR="009D58FF">
              <w:rPr>
                <w:rFonts w:ascii="Arial" w:hAnsi="Arial" w:cs="Arial"/>
                <w:sz w:val="14"/>
                <w:szCs w:val="14"/>
                <w:lang w:val="es-ES" w:eastAsia="es-ES"/>
              </w:rPr>
              <w:t>En ejecución normal</w:t>
            </w:r>
          </w:p>
        </w:tc>
      </w:tr>
      <w:tr w:rsidR="00956F5A" w:rsidRPr="00EC0F44" w:rsidTr="009D58FF">
        <w:trPr>
          <w:trHeight w:val="930"/>
        </w:trPr>
        <w:tc>
          <w:tcPr>
            <w:tcW w:w="1172" w:type="pct"/>
            <w:shd w:val="clear" w:color="auto" w:fill="auto"/>
            <w:vAlign w:val="center"/>
            <w:hideMark/>
          </w:tcPr>
          <w:p w:rsidR="00956F5A" w:rsidRPr="00EC0F44" w:rsidRDefault="00956F5A" w:rsidP="00272CCE">
            <w:pPr>
              <w:jc w:val="both"/>
              <w:rPr>
                <w:rFonts w:ascii="Arial" w:hAnsi="Arial" w:cs="Arial"/>
                <w:b/>
                <w:bCs/>
                <w:color w:val="000000"/>
                <w:sz w:val="14"/>
                <w:szCs w:val="14"/>
                <w:lang w:val="es-ES" w:eastAsia="es-ES"/>
              </w:rPr>
            </w:pPr>
            <w:r w:rsidRPr="00EC0F44">
              <w:rPr>
                <w:rFonts w:ascii="Arial" w:hAnsi="Arial" w:cs="Arial"/>
                <w:b/>
                <w:bCs/>
                <w:color w:val="000000"/>
                <w:sz w:val="14"/>
                <w:szCs w:val="14"/>
                <w:lang w:val="es-ES" w:eastAsia="es-ES"/>
              </w:rPr>
              <w:t>Asesoría y acompañamiento en el diseño del sistema de gestión de calidad para los Centros de Servicios de los Juzgados de las distintas especialidades</w:t>
            </w:r>
          </w:p>
        </w:tc>
        <w:tc>
          <w:tcPr>
            <w:tcW w:w="763" w:type="pct"/>
            <w:shd w:val="clear" w:color="000000" w:fill="FDE9D9"/>
            <w:vAlign w:val="center"/>
            <w:hideMark/>
          </w:tcPr>
          <w:p w:rsidR="00956F5A" w:rsidRPr="00EC0F44" w:rsidRDefault="00956F5A" w:rsidP="009D58FF">
            <w:pPr>
              <w:jc w:val="center"/>
              <w:rPr>
                <w:rFonts w:ascii="Arial" w:hAnsi="Arial" w:cs="Arial"/>
                <w:b/>
                <w:bCs/>
                <w:sz w:val="14"/>
                <w:szCs w:val="14"/>
                <w:lang w:val="es-ES" w:eastAsia="es-ES"/>
              </w:rPr>
            </w:pPr>
            <w:r w:rsidRPr="00EC0F44">
              <w:rPr>
                <w:rFonts w:ascii="Arial" w:hAnsi="Arial" w:cs="Arial"/>
                <w:b/>
                <w:bCs/>
                <w:sz w:val="14"/>
                <w:szCs w:val="14"/>
                <w:lang w:val="es-ES" w:eastAsia="es-ES"/>
              </w:rPr>
              <w:t>02/01/201</w:t>
            </w:r>
            <w:r w:rsidR="009D58FF">
              <w:rPr>
                <w:rFonts w:ascii="Arial" w:hAnsi="Arial" w:cs="Arial"/>
                <w:b/>
                <w:bCs/>
                <w:sz w:val="14"/>
                <w:szCs w:val="14"/>
                <w:lang w:val="es-ES" w:eastAsia="es-ES"/>
              </w:rPr>
              <w:t>5</w:t>
            </w:r>
          </w:p>
        </w:tc>
        <w:tc>
          <w:tcPr>
            <w:tcW w:w="854" w:type="pct"/>
            <w:shd w:val="clear" w:color="000000" w:fill="FDE9D9"/>
            <w:vAlign w:val="center"/>
            <w:hideMark/>
          </w:tcPr>
          <w:p w:rsidR="00956F5A" w:rsidRPr="00EC0F44" w:rsidRDefault="00956F5A" w:rsidP="009D58FF">
            <w:pPr>
              <w:jc w:val="center"/>
              <w:rPr>
                <w:rFonts w:ascii="Arial" w:hAnsi="Arial" w:cs="Arial"/>
                <w:b/>
                <w:bCs/>
                <w:sz w:val="14"/>
                <w:szCs w:val="14"/>
                <w:lang w:val="es-ES" w:eastAsia="es-ES"/>
              </w:rPr>
            </w:pPr>
            <w:r w:rsidRPr="00EC0F44">
              <w:rPr>
                <w:rFonts w:ascii="Arial" w:hAnsi="Arial" w:cs="Arial"/>
                <w:b/>
                <w:bCs/>
                <w:sz w:val="14"/>
                <w:szCs w:val="14"/>
                <w:lang w:val="es-ES" w:eastAsia="es-ES"/>
              </w:rPr>
              <w:t>31/12/201</w:t>
            </w:r>
            <w:r w:rsidR="009D58FF">
              <w:rPr>
                <w:rFonts w:ascii="Arial" w:hAnsi="Arial" w:cs="Arial"/>
                <w:b/>
                <w:bCs/>
                <w:sz w:val="14"/>
                <w:szCs w:val="14"/>
                <w:lang w:val="es-ES" w:eastAsia="es-ES"/>
              </w:rPr>
              <w:t>5</w:t>
            </w:r>
          </w:p>
        </w:tc>
        <w:tc>
          <w:tcPr>
            <w:tcW w:w="671" w:type="pct"/>
            <w:shd w:val="clear" w:color="000000" w:fill="EBF1DE"/>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51,86</w:t>
            </w:r>
          </w:p>
        </w:tc>
        <w:tc>
          <w:tcPr>
            <w:tcW w:w="580" w:type="pct"/>
            <w:shd w:val="clear" w:color="000000" w:fill="EBF1DE"/>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72%</w:t>
            </w:r>
          </w:p>
        </w:tc>
        <w:tc>
          <w:tcPr>
            <w:tcW w:w="960" w:type="pct"/>
            <w:shd w:val="clear" w:color="000000" w:fill="E4DFEC"/>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 </w:t>
            </w:r>
          </w:p>
        </w:tc>
      </w:tr>
      <w:tr w:rsidR="00956F5A" w:rsidRPr="00EC0F44" w:rsidTr="009D58FF">
        <w:trPr>
          <w:trHeight w:val="30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Aprobación de Marcos Lógicos</w:t>
            </w:r>
          </w:p>
        </w:tc>
        <w:tc>
          <w:tcPr>
            <w:tcW w:w="763"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02/01/2015</w:t>
            </w:r>
          </w:p>
        </w:tc>
        <w:tc>
          <w:tcPr>
            <w:tcW w:w="854"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31/01/2015</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4,14</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956F5A" w:rsidRPr="00EC0F44" w:rsidRDefault="00956F5A" w:rsidP="00272CCE">
            <w:pPr>
              <w:jc w:val="center"/>
              <w:rPr>
                <w:rFonts w:ascii="Arial" w:hAnsi="Arial" w:cs="Arial"/>
                <w:color w:val="000000"/>
                <w:sz w:val="14"/>
                <w:szCs w:val="14"/>
                <w:lang w:val="es-ES" w:eastAsia="es-ES"/>
              </w:rPr>
            </w:pPr>
            <w:r w:rsidRPr="00EC0F44">
              <w:rPr>
                <w:rFonts w:ascii="Arial" w:hAnsi="Arial" w:cs="Arial"/>
                <w:color w:val="000000"/>
                <w:sz w:val="14"/>
                <w:szCs w:val="14"/>
                <w:lang w:val="es-ES" w:eastAsia="es-ES"/>
              </w:rPr>
              <w:t>Acuerdo PSAA14-10085</w:t>
            </w:r>
          </w:p>
        </w:tc>
      </w:tr>
      <w:tr w:rsidR="00956F5A" w:rsidRPr="00EC0F44" w:rsidTr="009D58FF">
        <w:trPr>
          <w:trHeight w:val="62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Presentación de condiciones técnicas a DEAJ</w:t>
            </w:r>
          </w:p>
        </w:tc>
        <w:tc>
          <w:tcPr>
            <w:tcW w:w="763"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03/06/2015</w:t>
            </w:r>
          </w:p>
        </w:tc>
        <w:tc>
          <w:tcPr>
            <w:tcW w:w="854"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27/06/2015</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3,43</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UDAEOF14-1284 - Estudios previo, estudio del sector, condiciones técnicas</w:t>
            </w:r>
          </w:p>
        </w:tc>
      </w:tr>
      <w:tr w:rsidR="00956F5A" w:rsidRPr="00EC0F44" w:rsidTr="009D58FF">
        <w:trPr>
          <w:trHeight w:val="30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Ejecución Contractual</w:t>
            </w:r>
          </w:p>
        </w:tc>
        <w:tc>
          <w:tcPr>
            <w:tcW w:w="763"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01/08/2015</w:t>
            </w:r>
          </w:p>
        </w:tc>
        <w:tc>
          <w:tcPr>
            <w:tcW w:w="854"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31/12/2015</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21,71</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15%</w:t>
            </w:r>
          </w:p>
        </w:tc>
        <w:tc>
          <w:tcPr>
            <w:tcW w:w="960" w:type="pct"/>
            <w:shd w:val="clear" w:color="000000" w:fill="E4DFEC"/>
            <w:vAlign w:val="center"/>
            <w:hideMark/>
          </w:tcPr>
          <w:p w:rsidR="00956F5A"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CM 09 2014 - Contrato 069 2014 - Acta de inicio</w:t>
            </w:r>
            <w:r>
              <w:rPr>
                <w:rFonts w:ascii="Arial" w:hAnsi="Arial" w:cs="Arial"/>
                <w:sz w:val="14"/>
                <w:szCs w:val="14"/>
                <w:lang w:val="es-ES" w:eastAsia="es-ES"/>
              </w:rPr>
              <w:t xml:space="preserve">.  </w:t>
            </w:r>
          </w:p>
          <w:p w:rsidR="00956F5A" w:rsidRPr="00EC0F44" w:rsidRDefault="00956F5A" w:rsidP="00272CCE">
            <w:pPr>
              <w:jc w:val="center"/>
              <w:rPr>
                <w:rFonts w:ascii="Arial" w:hAnsi="Arial" w:cs="Arial"/>
                <w:sz w:val="14"/>
                <w:szCs w:val="14"/>
                <w:lang w:val="es-ES" w:eastAsia="es-ES"/>
              </w:rPr>
            </w:pPr>
            <w:r>
              <w:rPr>
                <w:rFonts w:ascii="Arial" w:hAnsi="Arial" w:cs="Arial"/>
                <w:sz w:val="14"/>
                <w:szCs w:val="14"/>
                <w:lang w:val="es-ES" w:eastAsia="es-ES"/>
              </w:rPr>
              <w:t>El contrato se encuentra en ejecución normal.</w:t>
            </w:r>
          </w:p>
        </w:tc>
      </w:tr>
      <w:tr w:rsidR="00956F5A" w:rsidRPr="00EC0F44" w:rsidTr="009D58FF">
        <w:trPr>
          <w:trHeight w:val="1003"/>
        </w:trPr>
        <w:tc>
          <w:tcPr>
            <w:tcW w:w="1172" w:type="pct"/>
            <w:shd w:val="clear" w:color="auto" w:fill="auto"/>
            <w:vAlign w:val="center"/>
            <w:hideMark/>
          </w:tcPr>
          <w:p w:rsidR="00956F5A" w:rsidRPr="00EC0F44" w:rsidRDefault="00956F5A" w:rsidP="00272CCE">
            <w:pPr>
              <w:jc w:val="both"/>
              <w:rPr>
                <w:rFonts w:ascii="Arial" w:hAnsi="Arial" w:cs="Arial"/>
                <w:b/>
                <w:bCs/>
                <w:color w:val="000000"/>
                <w:sz w:val="14"/>
                <w:szCs w:val="14"/>
                <w:lang w:val="es-ES" w:eastAsia="es-ES"/>
              </w:rPr>
            </w:pPr>
            <w:r w:rsidRPr="00EC0F44">
              <w:rPr>
                <w:rFonts w:ascii="Arial" w:hAnsi="Arial" w:cs="Arial"/>
                <w:b/>
                <w:bCs/>
                <w:color w:val="000000"/>
                <w:sz w:val="14"/>
                <w:szCs w:val="14"/>
                <w:lang w:val="es-ES" w:eastAsia="es-ES"/>
              </w:rPr>
              <w:t>Capacitaciones sobre el Sistema Integrado de Gestión de Calidad de acuerdo con los parámetros definidos</w:t>
            </w:r>
          </w:p>
        </w:tc>
        <w:tc>
          <w:tcPr>
            <w:tcW w:w="763" w:type="pct"/>
            <w:shd w:val="clear" w:color="000000" w:fill="FDE9D9"/>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02/0</w:t>
            </w:r>
            <w:r w:rsidR="009D58FF">
              <w:rPr>
                <w:rFonts w:ascii="Arial" w:hAnsi="Arial" w:cs="Arial"/>
                <w:b/>
                <w:bCs/>
                <w:sz w:val="14"/>
                <w:szCs w:val="14"/>
                <w:lang w:val="es-ES" w:eastAsia="es-ES"/>
              </w:rPr>
              <w:t>1/2015</w:t>
            </w:r>
          </w:p>
        </w:tc>
        <w:tc>
          <w:tcPr>
            <w:tcW w:w="854" w:type="pct"/>
            <w:shd w:val="clear" w:color="000000" w:fill="FDE9D9"/>
            <w:vAlign w:val="center"/>
            <w:hideMark/>
          </w:tcPr>
          <w:p w:rsidR="00956F5A" w:rsidRPr="00EC0F44" w:rsidRDefault="009D58FF" w:rsidP="00272CCE">
            <w:pPr>
              <w:jc w:val="center"/>
              <w:rPr>
                <w:rFonts w:ascii="Arial" w:hAnsi="Arial" w:cs="Arial"/>
                <w:b/>
                <w:bCs/>
                <w:sz w:val="14"/>
                <w:szCs w:val="14"/>
                <w:lang w:val="es-ES" w:eastAsia="es-ES"/>
              </w:rPr>
            </w:pPr>
            <w:r>
              <w:rPr>
                <w:rFonts w:ascii="Arial" w:hAnsi="Arial" w:cs="Arial"/>
                <w:b/>
                <w:bCs/>
                <w:sz w:val="14"/>
                <w:szCs w:val="14"/>
                <w:lang w:val="es-ES" w:eastAsia="es-ES"/>
              </w:rPr>
              <w:t>31/12/2015</w:t>
            </w:r>
          </w:p>
        </w:tc>
        <w:tc>
          <w:tcPr>
            <w:tcW w:w="671" w:type="pct"/>
            <w:shd w:val="clear" w:color="000000" w:fill="EBF1DE"/>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51,86</w:t>
            </w:r>
          </w:p>
        </w:tc>
        <w:tc>
          <w:tcPr>
            <w:tcW w:w="580" w:type="pct"/>
            <w:shd w:val="clear" w:color="000000" w:fill="EBF1DE"/>
            <w:vAlign w:val="center"/>
            <w:hideMark/>
          </w:tcPr>
          <w:p w:rsidR="00956F5A" w:rsidRPr="00EC0F44" w:rsidRDefault="00956F5A" w:rsidP="00272CCE">
            <w:pPr>
              <w:jc w:val="center"/>
              <w:rPr>
                <w:rFonts w:ascii="Arial" w:hAnsi="Arial" w:cs="Arial"/>
                <w:b/>
                <w:bCs/>
                <w:sz w:val="14"/>
                <w:szCs w:val="14"/>
                <w:lang w:val="es-ES" w:eastAsia="es-ES"/>
              </w:rPr>
            </w:pPr>
            <w:r w:rsidRPr="00EC0F44">
              <w:rPr>
                <w:rFonts w:ascii="Arial" w:hAnsi="Arial" w:cs="Arial"/>
                <w:b/>
                <w:bCs/>
                <w:sz w:val="14"/>
                <w:szCs w:val="14"/>
                <w:lang w:val="es-ES" w:eastAsia="es-ES"/>
              </w:rPr>
              <w:t>67%</w:t>
            </w:r>
          </w:p>
        </w:tc>
        <w:tc>
          <w:tcPr>
            <w:tcW w:w="960" w:type="pct"/>
            <w:shd w:val="clear" w:color="000000" w:fill="E4DFEC"/>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 </w:t>
            </w:r>
          </w:p>
        </w:tc>
      </w:tr>
      <w:tr w:rsidR="00956F5A" w:rsidRPr="00EC0F44" w:rsidTr="009D58FF">
        <w:trPr>
          <w:trHeight w:val="30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Aprobación de Marcos Lógicos</w:t>
            </w:r>
          </w:p>
        </w:tc>
        <w:tc>
          <w:tcPr>
            <w:tcW w:w="763"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02/01/2015</w:t>
            </w:r>
          </w:p>
        </w:tc>
        <w:tc>
          <w:tcPr>
            <w:tcW w:w="854"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31/01/2015</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4,14</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956F5A" w:rsidRPr="00EC0F44" w:rsidRDefault="00956F5A" w:rsidP="00272CCE">
            <w:pPr>
              <w:jc w:val="center"/>
              <w:rPr>
                <w:rFonts w:ascii="Arial" w:hAnsi="Arial" w:cs="Arial"/>
                <w:color w:val="000000"/>
                <w:sz w:val="14"/>
                <w:szCs w:val="14"/>
                <w:lang w:val="es-ES" w:eastAsia="es-ES"/>
              </w:rPr>
            </w:pPr>
            <w:r w:rsidRPr="00EC0F44">
              <w:rPr>
                <w:rFonts w:ascii="Arial" w:hAnsi="Arial" w:cs="Arial"/>
                <w:color w:val="000000"/>
                <w:sz w:val="14"/>
                <w:szCs w:val="14"/>
                <w:lang w:val="es-ES" w:eastAsia="es-ES"/>
              </w:rPr>
              <w:t>Acuerdo PSAA14-10085</w:t>
            </w:r>
          </w:p>
        </w:tc>
      </w:tr>
      <w:tr w:rsidR="00956F5A" w:rsidRPr="00EC0F44" w:rsidTr="009D58FF">
        <w:trPr>
          <w:trHeight w:val="62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Presentación de condiciones técnicas a DEAJ</w:t>
            </w:r>
          </w:p>
        </w:tc>
        <w:tc>
          <w:tcPr>
            <w:tcW w:w="763"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03/06/2015</w:t>
            </w:r>
          </w:p>
        </w:tc>
        <w:tc>
          <w:tcPr>
            <w:tcW w:w="854"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27/06/2015</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3,43</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UDAEOF14-1284, MEMUDAE14-164 - Estudio previo, estudio del sector, condiciones técnicas</w:t>
            </w:r>
          </w:p>
        </w:tc>
      </w:tr>
      <w:tr w:rsidR="00956F5A" w:rsidRPr="00EC0F44" w:rsidTr="009D58FF">
        <w:trPr>
          <w:trHeight w:val="300"/>
        </w:trPr>
        <w:tc>
          <w:tcPr>
            <w:tcW w:w="1172" w:type="pct"/>
            <w:shd w:val="clear" w:color="auto" w:fill="auto"/>
            <w:vAlign w:val="center"/>
            <w:hideMark/>
          </w:tcPr>
          <w:p w:rsidR="00956F5A" w:rsidRPr="00EC0F44" w:rsidRDefault="00956F5A" w:rsidP="00272CCE">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Ejecución Contractual</w:t>
            </w:r>
          </w:p>
        </w:tc>
        <w:tc>
          <w:tcPr>
            <w:tcW w:w="763"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01/08/2015</w:t>
            </w:r>
          </w:p>
        </w:tc>
        <w:tc>
          <w:tcPr>
            <w:tcW w:w="854" w:type="pct"/>
            <w:shd w:val="clear" w:color="000000" w:fill="FDE9D9"/>
            <w:vAlign w:val="center"/>
            <w:hideMark/>
          </w:tcPr>
          <w:p w:rsidR="00956F5A" w:rsidRPr="00EC0F44" w:rsidRDefault="009D58FF" w:rsidP="00272CCE">
            <w:pPr>
              <w:jc w:val="center"/>
              <w:rPr>
                <w:rFonts w:ascii="Arial" w:hAnsi="Arial" w:cs="Arial"/>
                <w:sz w:val="14"/>
                <w:szCs w:val="14"/>
                <w:lang w:val="es-ES" w:eastAsia="es-ES"/>
              </w:rPr>
            </w:pPr>
            <w:r>
              <w:rPr>
                <w:rFonts w:ascii="Arial" w:hAnsi="Arial" w:cs="Arial"/>
                <w:sz w:val="14"/>
                <w:szCs w:val="14"/>
                <w:lang w:val="es-ES" w:eastAsia="es-ES"/>
              </w:rPr>
              <w:t>31/12/2015</w:t>
            </w:r>
          </w:p>
        </w:tc>
        <w:tc>
          <w:tcPr>
            <w:tcW w:w="671"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21,71</w:t>
            </w:r>
          </w:p>
        </w:tc>
        <w:tc>
          <w:tcPr>
            <w:tcW w:w="580" w:type="pct"/>
            <w:shd w:val="clear" w:color="000000" w:fill="EBF1DE"/>
            <w:vAlign w:val="center"/>
            <w:hideMark/>
          </w:tcPr>
          <w:p w:rsidR="00956F5A" w:rsidRPr="00EC0F44" w:rsidRDefault="00956F5A" w:rsidP="00272CCE">
            <w:pPr>
              <w:jc w:val="center"/>
              <w:rPr>
                <w:rFonts w:ascii="Arial" w:hAnsi="Arial" w:cs="Arial"/>
                <w:sz w:val="14"/>
                <w:szCs w:val="14"/>
                <w:lang w:val="es-ES" w:eastAsia="es-ES"/>
              </w:rPr>
            </w:pPr>
            <w:r w:rsidRPr="00EC0F44">
              <w:rPr>
                <w:rFonts w:ascii="Arial" w:hAnsi="Arial" w:cs="Arial"/>
                <w:sz w:val="14"/>
                <w:szCs w:val="14"/>
                <w:lang w:val="es-ES" w:eastAsia="es-ES"/>
              </w:rPr>
              <w:t>0%</w:t>
            </w:r>
          </w:p>
        </w:tc>
        <w:tc>
          <w:tcPr>
            <w:tcW w:w="960" w:type="pct"/>
            <w:shd w:val="clear" w:color="000000" w:fill="E4DFEC"/>
            <w:vAlign w:val="center"/>
            <w:hideMark/>
          </w:tcPr>
          <w:p w:rsidR="00956F5A" w:rsidRPr="00EC0F44" w:rsidRDefault="00956F5A" w:rsidP="00272CCE">
            <w:pPr>
              <w:jc w:val="center"/>
              <w:rPr>
                <w:rFonts w:ascii="Arial" w:hAnsi="Arial" w:cs="Arial"/>
                <w:sz w:val="14"/>
                <w:szCs w:val="14"/>
                <w:lang w:val="es-ES" w:eastAsia="es-ES"/>
              </w:rPr>
            </w:pPr>
            <w:r>
              <w:rPr>
                <w:rFonts w:ascii="Arial" w:hAnsi="Arial" w:cs="Arial"/>
                <w:sz w:val="14"/>
                <w:szCs w:val="14"/>
                <w:lang w:val="es-ES" w:eastAsia="es-ES"/>
              </w:rPr>
              <w:t>No se realizó debido a la redistribución de recursos necesarios para otras actividades.</w:t>
            </w:r>
            <w:r w:rsidRPr="00EC0F44">
              <w:rPr>
                <w:rFonts w:ascii="Arial" w:hAnsi="Arial" w:cs="Arial"/>
                <w:sz w:val="14"/>
                <w:szCs w:val="14"/>
                <w:lang w:val="es-ES" w:eastAsia="es-ES"/>
              </w:rPr>
              <w:t> </w:t>
            </w:r>
          </w:p>
        </w:tc>
      </w:tr>
      <w:tr w:rsidR="00E67F42" w:rsidRPr="00E67F42" w:rsidTr="009D58FF">
        <w:trPr>
          <w:trHeight w:val="1003"/>
        </w:trPr>
        <w:tc>
          <w:tcPr>
            <w:tcW w:w="1172" w:type="pct"/>
            <w:shd w:val="clear" w:color="auto" w:fill="auto"/>
            <w:vAlign w:val="center"/>
            <w:hideMark/>
          </w:tcPr>
          <w:p w:rsidR="00E67F42" w:rsidRPr="00E67F42" w:rsidRDefault="00E67F42" w:rsidP="00E67F42">
            <w:pPr>
              <w:jc w:val="both"/>
              <w:rPr>
                <w:rFonts w:ascii="Arial" w:hAnsi="Arial" w:cs="Arial"/>
                <w:b/>
                <w:bCs/>
                <w:sz w:val="14"/>
                <w:szCs w:val="14"/>
                <w:lang w:val="es-ES" w:eastAsia="es-ES"/>
              </w:rPr>
            </w:pPr>
            <w:r w:rsidRPr="00E67F42">
              <w:rPr>
                <w:rFonts w:ascii="Arial" w:hAnsi="Arial" w:cs="Arial"/>
                <w:b/>
                <w:bCs/>
                <w:sz w:val="14"/>
                <w:szCs w:val="14"/>
                <w:lang w:val="es-ES" w:eastAsia="es-ES"/>
              </w:rPr>
              <w:t>Sensibilización y Capacitación (apalancamiento con recursos de la Escuela Judicial Rodrigo Lara Bonilla).</w:t>
            </w:r>
          </w:p>
        </w:tc>
        <w:tc>
          <w:tcPr>
            <w:tcW w:w="763" w:type="pct"/>
            <w:shd w:val="clear" w:color="000000" w:fill="FDE9D9"/>
            <w:vAlign w:val="center"/>
            <w:hideMark/>
          </w:tcPr>
          <w:p w:rsidR="00E67F42" w:rsidRPr="00E67F42" w:rsidRDefault="009D58FF" w:rsidP="00E67F42">
            <w:pPr>
              <w:jc w:val="center"/>
              <w:rPr>
                <w:rFonts w:ascii="Arial" w:hAnsi="Arial" w:cs="Arial"/>
                <w:b/>
                <w:bCs/>
                <w:sz w:val="14"/>
                <w:szCs w:val="14"/>
                <w:lang w:val="es-ES" w:eastAsia="es-ES"/>
              </w:rPr>
            </w:pPr>
            <w:r>
              <w:rPr>
                <w:rFonts w:ascii="Arial" w:hAnsi="Arial" w:cs="Arial"/>
                <w:b/>
                <w:bCs/>
                <w:sz w:val="14"/>
                <w:szCs w:val="14"/>
                <w:lang w:val="es-ES" w:eastAsia="es-ES"/>
              </w:rPr>
              <w:t>02/01/2015</w:t>
            </w:r>
          </w:p>
        </w:tc>
        <w:tc>
          <w:tcPr>
            <w:tcW w:w="854" w:type="pct"/>
            <w:shd w:val="clear" w:color="000000" w:fill="FDE9D9"/>
            <w:vAlign w:val="center"/>
            <w:hideMark/>
          </w:tcPr>
          <w:p w:rsidR="00E67F42" w:rsidRPr="00E67F42" w:rsidRDefault="009D58FF" w:rsidP="00E67F42">
            <w:pPr>
              <w:jc w:val="center"/>
              <w:rPr>
                <w:rFonts w:ascii="Arial" w:hAnsi="Arial" w:cs="Arial"/>
                <w:b/>
                <w:bCs/>
                <w:sz w:val="14"/>
                <w:szCs w:val="14"/>
                <w:lang w:val="es-ES" w:eastAsia="es-ES"/>
              </w:rPr>
            </w:pPr>
            <w:r>
              <w:rPr>
                <w:rFonts w:ascii="Arial" w:hAnsi="Arial" w:cs="Arial"/>
                <w:b/>
                <w:bCs/>
                <w:sz w:val="14"/>
                <w:szCs w:val="14"/>
                <w:lang w:val="es-ES" w:eastAsia="es-ES"/>
              </w:rPr>
              <w:t>31/12/2015</w:t>
            </w:r>
          </w:p>
        </w:tc>
        <w:tc>
          <w:tcPr>
            <w:tcW w:w="671" w:type="pct"/>
            <w:shd w:val="clear" w:color="000000" w:fill="EBF1DE"/>
            <w:vAlign w:val="center"/>
            <w:hideMark/>
          </w:tcPr>
          <w:p w:rsidR="00E67F42" w:rsidRPr="00E67F42" w:rsidRDefault="00E67F42" w:rsidP="00E67F42">
            <w:pPr>
              <w:jc w:val="center"/>
              <w:rPr>
                <w:rFonts w:ascii="Arial" w:hAnsi="Arial" w:cs="Arial"/>
                <w:b/>
                <w:bCs/>
                <w:sz w:val="14"/>
                <w:szCs w:val="14"/>
                <w:lang w:val="es-ES" w:eastAsia="es-ES"/>
              </w:rPr>
            </w:pPr>
            <w:r w:rsidRPr="00E67F42">
              <w:rPr>
                <w:rFonts w:ascii="Arial" w:hAnsi="Arial" w:cs="Arial"/>
                <w:b/>
                <w:bCs/>
                <w:sz w:val="14"/>
                <w:szCs w:val="14"/>
                <w:lang w:val="es-ES" w:eastAsia="es-ES"/>
              </w:rPr>
              <w:t>51,86</w:t>
            </w:r>
          </w:p>
        </w:tc>
        <w:tc>
          <w:tcPr>
            <w:tcW w:w="580" w:type="pct"/>
            <w:shd w:val="clear" w:color="000000" w:fill="EBF1DE"/>
            <w:vAlign w:val="center"/>
            <w:hideMark/>
          </w:tcPr>
          <w:p w:rsidR="00E67F42" w:rsidRPr="00E67F42" w:rsidRDefault="00E67F42" w:rsidP="00E67F42">
            <w:pPr>
              <w:jc w:val="center"/>
              <w:rPr>
                <w:rFonts w:ascii="Arial" w:hAnsi="Arial" w:cs="Arial"/>
                <w:b/>
                <w:bCs/>
                <w:sz w:val="14"/>
                <w:szCs w:val="14"/>
                <w:lang w:val="es-ES" w:eastAsia="es-ES"/>
              </w:rPr>
            </w:pPr>
            <w:r w:rsidRPr="00E67F42">
              <w:rPr>
                <w:rFonts w:ascii="Arial" w:hAnsi="Arial" w:cs="Arial"/>
                <w:b/>
                <w:bCs/>
                <w:sz w:val="14"/>
                <w:szCs w:val="14"/>
                <w:lang w:val="es-ES" w:eastAsia="es-ES"/>
              </w:rPr>
              <w:t>67%</w:t>
            </w:r>
          </w:p>
        </w:tc>
        <w:tc>
          <w:tcPr>
            <w:tcW w:w="960" w:type="pct"/>
            <w:shd w:val="clear" w:color="000000" w:fill="E4DFEC"/>
            <w:vAlign w:val="center"/>
            <w:hideMark/>
          </w:tcPr>
          <w:p w:rsidR="00E67F42" w:rsidRPr="00E67F42" w:rsidRDefault="00E67F42" w:rsidP="00E67F42">
            <w:pPr>
              <w:jc w:val="center"/>
              <w:rPr>
                <w:rFonts w:ascii="Arial" w:hAnsi="Arial" w:cs="Arial"/>
                <w:sz w:val="14"/>
                <w:szCs w:val="14"/>
                <w:lang w:val="es-ES" w:eastAsia="es-ES"/>
              </w:rPr>
            </w:pPr>
            <w:r w:rsidRPr="00E67F42">
              <w:rPr>
                <w:rFonts w:ascii="Arial" w:hAnsi="Arial" w:cs="Arial"/>
                <w:sz w:val="14"/>
                <w:szCs w:val="14"/>
                <w:lang w:val="es-ES" w:eastAsia="es-ES"/>
              </w:rPr>
              <w:t> </w:t>
            </w:r>
          </w:p>
        </w:tc>
      </w:tr>
      <w:tr w:rsidR="00E67F42" w:rsidRPr="00EC0F44" w:rsidTr="009D58FF">
        <w:trPr>
          <w:trHeight w:val="300"/>
        </w:trPr>
        <w:tc>
          <w:tcPr>
            <w:tcW w:w="1172" w:type="pct"/>
            <w:shd w:val="clear" w:color="auto" w:fill="auto"/>
            <w:vAlign w:val="center"/>
            <w:hideMark/>
          </w:tcPr>
          <w:p w:rsidR="00E67F42" w:rsidRPr="00EC0F44" w:rsidRDefault="00E67F42" w:rsidP="00E67F42">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Aprobación de Marcos Lógicos</w:t>
            </w:r>
          </w:p>
        </w:tc>
        <w:tc>
          <w:tcPr>
            <w:tcW w:w="763"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02/01/2015</w:t>
            </w:r>
          </w:p>
        </w:tc>
        <w:tc>
          <w:tcPr>
            <w:tcW w:w="854"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31/01/2015</w:t>
            </w:r>
          </w:p>
        </w:tc>
        <w:tc>
          <w:tcPr>
            <w:tcW w:w="671"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4,14</w:t>
            </w:r>
          </w:p>
        </w:tc>
        <w:tc>
          <w:tcPr>
            <w:tcW w:w="580"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E67F42" w:rsidRPr="00EC0F44" w:rsidRDefault="00E67F42" w:rsidP="00E67F42">
            <w:pPr>
              <w:jc w:val="center"/>
              <w:rPr>
                <w:rFonts w:ascii="Arial" w:hAnsi="Arial" w:cs="Arial"/>
                <w:color w:val="000000"/>
                <w:sz w:val="14"/>
                <w:szCs w:val="14"/>
                <w:lang w:val="es-ES" w:eastAsia="es-ES"/>
              </w:rPr>
            </w:pPr>
            <w:r w:rsidRPr="00EC0F44">
              <w:rPr>
                <w:rFonts w:ascii="Arial" w:hAnsi="Arial" w:cs="Arial"/>
                <w:color w:val="000000"/>
                <w:sz w:val="14"/>
                <w:szCs w:val="14"/>
                <w:lang w:val="es-ES" w:eastAsia="es-ES"/>
              </w:rPr>
              <w:t>Acuerdo PSAA14-10085</w:t>
            </w:r>
          </w:p>
        </w:tc>
      </w:tr>
      <w:tr w:rsidR="00E67F42" w:rsidRPr="00EC0F44" w:rsidTr="009D58FF">
        <w:trPr>
          <w:trHeight w:val="620"/>
        </w:trPr>
        <w:tc>
          <w:tcPr>
            <w:tcW w:w="1172" w:type="pct"/>
            <w:shd w:val="clear" w:color="auto" w:fill="auto"/>
            <w:vAlign w:val="center"/>
            <w:hideMark/>
          </w:tcPr>
          <w:p w:rsidR="00E67F42" w:rsidRPr="00EC0F44" w:rsidRDefault="00E67F42" w:rsidP="00E67F42">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Presentación de condiciones técnicas a DEAJ</w:t>
            </w:r>
          </w:p>
        </w:tc>
        <w:tc>
          <w:tcPr>
            <w:tcW w:w="763"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03/06/2015</w:t>
            </w:r>
          </w:p>
        </w:tc>
        <w:tc>
          <w:tcPr>
            <w:tcW w:w="854"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27/06/2015</w:t>
            </w:r>
          </w:p>
        </w:tc>
        <w:tc>
          <w:tcPr>
            <w:tcW w:w="671"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3,43</w:t>
            </w:r>
          </w:p>
        </w:tc>
        <w:tc>
          <w:tcPr>
            <w:tcW w:w="580"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UDAEOF14-1284, MEMUDAE14-164 - Estudio previo, estudio del sector, condiciones técnicas</w:t>
            </w:r>
          </w:p>
        </w:tc>
      </w:tr>
      <w:tr w:rsidR="00E67F42" w:rsidRPr="00EC0F44" w:rsidTr="009D58FF">
        <w:trPr>
          <w:trHeight w:val="300"/>
        </w:trPr>
        <w:tc>
          <w:tcPr>
            <w:tcW w:w="1172" w:type="pct"/>
            <w:shd w:val="clear" w:color="auto" w:fill="auto"/>
            <w:vAlign w:val="center"/>
            <w:hideMark/>
          </w:tcPr>
          <w:p w:rsidR="00E67F42" w:rsidRPr="00EC0F44" w:rsidRDefault="00E67F42" w:rsidP="00E67F42">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Ejecución Contractual</w:t>
            </w:r>
          </w:p>
        </w:tc>
        <w:tc>
          <w:tcPr>
            <w:tcW w:w="763"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01/08/2015</w:t>
            </w:r>
          </w:p>
        </w:tc>
        <w:tc>
          <w:tcPr>
            <w:tcW w:w="854"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31/12/2015</w:t>
            </w:r>
          </w:p>
        </w:tc>
        <w:tc>
          <w:tcPr>
            <w:tcW w:w="671"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21,71</w:t>
            </w:r>
          </w:p>
        </w:tc>
        <w:tc>
          <w:tcPr>
            <w:tcW w:w="580"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0%</w:t>
            </w:r>
          </w:p>
        </w:tc>
        <w:tc>
          <w:tcPr>
            <w:tcW w:w="960" w:type="pct"/>
            <w:shd w:val="clear" w:color="000000" w:fill="E4DFEC"/>
            <w:vAlign w:val="center"/>
            <w:hideMark/>
          </w:tcPr>
          <w:p w:rsidR="00E67F42" w:rsidRPr="00EC0F44" w:rsidRDefault="009D58FF" w:rsidP="009D58FF">
            <w:pPr>
              <w:jc w:val="center"/>
              <w:rPr>
                <w:rFonts w:ascii="Arial" w:hAnsi="Arial" w:cs="Arial"/>
                <w:sz w:val="14"/>
                <w:szCs w:val="14"/>
                <w:lang w:val="es-ES" w:eastAsia="es-ES"/>
              </w:rPr>
            </w:pPr>
            <w:r>
              <w:rPr>
                <w:rFonts w:ascii="Arial" w:hAnsi="Arial" w:cs="Arial"/>
                <w:sz w:val="14"/>
                <w:szCs w:val="14"/>
                <w:lang w:val="es-ES" w:eastAsia="es-ES"/>
              </w:rPr>
              <w:t>En ejecución normal</w:t>
            </w:r>
            <w:r w:rsidR="00E67F42">
              <w:rPr>
                <w:rFonts w:ascii="Arial" w:hAnsi="Arial" w:cs="Arial"/>
                <w:sz w:val="14"/>
                <w:szCs w:val="14"/>
                <w:lang w:val="es-ES" w:eastAsia="es-ES"/>
              </w:rPr>
              <w:t>.</w:t>
            </w:r>
          </w:p>
        </w:tc>
      </w:tr>
      <w:tr w:rsidR="009D58FF" w:rsidRPr="009D58FF" w:rsidTr="009D58FF">
        <w:trPr>
          <w:trHeight w:val="1003"/>
        </w:trPr>
        <w:tc>
          <w:tcPr>
            <w:tcW w:w="1172" w:type="pct"/>
            <w:shd w:val="clear" w:color="auto" w:fill="auto"/>
            <w:vAlign w:val="center"/>
            <w:hideMark/>
          </w:tcPr>
          <w:p w:rsidR="00E67F42" w:rsidRPr="009D58FF" w:rsidRDefault="00E67F42" w:rsidP="00E67F42">
            <w:pPr>
              <w:jc w:val="both"/>
              <w:rPr>
                <w:rFonts w:ascii="Arial" w:hAnsi="Arial" w:cs="Arial"/>
                <w:b/>
                <w:bCs/>
                <w:sz w:val="14"/>
                <w:szCs w:val="14"/>
                <w:lang w:val="es-ES" w:eastAsia="es-ES"/>
              </w:rPr>
            </w:pPr>
            <w:r w:rsidRPr="009D58FF">
              <w:rPr>
                <w:rFonts w:ascii="Arial" w:hAnsi="Arial" w:cs="Arial"/>
                <w:b/>
                <w:bCs/>
                <w:sz w:val="14"/>
                <w:szCs w:val="14"/>
                <w:lang w:val="es-ES" w:eastAsia="es-ES"/>
              </w:rPr>
              <w:t xml:space="preserve">Elaboración de una norma de calidad para el sector justicia (FASE I) </w:t>
            </w:r>
            <w:r w:rsidR="009D58FF" w:rsidRPr="009D58FF">
              <w:rPr>
                <w:rFonts w:ascii="Arial" w:hAnsi="Arial" w:cs="Arial"/>
                <w:b/>
                <w:bCs/>
                <w:sz w:val="14"/>
                <w:szCs w:val="14"/>
                <w:lang w:val="es-ES" w:eastAsia="es-ES"/>
              </w:rPr>
              <w:t>(Apalancamiento con recursos del BID)</w:t>
            </w:r>
          </w:p>
        </w:tc>
        <w:tc>
          <w:tcPr>
            <w:tcW w:w="763" w:type="pct"/>
            <w:shd w:val="clear" w:color="000000" w:fill="FDE9D9"/>
            <w:vAlign w:val="center"/>
            <w:hideMark/>
          </w:tcPr>
          <w:p w:rsidR="00E67F42" w:rsidRPr="009D58FF" w:rsidRDefault="009D58FF" w:rsidP="00E67F42">
            <w:pPr>
              <w:jc w:val="center"/>
              <w:rPr>
                <w:rFonts w:ascii="Arial" w:hAnsi="Arial" w:cs="Arial"/>
                <w:b/>
                <w:bCs/>
                <w:sz w:val="14"/>
                <w:szCs w:val="14"/>
                <w:lang w:val="es-ES" w:eastAsia="es-ES"/>
              </w:rPr>
            </w:pPr>
            <w:r>
              <w:rPr>
                <w:rFonts w:ascii="Arial" w:hAnsi="Arial" w:cs="Arial"/>
                <w:b/>
                <w:bCs/>
                <w:sz w:val="14"/>
                <w:szCs w:val="14"/>
                <w:lang w:val="es-ES" w:eastAsia="es-ES"/>
              </w:rPr>
              <w:t>02/01/2015</w:t>
            </w:r>
          </w:p>
        </w:tc>
        <w:tc>
          <w:tcPr>
            <w:tcW w:w="854" w:type="pct"/>
            <w:shd w:val="clear" w:color="000000" w:fill="FDE9D9"/>
            <w:vAlign w:val="center"/>
            <w:hideMark/>
          </w:tcPr>
          <w:p w:rsidR="00E67F42" w:rsidRPr="009D58FF" w:rsidRDefault="009D58FF" w:rsidP="00E67F42">
            <w:pPr>
              <w:jc w:val="center"/>
              <w:rPr>
                <w:rFonts w:ascii="Arial" w:hAnsi="Arial" w:cs="Arial"/>
                <w:b/>
                <w:bCs/>
                <w:sz w:val="14"/>
                <w:szCs w:val="14"/>
                <w:lang w:val="es-ES" w:eastAsia="es-ES"/>
              </w:rPr>
            </w:pPr>
            <w:r>
              <w:rPr>
                <w:rFonts w:ascii="Arial" w:hAnsi="Arial" w:cs="Arial"/>
                <w:b/>
                <w:bCs/>
                <w:sz w:val="14"/>
                <w:szCs w:val="14"/>
                <w:lang w:val="es-ES" w:eastAsia="es-ES"/>
              </w:rPr>
              <w:t>31/12/2015</w:t>
            </w:r>
          </w:p>
        </w:tc>
        <w:tc>
          <w:tcPr>
            <w:tcW w:w="671" w:type="pct"/>
            <w:shd w:val="clear" w:color="000000" w:fill="EBF1DE"/>
            <w:vAlign w:val="center"/>
            <w:hideMark/>
          </w:tcPr>
          <w:p w:rsidR="00E67F42" w:rsidRPr="009D58FF" w:rsidRDefault="00E67F42" w:rsidP="00E67F42">
            <w:pPr>
              <w:jc w:val="center"/>
              <w:rPr>
                <w:rFonts w:ascii="Arial" w:hAnsi="Arial" w:cs="Arial"/>
                <w:b/>
                <w:bCs/>
                <w:sz w:val="14"/>
                <w:szCs w:val="14"/>
                <w:lang w:val="es-ES" w:eastAsia="es-ES"/>
              </w:rPr>
            </w:pPr>
            <w:r w:rsidRPr="009D58FF">
              <w:rPr>
                <w:rFonts w:ascii="Arial" w:hAnsi="Arial" w:cs="Arial"/>
                <w:b/>
                <w:bCs/>
                <w:sz w:val="14"/>
                <w:szCs w:val="14"/>
                <w:lang w:val="es-ES" w:eastAsia="es-ES"/>
              </w:rPr>
              <w:t>51,86</w:t>
            </w:r>
          </w:p>
        </w:tc>
        <w:tc>
          <w:tcPr>
            <w:tcW w:w="580" w:type="pct"/>
            <w:shd w:val="clear" w:color="000000" w:fill="EBF1DE"/>
            <w:vAlign w:val="center"/>
            <w:hideMark/>
          </w:tcPr>
          <w:p w:rsidR="00E67F42" w:rsidRPr="009D58FF" w:rsidRDefault="00E67F42" w:rsidP="00E67F42">
            <w:pPr>
              <w:jc w:val="center"/>
              <w:rPr>
                <w:rFonts w:ascii="Arial" w:hAnsi="Arial" w:cs="Arial"/>
                <w:b/>
                <w:bCs/>
                <w:sz w:val="14"/>
                <w:szCs w:val="14"/>
                <w:lang w:val="es-ES" w:eastAsia="es-ES"/>
              </w:rPr>
            </w:pPr>
            <w:r w:rsidRPr="009D58FF">
              <w:rPr>
                <w:rFonts w:ascii="Arial" w:hAnsi="Arial" w:cs="Arial"/>
                <w:b/>
                <w:bCs/>
                <w:sz w:val="14"/>
                <w:szCs w:val="14"/>
                <w:lang w:val="es-ES" w:eastAsia="es-ES"/>
              </w:rPr>
              <w:t>67%</w:t>
            </w:r>
          </w:p>
        </w:tc>
        <w:tc>
          <w:tcPr>
            <w:tcW w:w="960" w:type="pct"/>
            <w:shd w:val="clear" w:color="000000" w:fill="E4DFEC"/>
            <w:vAlign w:val="center"/>
            <w:hideMark/>
          </w:tcPr>
          <w:p w:rsidR="00E67F42" w:rsidRPr="009D58FF" w:rsidRDefault="00E67F42" w:rsidP="00E67F42">
            <w:pPr>
              <w:jc w:val="center"/>
              <w:rPr>
                <w:rFonts w:ascii="Arial" w:hAnsi="Arial" w:cs="Arial"/>
                <w:sz w:val="14"/>
                <w:szCs w:val="14"/>
                <w:lang w:val="es-ES" w:eastAsia="es-ES"/>
              </w:rPr>
            </w:pPr>
            <w:r w:rsidRPr="009D58FF">
              <w:rPr>
                <w:rFonts w:ascii="Arial" w:hAnsi="Arial" w:cs="Arial"/>
                <w:sz w:val="14"/>
                <w:szCs w:val="14"/>
                <w:lang w:val="es-ES" w:eastAsia="es-ES"/>
              </w:rPr>
              <w:t> </w:t>
            </w:r>
          </w:p>
        </w:tc>
      </w:tr>
      <w:tr w:rsidR="00E67F42" w:rsidRPr="00EC0F44" w:rsidTr="009D58FF">
        <w:trPr>
          <w:trHeight w:val="300"/>
        </w:trPr>
        <w:tc>
          <w:tcPr>
            <w:tcW w:w="1172" w:type="pct"/>
            <w:shd w:val="clear" w:color="auto" w:fill="auto"/>
            <w:vAlign w:val="center"/>
            <w:hideMark/>
          </w:tcPr>
          <w:p w:rsidR="00E67F42" w:rsidRPr="00EC0F44" w:rsidRDefault="00E67F42" w:rsidP="00E67F42">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Aprobación de Marcos Lógicos</w:t>
            </w:r>
          </w:p>
        </w:tc>
        <w:tc>
          <w:tcPr>
            <w:tcW w:w="763"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02/01/2015</w:t>
            </w:r>
          </w:p>
        </w:tc>
        <w:tc>
          <w:tcPr>
            <w:tcW w:w="854"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31/01/2015</w:t>
            </w:r>
          </w:p>
        </w:tc>
        <w:tc>
          <w:tcPr>
            <w:tcW w:w="671"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4,14</w:t>
            </w:r>
          </w:p>
        </w:tc>
        <w:tc>
          <w:tcPr>
            <w:tcW w:w="580"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E67F42" w:rsidRPr="00EC0F44" w:rsidRDefault="009D58FF" w:rsidP="00E67F42">
            <w:pPr>
              <w:jc w:val="center"/>
              <w:rPr>
                <w:rFonts w:ascii="Arial" w:hAnsi="Arial" w:cs="Arial"/>
                <w:color w:val="000000"/>
                <w:sz w:val="14"/>
                <w:szCs w:val="14"/>
                <w:lang w:val="es-ES" w:eastAsia="es-ES"/>
              </w:rPr>
            </w:pPr>
            <w:r>
              <w:rPr>
                <w:rFonts w:ascii="Arial" w:hAnsi="Arial" w:cs="Arial"/>
                <w:color w:val="000000"/>
                <w:sz w:val="14"/>
                <w:szCs w:val="14"/>
                <w:lang w:val="es-ES" w:eastAsia="es-ES"/>
              </w:rPr>
              <w:t>Proyecto UDAE</w:t>
            </w:r>
          </w:p>
        </w:tc>
      </w:tr>
      <w:tr w:rsidR="00E67F42" w:rsidRPr="00EC0F44" w:rsidTr="009D58FF">
        <w:trPr>
          <w:trHeight w:val="620"/>
        </w:trPr>
        <w:tc>
          <w:tcPr>
            <w:tcW w:w="1172" w:type="pct"/>
            <w:shd w:val="clear" w:color="auto" w:fill="auto"/>
            <w:vAlign w:val="center"/>
            <w:hideMark/>
          </w:tcPr>
          <w:p w:rsidR="00E67F42" w:rsidRPr="00EC0F44" w:rsidRDefault="00E67F42" w:rsidP="00E67F42">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lastRenderedPageBreak/>
              <w:t>Presentación de condiciones técnicas a DEAJ</w:t>
            </w:r>
          </w:p>
        </w:tc>
        <w:tc>
          <w:tcPr>
            <w:tcW w:w="763"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03/06/2015</w:t>
            </w:r>
          </w:p>
        </w:tc>
        <w:tc>
          <w:tcPr>
            <w:tcW w:w="854"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27/06/2015</w:t>
            </w:r>
          </w:p>
        </w:tc>
        <w:tc>
          <w:tcPr>
            <w:tcW w:w="671"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3,43</w:t>
            </w:r>
          </w:p>
        </w:tc>
        <w:tc>
          <w:tcPr>
            <w:tcW w:w="580"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100%</w:t>
            </w:r>
          </w:p>
        </w:tc>
        <w:tc>
          <w:tcPr>
            <w:tcW w:w="960" w:type="pct"/>
            <w:shd w:val="clear" w:color="000000" w:fill="E4DFEC"/>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UDAEOF14-1284, MEMUDAE14-164 - Estudio previo, estudio del sector, condiciones técnicas</w:t>
            </w:r>
          </w:p>
        </w:tc>
      </w:tr>
      <w:tr w:rsidR="00E67F42" w:rsidRPr="00EC0F44" w:rsidTr="009D58FF">
        <w:trPr>
          <w:trHeight w:val="300"/>
        </w:trPr>
        <w:tc>
          <w:tcPr>
            <w:tcW w:w="1172" w:type="pct"/>
            <w:shd w:val="clear" w:color="auto" w:fill="auto"/>
            <w:vAlign w:val="center"/>
            <w:hideMark/>
          </w:tcPr>
          <w:p w:rsidR="00E67F42" w:rsidRPr="00EC0F44" w:rsidRDefault="00E67F42" w:rsidP="00E67F42">
            <w:pPr>
              <w:jc w:val="both"/>
              <w:rPr>
                <w:rFonts w:ascii="Arial" w:hAnsi="Arial" w:cs="Arial"/>
                <w:color w:val="000000"/>
                <w:sz w:val="14"/>
                <w:szCs w:val="14"/>
                <w:lang w:val="es-ES" w:eastAsia="es-ES"/>
              </w:rPr>
            </w:pPr>
            <w:r w:rsidRPr="00EC0F44">
              <w:rPr>
                <w:rFonts w:ascii="Arial" w:hAnsi="Arial" w:cs="Arial"/>
                <w:color w:val="000000"/>
                <w:sz w:val="14"/>
                <w:szCs w:val="14"/>
                <w:lang w:val="es-ES" w:eastAsia="es-ES"/>
              </w:rPr>
              <w:t>Ejecución Contractual</w:t>
            </w:r>
          </w:p>
        </w:tc>
        <w:tc>
          <w:tcPr>
            <w:tcW w:w="763"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01/08/2015</w:t>
            </w:r>
          </w:p>
        </w:tc>
        <w:tc>
          <w:tcPr>
            <w:tcW w:w="854" w:type="pct"/>
            <w:shd w:val="clear" w:color="000000" w:fill="FDE9D9"/>
            <w:vAlign w:val="center"/>
            <w:hideMark/>
          </w:tcPr>
          <w:p w:rsidR="00E67F42" w:rsidRPr="00EC0F44" w:rsidRDefault="009D58FF" w:rsidP="00E67F42">
            <w:pPr>
              <w:jc w:val="center"/>
              <w:rPr>
                <w:rFonts w:ascii="Arial" w:hAnsi="Arial" w:cs="Arial"/>
                <w:sz w:val="14"/>
                <w:szCs w:val="14"/>
                <w:lang w:val="es-ES" w:eastAsia="es-ES"/>
              </w:rPr>
            </w:pPr>
            <w:r>
              <w:rPr>
                <w:rFonts w:ascii="Arial" w:hAnsi="Arial" w:cs="Arial"/>
                <w:sz w:val="14"/>
                <w:szCs w:val="14"/>
                <w:lang w:val="es-ES" w:eastAsia="es-ES"/>
              </w:rPr>
              <w:t>31/12/2015</w:t>
            </w:r>
          </w:p>
        </w:tc>
        <w:tc>
          <w:tcPr>
            <w:tcW w:w="671"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21,71</w:t>
            </w:r>
          </w:p>
        </w:tc>
        <w:tc>
          <w:tcPr>
            <w:tcW w:w="580" w:type="pct"/>
            <w:shd w:val="clear" w:color="000000" w:fill="EBF1DE"/>
            <w:vAlign w:val="center"/>
            <w:hideMark/>
          </w:tcPr>
          <w:p w:rsidR="00E67F42" w:rsidRPr="00EC0F44" w:rsidRDefault="00E67F42" w:rsidP="00E67F42">
            <w:pPr>
              <w:jc w:val="center"/>
              <w:rPr>
                <w:rFonts w:ascii="Arial" w:hAnsi="Arial" w:cs="Arial"/>
                <w:sz w:val="14"/>
                <w:szCs w:val="14"/>
                <w:lang w:val="es-ES" w:eastAsia="es-ES"/>
              </w:rPr>
            </w:pPr>
            <w:r w:rsidRPr="00EC0F44">
              <w:rPr>
                <w:rFonts w:ascii="Arial" w:hAnsi="Arial" w:cs="Arial"/>
                <w:sz w:val="14"/>
                <w:szCs w:val="14"/>
                <w:lang w:val="es-ES" w:eastAsia="es-ES"/>
              </w:rPr>
              <w:t>0%</w:t>
            </w:r>
          </w:p>
        </w:tc>
        <w:tc>
          <w:tcPr>
            <w:tcW w:w="960" w:type="pct"/>
            <w:shd w:val="clear" w:color="000000" w:fill="E4DFEC"/>
            <w:vAlign w:val="center"/>
            <w:hideMark/>
          </w:tcPr>
          <w:p w:rsidR="00E67F42" w:rsidRPr="00EC0F44" w:rsidRDefault="009D58FF" w:rsidP="009D58FF">
            <w:pPr>
              <w:jc w:val="center"/>
              <w:rPr>
                <w:rFonts w:ascii="Arial" w:hAnsi="Arial" w:cs="Arial"/>
                <w:sz w:val="14"/>
                <w:szCs w:val="14"/>
                <w:lang w:val="es-ES" w:eastAsia="es-ES"/>
              </w:rPr>
            </w:pPr>
            <w:r>
              <w:rPr>
                <w:rFonts w:ascii="Arial" w:hAnsi="Arial" w:cs="Arial"/>
                <w:sz w:val="14"/>
                <w:szCs w:val="14"/>
                <w:lang w:val="es-ES" w:eastAsia="es-ES"/>
              </w:rPr>
              <w:t>En ejecución normal</w:t>
            </w:r>
          </w:p>
        </w:tc>
      </w:tr>
    </w:tbl>
    <w:p w:rsidR="00956F5A" w:rsidRPr="00956F5A" w:rsidRDefault="00956F5A" w:rsidP="00C43703">
      <w:pPr>
        <w:pStyle w:val="CUERPOTEXTO"/>
        <w:rPr>
          <w:lang w:val="es-MX"/>
        </w:rPr>
      </w:pPr>
    </w:p>
    <w:p w:rsidR="00956F5A" w:rsidRDefault="00956F5A" w:rsidP="00C43703">
      <w:pPr>
        <w:pStyle w:val="CUERPOTEXTO"/>
      </w:pPr>
    </w:p>
    <w:p w:rsidR="004070CB" w:rsidRPr="004070CB" w:rsidRDefault="004070CB" w:rsidP="00D30AFC">
      <w:pPr>
        <w:pStyle w:val="CUERPOTEXTO"/>
        <w:numPr>
          <w:ilvl w:val="0"/>
          <w:numId w:val="35"/>
        </w:numPr>
        <w:outlineLvl w:val="0"/>
        <w:rPr>
          <w:b/>
          <w:color w:val="0070C0"/>
          <w:sz w:val="28"/>
          <w:szCs w:val="28"/>
        </w:rPr>
      </w:pPr>
      <w:bookmarkStart w:id="3" w:name="_Toc436002473"/>
      <w:r w:rsidRPr="004070CB">
        <w:rPr>
          <w:b/>
          <w:color w:val="0070C0"/>
          <w:sz w:val="28"/>
          <w:szCs w:val="28"/>
        </w:rPr>
        <w:t>Resultados Auditorías de Calidad</w:t>
      </w:r>
      <w:bookmarkEnd w:id="3"/>
    </w:p>
    <w:p w:rsidR="004070CB" w:rsidRDefault="004070CB" w:rsidP="004070CB">
      <w:pPr>
        <w:pStyle w:val="CUERPOTEXTO"/>
        <w:pBdr>
          <w:bottom w:val="single" w:sz="4" w:space="1" w:color="auto"/>
        </w:pBdr>
      </w:pPr>
    </w:p>
    <w:p w:rsidR="004070CB" w:rsidRDefault="004070CB" w:rsidP="00C43703">
      <w:pPr>
        <w:pStyle w:val="CUERPOTEXTO"/>
      </w:pPr>
    </w:p>
    <w:p w:rsidR="00114FF2" w:rsidRDefault="00114FF2" w:rsidP="00C43703">
      <w:pPr>
        <w:pStyle w:val="CUERPOTEXTO"/>
      </w:pPr>
      <w:r>
        <w:t xml:space="preserve">Las auditorías internas de calidad se llevaron a cabo entre los meses de julio, agosto, septiembre y octubre, tomando más tiempo de lo programado inicialmente por la incertidumbre del Acto Legislativo 02 de 2015,  la aplicación de los concursos en las sedes administrativas y judiciales, y la terminación de cargos de descongestión que venían acompañando el proceso en todo el país. </w:t>
      </w:r>
    </w:p>
    <w:p w:rsidR="00114FF2" w:rsidRDefault="00114FF2" w:rsidP="00C43703">
      <w:pPr>
        <w:pStyle w:val="CUERPOTEXTO"/>
      </w:pPr>
    </w:p>
    <w:p w:rsidR="004070CB" w:rsidRDefault="00114FF2" w:rsidP="00C43703">
      <w:pPr>
        <w:pStyle w:val="CUERPOTEXTO"/>
      </w:pPr>
      <w:r>
        <w:t>A pesar de las dificultades presentadas, el equipo de auditores de calidad del nivel central y el acompañamiento de los auditores de la Seccionales de Antioquia, Bogotá y Norte de Santander, permitieron cumplir satisfactoriamente con el objetivo propuesto.</w:t>
      </w:r>
    </w:p>
    <w:p w:rsidR="004070CB" w:rsidRDefault="004070CB" w:rsidP="00C43703">
      <w:pPr>
        <w:pStyle w:val="CUERPOTEXTO"/>
      </w:pPr>
    </w:p>
    <w:p w:rsidR="004A1E37" w:rsidRDefault="00114FF2" w:rsidP="00C43703">
      <w:pPr>
        <w:pStyle w:val="CUERPOTEXTO"/>
      </w:pPr>
      <w:r>
        <w:t>Como parte del proceso, fueron formados</w:t>
      </w:r>
      <w:r w:rsidR="00FB762A">
        <w:t xml:space="preserve"> a través del apoyo de la ESAP, la Universidad de Ibagué y la Alcaldía de Armenia, </w:t>
      </w:r>
      <w:r>
        <w:t xml:space="preserve"> 36 nuevos auditores en el nivel central </w:t>
      </w:r>
      <w:r w:rsidR="00FB762A">
        <w:t>y 43 más en las sedes Seccionales (sedes administrativas y judiciales).</w:t>
      </w:r>
    </w:p>
    <w:p w:rsidR="00FB762A" w:rsidRDefault="00FB762A" w:rsidP="00C43703">
      <w:pPr>
        <w:pStyle w:val="CUERPOTEXTO"/>
      </w:pPr>
    </w:p>
    <w:p w:rsidR="004A1E37" w:rsidRDefault="00FB762A" w:rsidP="00C43703">
      <w:pPr>
        <w:pStyle w:val="CUERPOTEXTO"/>
      </w:pPr>
      <w:r>
        <w:t xml:space="preserve">El octavo (8º) ciclo de auditorías internas de calidad fue coordinador por el ingeniero Diego Londoño Ayran, Coordinador Nacional del SIGCMA y contó con un equipo permanente de </w:t>
      </w:r>
      <w:r w:rsidR="00D30AFC">
        <w:t>25 servidores judiciales, relacionados a continuación:</w:t>
      </w:r>
    </w:p>
    <w:p w:rsidR="00D30AFC" w:rsidRDefault="00D30AFC" w:rsidP="00C43703">
      <w:pPr>
        <w:pStyle w:val="CUERPOTEXTO"/>
      </w:pPr>
    </w:p>
    <w:tbl>
      <w:tblPr>
        <w:tblW w:w="5006" w:type="pct"/>
        <w:tblInd w:w="-5" w:type="dxa"/>
        <w:tblCellMar>
          <w:left w:w="70" w:type="dxa"/>
          <w:right w:w="70" w:type="dxa"/>
        </w:tblCellMar>
        <w:tblLook w:val="04A0" w:firstRow="1" w:lastRow="0" w:firstColumn="1" w:lastColumn="0" w:noHBand="0" w:noVBand="1"/>
      </w:tblPr>
      <w:tblGrid>
        <w:gridCol w:w="435"/>
        <w:gridCol w:w="4771"/>
        <w:gridCol w:w="3633"/>
      </w:tblGrid>
      <w:tr w:rsidR="00D30AFC" w:rsidRPr="00D30AFC" w:rsidTr="00D30AFC">
        <w:trPr>
          <w:trHeight w:val="779"/>
          <w:tblHeader/>
        </w:trPr>
        <w:tc>
          <w:tcPr>
            <w:tcW w:w="246" w:type="pct"/>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30AFC" w:rsidRPr="00D30AFC" w:rsidRDefault="00D30AFC" w:rsidP="00D30AFC">
            <w:pPr>
              <w:jc w:val="center"/>
              <w:rPr>
                <w:rFonts w:ascii="Arial" w:hAnsi="Arial" w:cs="Arial"/>
                <w:color w:val="000000"/>
                <w:sz w:val="18"/>
                <w:szCs w:val="18"/>
              </w:rPr>
            </w:pPr>
          </w:p>
        </w:tc>
        <w:tc>
          <w:tcPr>
            <w:tcW w:w="2699" w:type="pct"/>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30AFC" w:rsidRPr="00D30AFC" w:rsidRDefault="00D30AFC" w:rsidP="00D30AFC">
            <w:pPr>
              <w:jc w:val="center"/>
              <w:rPr>
                <w:rFonts w:ascii="Arial" w:hAnsi="Arial" w:cs="Arial"/>
                <w:b/>
                <w:bCs/>
                <w:sz w:val="18"/>
                <w:szCs w:val="18"/>
              </w:rPr>
            </w:pPr>
            <w:r w:rsidRPr="00D30AFC">
              <w:rPr>
                <w:rFonts w:ascii="Arial" w:hAnsi="Arial" w:cs="Arial"/>
                <w:b/>
                <w:bCs/>
                <w:sz w:val="18"/>
                <w:szCs w:val="18"/>
              </w:rPr>
              <w:t xml:space="preserve">AUDITOR </w:t>
            </w:r>
          </w:p>
        </w:tc>
        <w:tc>
          <w:tcPr>
            <w:tcW w:w="2055" w:type="pct"/>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30AFC" w:rsidRPr="00D30AFC" w:rsidRDefault="00D30AFC" w:rsidP="00D30AFC">
            <w:pPr>
              <w:jc w:val="center"/>
              <w:rPr>
                <w:rFonts w:ascii="Arial" w:hAnsi="Arial" w:cs="Arial"/>
                <w:b/>
                <w:bCs/>
                <w:sz w:val="18"/>
                <w:szCs w:val="18"/>
              </w:rPr>
            </w:pPr>
            <w:r w:rsidRPr="00D30AFC">
              <w:rPr>
                <w:rFonts w:ascii="Arial" w:hAnsi="Arial" w:cs="Arial"/>
                <w:b/>
                <w:bCs/>
                <w:sz w:val="18"/>
                <w:szCs w:val="18"/>
              </w:rPr>
              <w:t>UNIDAD O DEPENDENCIA QUE APORTA</w:t>
            </w:r>
          </w:p>
        </w:tc>
      </w:tr>
      <w:tr w:rsidR="00D30AFC" w:rsidRPr="00D30AFC" w:rsidTr="00D30AFC">
        <w:trPr>
          <w:trHeight w:val="207"/>
        </w:trPr>
        <w:tc>
          <w:tcPr>
            <w:tcW w:w="246" w:type="pct"/>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30AFC" w:rsidRPr="00D30AFC" w:rsidRDefault="00D30AFC" w:rsidP="00D30AFC">
            <w:pPr>
              <w:rPr>
                <w:rFonts w:ascii="Arial" w:hAnsi="Arial" w:cs="Arial"/>
                <w:color w:val="000000"/>
                <w:sz w:val="18"/>
                <w:szCs w:val="18"/>
              </w:rPr>
            </w:pPr>
          </w:p>
        </w:tc>
        <w:tc>
          <w:tcPr>
            <w:tcW w:w="2699" w:type="pct"/>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30AFC" w:rsidRPr="00D30AFC" w:rsidRDefault="00D30AFC" w:rsidP="00D30AFC">
            <w:pPr>
              <w:rPr>
                <w:rFonts w:ascii="Arial" w:hAnsi="Arial" w:cs="Arial"/>
                <w:b/>
                <w:bCs/>
                <w:sz w:val="18"/>
                <w:szCs w:val="18"/>
              </w:rPr>
            </w:pPr>
          </w:p>
        </w:tc>
        <w:tc>
          <w:tcPr>
            <w:tcW w:w="2055" w:type="pct"/>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30AFC" w:rsidRPr="00D30AFC" w:rsidRDefault="00D30AFC" w:rsidP="00D30AFC">
            <w:pPr>
              <w:rPr>
                <w:rFonts w:ascii="Arial" w:hAnsi="Arial" w:cs="Arial"/>
                <w:b/>
                <w:bCs/>
                <w:sz w:val="18"/>
                <w:szCs w:val="18"/>
              </w:rPr>
            </w:pPr>
          </w:p>
        </w:tc>
      </w:tr>
      <w:tr w:rsidR="00D30AFC" w:rsidRPr="00D30AFC" w:rsidTr="00D30AFC">
        <w:trPr>
          <w:trHeight w:val="449"/>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 xml:space="preserve">Alvaro Garzón Diaz    </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CENDOJ</w:t>
            </w:r>
          </w:p>
        </w:tc>
      </w:tr>
      <w:tr w:rsidR="00D30AFC" w:rsidRPr="00D30AFC" w:rsidTr="00D30AFC">
        <w:trPr>
          <w:trHeight w:val="414"/>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2</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Carlos Castro Coll</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UDAE</w:t>
            </w:r>
          </w:p>
        </w:tc>
      </w:tr>
      <w:tr w:rsidR="00D30AFC" w:rsidRPr="00D30AFC" w:rsidTr="00D30AFC">
        <w:trPr>
          <w:trHeight w:val="4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3</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Carmen Inés Moreno Benítez</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SAP BOGOTÁ</w:t>
            </w:r>
          </w:p>
        </w:tc>
      </w:tr>
      <w:tr w:rsidR="00D30AFC" w:rsidRPr="00D30AFC" w:rsidTr="00D30AFC">
        <w:trPr>
          <w:trHeight w:val="412"/>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4</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Ceferino Velásquez</w:t>
            </w:r>
          </w:p>
        </w:tc>
        <w:tc>
          <w:tcPr>
            <w:tcW w:w="2055" w:type="pct"/>
            <w:tcBorders>
              <w:top w:val="nil"/>
              <w:left w:val="nil"/>
              <w:bottom w:val="single" w:sz="4" w:space="0" w:color="auto"/>
              <w:right w:val="single" w:sz="4" w:space="0" w:color="auto"/>
            </w:tcBorders>
            <w:shd w:val="clear" w:color="auto" w:fill="auto"/>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UDAE</w:t>
            </w:r>
          </w:p>
        </w:tc>
      </w:tr>
      <w:tr w:rsidR="00D30AFC" w:rsidRPr="00D30AFC" w:rsidTr="00D30AFC">
        <w:trPr>
          <w:trHeight w:val="41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5</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Cindy Paola Lopez</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UDAE</w:t>
            </w:r>
          </w:p>
        </w:tc>
      </w:tr>
      <w:tr w:rsidR="00D30AFC" w:rsidRPr="00D30AFC" w:rsidTr="00D30AFC">
        <w:trPr>
          <w:trHeight w:val="41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6</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Cristian Bohórquez</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SAP BOGOTÁ</w:t>
            </w:r>
          </w:p>
        </w:tc>
      </w:tr>
      <w:tr w:rsidR="00D30AFC" w:rsidRPr="00D30AFC" w:rsidTr="00D30AFC">
        <w:trPr>
          <w:trHeight w:val="383"/>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7</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Diego Londoño Ayran</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UDAE</w:t>
            </w:r>
          </w:p>
        </w:tc>
      </w:tr>
      <w:tr w:rsidR="00D30AFC" w:rsidRPr="00D30AFC" w:rsidTr="00D30AFC">
        <w:trPr>
          <w:trHeight w:val="404"/>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lastRenderedPageBreak/>
              <w:t>8</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Ivonne Zapata</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SECC MEDELLÍN</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9</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Javier Alexander Serrano</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DEAJ PLANEACIÓN</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10</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Javier Alfonso Naranjo Ramirez</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CENDOJ</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11</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José Eduardo Gómez</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DESPACHO DEAJ</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12</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Luis Alberto Leyton</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REGISTRO ABOGADOS</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13</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Luz Miriam Rozo</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REGISTRO ABOGADOS</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14</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Marcela Castaño</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CENDOJ</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15</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Nelson Rincón</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DEAJ ADMINISTRATIVA</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16</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Nubia Arevalo</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CENDOJ</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17</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Rafaél Gómez</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CENDOJ</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18</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Raúl Cardenas</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DEAJ UIF</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19</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Ricardo Molina</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DEAJ PLANEACIÓN</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20</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Sandra Diaz Jara</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SEGURIDAD</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21</w:t>
            </w:r>
          </w:p>
        </w:tc>
        <w:tc>
          <w:tcPr>
            <w:tcW w:w="2699"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Sandra Paola Castillo</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UDAE</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22</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Tomás Villagrán</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SECC BOGOTÁ</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23</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 xml:space="preserve">Wilfredo Rincon   </w:t>
            </w:r>
          </w:p>
        </w:tc>
        <w:tc>
          <w:tcPr>
            <w:tcW w:w="2055" w:type="pct"/>
            <w:tcBorders>
              <w:top w:val="nil"/>
              <w:left w:val="nil"/>
              <w:bottom w:val="single" w:sz="4" w:space="0" w:color="auto"/>
              <w:right w:val="single" w:sz="4" w:space="0" w:color="auto"/>
            </w:tcBorders>
            <w:shd w:val="clear" w:color="000000" w:fill="FFFFFF"/>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CARRERA</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24</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William Blandón</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SAP BOGOTÁ</w:t>
            </w:r>
          </w:p>
        </w:tc>
      </w:tr>
      <w:tr w:rsidR="00D30AFC" w:rsidRPr="00D30AFC" w:rsidTr="00D30AFC">
        <w:trPr>
          <w:trHeight w:val="567"/>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D30AFC" w:rsidRPr="00D30AFC" w:rsidRDefault="00D30AFC" w:rsidP="00D30AFC">
            <w:pPr>
              <w:jc w:val="right"/>
              <w:rPr>
                <w:rFonts w:ascii="Arial" w:hAnsi="Arial" w:cs="Arial"/>
                <w:color w:val="000000"/>
                <w:sz w:val="18"/>
                <w:szCs w:val="18"/>
              </w:rPr>
            </w:pPr>
            <w:r w:rsidRPr="00D30AFC">
              <w:rPr>
                <w:rFonts w:ascii="Arial" w:hAnsi="Arial" w:cs="Arial"/>
                <w:color w:val="000000"/>
                <w:sz w:val="18"/>
                <w:szCs w:val="18"/>
              </w:rPr>
              <w:t>25</w:t>
            </w:r>
          </w:p>
        </w:tc>
        <w:tc>
          <w:tcPr>
            <w:tcW w:w="2699" w:type="pct"/>
            <w:tcBorders>
              <w:top w:val="nil"/>
              <w:left w:val="nil"/>
              <w:bottom w:val="single" w:sz="4" w:space="0" w:color="auto"/>
              <w:right w:val="single" w:sz="4" w:space="0" w:color="auto"/>
            </w:tcBorders>
            <w:shd w:val="clear" w:color="000000" w:fill="FFFFFF"/>
            <w:vAlign w:val="center"/>
            <w:hideMark/>
          </w:tcPr>
          <w:p w:rsidR="00D30AFC" w:rsidRPr="00D30AFC" w:rsidRDefault="00D30AFC" w:rsidP="00D30AFC">
            <w:pPr>
              <w:jc w:val="both"/>
              <w:rPr>
                <w:rFonts w:ascii="Arial" w:hAnsi="Arial" w:cs="Arial"/>
                <w:color w:val="000000"/>
                <w:sz w:val="18"/>
                <w:szCs w:val="18"/>
              </w:rPr>
            </w:pPr>
            <w:r w:rsidRPr="00D30AFC">
              <w:rPr>
                <w:rFonts w:ascii="Arial" w:hAnsi="Arial" w:cs="Arial"/>
                <w:color w:val="000000"/>
                <w:sz w:val="18"/>
                <w:szCs w:val="18"/>
              </w:rPr>
              <w:t>William Espinosa</w:t>
            </w:r>
          </w:p>
        </w:tc>
        <w:tc>
          <w:tcPr>
            <w:tcW w:w="2055" w:type="pct"/>
            <w:tcBorders>
              <w:top w:val="nil"/>
              <w:left w:val="nil"/>
              <w:bottom w:val="single" w:sz="4" w:space="0" w:color="auto"/>
              <w:right w:val="single" w:sz="4" w:space="0" w:color="auto"/>
            </w:tcBorders>
            <w:shd w:val="clear" w:color="auto" w:fill="auto"/>
            <w:noWrap/>
            <w:vAlign w:val="center"/>
            <w:hideMark/>
          </w:tcPr>
          <w:p w:rsidR="00D30AFC" w:rsidRPr="00D30AFC" w:rsidRDefault="00D30AFC" w:rsidP="00D30AFC">
            <w:pPr>
              <w:rPr>
                <w:rFonts w:ascii="Arial" w:hAnsi="Arial" w:cs="Arial"/>
                <w:color w:val="000000"/>
                <w:sz w:val="18"/>
                <w:szCs w:val="18"/>
              </w:rPr>
            </w:pPr>
            <w:r w:rsidRPr="00D30AFC">
              <w:rPr>
                <w:rFonts w:ascii="Arial" w:hAnsi="Arial" w:cs="Arial"/>
                <w:color w:val="000000"/>
                <w:sz w:val="18"/>
                <w:szCs w:val="18"/>
              </w:rPr>
              <w:t>CARRERA</w:t>
            </w:r>
          </w:p>
        </w:tc>
      </w:tr>
    </w:tbl>
    <w:p w:rsidR="00D30AFC" w:rsidRDefault="00D30AFC" w:rsidP="00C43703">
      <w:pPr>
        <w:pStyle w:val="CUERPOTEXTO"/>
      </w:pPr>
    </w:p>
    <w:p w:rsidR="004A1E37" w:rsidRDefault="00D30AFC" w:rsidP="00C43703">
      <w:pPr>
        <w:pStyle w:val="CUERPOTEXTO"/>
      </w:pPr>
      <w:r>
        <w:t>Los resultados obtenidos, clasificados por numerales de las normas de calidad NTCISO 9001:2008 y NTCGP 1000:2009, son los siguientes:</w:t>
      </w:r>
    </w:p>
    <w:p w:rsidR="004A1E37" w:rsidRDefault="004A1E37" w:rsidP="00C43703">
      <w:pPr>
        <w:pStyle w:val="CUERPOTEXTO"/>
      </w:pPr>
    </w:p>
    <w:p w:rsidR="00D30AFC" w:rsidRDefault="00D30AFC" w:rsidP="00C43703">
      <w:pPr>
        <w:pStyle w:val="CUERPOTEXTO"/>
      </w:pPr>
    </w:p>
    <w:p w:rsidR="00D30AFC" w:rsidRDefault="00D30AFC" w:rsidP="00C43703">
      <w:pPr>
        <w:pStyle w:val="CUERPOTEXTO"/>
      </w:pPr>
    </w:p>
    <w:p w:rsidR="00D30AFC" w:rsidRDefault="00D30AFC" w:rsidP="00C43703">
      <w:pPr>
        <w:pStyle w:val="CUERPOTEXTO"/>
      </w:pPr>
    </w:p>
    <w:p w:rsidR="00D30AFC" w:rsidRPr="00D30AFC" w:rsidRDefault="00D30AFC" w:rsidP="00D30AFC">
      <w:pPr>
        <w:pStyle w:val="CUERPOTEXTO"/>
        <w:numPr>
          <w:ilvl w:val="0"/>
          <w:numId w:val="34"/>
        </w:numPr>
        <w:outlineLvl w:val="1"/>
        <w:rPr>
          <w:b/>
        </w:rPr>
      </w:pPr>
      <w:r w:rsidRPr="00D30AFC">
        <w:rPr>
          <w:b/>
        </w:rPr>
        <w:t>Resultados auditorías internas de calidad nivel central:</w:t>
      </w:r>
    </w:p>
    <w:p w:rsidR="00D30AFC" w:rsidRDefault="00D30AFC" w:rsidP="00D30AFC">
      <w:pPr>
        <w:pStyle w:val="CUERPOTEXTO"/>
        <w:ind w:left="720"/>
      </w:pPr>
    </w:p>
    <w:p w:rsidR="00D30AFC" w:rsidRDefault="00D30AFC" w:rsidP="00C43703">
      <w:pPr>
        <w:pStyle w:val="CUERPOTEXTO"/>
      </w:pPr>
      <w:r>
        <w:t xml:space="preserve">Se presentaron un total de diez (10) observaciones  (no conformidades menores) que tienen que ver con incumplimientos leves en los numerales 4.1 g (eficacia de los controles establecidos para mitigar riesgos), </w:t>
      </w:r>
      <w:r w:rsidR="00311F1B">
        <w:t xml:space="preserve">4.2.1 </w:t>
      </w:r>
      <w:r>
        <w:t xml:space="preserve">control de </w:t>
      </w:r>
      <w:r w:rsidR="00311F1B">
        <w:t>registros (errores de digitación), 4.2.3 control de documentos (debilidad en la aplicación del procedimiento de control de documentos internos), 6.2.2 cobertura en el diagnóstico de competencias del personal nuevo, 8.2.3 falta de oportunidad en la medición de indicadores de algunos procesos y 8.5.1 cierre inoportuno de una acción en el proceso de Adquisición de Bienes y Servicios.</w:t>
      </w:r>
    </w:p>
    <w:p w:rsidR="00D30AFC" w:rsidRDefault="00D30AFC" w:rsidP="00C43703">
      <w:pPr>
        <w:pStyle w:val="CUERPOTEXTO"/>
      </w:pPr>
    </w:p>
    <w:p w:rsidR="00311F1B" w:rsidRDefault="00311F1B" w:rsidP="00C43703">
      <w:pPr>
        <w:pStyle w:val="CUERPOTEXTO"/>
      </w:pPr>
      <w:r>
        <w:t>De acuerdo con la metodología establecida por la organización a partir del procedimiento de auditorías internas de calidad, estas diez (10) no conformidades se convierten en seis (6) al momento de su consolidación.</w:t>
      </w:r>
    </w:p>
    <w:p w:rsidR="00311F1B" w:rsidRDefault="00311F1B" w:rsidP="00C43703">
      <w:pPr>
        <w:pStyle w:val="CUERPOTEXTO"/>
      </w:pPr>
    </w:p>
    <w:p w:rsidR="00311F1B" w:rsidRDefault="00311F1B" w:rsidP="00C43703">
      <w:pPr>
        <w:pStyle w:val="CUERPOTEXTO"/>
      </w:pPr>
      <w:r>
        <w:t>Se espera que una vez terminada la auditoría externa de calidad se practique el primer seguimiento al levantamiento de los planes de mejoramiento de estas acciones.</w:t>
      </w:r>
    </w:p>
    <w:p w:rsidR="00311F1B" w:rsidRDefault="00311F1B" w:rsidP="00C43703">
      <w:pPr>
        <w:pStyle w:val="CUERPOTEXTO"/>
      </w:pPr>
    </w:p>
    <w:p w:rsidR="00311F1B" w:rsidRDefault="00311F1B" w:rsidP="00C43703">
      <w:pPr>
        <w:pStyle w:val="CUERPOTEXTO"/>
      </w:pPr>
      <w:r>
        <w:t>El cuadro siguiente muestra los resultados obtenidos en el nivel central por proceso:</w:t>
      </w:r>
    </w:p>
    <w:p w:rsidR="00D30AFC" w:rsidRDefault="00D30AFC" w:rsidP="00C43703">
      <w:pPr>
        <w:pStyle w:val="CUERPOTEX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3"/>
        <w:gridCol w:w="1137"/>
        <w:gridCol w:w="1137"/>
        <w:gridCol w:w="1254"/>
        <w:gridCol w:w="1421"/>
        <w:gridCol w:w="1195"/>
        <w:gridCol w:w="1121"/>
      </w:tblGrid>
      <w:tr w:rsidR="004A1E37" w:rsidRPr="004A1E37" w:rsidTr="00114FF2">
        <w:trPr>
          <w:trHeight w:val="280"/>
          <w:tblHeader/>
        </w:trPr>
        <w:tc>
          <w:tcPr>
            <w:tcW w:w="5000" w:type="pct"/>
            <w:gridSpan w:val="7"/>
            <w:shd w:val="clear" w:color="000000" w:fill="C00000"/>
            <w:noWrap/>
            <w:vAlign w:val="bottom"/>
            <w:hideMark/>
          </w:tcPr>
          <w:p w:rsidR="004A1E37" w:rsidRPr="004A1E37" w:rsidRDefault="004A1E37" w:rsidP="004A1E37">
            <w:pPr>
              <w:jc w:val="center"/>
              <w:rPr>
                <w:rFonts w:ascii="Calibri" w:hAnsi="Calibri"/>
                <w:b/>
                <w:bCs/>
                <w:color w:val="FFFFFF"/>
                <w:sz w:val="18"/>
                <w:szCs w:val="18"/>
              </w:rPr>
            </w:pPr>
            <w:r w:rsidRPr="004A1E37">
              <w:rPr>
                <w:rFonts w:ascii="Calibri" w:hAnsi="Calibri"/>
                <w:b/>
                <w:bCs/>
                <w:color w:val="FFFFFF"/>
                <w:sz w:val="18"/>
                <w:szCs w:val="18"/>
              </w:rPr>
              <w:t>CLASIFICACIÓN DE NO CONFORMIDADES POR PROCESO NIVEL CENTRAL</w:t>
            </w:r>
          </w:p>
        </w:tc>
      </w:tr>
      <w:tr w:rsidR="00114FF2" w:rsidRPr="004A1E37" w:rsidTr="00114FF2">
        <w:trPr>
          <w:trHeight w:val="280"/>
          <w:tblHeader/>
        </w:trPr>
        <w:tc>
          <w:tcPr>
            <w:tcW w:w="885" w:type="pct"/>
            <w:shd w:val="clear" w:color="000000" w:fill="203764"/>
            <w:noWrap/>
            <w:vAlign w:val="center"/>
            <w:hideMark/>
          </w:tcPr>
          <w:p w:rsidR="004A1E37" w:rsidRPr="004A1E37" w:rsidRDefault="004A1E37" w:rsidP="004A1E37">
            <w:pPr>
              <w:jc w:val="center"/>
              <w:rPr>
                <w:rFonts w:ascii="Calibri" w:hAnsi="Calibri"/>
                <w:b/>
                <w:bCs/>
                <w:color w:val="FFFFFF"/>
                <w:sz w:val="18"/>
                <w:szCs w:val="18"/>
              </w:rPr>
            </w:pPr>
            <w:r w:rsidRPr="004A1E37">
              <w:rPr>
                <w:rFonts w:ascii="Calibri" w:hAnsi="Calibri"/>
                <w:b/>
                <w:bCs/>
                <w:color w:val="FFFFFF"/>
                <w:sz w:val="18"/>
                <w:szCs w:val="18"/>
              </w:rPr>
              <w:t>PROCESO</w:t>
            </w:r>
          </w:p>
        </w:tc>
        <w:tc>
          <w:tcPr>
            <w:tcW w:w="644" w:type="pct"/>
            <w:shd w:val="clear" w:color="000000" w:fill="203764"/>
            <w:noWrap/>
            <w:vAlign w:val="center"/>
            <w:hideMark/>
          </w:tcPr>
          <w:p w:rsidR="004A1E37" w:rsidRPr="004A1E37" w:rsidRDefault="004A1E37" w:rsidP="004A1E37">
            <w:pPr>
              <w:jc w:val="center"/>
              <w:rPr>
                <w:rFonts w:ascii="Calibri" w:hAnsi="Calibri"/>
                <w:b/>
                <w:bCs/>
                <w:color w:val="FFFFFF"/>
                <w:sz w:val="18"/>
                <w:szCs w:val="18"/>
              </w:rPr>
            </w:pPr>
            <w:r w:rsidRPr="004A1E37">
              <w:rPr>
                <w:rFonts w:ascii="Calibri" w:hAnsi="Calibri"/>
                <w:b/>
                <w:bCs/>
                <w:color w:val="FFFFFF"/>
                <w:sz w:val="18"/>
                <w:szCs w:val="18"/>
              </w:rPr>
              <w:t>4.1 g</w:t>
            </w:r>
          </w:p>
        </w:tc>
        <w:tc>
          <w:tcPr>
            <w:tcW w:w="644" w:type="pct"/>
            <w:shd w:val="clear" w:color="000000" w:fill="203764"/>
            <w:noWrap/>
            <w:vAlign w:val="center"/>
            <w:hideMark/>
          </w:tcPr>
          <w:p w:rsidR="004A1E37" w:rsidRPr="004A1E37" w:rsidRDefault="004A1E37" w:rsidP="004A1E37">
            <w:pPr>
              <w:jc w:val="center"/>
              <w:rPr>
                <w:rFonts w:ascii="Calibri" w:hAnsi="Calibri"/>
                <w:b/>
                <w:bCs/>
                <w:color w:val="FFFFFF"/>
                <w:sz w:val="18"/>
                <w:szCs w:val="18"/>
              </w:rPr>
            </w:pPr>
            <w:r w:rsidRPr="004A1E37">
              <w:rPr>
                <w:rFonts w:ascii="Calibri" w:hAnsi="Calibri"/>
                <w:b/>
                <w:bCs/>
                <w:color w:val="FFFFFF"/>
                <w:sz w:val="18"/>
                <w:szCs w:val="18"/>
              </w:rPr>
              <w:t>4.2.1</w:t>
            </w:r>
          </w:p>
        </w:tc>
        <w:tc>
          <w:tcPr>
            <w:tcW w:w="710" w:type="pct"/>
            <w:shd w:val="clear" w:color="000000" w:fill="203764"/>
            <w:noWrap/>
            <w:vAlign w:val="center"/>
            <w:hideMark/>
          </w:tcPr>
          <w:p w:rsidR="004A1E37" w:rsidRPr="004A1E37" w:rsidRDefault="004A1E37" w:rsidP="004A1E37">
            <w:pPr>
              <w:jc w:val="center"/>
              <w:rPr>
                <w:rFonts w:ascii="Calibri" w:hAnsi="Calibri"/>
                <w:b/>
                <w:bCs/>
                <w:color w:val="FFFFFF"/>
                <w:sz w:val="18"/>
                <w:szCs w:val="18"/>
              </w:rPr>
            </w:pPr>
            <w:r w:rsidRPr="004A1E37">
              <w:rPr>
                <w:rFonts w:ascii="Calibri" w:hAnsi="Calibri"/>
                <w:b/>
                <w:bCs/>
                <w:color w:val="FFFFFF"/>
                <w:sz w:val="18"/>
                <w:szCs w:val="18"/>
              </w:rPr>
              <w:t>4.2.3</w:t>
            </w:r>
          </w:p>
        </w:tc>
        <w:tc>
          <w:tcPr>
            <w:tcW w:w="805" w:type="pct"/>
            <w:shd w:val="clear" w:color="000000" w:fill="203764"/>
            <w:noWrap/>
            <w:vAlign w:val="center"/>
            <w:hideMark/>
          </w:tcPr>
          <w:p w:rsidR="004A1E37" w:rsidRPr="004A1E37" w:rsidRDefault="004A1E37" w:rsidP="004A1E37">
            <w:pPr>
              <w:jc w:val="center"/>
              <w:rPr>
                <w:rFonts w:ascii="Calibri" w:hAnsi="Calibri"/>
                <w:b/>
                <w:bCs/>
                <w:color w:val="FFFFFF"/>
                <w:sz w:val="18"/>
                <w:szCs w:val="18"/>
              </w:rPr>
            </w:pPr>
            <w:r w:rsidRPr="004A1E37">
              <w:rPr>
                <w:rFonts w:ascii="Calibri" w:hAnsi="Calibri"/>
                <w:b/>
                <w:bCs/>
                <w:color w:val="FFFFFF"/>
                <w:sz w:val="18"/>
                <w:szCs w:val="18"/>
              </w:rPr>
              <w:t>6.2.2</w:t>
            </w:r>
          </w:p>
        </w:tc>
        <w:tc>
          <w:tcPr>
            <w:tcW w:w="677" w:type="pct"/>
            <w:shd w:val="clear" w:color="000000" w:fill="203764"/>
            <w:noWrap/>
            <w:vAlign w:val="center"/>
            <w:hideMark/>
          </w:tcPr>
          <w:p w:rsidR="004A1E37" w:rsidRPr="004A1E37" w:rsidRDefault="004A1E37" w:rsidP="004A1E37">
            <w:pPr>
              <w:jc w:val="center"/>
              <w:rPr>
                <w:rFonts w:ascii="Calibri" w:hAnsi="Calibri"/>
                <w:b/>
                <w:bCs/>
                <w:color w:val="FFFFFF"/>
                <w:sz w:val="18"/>
                <w:szCs w:val="18"/>
              </w:rPr>
            </w:pPr>
            <w:r w:rsidRPr="004A1E37">
              <w:rPr>
                <w:rFonts w:ascii="Calibri" w:hAnsi="Calibri"/>
                <w:b/>
                <w:bCs/>
                <w:color w:val="FFFFFF"/>
                <w:sz w:val="18"/>
                <w:szCs w:val="18"/>
              </w:rPr>
              <w:t>8.2.3</w:t>
            </w:r>
          </w:p>
        </w:tc>
        <w:tc>
          <w:tcPr>
            <w:tcW w:w="636" w:type="pct"/>
            <w:shd w:val="clear" w:color="000000" w:fill="203764"/>
            <w:noWrap/>
            <w:vAlign w:val="center"/>
            <w:hideMark/>
          </w:tcPr>
          <w:p w:rsidR="004A1E37" w:rsidRPr="004A1E37" w:rsidRDefault="004A1E37" w:rsidP="004A1E37">
            <w:pPr>
              <w:jc w:val="center"/>
              <w:rPr>
                <w:rFonts w:ascii="Calibri" w:hAnsi="Calibri"/>
                <w:b/>
                <w:bCs/>
                <w:color w:val="FFFFFF"/>
                <w:sz w:val="18"/>
                <w:szCs w:val="18"/>
              </w:rPr>
            </w:pPr>
            <w:r w:rsidRPr="004A1E37">
              <w:rPr>
                <w:rFonts w:ascii="Calibri" w:hAnsi="Calibri"/>
                <w:b/>
                <w:bCs/>
                <w:color w:val="FFFFFF"/>
                <w:sz w:val="18"/>
                <w:szCs w:val="18"/>
              </w:rPr>
              <w:t>8.5.1</w:t>
            </w:r>
          </w:p>
        </w:tc>
      </w:tr>
      <w:tr w:rsidR="00114FF2" w:rsidRPr="00114FF2" w:rsidTr="00114FF2">
        <w:trPr>
          <w:trHeight w:val="839"/>
        </w:trPr>
        <w:tc>
          <w:tcPr>
            <w:tcW w:w="885" w:type="pct"/>
            <w:shd w:val="clear" w:color="auto" w:fill="auto"/>
            <w:vAlign w:val="center"/>
            <w:hideMark/>
          </w:tcPr>
          <w:p w:rsidR="004A1E37" w:rsidRPr="004A1E37" w:rsidRDefault="004A1E37" w:rsidP="004A1E37">
            <w:pPr>
              <w:jc w:val="both"/>
              <w:rPr>
                <w:rFonts w:ascii="Calibri" w:hAnsi="Calibri"/>
                <w:bCs/>
                <w:color w:val="000000" w:themeColor="text1"/>
                <w:sz w:val="18"/>
                <w:szCs w:val="18"/>
              </w:rPr>
            </w:pPr>
            <w:r w:rsidRPr="004A1E37">
              <w:rPr>
                <w:rFonts w:ascii="Calibri" w:hAnsi="Calibri"/>
                <w:bCs/>
                <w:color w:val="000000" w:themeColor="text1"/>
                <w:sz w:val="18"/>
                <w:szCs w:val="18"/>
              </w:rPr>
              <w:t>Adquisición BYS</w:t>
            </w:r>
          </w:p>
        </w:tc>
        <w:tc>
          <w:tcPr>
            <w:tcW w:w="644" w:type="pct"/>
            <w:shd w:val="clear" w:color="auto" w:fill="auto"/>
            <w:vAlign w:val="center"/>
            <w:hideMark/>
          </w:tcPr>
          <w:p w:rsidR="004A1E37" w:rsidRPr="004A1E37" w:rsidRDefault="004A1E37" w:rsidP="004A1E37">
            <w:pPr>
              <w:jc w:val="both"/>
              <w:rPr>
                <w:rFonts w:ascii="Calibri" w:hAnsi="Calibri"/>
                <w:color w:val="000000" w:themeColor="text1"/>
                <w:sz w:val="18"/>
                <w:szCs w:val="18"/>
              </w:rPr>
            </w:pPr>
            <w:r w:rsidRPr="004A1E37">
              <w:rPr>
                <w:rFonts w:ascii="Calibri" w:hAnsi="Calibri"/>
                <w:color w:val="000000" w:themeColor="text1"/>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themeColor="text1"/>
                <w:sz w:val="18"/>
                <w:szCs w:val="18"/>
              </w:rPr>
            </w:pPr>
            <w:r w:rsidRPr="004A1E37">
              <w:rPr>
                <w:rFonts w:ascii="Calibri" w:hAnsi="Calibri"/>
                <w:color w:val="000000" w:themeColor="text1"/>
                <w:sz w:val="18"/>
                <w:szCs w:val="18"/>
              </w:rPr>
              <w:t> </w:t>
            </w:r>
          </w:p>
        </w:tc>
        <w:tc>
          <w:tcPr>
            <w:tcW w:w="710" w:type="pct"/>
            <w:shd w:val="clear" w:color="000000" w:fill="FFFF00"/>
            <w:vAlign w:val="center"/>
            <w:hideMark/>
          </w:tcPr>
          <w:p w:rsidR="004A1E37" w:rsidRPr="004A1E37" w:rsidRDefault="004A1E37" w:rsidP="004A1E37">
            <w:pPr>
              <w:jc w:val="both"/>
              <w:rPr>
                <w:rFonts w:ascii="Calibri" w:hAnsi="Calibri"/>
                <w:color w:val="000000" w:themeColor="text1"/>
                <w:sz w:val="18"/>
                <w:szCs w:val="18"/>
              </w:rPr>
            </w:pPr>
            <w:r w:rsidRPr="004A1E37">
              <w:rPr>
                <w:rFonts w:ascii="Calibri" w:hAnsi="Calibri"/>
                <w:color w:val="000000" w:themeColor="text1"/>
                <w:sz w:val="18"/>
                <w:szCs w:val="18"/>
              </w:rPr>
              <w:t>Control de Documentos</w:t>
            </w:r>
          </w:p>
        </w:tc>
        <w:tc>
          <w:tcPr>
            <w:tcW w:w="805" w:type="pct"/>
            <w:shd w:val="clear" w:color="000000" w:fill="FFFFFF"/>
            <w:vAlign w:val="center"/>
            <w:hideMark/>
          </w:tcPr>
          <w:p w:rsidR="004A1E37" w:rsidRPr="004A1E37" w:rsidRDefault="004A1E37" w:rsidP="004A1E37">
            <w:pPr>
              <w:jc w:val="both"/>
              <w:rPr>
                <w:rFonts w:ascii="Calibri" w:hAnsi="Calibri"/>
                <w:color w:val="000000" w:themeColor="text1"/>
                <w:sz w:val="18"/>
                <w:szCs w:val="18"/>
              </w:rPr>
            </w:pPr>
            <w:r w:rsidRPr="004A1E37">
              <w:rPr>
                <w:rFonts w:ascii="Calibri" w:hAnsi="Calibri"/>
                <w:color w:val="000000" w:themeColor="text1"/>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themeColor="text1"/>
                <w:sz w:val="18"/>
                <w:szCs w:val="18"/>
              </w:rPr>
            </w:pPr>
            <w:r w:rsidRPr="004A1E37">
              <w:rPr>
                <w:rFonts w:ascii="Calibri" w:hAnsi="Calibri"/>
                <w:color w:val="000000" w:themeColor="text1"/>
                <w:sz w:val="18"/>
                <w:szCs w:val="18"/>
              </w:rPr>
              <w:t> </w:t>
            </w:r>
          </w:p>
        </w:tc>
        <w:tc>
          <w:tcPr>
            <w:tcW w:w="636" w:type="pct"/>
            <w:shd w:val="clear" w:color="000000" w:fill="FFFF00"/>
            <w:vAlign w:val="center"/>
            <w:hideMark/>
          </w:tcPr>
          <w:p w:rsidR="004A1E37" w:rsidRPr="004A1E37" w:rsidRDefault="004A1E37" w:rsidP="004A1E37">
            <w:pPr>
              <w:jc w:val="both"/>
              <w:rPr>
                <w:rFonts w:ascii="Calibri" w:hAnsi="Calibri"/>
                <w:color w:val="000000" w:themeColor="text1"/>
                <w:sz w:val="18"/>
                <w:szCs w:val="18"/>
              </w:rPr>
            </w:pPr>
            <w:r w:rsidRPr="004A1E37">
              <w:rPr>
                <w:rFonts w:ascii="Calibri" w:hAnsi="Calibri"/>
                <w:color w:val="000000" w:themeColor="text1"/>
                <w:sz w:val="18"/>
                <w:szCs w:val="18"/>
              </w:rPr>
              <w:t>Cierre de acciones</w:t>
            </w:r>
          </w:p>
        </w:tc>
      </w:tr>
      <w:tr w:rsidR="00114FF2" w:rsidRPr="004A1E37" w:rsidTr="00114FF2">
        <w:trPr>
          <w:trHeight w:val="559"/>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Admon Seguridad</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280"/>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Asistencia Legal</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280"/>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Admon Carrera</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280"/>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Auditorìa</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280"/>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Comunicación</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280"/>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G Financiera</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839"/>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G Documental</w:t>
            </w:r>
          </w:p>
        </w:tc>
        <w:tc>
          <w:tcPr>
            <w:tcW w:w="644" w:type="pct"/>
            <w:shd w:val="clear" w:color="000000" w:fill="FFFF00"/>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Debilidad en controles</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114FF2" w:rsidTr="00114FF2">
        <w:trPr>
          <w:trHeight w:val="280"/>
        </w:trPr>
        <w:tc>
          <w:tcPr>
            <w:tcW w:w="885" w:type="pct"/>
            <w:shd w:val="clear" w:color="auto" w:fill="auto"/>
            <w:vAlign w:val="center"/>
            <w:hideMark/>
          </w:tcPr>
          <w:p w:rsidR="004A1E37" w:rsidRPr="004A1E37" w:rsidRDefault="004A1E37" w:rsidP="004A1E37">
            <w:pPr>
              <w:jc w:val="both"/>
              <w:rPr>
                <w:rFonts w:ascii="Calibri" w:hAnsi="Calibri"/>
                <w:bCs/>
                <w:sz w:val="18"/>
                <w:szCs w:val="18"/>
              </w:rPr>
            </w:pPr>
            <w:r w:rsidRPr="004A1E37">
              <w:rPr>
                <w:rFonts w:ascii="Calibri" w:hAnsi="Calibri"/>
                <w:bCs/>
                <w:sz w:val="18"/>
                <w:szCs w:val="18"/>
              </w:rPr>
              <w:t>G Humana</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710"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805" w:type="pct"/>
            <w:shd w:val="clear" w:color="auto" w:fill="FFFF00"/>
            <w:vAlign w:val="center"/>
            <w:hideMark/>
          </w:tcPr>
          <w:p w:rsidR="004A1E37" w:rsidRPr="004A1E37" w:rsidRDefault="00114FF2" w:rsidP="00114FF2">
            <w:pPr>
              <w:jc w:val="center"/>
              <w:rPr>
                <w:rFonts w:ascii="Calibri" w:hAnsi="Calibri"/>
                <w:sz w:val="18"/>
                <w:szCs w:val="18"/>
              </w:rPr>
            </w:pPr>
            <w:r w:rsidRPr="00114FF2">
              <w:rPr>
                <w:rFonts w:ascii="Calibri" w:hAnsi="Calibri"/>
                <w:sz w:val="18"/>
                <w:szCs w:val="18"/>
              </w:rPr>
              <w:t>Cobertura competencias</w:t>
            </w:r>
          </w:p>
        </w:tc>
        <w:tc>
          <w:tcPr>
            <w:tcW w:w="677"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36"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r>
      <w:tr w:rsidR="00D30AFC" w:rsidRPr="00D30AFC" w:rsidTr="00114FF2">
        <w:trPr>
          <w:trHeight w:val="839"/>
        </w:trPr>
        <w:tc>
          <w:tcPr>
            <w:tcW w:w="885" w:type="pct"/>
            <w:shd w:val="clear" w:color="auto" w:fill="auto"/>
            <w:vAlign w:val="center"/>
            <w:hideMark/>
          </w:tcPr>
          <w:p w:rsidR="004A1E37" w:rsidRPr="004A1E37" w:rsidRDefault="004A1E37" w:rsidP="004A1E37">
            <w:pPr>
              <w:jc w:val="both"/>
              <w:rPr>
                <w:rFonts w:ascii="Calibri" w:hAnsi="Calibri"/>
                <w:bCs/>
                <w:sz w:val="18"/>
                <w:szCs w:val="18"/>
              </w:rPr>
            </w:pPr>
            <w:r w:rsidRPr="004A1E37">
              <w:rPr>
                <w:rFonts w:ascii="Calibri" w:hAnsi="Calibri"/>
                <w:bCs/>
                <w:sz w:val="18"/>
                <w:szCs w:val="18"/>
              </w:rPr>
              <w:t>G Información Judicial</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44" w:type="pct"/>
            <w:shd w:val="clear" w:color="000000" w:fill="FFFF00"/>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Control de Registros - Riesgos</w:t>
            </w:r>
          </w:p>
        </w:tc>
        <w:tc>
          <w:tcPr>
            <w:tcW w:w="710"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805"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77"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36"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r>
      <w:tr w:rsidR="00114FF2" w:rsidRPr="004A1E37" w:rsidTr="00114FF2">
        <w:trPr>
          <w:trHeight w:val="559"/>
        </w:trPr>
        <w:tc>
          <w:tcPr>
            <w:tcW w:w="885"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G Información Estadística</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000000" w:fill="FFFFFF"/>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D30AFC" w:rsidRPr="00D30AFC" w:rsidTr="00114FF2">
        <w:trPr>
          <w:trHeight w:val="280"/>
        </w:trPr>
        <w:tc>
          <w:tcPr>
            <w:tcW w:w="885" w:type="pct"/>
            <w:shd w:val="clear" w:color="auto" w:fill="auto"/>
            <w:vAlign w:val="center"/>
            <w:hideMark/>
          </w:tcPr>
          <w:p w:rsidR="004A1E37" w:rsidRPr="004A1E37" w:rsidRDefault="004A1E37" w:rsidP="004A1E37">
            <w:pPr>
              <w:jc w:val="both"/>
              <w:rPr>
                <w:rFonts w:ascii="Calibri" w:hAnsi="Calibri"/>
                <w:bCs/>
                <w:sz w:val="18"/>
                <w:szCs w:val="18"/>
              </w:rPr>
            </w:pPr>
            <w:r w:rsidRPr="004A1E37">
              <w:rPr>
                <w:rFonts w:ascii="Calibri" w:hAnsi="Calibri"/>
                <w:bCs/>
                <w:sz w:val="18"/>
                <w:szCs w:val="18"/>
              </w:rPr>
              <w:t>G Formación Jud</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710"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805" w:type="pct"/>
            <w:shd w:val="clear" w:color="auto" w:fill="auto"/>
            <w:vAlign w:val="center"/>
            <w:hideMark/>
          </w:tcPr>
          <w:p w:rsidR="004A1E37" w:rsidRPr="004A1E37" w:rsidRDefault="004A1E37" w:rsidP="004A1E37">
            <w:pPr>
              <w:jc w:val="both"/>
              <w:rPr>
                <w:rFonts w:ascii="Calibri" w:hAnsi="Calibri"/>
                <w:sz w:val="18"/>
                <w:szCs w:val="18"/>
              </w:rPr>
            </w:pPr>
          </w:p>
        </w:tc>
        <w:tc>
          <w:tcPr>
            <w:tcW w:w="677"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36"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r>
      <w:tr w:rsidR="00114FF2" w:rsidRPr="004A1E37" w:rsidTr="00114FF2">
        <w:trPr>
          <w:trHeight w:val="559"/>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lastRenderedPageBreak/>
              <w:t>G Listas Altas Cortes</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559"/>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G Salud Ocupacional</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D30AFC" w:rsidRPr="00D30AFC" w:rsidTr="00114FF2">
        <w:trPr>
          <w:trHeight w:val="1118"/>
        </w:trPr>
        <w:tc>
          <w:tcPr>
            <w:tcW w:w="885" w:type="pct"/>
            <w:shd w:val="clear" w:color="auto" w:fill="auto"/>
            <w:vAlign w:val="center"/>
            <w:hideMark/>
          </w:tcPr>
          <w:p w:rsidR="004A1E37" w:rsidRPr="004A1E37" w:rsidRDefault="004A1E37" w:rsidP="004A1E37">
            <w:pPr>
              <w:jc w:val="both"/>
              <w:rPr>
                <w:rFonts w:ascii="Calibri" w:hAnsi="Calibri"/>
                <w:bCs/>
                <w:sz w:val="18"/>
                <w:szCs w:val="18"/>
              </w:rPr>
            </w:pPr>
            <w:r w:rsidRPr="004A1E37">
              <w:rPr>
                <w:rFonts w:ascii="Calibri" w:hAnsi="Calibri"/>
                <w:bCs/>
                <w:sz w:val="18"/>
                <w:szCs w:val="18"/>
              </w:rPr>
              <w:t>G Tecnológica</w:t>
            </w:r>
          </w:p>
        </w:tc>
        <w:tc>
          <w:tcPr>
            <w:tcW w:w="644" w:type="pct"/>
            <w:shd w:val="clear" w:color="000000" w:fill="FFFF00"/>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Debilidad en controles</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710"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805"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77" w:type="pct"/>
            <w:shd w:val="clear" w:color="000000" w:fill="FFFF00"/>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Seguimiento Proceso</w:t>
            </w:r>
            <w:r w:rsidRPr="004A1E37">
              <w:rPr>
                <w:rFonts w:ascii="Calibri" w:hAnsi="Calibri"/>
                <w:sz w:val="18"/>
                <w:szCs w:val="18"/>
              </w:rPr>
              <w:br/>
              <w:t>Acciones oportunas</w:t>
            </w:r>
          </w:p>
        </w:tc>
        <w:tc>
          <w:tcPr>
            <w:tcW w:w="636"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r>
      <w:tr w:rsidR="00114FF2" w:rsidRPr="004A1E37" w:rsidTr="00114FF2">
        <w:trPr>
          <w:trHeight w:val="559"/>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Mejoramiento SIGCMA</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559"/>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M Infraestructura</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D30AFC" w:rsidRPr="00D30AFC" w:rsidTr="00114FF2">
        <w:trPr>
          <w:trHeight w:val="839"/>
        </w:trPr>
        <w:tc>
          <w:tcPr>
            <w:tcW w:w="885" w:type="pct"/>
            <w:shd w:val="clear" w:color="auto" w:fill="auto"/>
            <w:vAlign w:val="center"/>
            <w:hideMark/>
          </w:tcPr>
          <w:p w:rsidR="004A1E37" w:rsidRPr="004A1E37" w:rsidRDefault="004A1E37" w:rsidP="004A1E37">
            <w:pPr>
              <w:jc w:val="both"/>
              <w:rPr>
                <w:rFonts w:ascii="Calibri" w:hAnsi="Calibri"/>
                <w:bCs/>
                <w:sz w:val="18"/>
                <w:szCs w:val="18"/>
              </w:rPr>
            </w:pPr>
            <w:r w:rsidRPr="004A1E37">
              <w:rPr>
                <w:rFonts w:ascii="Calibri" w:hAnsi="Calibri"/>
                <w:bCs/>
                <w:sz w:val="18"/>
                <w:szCs w:val="18"/>
              </w:rPr>
              <w:t>M G Jud</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710" w:type="pct"/>
            <w:shd w:val="clear" w:color="000000" w:fill="FFFF00"/>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Actualización LMD y Doc SGC</w:t>
            </w:r>
          </w:p>
        </w:tc>
        <w:tc>
          <w:tcPr>
            <w:tcW w:w="805" w:type="pct"/>
            <w:shd w:val="clear" w:color="000000" w:fill="FFFFFF"/>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77"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36"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r>
      <w:tr w:rsidR="00D30AFC" w:rsidRPr="00D30AFC" w:rsidTr="00114FF2">
        <w:trPr>
          <w:trHeight w:val="839"/>
        </w:trPr>
        <w:tc>
          <w:tcPr>
            <w:tcW w:w="885" w:type="pct"/>
            <w:shd w:val="clear" w:color="auto" w:fill="auto"/>
            <w:vAlign w:val="center"/>
            <w:hideMark/>
          </w:tcPr>
          <w:p w:rsidR="004A1E37" w:rsidRPr="004A1E37" w:rsidRDefault="004A1E37" w:rsidP="004A1E37">
            <w:pPr>
              <w:jc w:val="both"/>
              <w:rPr>
                <w:rFonts w:ascii="Calibri" w:hAnsi="Calibri"/>
                <w:bCs/>
                <w:sz w:val="18"/>
                <w:szCs w:val="18"/>
              </w:rPr>
            </w:pPr>
            <w:r w:rsidRPr="004A1E37">
              <w:rPr>
                <w:rFonts w:ascii="Calibri" w:hAnsi="Calibri"/>
                <w:bCs/>
                <w:sz w:val="18"/>
                <w:szCs w:val="18"/>
              </w:rPr>
              <w:t>P Estratégica</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44"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710"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805"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c>
          <w:tcPr>
            <w:tcW w:w="677" w:type="pct"/>
            <w:shd w:val="clear" w:color="000000" w:fill="FFFF00"/>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Medición indicador nuevo</w:t>
            </w:r>
          </w:p>
        </w:tc>
        <w:tc>
          <w:tcPr>
            <w:tcW w:w="636" w:type="pct"/>
            <w:shd w:val="clear" w:color="auto" w:fill="auto"/>
            <w:vAlign w:val="center"/>
            <w:hideMark/>
          </w:tcPr>
          <w:p w:rsidR="004A1E37" w:rsidRPr="004A1E37" w:rsidRDefault="004A1E37" w:rsidP="004A1E37">
            <w:pPr>
              <w:jc w:val="both"/>
              <w:rPr>
                <w:rFonts w:ascii="Calibri" w:hAnsi="Calibri"/>
                <w:sz w:val="18"/>
                <w:szCs w:val="18"/>
              </w:rPr>
            </w:pPr>
            <w:r w:rsidRPr="004A1E37">
              <w:rPr>
                <w:rFonts w:ascii="Calibri" w:hAnsi="Calibri"/>
                <w:sz w:val="18"/>
                <w:szCs w:val="18"/>
              </w:rPr>
              <w:t> </w:t>
            </w:r>
          </w:p>
        </w:tc>
      </w:tr>
      <w:tr w:rsidR="00114FF2" w:rsidRPr="004A1E37" w:rsidTr="00114FF2">
        <w:trPr>
          <w:trHeight w:val="559"/>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Registro y Control</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4A1E37" w:rsidTr="00114FF2">
        <w:trPr>
          <w:trHeight w:val="559"/>
        </w:trPr>
        <w:tc>
          <w:tcPr>
            <w:tcW w:w="88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Reordenamiento</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44"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710"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805"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77"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c>
          <w:tcPr>
            <w:tcW w:w="636" w:type="pct"/>
            <w:shd w:val="clear" w:color="auto" w:fill="auto"/>
            <w:vAlign w:val="center"/>
            <w:hideMark/>
          </w:tcPr>
          <w:p w:rsidR="004A1E37" w:rsidRPr="004A1E37" w:rsidRDefault="004A1E37" w:rsidP="004A1E37">
            <w:pPr>
              <w:jc w:val="both"/>
              <w:rPr>
                <w:rFonts w:ascii="Calibri" w:hAnsi="Calibri"/>
                <w:color w:val="000000"/>
                <w:sz w:val="18"/>
                <w:szCs w:val="18"/>
              </w:rPr>
            </w:pPr>
            <w:r w:rsidRPr="004A1E37">
              <w:rPr>
                <w:rFonts w:ascii="Calibri" w:hAnsi="Calibri"/>
                <w:color w:val="000000"/>
                <w:sz w:val="18"/>
                <w:szCs w:val="18"/>
              </w:rPr>
              <w:t> </w:t>
            </w:r>
          </w:p>
        </w:tc>
      </w:tr>
      <w:tr w:rsidR="00114FF2" w:rsidRPr="00114FF2" w:rsidTr="00114FF2">
        <w:trPr>
          <w:trHeight w:val="559"/>
        </w:trPr>
        <w:tc>
          <w:tcPr>
            <w:tcW w:w="885" w:type="pct"/>
            <w:shd w:val="clear" w:color="auto" w:fill="auto"/>
            <w:vAlign w:val="center"/>
          </w:tcPr>
          <w:p w:rsidR="00114FF2" w:rsidRPr="00114FF2" w:rsidRDefault="00114FF2" w:rsidP="004A1E37">
            <w:pPr>
              <w:jc w:val="both"/>
              <w:rPr>
                <w:rFonts w:ascii="Calibri" w:hAnsi="Calibri"/>
                <w:b/>
                <w:color w:val="000000"/>
                <w:sz w:val="18"/>
                <w:szCs w:val="18"/>
              </w:rPr>
            </w:pPr>
            <w:r w:rsidRPr="00114FF2">
              <w:rPr>
                <w:rFonts w:ascii="Calibri" w:hAnsi="Calibri"/>
                <w:b/>
                <w:color w:val="000000"/>
                <w:sz w:val="18"/>
                <w:szCs w:val="18"/>
              </w:rPr>
              <w:t>TOTALES</w:t>
            </w:r>
          </w:p>
        </w:tc>
        <w:tc>
          <w:tcPr>
            <w:tcW w:w="644" w:type="pct"/>
            <w:shd w:val="clear" w:color="auto" w:fill="auto"/>
            <w:vAlign w:val="center"/>
          </w:tcPr>
          <w:p w:rsidR="00114FF2" w:rsidRPr="00114FF2" w:rsidRDefault="00114FF2" w:rsidP="00114FF2">
            <w:pPr>
              <w:jc w:val="center"/>
              <w:rPr>
                <w:rFonts w:ascii="Calibri" w:hAnsi="Calibri"/>
                <w:b/>
                <w:color w:val="000000"/>
                <w:sz w:val="18"/>
                <w:szCs w:val="18"/>
              </w:rPr>
            </w:pPr>
            <w:r>
              <w:rPr>
                <w:rFonts w:ascii="Calibri" w:hAnsi="Calibri"/>
                <w:b/>
                <w:color w:val="000000"/>
                <w:sz w:val="18"/>
                <w:szCs w:val="18"/>
              </w:rPr>
              <w:t>2</w:t>
            </w:r>
          </w:p>
        </w:tc>
        <w:tc>
          <w:tcPr>
            <w:tcW w:w="644" w:type="pct"/>
            <w:shd w:val="clear" w:color="auto" w:fill="auto"/>
            <w:vAlign w:val="center"/>
          </w:tcPr>
          <w:p w:rsidR="00114FF2" w:rsidRPr="00114FF2" w:rsidRDefault="00114FF2" w:rsidP="00114FF2">
            <w:pPr>
              <w:jc w:val="center"/>
              <w:rPr>
                <w:rFonts w:ascii="Calibri" w:hAnsi="Calibri"/>
                <w:b/>
                <w:color w:val="000000"/>
                <w:sz w:val="18"/>
                <w:szCs w:val="18"/>
              </w:rPr>
            </w:pPr>
            <w:r>
              <w:rPr>
                <w:rFonts w:ascii="Calibri" w:hAnsi="Calibri"/>
                <w:b/>
                <w:color w:val="000000"/>
                <w:sz w:val="18"/>
                <w:szCs w:val="18"/>
              </w:rPr>
              <w:t>2</w:t>
            </w:r>
          </w:p>
        </w:tc>
        <w:tc>
          <w:tcPr>
            <w:tcW w:w="710" w:type="pct"/>
            <w:shd w:val="clear" w:color="auto" w:fill="auto"/>
            <w:vAlign w:val="center"/>
          </w:tcPr>
          <w:p w:rsidR="00114FF2" w:rsidRPr="00114FF2" w:rsidRDefault="00114FF2" w:rsidP="00114FF2">
            <w:pPr>
              <w:jc w:val="center"/>
              <w:rPr>
                <w:rFonts w:ascii="Calibri" w:hAnsi="Calibri"/>
                <w:b/>
                <w:color w:val="000000"/>
                <w:sz w:val="18"/>
                <w:szCs w:val="18"/>
              </w:rPr>
            </w:pPr>
            <w:r>
              <w:rPr>
                <w:rFonts w:ascii="Calibri" w:hAnsi="Calibri"/>
                <w:b/>
                <w:color w:val="000000"/>
                <w:sz w:val="18"/>
                <w:szCs w:val="18"/>
              </w:rPr>
              <w:t>2</w:t>
            </w:r>
          </w:p>
        </w:tc>
        <w:tc>
          <w:tcPr>
            <w:tcW w:w="805" w:type="pct"/>
            <w:shd w:val="clear" w:color="auto" w:fill="auto"/>
            <w:vAlign w:val="center"/>
          </w:tcPr>
          <w:p w:rsidR="00114FF2" w:rsidRPr="00114FF2" w:rsidRDefault="00114FF2" w:rsidP="00114FF2">
            <w:pPr>
              <w:jc w:val="center"/>
              <w:rPr>
                <w:rFonts w:ascii="Calibri" w:hAnsi="Calibri"/>
                <w:b/>
                <w:color w:val="000000"/>
                <w:sz w:val="18"/>
                <w:szCs w:val="18"/>
              </w:rPr>
            </w:pPr>
            <w:r>
              <w:rPr>
                <w:rFonts w:ascii="Calibri" w:hAnsi="Calibri"/>
                <w:b/>
                <w:color w:val="000000"/>
                <w:sz w:val="18"/>
                <w:szCs w:val="18"/>
              </w:rPr>
              <w:t>1</w:t>
            </w:r>
          </w:p>
        </w:tc>
        <w:tc>
          <w:tcPr>
            <w:tcW w:w="677" w:type="pct"/>
            <w:shd w:val="clear" w:color="auto" w:fill="auto"/>
            <w:vAlign w:val="center"/>
          </w:tcPr>
          <w:p w:rsidR="00114FF2" w:rsidRPr="00114FF2" w:rsidRDefault="00114FF2" w:rsidP="00114FF2">
            <w:pPr>
              <w:jc w:val="center"/>
              <w:rPr>
                <w:rFonts w:ascii="Calibri" w:hAnsi="Calibri"/>
                <w:b/>
                <w:color w:val="000000"/>
                <w:sz w:val="18"/>
                <w:szCs w:val="18"/>
              </w:rPr>
            </w:pPr>
            <w:r>
              <w:rPr>
                <w:rFonts w:ascii="Calibri" w:hAnsi="Calibri"/>
                <w:b/>
                <w:color w:val="000000"/>
                <w:sz w:val="18"/>
                <w:szCs w:val="18"/>
              </w:rPr>
              <w:t>2</w:t>
            </w:r>
          </w:p>
        </w:tc>
        <w:tc>
          <w:tcPr>
            <w:tcW w:w="636" w:type="pct"/>
            <w:shd w:val="clear" w:color="auto" w:fill="auto"/>
            <w:vAlign w:val="center"/>
          </w:tcPr>
          <w:p w:rsidR="00114FF2" w:rsidRPr="00114FF2" w:rsidRDefault="00114FF2" w:rsidP="00114FF2">
            <w:pPr>
              <w:jc w:val="center"/>
              <w:rPr>
                <w:rFonts w:ascii="Calibri" w:hAnsi="Calibri"/>
                <w:b/>
                <w:color w:val="000000"/>
                <w:sz w:val="18"/>
                <w:szCs w:val="18"/>
              </w:rPr>
            </w:pPr>
            <w:r>
              <w:rPr>
                <w:rFonts w:ascii="Calibri" w:hAnsi="Calibri"/>
                <w:b/>
                <w:color w:val="000000"/>
                <w:sz w:val="18"/>
                <w:szCs w:val="18"/>
              </w:rPr>
              <w:t>1</w:t>
            </w:r>
          </w:p>
        </w:tc>
      </w:tr>
    </w:tbl>
    <w:p w:rsidR="004A1E37" w:rsidRDefault="004A1E37" w:rsidP="00C43703">
      <w:pPr>
        <w:pStyle w:val="CUERPOTEXTO"/>
      </w:pPr>
    </w:p>
    <w:p w:rsidR="004A1E37" w:rsidRPr="00721A15" w:rsidRDefault="00721A15" w:rsidP="00721A15">
      <w:pPr>
        <w:pStyle w:val="CUERPOTEXTO"/>
        <w:numPr>
          <w:ilvl w:val="0"/>
          <w:numId w:val="34"/>
        </w:numPr>
        <w:outlineLvl w:val="1"/>
        <w:rPr>
          <w:b/>
        </w:rPr>
      </w:pPr>
      <w:r w:rsidRPr="00721A15">
        <w:rPr>
          <w:b/>
        </w:rPr>
        <w:t xml:space="preserve">Resultados auditorías internas de calidad </w:t>
      </w:r>
      <w:r w:rsidR="00311F1B" w:rsidRPr="00721A15">
        <w:rPr>
          <w:b/>
        </w:rPr>
        <w:t xml:space="preserve">Nivel Seccional </w:t>
      </w:r>
    </w:p>
    <w:p w:rsidR="00311F1B" w:rsidRDefault="00311F1B" w:rsidP="00C43703">
      <w:pPr>
        <w:pStyle w:val="CUERPOTEXTO"/>
      </w:pPr>
    </w:p>
    <w:p w:rsidR="004070CB" w:rsidRDefault="001C7973" w:rsidP="00C43703">
      <w:pPr>
        <w:pStyle w:val="CUERPOTEXTO"/>
      </w:pPr>
      <w:r>
        <w:t>En el nivel seccional se presentaron en total treinta y cinco (35) no conformidades menores que al agruparlas por numerales de la norma suman en total once (11).</w:t>
      </w:r>
    </w:p>
    <w:p w:rsidR="001C7973" w:rsidRDefault="001C7973" w:rsidP="00C43703">
      <w:pPr>
        <w:pStyle w:val="CUERPOTEXTO"/>
      </w:pPr>
    </w:p>
    <w:p w:rsidR="001C7973" w:rsidRDefault="001C7973" w:rsidP="00C43703">
      <w:pPr>
        <w:pStyle w:val="CUERPOTEXTO"/>
      </w:pPr>
      <w:r>
        <w:t>El principal aspecto observado como resultado de la auditoría aplicada se observa en la debilidad del capítulo 8 de las normas de calidad NTCGP 1000:2009 y NTCISO 9001:2008.  Situación dada fundamentalmente por la rotación de personal presentada durante este último año producto de la aplicación del concurso de méritos llevado a cabo a nivel seccional en el año 2009.</w:t>
      </w:r>
    </w:p>
    <w:p w:rsidR="001C7973" w:rsidRDefault="001C7973" w:rsidP="00C43703">
      <w:pPr>
        <w:pStyle w:val="CUERPOTEXTO"/>
      </w:pPr>
    </w:p>
    <w:p w:rsidR="001C7973" w:rsidRDefault="001C7973" w:rsidP="00C43703">
      <w:pPr>
        <w:pStyle w:val="CUERPOTEXTO"/>
      </w:pPr>
      <w:r>
        <w:t xml:space="preserve">Es claro que al presentarse rotación de personal, especialmente en los roles asignados a la coordinación de temas de calidad existe el riesgo de que se dejen de medir indicadores, o su análisis no sea de la profundidad esperada o que no se tenga un conocimiento amplio de la utilización del procedimiento para la toma de acciones correctivas y preventivas. </w:t>
      </w:r>
    </w:p>
    <w:p w:rsidR="00CB64FE" w:rsidRDefault="00CB64FE" w:rsidP="00C43703">
      <w:pPr>
        <w:pStyle w:val="CUERPOTEXTO"/>
      </w:pPr>
    </w:p>
    <w:p w:rsidR="00CB64FE" w:rsidRDefault="001C7973" w:rsidP="00C43703">
      <w:pPr>
        <w:pStyle w:val="CUERPOTEXTO"/>
      </w:pPr>
      <w:r>
        <w:t>Los resultados generales obtenidos en cada seccional se presentan en el cuadro siguiente:</w:t>
      </w:r>
    </w:p>
    <w:tbl>
      <w:tblPr>
        <w:tblW w:w="5000" w:type="pct"/>
        <w:tblCellMar>
          <w:left w:w="70" w:type="dxa"/>
          <w:right w:w="70" w:type="dxa"/>
        </w:tblCellMar>
        <w:tblLook w:val="04A0" w:firstRow="1" w:lastRow="0" w:firstColumn="1" w:lastColumn="0" w:noHBand="0" w:noVBand="1"/>
      </w:tblPr>
      <w:tblGrid>
        <w:gridCol w:w="1438"/>
        <w:gridCol w:w="601"/>
        <w:gridCol w:w="638"/>
        <w:gridCol w:w="637"/>
        <w:gridCol w:w="637"/>
        <w:gridCol w:w="637"/>
        <w:gridCol w:w="637"/>
        <w:gridCol w:w="463"/>
        <w:gridCol w:w="463"/>
        <w:gridCol w:w="637"/>
        <w:gridCol w:w="637"/>
        <w:gridCol w:w="637"/>
        <w:gridCol w:w="766"/>
      </w:tblGrid>
      <w:tr w:rsidR="00CB64FE" w:rsidRPr="00CB64FE" w:rsidTr="001C7973">
        <w:trPr>
          <w:trHeight w:val="280"/>
        </w:trPr>
        <w:tc>
          <w:tcPr>
            <w:tcW w:w="814"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lastRenderedPageBreak/>
              <w:t>SECCIONALES</w:t>
            </w:r>
          </w:p>
        </w:tc>
        <w:tc>
          <w:tcPr>
            <w:tcW w:w="340"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4.1 g</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4.2.1</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4.2.4</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5.5.1</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6.2.2</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8.2.3</w:t>
            </w:r>
          </w:p>
        </w:tc>
        <w:tc>
          <w:tcPr>
            <w:tcW w:w="262"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8.4</w:t>
            </w:r>
          </w:p>
        </w:tc>
        <w:tc>
          <w:tcPr>
            <w:tcW w:w="262"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8.5</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8.5.1</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8.5.2</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8.5.3</w:t>
            </w:r>
          </w:p>
        </w:tc>
        <w:tc>
          <w:tcPr>
            <w:tcW w:w="435" w:type="pct"/>
            <w:tcBorders>
              <w:top w:val="single" w:sz="4" w:space="0" w:color="auto"/>
              <w:left w:val="nil"/>
              <w:bottom w:val="single" w:sz="4" w:space="0" w:color="auto"/>
              <w:right w:val="single" w:sz="4" w:space="0" w:color="auto"/>
            </w:tcBorders>
            <w:shd w:val="clear" w:color="000000" w:fill="C00000"/>
            <w:vAlign w:val="center"/>
            <w:hideMark/>
          </w:tcPr>
          <w:p w:rsidR="00CB64FE" w:rsidRPr="00CB64FE" w:rsidRDefault="00CB64FE" w:rsidP="00CB64FE">
            <w:pPr>
              <w:jc w:val="center"/>
              <w:rPr>
                <w:rFonts w:ascii="Calibri" w:hAnsi="Calibri"/>
                <w:color w:val="FFFFFF"/>
                <w:sz w:val="18"/>
                <w:szCs w:val="18"/>
              </w:rPr>
            </w:pPr>
            <w:r w:rsidRPr="00CB64FE">
              <w:rPr>
                <w:rFonts w:ascii="Calibri" w:hAnsi="Calibri"/>
                <w:color w:val="FFFFFF"/>
                <w:sz w:val="18"/>
                <w:szCs w:val="18"/>
              </w:rPr>
              <w:t>TOTAL</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Antioquia</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1C7973">
            <w:pPr>
              <w:jc w:val="both"/>
              <w:rPr>
                <w:rFonts w:ascii="Calibri" w:hAnsi="Calibri"/>
                <w:color w:val="000000"/>
                <w:sz w:val="18"/>
                <w:szCs w:val="18"/>
              </w:rPr>
            </w:pPr>
            <w:r w:rsidRPr="00CB64FE">
              <w:rPr>
                <w:rFonts w:ascii="Calibri" w:hAnsi="Calibri"/>
                <w:color w:val="000000"/>
                <w:sz w:val="18"/>
                <w:szCs w:val="18"/>
              </w:rPr>
              <w:t xml:space="preserve"> Atl</w:t>
            </w:r>
            <w:r w:rsidR="001C7973">
              <w:rPr>
                <w:rFonts w:ascii="Calibri" w:hAnsi="Calibri"/>
                <w:color w:val="000000"/>
                <w:sz w:val="18"/>
                <w:szCs w:val="18"/>
              </w:rPr>
              <w:t>á</w:t>
            </w:r>
            <w:r w:rsidRPr="00CB64FE">
              <w:rPr>
                <w:rFonts w:ascii="Calibri" w:hAnsi="Calibri"/>
                <w:color w:val="000000"/>
                <w:sz w:val="18"/>
                <w:szCs w:val="18"/>
              </w:rPr>
              <w:t>ntico</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Bogotá</w:t>
            </w:r>
          </w:p>
        </w:tc>
        <w:tc>
          <w:tcPr>
            <w:tcW w:w="340"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3</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1C7973">
            <w:pPr>
              <w:jc w:val="both"/>
              <w:rPr>
                <w:rFonts w:ascii="Calibri" w:hAnsi="Calibri"/>
                <w:color w:val="000000"/>
                <w:sz w:val="18"/>
                <w:szCs w:val="18"/>
              </w:rPr>
            </w:pPr>
            <w:r w:rsidRPr="00CB64FE">
              <w:rPr>
                <w:rFonts w:ascii="Calibri" w:hAnsi="Calibri"/>
                <w:color w:val="000000"/>
                <w:sz w:val="18"/>
                <w:szCs w:val="18"/>
              </w:rPr>
              <w:t xml:space="preserve"> </w:t>
            </w:r>
            <w:r w:rsidR="001C7973">
              <w:rPr>
                <w:rFonts w:ascii="Calibri" w:hAnsi="Calibri"/>
                <w:color w:val="000000"/>
                <w:sz w:val="18"/>
                <w:szCs w:val="18"/>
              </w:rPr>
              <w:t>Bolívar</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ND</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Boyacá</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0</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000000" w:fill="00FF00"/>
            <w:vAlign w:val="center"/>
            <w:hideMark/>
          </w:tcPr>
          <w:p w:rsidR="00CB64FE" w:rsidRPr="00CB64FE" w:rsidRDefault="00CB64FE" w:rsidP="00CB64FE">
            <w:pPr>
              <w:jc w:val="both"/>
              <w:rPr>
                <w:rFonts w:ascii="Calibri" w:hAnsi="Calibri"/>
                <w:b/>
                <w:bCs/>
                <w:color w:val="000000"/>
                <w:sz w:val="18"/>
                <w:szCs w:val="18"/>
              </w:rPr>
            </w:pPr>
            <w:r w:rsidRPr="00CB64FE">
              <w:rPr>
                <w:rFonts w:ascii="Calibri" w:hAnsi="Calibri"/>
                <w:b/>
                <w:bCs/>
                <w:color w:val="000000"/>
                <w:sz w:val="18"/>
                <w:szCs w:val="18"/>
              </w:rPr>
              <w:t xml:space="preserve"> Caldas</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0</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Caquetá</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Cauca</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FF"/>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3</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000000" w:fill="FFFFFF"/>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Cesar</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FF"/>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 </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Chocó</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FF"/>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FF"/>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4</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Córdoba</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FF"/>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Guajira</w:t>
            </w:r>
          </w:p>
        </w:tc>
        <w:tc>
          <w:tcPr>
            <w:tcW w:w="340"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5</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Huila</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1</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Magdalena</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4</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Meta</w:t>
            </w:r>
          </w:p>
        </w:tc>
        <w:tc>
          <w:tcPr>
            <w:tcW w:w="340"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FF"/>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FF"/>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Nariño</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Nte Santander</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000000" w:fill="00FF00"/>
            <w:vAlign w:val="center"/>
            <w:hideMark/>
          </w:tcPr>
          <w:p w:rsidR="00CB64FE" w:rsidRPr="00CB64FE" w:rsidRDefault="00CB64FE" w:rsidP="00CB64FE">
            <w:pPr>
              <w:jc w:val="both"/>
              <w:rPr>
                <w:rFonts w:ascii="Calibri" w:hAnsi="Calibri"/>
                <w:b/>
                <w:bCs/>
                <w:color w:val="000000"/>
                <w:sz w:val="18"/>
                <w:szCs w:val="18"/>
              </w:rPr>
            </w:pPr>
            <w:r w:rsidRPr="00CB64FE">
              <w:rPr>
                <w:rFonts w:ascii="Calibri" w:hAnsi="Calibri"/>
                <w:b/>
                <w:bCs/>
                <w:color w:val="000000"/>
                <w:sz w:val="18"/>
                <w:szCs w:val="18"/>
              </w:rPr>
              <w:t>Quindío</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0</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000000" w:fill="00FF00"/>
            <w:vAlign w:val="center"/>
            <w:hideMark/>
          </w:tcPr>
          <w:p w:rsidR="00CB64FE" w:rsidRPr="00CB64FE" w:rsidRDefault="00CB64FE" w:rsidP="00CB64FE">
            <w:pPr>
              <w:jc w:val="both"/>
              <w:rPr>
                <w:rFonts w:ascii="Calibri" w:hAnsi="Calibri"/>
                <w:b/>
                <w:bCs/>
                <w:color w:val="000000"/>
                <w:sz w:val="18"/>
                <w:szCs w:val="18"/>
              </w:rPr>
            </w:pPr>
            <w:r w:rsidRPr="00CB64FE">
              <w:rPr>
                <w:rFonts w:ascii="Calibri" w:hAnsi="Calibri"/>
                <w:b/>
                <w:bCs/>
                <w:color w:val="000000"/>
                <w:sz w:val="18"/>
                <w:szCs w:val="18"/>
              </w:rPr>
              <w:t>Risaralda</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0</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Santander</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1</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000000" w:fill="00FF00"/>
            <w:vAlign w:val="center"/>
            <w:hideMark/>
          </w:tcPr>
          <w:p w:rsidR="00CB64FE" w:rsidRPr="00CB64FE" w:rsidRDefault="00CB64FE" w:rsidP="00CB64FE">
            <w:pPr>
              <w:jc w:val="both"/>
              <w:rPr>
                <w:rFonts w:ascii="Calibri" w:hAnsi="Calibri"/>
                <w:b/>
                <w:bCs/>
                <w:color w:val="000000"/>
                <w:sz w:val="18"/>
                <w:szCs w:val="18"/>
              </w:rPr>
            </w:pPr>
            <w:r w:rsidRPr="00CB64FE">
              <w:rPr>
                <w:rFonts w:ascii="Calibri" w:hAnsi="Calibri"/>
                <w:b/>
                <w:bCs/>
                <w:color w:val="000000"/>
                <w:sz w:val="18"/>
                <w:szCs w:val="18"/>
              </w:rPr>
              <w:t>Sucre</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0</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000000" w:fill="00FF00"/>
            <w:vAlign w:val="center"/>
            <w:hideMark/>
          </w:tcPr>
          <w:p w:rsidR="00CB64FE" w:rsidRPr="00CB64FE" w:rsidRDefault="00CB64FE" w:rsidP="00CB64FE">
            <w:pPr>
              <w:jc w:val="both"/>
              <w:rPr>
                <w:rFonts w:ascii="Calibri" w:hAnsi="Calibri"/>
                <w:b/>
                <w:bCs/>
                <w:color w:val="000000"/>
                <w:sz w:val="18"/>
                <w:szCs w:val="18"/>
              </w:rPr>
            </w:pPr>
            <w:r w:rsidRPr="00CB64FE">
              <w:rPr>
                <w:rFonts w:ascii="Calibri" w:hAnsi="Calibri"/>
                <w:b/>
                <w:bCs/>
                <w:color w:val="000000"/>
                <w:sz w:val="18"/>
                <w:szCs w:val="18"/>
              </w:rPr>
              <w:t>Tolima</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0</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000000" w:fill="00FF00"/>
            <w:vAlign w:val="center"/>
            <w:hideMark/>
          </w:tcPr>
          <w:p w:rsidR="00CB64FE" w:rsidRPr="00CB64FE" w:rsidRDefault="00CB64FE" w:rsidP="001C7973">
            <w:pPr>
              <w:jc w:val="both"/>
              <w:rPr>
                <w:rFonts w:ascii="Calibri" w:hAnsi="Calibri"/>
                <w:b/>
                <w:bCs/>
                <w:color w:val="000000"/>
                <w:sz w:val="18"/>
                <w:szCs w:val="18"/>
              </w:rPr>
            </w:pPr>
            <w:r w:rsidRPr="00CB64FE">
              <w:rPr>
                <w:rFonts w:ascii="Calibri" w:hAnsi="Calibri"/>
                <w:b/>
                <w:bCs/>
                <w:color w:val="000000"/>
                <w:sz w:val="18"/>
                <w:szCs w:val="18"/>
              </w:rPr>
              <w:t>Vale del Cauca</w:t>
            </w:r>
          </w:p>
        </w:tc>
        <w:tc>
          <w:tcPr>
            <w:tcW w:w="340"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262"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both"/>
              <w:rPr>
                <w:rFonts w:ascii="Calibri" w:hAnsi="Calibri"/>
                <w:color w:val="000000"/>
                <w:sz w:val="18"/>
                <w:szCs w:val="18"/>
              </w:rPr>
            </w:pPr>
            <w:r w:rsidRPr="00CB64FE">
              <w:rPr>
                <w:rFonts w:ascii="Calibri" w:hAnsi="Calibri"/>
                <w:color w:val="000000"/>
                <w:sz w:val="18"/>
                <w:szCs w:val="18"/>
              </w:rPr>
              <w:t> </w:t>
            </w:r>
          </w:p>
        </w:tc>
        <w:tc>
          <w:tcPr>
            <w:tcW w:w="435" w:type="pct"/>
            <w:tcBorders>
              <w:top w:val="nil"/>
              <w:left w:val="nil"/>
              <w:bottom w:val="single" w:sz="4" w:space="0" w:color="auto"/>
              <w:right w:val="single" w:sz="4" w:space="0" w:color="auto"/>
            </w:tcBorders>
            <w:shd w:val="clear" w:color="auto" w:fill="auto"/>
            <w:vAlign w:val="center"/>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0</w:t>
            </w:r>
          </w:p>
        </w:tc>
      </w:tr>
      <w:tr w:rsidR="00CB64FE" w:rsidRPr="00CB64FE" w:rsidTr="001C7973">
        <w:trPr>
          <w:trHeight w:val="280"/>
        </w:trPr>
        <w:tc>
          <w:tcPr>
            <w:tcW w:w="814" w:type="pct"/>
            <w:tcBorders>
              <w:top w:val="nil"/>
              <w:left w:val="single" w:sz="4" w:space="0" w:color="auto"/>
              <w:bottom w:val="single" w:sz="4" w:space="0" w:color="auto"/>
              <w:right w:val="single" w:sz="4" w:space="0" w:color="auto"/>
            </w:tcBorders>
            <w:shd w:val="clear" w:color="000000" w:fill="C00000"/>
            <w:vAlign w:val="center"/>
            <w:hideMark/>
          </w:tcPr>
          <w:p w:rsidR="00CB64FE" w:rsidRPr="00CB64FE" w:rsidRDefault="00CB64FE" w:rsidP="00CB64FE">
            <w:pPr>
              <w:jc w:val="center"/>
              <w:rPr>
                <w:rFonts w:ascii="Calibri" w:hAnsi="Calibri"/>
                <w:b/>
                <w:bCs/>
                <w:color w:val="FFFFFF"/>
                <w:sz w:val="18"/>
                <w:szCs w:val="18"/>
              </w:rPr>
            </w:pPr>
            <w:r w:rsidRPr="00CB64FE">
              <w:rPr>
                <w:rFonts w:ascii="Calibri" w:hAnsi="Calibri"/>
                <w:b/>
                <w:bCs/>
                <w:color w:val="FFFFFF"/>
                <w:sz w:val="18"/>
                <w:szCs w:val="18"/>
              </w:rPr>
              <w:t>Por Numeral</w:t>
            </w:r>
          </w:p>
        </w:tc>
        <w:tc>
          <w:tcPr>
            <w:tcW w:w="340"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3</w:t>
            </w:r>
          </w:p>
        </w:tc>
        <w:tc>
          <w:tcPr>
            <w:tcW w:w="361"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1</w:t>
            </w:r>
          </w:p>
        </w:tc>
        <w:tc>
          <w:tcPr>
            <w:tcW w:w="361"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3</w:t>
            </w:r>
          </w:p>
        </w:tc>
        <w:tc>
          <w:tcPr>
            <w:tcW w:w="361"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1</w:t>
            </w:r>
          </w:p>
        </w:tc>
        <w:tc>
          <w:tcPr>
            <w:tcW w:w="361"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c>
          <w:tcPr>
            <w:tcW w:w="361" w:type="pct"/>
            <w:tcBorders>
              <w:top w:val="nil"/>
              <w:left w:val="nil"/>
              <w:bottom w:val="single" w:sz="4" w:space="0" w:color="auto"/>
              <w:right w:val="single" w:sz="4" w:space="0" w:color="auto"/>
            </w:tcBorders>
            <w:shd w:val="clear" w:color="000000" w:fill="C00000"/>
            <w:noWrap/>
            <w:vAlign w:val="bottom"/>
            <w:hideMark/>
          </w:tcPr>
          <w:p w:rsidR="00CB64FE" w:rsidRPr="00CB64FE" w:rsidRDefault="00CB64FE" w:rsidP="00CB64FE">
            <w:pPr>
              <w:jc w:val="center"/>
              <w:rPr>
                <w:rFonts w:ascii="Calibri" w:hAnsi="Calibri"/>
                <w:color w:val="FFFFFF"/>
                <w:sz w:val="18"/>
                <w:szCs w:val="18"/>
              </w:rPr>
            </w:pPr>
            <w:r w:rsidRPr="00CB64FE">
              <w:rPr>
                <w:rFonts w:ascii="Calibri" w:hAnsi="Calibri"/>
                <w:color w:val="FFFFFF"/>
                <w:sz w:val="18"/>
                <w:szCs w:val="18"/>
              </w:rPr>
              <w:t>10</w:t>
            </w:r>
          </w:p>
        </w:tc>
        <w:tc>
          <w:tcPr>
            <w:tcW w:w="262" w:type="pct"/>
            <w:tcBorders>
              <w:top w:val="nil"/>
              <w:left w:val="nil"/>
              <w:bottom w:val="single" w:sz="4" w:space="0" w:color="auto"/>
              <w:right w:val="single" w:sz="4" w:space="0" w:color="auto"/>
            </w:tcBorders>
            <w:shd w:val="clear" w:color="000000" w:fill="C00000"/>
            <w:noWrap/>
            <w:vAlign w:val="bottom"/>
            <w:hideMark/>
          </w:tcPr>
          <w:p w:rsidR="00CB64FE" w:rsidRPr="00CB64FE" w:rsidRDefault="00CB64FE" w:rsidP="00CB64FE">
            <w:pPr>
              <w:jc w:val="center"/>
              <w:rPr>
                <w:rFonts w:ascii="Calibri" w:hAnsi="Calibri"/>
                <w:color w:val="FFFFFF"/>
                <w:sz w:val="18"/>
                <w:szCs w:val="18"/>
              </w:rPr>
            </w:pPr>
            <w:r w:rsidRPr="00CB64FE">
              <w:rPr>
                <w:rFonts w:ascii="Calibri" w:hAnsi="Calibri"/>
                <w:color w:val="FFFFFF"/>
                <w:sz w:val="18"/>
                <w:szCs w:val="18"/>
              </w:rPr>
              <w:t>6</w:t>
            </w:r>
          </w:p>
        </w:tc>
        <w:tc>
          <w:tcPr>
            <w:tcW w:w="262"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1</w:t>
            </w:r>
          </w:p>
        </w:tc>
        <w:tc>
          <w:tcPr>
            <w:tcW w:w="361"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1</w:t>
            </w:r>
          </w:p>
        </w:tc>
        <w:tc>
          <w:tcPr>
            <w:tcW w:w="361"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2</w:t>
            </w:r>
          </w:p>
        </w:tc>
        <w:tc>
          <w:tcPr>
            <w:tcW w:w="361"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5</w:t>
            </w:r>
          </w:p>
        </w:tc>
        <w:tc>
          <w:tcPr>
            <w:tcW w:w="435" w:type="pct"/>
            <w:tcBorders>
              <w:top w:val="nil"/>
              <w:left w:val="nil"/>
              <w:bottom w:val="single" w:sz="4" w:space="0" w:color="auto"/>
              <w:right w:val="single" w:sz="4" w:space="0" w:color="auto"/>
            </w:tcBorders>
            <w:shd w:val="clear" w:color="auto" w:fill="auto"/>
            <w:noWrap/>
            <w:vAlign w:val="bottom"/>
            <w:hideMark/>
          </w:tcPr>
          <w:p w:rsidR="00CB64FE" w:rsidRPr="00CB64FE" w:rsidRDefault="00CB64FE" w:rsidP="00CB64FE">
            <w:pPr>
              <w:jc w:val="center"/>
              <w:rPr>
                <w:rFonts w:ascii="Calibri" w:hAnsi="Calibri"/>
                <w:color w:val="000000"/>
                <w:sz w:val="18"/>
                <w:szCs w:val="18"/>
              </w:rPr>
            </w:pPr>
            <w:r w:rsidRPr="00CB64FE">
              <w:rPr>
                <w:rFonts w:ascii="Calibri" w:hAnsi="Calibri"/>
                <w:color w:val="000000"/>
                <w:sz w:val="18"/>
                <w:szCs w:val="18"/>
              </w:rPr>
              <w:t>35</w:t>
            </w:r>
          </w:p>
        </w:tc>
      </w:tr>
    </w:tbl>
    <w:p w:rsidR="00CB64FE" w:rsidRDefault="00CB64FE" w:rsidP="00C43703">
      <w:pPr>
        <w:pStyle w:val="CUERPOTEXTO"/>
      </w:pPr>
    </w:p>
    <w:p w:rsidR="00CB64FE" w:rsidRDefault="001C7973" w:rsidP="00C43703">
      <w:pPr>
        <w:pStyle w:val="CUERPOTEXTO"/>
      </w:pPr>
      <w:r>
        <w:t xml:space="preserve">Las seccionales resaltadas en verde se destacan como las de mejores resultados a nivel nacional, siendo la </w:t>
      </w:r>
      <w:r w:rsidRPr="001C7973">
        <w:rPr>
          <w:b/>
          <w:color w:val="0070C0"/>
        </w:rPr>
        <w:t>Seccional del Tolima</w:t>
      </w:r>
      <w:r w:rsidRPr="001C7973">
        <w:rPr>
          <w:color w:val="0070C0"/>
        </w:rPr>
        <w:t xml:space="preserve"> </w:t>
      </w:r>
      <w:r>
        <w:t>la que presenta el mayor avance en el último año, especialmente en el desarrollo de la política ambiental.</w:t>
      </w:r>
    </w:p>
    <w:p w:rsidR="00CB64FE" w:rsidRDefault="00CB64FE" w:rsidP="00C43703">
      <w:pPr>
        <w:pStyle w:val="CUERPOTEXTO"/>
      </w:pPr>
    </w:p>
    <w:p w:rsidR="00721A15" w:rsidRPr="00721A15" w:rsidRDefault="00721A15" w:rsidP="00721A15">
      <w:pPr>
        <w:pStyle w:val="CUERPOTEXTO"/>
        <w:numPr>
          <w:ilvl w:val="0"/>
          <w:numId w:val="35"/>
        </w:numPr>
        <w:outlineLvl w:val="0"/>
        <w:rPr>
          <w:b/>
          <w:color w:val="0070C0"/>
          <w:sz w:val="28"/>
          <w:szCs w:val="28"/>
        </w:rPr>
      </w:pPr>
      <w:bookmarkStart w:id="4" w:name="_Toc436002474"/>
      <w:r w:rsidRPr="00721A15">
        <w:rPr>
          <w:b/>
          <w:color w:val="0070C0"/>
          <w:sz w:val="28"/>
          <w:szCs w:val="28"/>
        </w:rPr>
        <w:t>REULTADOS RETROALIMENTACIÓN DEL CLIENTE:</w:t>
      </w:r>
      <w:bookmarkEnd w:id="4"/>
    </w:p>
    <w:p w:rsidR="00721A15" w:rsidRDefault="00721A15" w:rsidP="00AF4733">
      <w:pPr>
        <w:pStyle w:val="CUERPOTEXTO"/>
        <w:pBdr>
          <w:bottom w:val="single" w:sz="4" w:space="1" w:color="auto"/>
        </w:pBdr>
      </w:pPr>
    </w:p>
    <w:p w:rsidR="00AF4733" w:rsidRDefault="00AF4733" w:rsidP="00721A15">
      <w:pPr>
        <w:pStyle w:val="CUERPOTEXTO"/>
      </w:pPr>
    </w:p>
    <w:p w:rsidR="004527E5" w:rsidRDefault="004527E5" w:rsidP="00721A15">
      <w:pPr>
        <w:pStyle w:val="CUERPOTEXTO"/>
      </w:pPr>
      <w:r>
        <w:t>Para el presenta año se establecieron fundamentalmente dos (2) estrategias orientadas a conocer de primera mano la percepción del cliente sobre los servicios que presta la Corporación y las principales necesidades.</w:t>
      </w:r>
    </w:p>
    <w:p w:rsidR="004527E5" w:rsidRDefault="004527E5" w:rsidP="00721A15">
      <w:pPr>
        <w:pStyle w:val="CUERPOTEXTO"/>
      </w:pPr>
    </w:p>
    <w:p w:rsidR="00AF4733" w:rsidRPr="00AF4733" w:rsidRDefault="00F420E1" w:rsidP="00642AD3">
      <w:pPr>
        <w:pStyle w:val="CUERPOTEXTO"/>
        <w:numPr>
          <w:ilvl w:val="0"/>
          <w:numId w:val="34"/>
        </w:numPr>
        <w:outlineLvl w:val="1"/>
        <w:rPr>
          <w:b/>
        </w:rPr>
      </w:pPr>
      <w:r>
        <w:rPr>
          <w:b/>
        </w:rPr>
        <w:t xml:space="preserve">4.1 </w:t>
      </w:r>
      <w:r w:rsidR="00AF4733" w:rsidRPr="00AF4733">
        <w:rPr>
          <w:b/>
        </w:rPr>
        <w:t xml:space="preserve">Respecto a la identificación de necesidades y percepción sobre el servicio </w:t>
      </w:r>
    </w:p>
    <w:p w:rsidR="00AF4733" w:rsidRDefault="00AF4733" w:rsidP="00AF4733">
      <w:pPr>
        <w:pStyle w:val="CUERPOTEXTO"/>
      </w:pPr>
    </w:p>
    <w:p w:rsidR="00AF4733" w:rsidRDefault="00AF4733" w:rsidP="00AF4733">
      <w:pPr>
        <w:pStyle w:val="CUERPOTEXTO"/>
      </w:pPr>
      <w:r>
        <w:t xml:space="preserve">Durante el 2014 se realizó una gran encuesta que tuvo como propósito fundamental la construcción del nuevo Plan Sectorial de Desarrollo 2015 – 2018.  </w:t>
      </w:r>
    </w:p>
    <w:p w:rsidR="00AF4733" w:rsidRDefault="00AF4733" w:rsidP="00AF4733">
      <w:pPr>
        <w:pStyle w:val="CUERPOTEXTO"/>
      </w:pPr>
    </w:p>
    <w:p w:rsidR="00AF4733" w:rsidRPr="00AF4733" w:rsidRDefault="00AF4733" w:rsidP="00AF4733">
      <w:pPr>
        <w:pStyle w:val="CUERPOTEXTO"/>
      </w:pPr>
      <w:r w:rsidRPr="00AF4733">
        <w:lastRenderedPageBreak/>
        <w:t>En el proceso se invitó a participar a un total de 10.989 servidores judiciales, de los cuales el 34.28% (3.767) eran funcionarios y el restante 65.72% (7.222) empleados, como fuente primaria de la Administración de Justicia.</w:t>
      </w:r>
    </w:p>
    <w:p w:rsidR="00AF4733" w:rsidRPr="00AF4733" w:rsidRDefault="00AF4733" w:rsidP="00AF4733">
      <w:pPr>
        <w:pStyle w:val="CUERPOTEXTO"/>
      </w:pPr>
    </w:p>
    <w:p w:rsidR="00AF4733" w:rsidRPr="00AF4733" w:rsidRDefault="00AF4733" w:rsidP="00AF4733">
      <w:pPr>
        <w:pStyle w:val="CUERPOTEXTO"/>
      </w:pPr>
      <w:r w:rsidRPr="00AF4733">
        <w:t>Todo lo anterior, con el fin de remitir a las unidades adscritas a la Sala Administrativa y Dirección Ejecutiva de Administración Judicial las necesidades y propuestas de la Rama Judicial, dichas unidades deberán incorporar dentro de sus propuestas de inversión actividades o proyectos destinados a satisfacer los requerimientos identificados; en caso contrario, se requiere la definición de propuestas que propendan por solventar lo anterior en el mediano y largo plazo.</w:t>
      </w:r>
    </w:p>
    <w:p w:rsidR="00AF4733" w:rsidRPr="00AF4733" w:rsidRDefault="00AF4733" w:rsidP="00AF4733">
      <w:pPr>
        <w:pStyle w:val="CUERPOTEXTO"/>
        <w:rPr>
          <w:lang w:val="es-MX"/>
        </w:rPr>
      </w:pPr>
    </w:p>
    <w:p w:rsidR="00AF4733" w:rsidRPr="00AF4733" w:rsidRDefault="00AF4733" w:rsidP="00AF473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AF4733">
        <w:rPr>
          <w:rFonts w:ascii="Arial" w:hAnsi="Arial" w:cs="Arial"/>
          <w:iCs/>
          <w:sz w:val="22"/>
          <w:szCs w:val="22"/>
          <w:lang w:val="es-MX"/>
        </w:rPr>
        <w:t>El 83.99% de los servidores judiciales considera que cuenta con la dotación de insumos (repuestos, tintas, entre otros) para el adecuado funcionamiento de la infraestructura tecnológica que se encuentra en su sitio de trabajo.</w:t>
      </w:r>
    </w:p>
    <w:p w:rsidR="00AF4733" w:rsidRPr="00AF4733" w:rsidRDefault="00AF4733" w:rsidP="00AF4733">
      <w:pPr>
        <w:pStyle w:val="Encabezado"/>
        <w:tabs>
          <w:tab w:val="center" w:pos="426"/>
        </w:tabs>
        <w:ind w:left="426"/>
        <w:jc w:val="both"/>
        <w:rPr>
          <w:rFonts w:ascii="Arial" w:hAnsi="Arial" w:cs="Arial"/>
          <w:iCs/>
          <w:sz w:val="22"/>
          <w:szCs w:val="22"/>
          <w:lang w:val="es-MX"/>
        </w:rPr>
      </w:pPr>
    </w:p>
    <w:p w:rsidR="00AF4733" w:rsidRDefault="00AF4733" w:rsidP="00AF473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AF4733">
        <w:rPr>
          <w:rFonts w:ascii="Arial" w:hAnsi="Arial" w:cs="Arial"/>
          <w:iCs/>
          <w:sz w:val="22"/>
          <w:szCs w:val="22"/>
          <w:lang w:val="es-MX"/>
        </w:rPr>
        <w:t>Un 92.76% de los empleados judiciales opina que el mantenimiento de su infraestructura tecnológica es oportuno y adecuado, al mismo tiempo se informa que los equipos de cómputo dispuestos para consulta de procesos por parte de los usuarios son los que requieren mayor cuidado y dedicación en cuanto a actualización y mantenimiento tecnológico.</w:t>
      </w:r>
    </w:p>
    <w:p w:rsidR="00AF4733" w:rsidRDefault="00AF4733" w:rsidP="00AF4733">
      <w:pPr>
        <w:pStyle w:val="Prrafodelista"/>
        <w:spacing w:after="0"/>
        <w:rPr>
          <w:rFonts w:ascii="Arial" w:hAnsi="Arial" w:cs="Arial"/>
          <w:iCs/>
          <w:sz w:val="22"/>
          <w:szCs w:val="22"/>
          <w:lang w:val="es-MX"/>
        </w:rPr>
      </w:pPr>
    </w:p>
    <w:p w:rsidR="00AF4733" w:rsidRPr="00AF4733" w:rsidRDefault="00AF4733" w:rsidP="00AF473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AF4733">
        <w:rPr>
          <w:rFonts w:ascii="Arial" w:hAnsi="Arial" w:cs="Arial"/>
          <w:iCs/>
          <w:sz w:val="22"/>
          <w:szCs w:val="22"/>
          <w:lang w:val="es-MX"/>
        </w:rPr>
        <w:t>El 44.58% de los servidores judiciales opina que no requiere computadores adicionales para su despacho. Sin embargo, el 42.86% requiere de un (1) escáner, el 29.23% de equipos de cómputo dispuestos para consulta de procesos por parte de los usuarios y el 27.91% de una impresora.</w:t>
      </w:r>
    </w:p>
    <w:p w:rsidR="00AF4733" w:rsidRPr="00AF4733" w:rsidRDefault="00AF4733" w:rsidP="00AF4733">
      <w:pPr>
        <w:pStyle w:val="Encabezado"/>
        <w:tabs>
          <w:tab w:val="center" w:pos="426"/>
        </w:tabs>
        <w:ind w:left="426"/>
        <w:jc w:val="both"/>
        <w:rPr>
          <w:rFonts w:ascii="Arial" w:hAnsi="Arial" w:cs="Arial"/>
          <w:iCs/>
          <w:sz w:val="22"/>
          <w:szCs w:val="22"/>
          <w:lang w:val="es-MX"/>
        </w:rPr>
      </w:pPr>
    </w:p>
    <w:p w:rsidR="00AF4733" w:rsidRDefault="00AF4733" w:rsidP="00AF473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AF4733">
        <w:rPr>
          <w:rFonts w:ascii="Arial" w:hAnsi="Arial" w:cs="Arial"/>
          <w:iCs/>
          <w:sz w:val="22"/>
          <w:szCs w:val="22"/>
          <w:lang w:val="es-MX"/>
        </w:rPr>
        <w:t>El 94.31% de los funcionarios manifiestan poseer Internet, un 42.33% acceso a la Intranet, 8.60% cuentan con el Módulo de Auxiliares de la Justicia, un 55.82% tienen SIERJU, un 47.22% acceden al Sistema Justicia XXI y un 6.75% puede consultar archivos magnéticos de las audiencias públicas, identificando oportunidades claras de mejora para la política tecnológica. (Ver gráfica )</w:t>
      </w:r>
    </w:p>
    <w:p w:rsidR="00F420E1" w:rsidRDefault="00F420E1" w:rsidP="00F420E1">
      <w:pPr>
        <w:pStyle w:val="Encabezado"/>
        <w:tabs>
          <w:tab w:val="clear" w:pos="4680"/>
          <w:tab w:val="clear" w:pos="9360"/>
          <w:tab w:val="center" w:pos="426"/>
          <w:tab w:val="right" w:pos="8504"/>
        </w:tabs>
        <w:suppressAutoHyphens/>
        <w:ind w:left="720"/>
        <w:jc w:val="both"/>
        <w:rPr>
          <w:rFonts w:ascii="Arial" w:hAnsi="Arial" w:cs="Arial"/>
          <w:iCs/>
          <w:sz w:val="22"/>
          <w:szCs w:val="22"/>
          <w:lang w:val="es-MX"/>
        </w:rPr>
      </w:pPr>
    </w:p>
    <w:p w:rsidR="00AF4733" w:rsidRDefault="00AF4733" w:rsidP="00AF4733">
      <w:pPr>
        <w:pStyle w:val="Encabezado"/>
        <w:tabs>
          <w:tab w:val="center" w:pos="426"/>
        </w:tabs>
        <w:ind w:left="426"/>
        <w:jc w:val="center"/>
        <w:rPr>
          <w:rFonts w:ascii="Arial" w:hAnsi="Arial" w:cs="Arial"/>
          <w:iCs/>
          <w:sz w:val="22"/>
          <w:szCs w:val="22"/>
        </w:rPr>
      </w:pPr>
      <w:r>
        <w:rPr>
          <w:rFonts w:ascii="Arial" w:hAnsi="Arial" w:cs="Arial"/>
          <w:iCs/>
          <w:noProof/>
          <w:sz w:val="22"/>
          <w:szCs w:val="22"/>
          <w:lang w:val="es-MX" w:eastAsia="es-MX"/>
        </w:rPr>
        <w:drawing>
          <wp:inline distT="0" distB="0" distL="0" distR="0" wp14:anchorId="7764285E" wp14:editId="586D9728">
            <wp:extent cx="3925299" cy="274929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5679" cy="2770574"/>
                    </a:xfrm>
                    <a:prstGeom prst="rect">
                      <a:avLst/>
                    </a:prstGeom>
                    <a:noFill/>
                  </pic:spPr>
                </pic:pic>
              </a:graphicData>
            </a:graphic>
          </wp:inline>
        </w:drawing>
      </w:r>
    </w:p>
    <w:p w:rsidR="00721A15" w:rsidRDefault="004527E5" w:rsidP="00AF4733">
      <w:pPr>
        <w:pStyle w:val="CUERPOTEXTO"/>
      </w:pPr>
      <w:r>
        <w:lastRenderedPageBreak/>
        <w:t xml:space="preserve">  </w:t>
      </w:r>
    </w:p>
    <w:p w:rsidR="00721A15" w:rsidRDefault="00721A15" w:rsidP="00C43703">
      <w:pPr>
        <w:pStyle w:val="CUERPOTEXTO"/>
      </w:pPr>
    </w:p>
    <w:p w:rsidR="00AF4733" w:rsidRPr="00AF4733" w:rsidRDefault="00AF4733" w:rsidP="00AF473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AF4733">
        <w:rPr>
          <w:rFonts w:ascii="Arial" w:hAnsi="Arial" w:cs="Arial"/>
          <w:iCs/>
          <w:sz w:val="22"/>
          <w:szCs w:val="22"/>
          <w:lang w:val="es-MX"/>
        </w:rPr>
        <w:t>El 66.75% de los servidores judiciales considera que su área de trabajo requiere mantenimiento y el 67.02% de adecuaciones espaciales adicionales a las contempladas. De los aspectos de mayor consideración para adecuación y mantenimiento se encuentran: seguridad para títulos valores (62.65%), alarmas (54.17%), rampas de acceso para discapacitados (51.66%), circuito cerrado de televisión (47.68%) y área de cafetería y aseo (34.97%) (Ver gráfica).</w:t>
      </w:r>
    </w:p>
    <w:p w:rsidR="00AF4733" w:rsidRPr="00AF4733" w:rsidRDefault="00AF4733" w:rsidP="00AF4733">
      <w:pPr>
        <w:pStyle w:val="Encabezado"/>
        <w:tabs>
          <w:tab w:val="center" w:pos="426"/>
        </w:tabs>
        <w:jc w:val="both"/>
        <w:rPr>
          <w:rFonts w:ascii="Arial" w:hAnsi="Arial" w:cs="Arial"/>
          <w:iCs/>
          <w:sz w:val="22"/>
          <w:szCs w:val="22"/>
          <w:lang w:val="es-MX"/>
        </w:rPr>
      </w:pPr>
    </w:p>
    <w:p w:rsidR="00AF4733" w:rsidRDefault="00AF4733" w:rsidP="00AF4733">
      <w:pPr>
        <w:pStyle w:val="Encabezado"/>
        <w:tabs>
          <w:tab w:val="center" w:pos="426"/>
        </w:tabs>
        <w:jc w:val="both"/>
        <w:rPr>
          <w:rFonts w:ascii="Arial" w:hAnsi="Arial" w:cs="Arial"/>
          <w:iCs/>
          <w:sz w:val="22"/>
          <w:szCs w:val="22"/>
        </w:rPr>
      </w:pPr>
      <w:r>
        <w:rPr>
          <w:rFonts w:ascii="Arial" w:hAnsi="Arial" w:cs="Arial"/>
          <w:iCs/>
          <w:noProof/>
          <w:sz w:val="22"/>
          <w:szCs w:val="22"/>
          <w:lang w:val="es-MX" w:eastAsia="es-MX"/>
        </w:rPr>
        <w:drawing>
          <wp:inline distT="0" distB="0" distL="0" distR="0" wp14:anchorId="0A7752E4" wp14:editId="1EB3AD7A">
            <wp:extent cx="5595582" cy="2703105"/>
            <wp:effectExtent l="0" t="0" r="5715"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1981" cy="2725520"/>
                    </a:xfrm>
                    <a:prstGeom prst="rect">
                      <a:avLst/>
                    </a:prstGeom>
                    <a:noFill/>
                  </pic:spPr>
                </pic:pic>
              </a:graphicData>
            </a:graphic>
          </wp:inline>
        </w:drawing>
      </w:r>
    </w:p>
    <w:p w:rsidR="00AF4733" w:rsidRPr="00AF4733" w:rsidRDefault="00AF4733" w:rsidP="00AF4733">
      <w:pPr>
        <w:pStyle w:val="Encabezado"/>
        <w:tabs>
          <w:tab w:val="center" w:pos="426"/>
        </w:tabs>
        <w:jc w:val="both"/>
        <w:rPr>
          <w:rFonts w:ascii="Arial" w:hAnsi="Arial" w:cs="Arial"/>
          <w:iCs/>
          <w:sz w:val="22"/>
          <w:szCs w:val="22"/>
          <w:lang w:val="es-MX"/>
        </w:rPr>
      </w:pPr>
      <w:r w:rsidRPr="00F12DFC">
        <w:rPr>
          <w:rFonts w:ascii="Arial" w:hAnsi="Arial" w:cs="Arial"/>
          <w:iCs/>
          <w:sz w:val="14"/>
          <w:szCs w:val="14"/>
          <w:lang w:val="es-ES"/>
        </w:rPr>
        <w:t>Fuente: Sondeo de necesidades a funcionarios y empleados Plan Sectorial de Desarrollo 2015-2018 -Cálculos UDAE</w:t>
      </w:r>
    </w:p>
    <w:p w:rsidR="00721A15" w:rsidRPr="00AF4733" w:rsidRDefault="00721A15" w:rsidP="00C43703">
      <w:pPr>
        <w:pStyle w:val="CUERPOTEXTO"/>
        <w:rPr>
          <w:lang w:val="es-MX"/>
        </w:rPr>
      </w:pPr>
    </w:p>
    <w:p w:rsidR="00642AD3" w:rsidRPr="00642AD3" w:rsidRDefault="00642AD3" w:rsidP="00642AD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642AD3">
        <w:rPr>
          <w:rFonts w:ascii="Arial" w:hAnsi="Arial" w:cs="Arial"/>
          <w:iCs/>
          <w:sz w:val="22"/>
          <w:szCs w:val="22"/>
          <w:lang w:val="es-MX"/>
        </w:rPr>
        <w:t>El 73.02% de los servidores expresa que el clima laboral en la Entidad es positivo para su gestión diaria.</w:t>
      </w:r>
    </w:p>
    <w:p w:rsidR="00642AD3" w:rsidRPr="00642AD3" w:rsidRDefault="00642AD3" w:rsidP="00642AD3">
      <w:pPr>
        <w:pStyle w:val="Encabezado"/>
        <w:tabs>
          <w:tab w:val="center" w:pos="426"/>
        </w:tabs>
        <w:ind w:left="426"/>
        <w:jc w:val="both"/>
        <w:rPr>
          <w:rFonts w:ascii="Arial" w:hAnsi="Arial" w:cs="Arial"/>
          <w:iCs/>
          <w:sz w:val="22"/>
          <w:szCs w:val="22"/>
          <w:lang w:val="es-MX"/>
        </w:rPr>
      </w:pPr>
    </w:p>
    <w:p w:rsidR="00642AD3" w:rsidRPr="00642AD3" w:rsidRDefault="00642AD3" w:rsidP="00642AD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642AD3">
        <w:rPr>
          <w:rFonts w:ascii="Arial" w:hAnsi="Arial" w:cs="Arial"/>
          <w:iCs/>
          <w:sz w:val="22"/>
          <w:szCs w:val="22"/>
          <w:lang w:val="es-MX"/>
        </w:rPr>
        <w:t>El 68.52% de los servidores considera importante que la Entidad fortalezca la inversión de recursos en Programas de Bienestar Social, tales como: Deportivos, Culturales, Social – Académicos, Recreativos, Ecológicos, Vivienda para los servidores de la Rama Judicial. Situación paradójica se observa cuando se analiza la respuesta dada a la pregunta: ¿Las actividades de Bienestar Social que se adelantan en la Entidad, son: conocidas, necesarias, suficientes?, el 44.64% manifestó que ninguna de las anteriores.</w:t>
      </w:r>
    </w:p>
    <w:p w:rsidR="00642AD3" w:rsidRPr="00642AD3" w:rsidRDefault="00642AD3" w:rsidP="00642AD3">
      <w:pPr>
        <w:pStyle w:val="Encabezado"/>
        <w:tabs>
          <w:tab w:val="center" w:pos="426"/>
        </w:tabs>
        <w:ind w:left="426"/>
        <w:jc w:val="both"/>
        <w:rPr>
          <w:rFonts w:ascii="Arial" w:hAnsi="Arial" w:cs="Arial"/>
          <w:iCs/>
          <w:sz w:val="22"/>
          <w:szCs w:val="22"/>
          <w:lang w:val="es-MX"/>
        </w:rPr>
      </w:pPr>
    </w:p>
    <w:p w:rsidR="00642AD3" w:rsidRPr="00642AD3" w:rsidRDefault="00642AD3" w:rsidP="00642AD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642AD3">
        <w:rPr>
          <w:rFonts w:ascii="Arial" w:hAnsi="Arial" w:cs="Arial"/>
          <w:iCs/>
          <w:sz w:val="22"/>
          <w:szCs w:val="22"/>
          <w:lang w:val="es-MX"/>
        </w:rPr>
        <w:t>Al momento de ingresar a trabajar por primera vez en la Rama Judicial el 65.43% de los servidores judiciales no recibió inducción sobre las actividades que se desarrollan en la Rama Judicial. Por otra parte, el 59.74% no recibió capacitación sobre las funciones y actividades asignadas.</w:t>
      </w:r>
    </w:p>
    <w:p w:rsidR="00642AD3" w:rsidRPr="00642AD3" w:rsidRDefault="00642AD3" w:rsidP="00642AD3">
      <w:pPr>
        <w:pStyle w:val="Encabezado"/>
        <w:tabs>
          <w:tab w:val="center" w:pos="426"/>
        </w:tabs>
        <w:ind w:left="426"/>
        <w:jc w:val="both"/>
        <w:rPr>
          <w:rFonts w:ascii="Arial" w:hAnsi="Arial" w:cs="Arial"/>
          <w:iCs/>
          <w:sz w:val="22"/>
          <w:szCs w:val="22"/>
          <w:lang w:val="es-MX"/>
        </w:rPr>
      </w:pPr>
    </w:p>
    <w:p w:rsidR="00642AD3" w:rsidRPr="00642AD3" w:rsidRDefault="00642AD3" w:rsidP="00642AD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642AD3">
        <w:rPr>
          <w:rFonts w:ascii="Arial" w:hAnsi="Arial" w:cs="Arial"/>
          <w:iCs/>
          <w:sz w:val="22"/>
          <w:szCs w:val="22"/>
          <w:lang w:val="es-MX"/>
        </w:rPr>
        <w:t>Algunas oportunidades de mejora para la política de Desarrollo del Talento Humano se identifican en los siguientes aspectos: a) El 48.13% de los funcionarios considera que se encuentran actualizados los procedimientos operativos para el desempeño de su cargo actual. b) El 40% de los servidores judiciales que se encuentran en carrera judicial es de la opinión que el proceso de evaluación del desempeño no es eficaz, justo u objetivo. c) El 63.76% de los servidores judiciales considera que las actividades de Salud Ocupacional son conocidos y necesarios.</w:t>
      </w:r>
    </w:p>
    <w:p w:rsidR="00642AD3" w:rsidRPr="00642AD3" w:rsidRDefault="00642AD3" w:rsidP="00642AD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642AD3">
        <w:rPr>
          <w:rFonts w:ascii="Arial" w:hAnsi="Arial" w:cs="Arial"/>
          <w:iCs/>
          <w:sz w:val="22"/>
          <w:szCs w:val="22"/>
          <w:lang w:val="es-MX"/>
        </w:rPr>
        <w:lastRenderedPageBreak/>
        <w:t>En cuanto a los procedimientos de carrera judicial, el 60.98% de los servidores piensa que los procedimientos y la organización de las convocatorias para proveer cargos en la Rama Judicial son ampliamente difundidas, garantizan una amplia participación pública (68.25%), son claros (59.52%) y cuentan con tiempos de cumplimiento en las diferentes etapas (53.44%). Por otra parte, el 75.23% los funcionarios judiciales son de la opinión que los perfiles de los cargos que conforman actualmente su despacho, están acordes con sus requerimientos de gestión.</w:t>
      </w:r>
    </w:p>
    <w:p w:rsidR="00642AD3" w:rsidRPr="00642AD3" w:rsidRDefault="00642AD3" w:rsidP="00642AD3">
      <w:pPr>
        <w:pStyle w:val="Encabezado"/>
        <w:tabs>
          <w:tab w:val="center" w:pos="426"/>
        </w:tabs>
        <w:ind w:left="426"/>
        <w:jc w:val="both"/>
        <w:rPr>
          <w:rFonts w:ascii="Arial" w:hAnsi="Arial" w:cs="Arial"/>
          <w:iCs/>
          <w:sz w:val="22"/>
          <w:szCs w:val="22"/>
          <w:lang w:val="es-MX"/>
        </w:rPr>
      </w:pPr>
    </w:p>
    <w:p w:rsidR="00642AD3" w:rsidRPr="00642AD3" w:rsidRDefault="00642AD3" w:rsidP="00642AD3">
      <w:pPr>
        <w:pStyle w:val="Encabezado"/>
        <w:numPr>
          <w:ilvl w:val="0"/>
          <w:numId w:val="34"/>
        </w:numPr>
        <w:tabs>
          <w:tab w:val="clear" w:pos="4680"/>
          <w:tab w:val="clear" w:pos="9360"/>
          <w:tab w:val="center" w:pos="426"/>
          <w:tab w:val="right" w:pos="8504"/>
        </w:tabs>
        <w:suppressAutoHyphens/>
        <w:jc w:val="both"/>
        <w:rPr>
          <w:rFonts w:ascii="Arial" w:hAnsi="Arial" w:cs="Arial"/>
          <w:iCs/>
          <w:sz w:val="22"/>
          <w:szCs w:val="22"/>
          <w:lang w:val="es-MX"/>
        </w:rPr>
      </w:pPr>
      <w:r w:rsidRPr="00642AD3">
        <w:rPr>
          <w:rFonts w:ascii="Arial" w:hAnsi="Arial" w:cs="Arial"/>
          <w:iCs/>
          <w:sz w:val="22"/>
          <w:szCs w:val="22"/>
          <w:lang w:val="es-MX"/>
        </w:rPr>
        <w:t>Los temas identificados para capacitación, formación y/o entrenamiento por los servidores judiciales que respondieron al sondeo se detallan en la gráfica</w:t>
      </w:r>
      <w:r>
        <w:rPr>
          <w:rFonts w:ascii="Arial" w:hAnsi="Arial" w:cs="Arial"/>
          <w:iCs/>
          <w:sz w:val="22"/>
          <w:szCs w:val="22"/>
          <w:lang w:val="es-MX"/>
        </w:rPr>
        <w:t xml:space="preserve"> siguiente</w:t>
      </w:r>
      <w:r w:rsidRPr="00642AD3">
        <w:rPr>
          <w:rFonts w:ascii="Arial" w:hAnsi="Arial" w:cs="Arial"/>
          <w:iCs/>
          <w:sz w:val="22"/>
          <w:szCs w:val="22"/>
          <w:lang w:val="es-MX"/>
        </w:rPr>
        <w:t>.</w:t>
      </w:r>
    </w:p>
    <w:p w:rsidR="00642AD3" w:rsidRPr="00642AD3" w:rsidRDefault="00642AD3" w:rsidP="00642AD3">
      <w:pPr>
        <w:pStyle w:val="Prrafodelista"/>
        <w:rPr>
          <w:rFonts w:ascii="Arial" w:hAnsi="Arial" w:cs="Arial"/>
          <w:iCs/>
          <w:sz w:val="22"/>
          <w:szCs w:val="22"/>
          <w:lang w:val="es-MX"/>
        </w:rPr>
      </w:pPr>
    </w:p>
    <w:p w:rsidR="00642AD3" w:rsidRDefault="00642AD3" w:rsidP="00642AD3">
      <w:pPr>
        <w:pStyle w:val="Encabezado"/>
        <w:tabs>
          <w:tab w:val="center" w:pos="426"/>
        </w:tabs>
        <w:jc w:val="center"/>
        <w:rPr>
          <w:rFonts w:ascii="Arial" w:hAnsi="Arial" w:cs="Arial"/>
          <w:iCs/>
          <w:sz w:val="24"/>
          <w:szCs w:val="24"/>
        </w:rPr>
      </w:pPr>
      <w:r>
        <w:rPr>
          <w:rFonts w:ascii="Arial" w:hAnsi="Arial" w:cs="Arial"/>
          <w:iCs/>
          <w:noProof/>
          <w:sz w:val="24"/>
          <w:szCs w:val="24"/>
          <w:lang w:val="es-MX" w:eastAsia="es-MX"/>
        </w:rPr>
        <w:drawing>
          <wp:inline distT="0" distB="0" distL="0" distR="0" wp14:anchorId="2B247593" wp14:editId="30BF53DB">
            <wp:extent cx="5011169" cy="2907792"/>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2588" cy="2920220"/>
                    </a:xfrm>
                    <a:prstGeom prst="rect">
                      <a:avLst/>
                    </a:prstGeom>
                    <a:noFill/>
                  </pic:spPr>
                </pic:pic>
              </a:graphicData>
            </a:graphic>
          </wp:inline>
        </w:drawing>
      </w:r>
    </w:p>
    <w:p w:rsidR="00642AD3" w:rsidRPr="00F12DFC" w:rsidRDefault="00642AD3" w:rsidP="00642AD3">
      <w:pPr>
        <w:pStyle w:val="Encabezado"/>
        <w:tabs>
          <w:tab w:val="center" w:pos="426"/>
        </w:tabs>
        <w:jc w:val="both"/>
        <w:rPr>
          <w:rFonts w:ascii="Arial" w:hAnsi="Arial" w:cs="Arial"/>
          <w:iCs/>
          <w:sz w:val="14"/>
          <w:szCs w:val="14"/>
          <w:lang w:val="es-ES"/>
        </w:rPr>
      </w:pPr>
      <w:r>
        <w:rPr>
          <w:rFonts w:ascii="Arial" w:hAnsi="Arial" w:cs="Arial"/>
          <w:iCs/>
          <w:sz w:val="24"/>
          <w:szCs w:val="24"/>
          <w:lang w:val="es-ES"/>
        </w:rPr>
        <w:tab/>
        <w:t xml:space="preserve">              </w:t>
      </w:r>
      <w:r w:rsidRPr="00F12DFC">
        <w:rPr>
          <w:rFonts w:ascii="Arial" w:hAnsi="Arial" w:cs="Arial"/>
          <w:iCs/>
          <w:sz w:val="14"/>
          <w:szCs w:val="14"/>
          <w:lang w:val="es-ES"/>
        </w:rPr>
        <w:t xml:space="preserve">Fuente: Sondeo de necesidades a funcionarios y empleados Plan Sectorial de Desarrollo 2015-2018 -Cálculos UDAE </w:t>
      </w:r>
    </w:p>
    <w:p w:rsidR="00642AD3" w:rsidRDefault="00642AD3" w:rsidP="00642AD3">
      <w:pPr>
        <w:pStyle w:val="Encabezado"/>
        <w:tabs>
          <w:tab w:val="center" w:pos="426"/>
        </w:tabs>
        <w:jc w:val="both"/>
        <w:rPr>
          <w:rFonts w:ascii="Arial" w:hAnsi="Arial" w:cs="Arial"/>
          <w:iCs/>
          <w:sz w:val="24"/>
          <w:szCs w:val="24"/>
          <w:lang w:val="es-ES"/>
        </w:rPr>
      </w:pPr>
    </w:p>
    <w:p w:rsidR="00721A15" w:rsidRDefault="00721A15" w:rsidP="00C43703">
      <w:pPr>
        <w:pStyle w:val="CUERPOTEXTO"/>
      </w:pPr>
    </w:p>
    <w:p w:rsidR="00642AD3" w:rsidRPr="00642AD3" w:rsidRDefault="00642AD3" w:rsidP="00642AD3">
      <w:pPr>
        <w:pStyle w:val="CUERPOTEXTO"/>
        <w:numPr>
          <w:ilvl w:val="0"/>
          <w:numId w:val="34"/>
        </w:numPr>
        <w:outlineLvl w:val="2"/>
        <w:rPr>
          <w:b/>
        </w:rPr>
      </w:pPr>
      <w:r w:rsidRPr="00642AD3">
        <w:rPr>
          <w:b/>
        </w:rPr>
        <w:t xml:space="preserve">Aspectos para mejorar surgidos del análisis de la encuesta: </w:t>
      </w:r>
    </w:p>
    <w:p w:rsidR="00642AD3" w:rsidRDefault="00642AD3" w:rsidP="00642AD3">
      <w:pPr>
        <w:pStyle w:val="CUERPOTEXTO"/>
      </w:pPr>
    </w:p>
    <w:p w:rsidR="00721A15" w:rsidRDefault="00642AD3" w:rsidP="00642AD3">
      <w:pPr>
        <w:pStyle w:val="CUERPOTEXTO"/>
        <w:numPr>
          <w:ilvl w:val="1"/>
          <w:numId w:val="34"/>
        </w:numPr>
      </w:pPr>
      <w:r>
        <w:t>En materia de Talento Humano</w:t>
      </w:r>
    </w:p>
    <w:p w:rsidR="00642AD3" w:rsidRDefault="00642AD3" w:rsidP="00642AD3">
      <w:pPr>
        <w:pStyle w:val="CUERPOTEXTO"/>
        <w:ind w:left="1440"/>
      </w:pPr>
    </w:p>
    <w:p w:rsidR="00642AD3" w:rsidRPr="00642AD3" w:rsidRDefault="00642AD3" w:rsidP="00642AD3">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642AD3">
        <w:rPr>
          <w:rFonts w:ascii="Arial" w:hAnsi="Arial" w:cs="Arial"/>
          <w:iCs/>
          <w:sz w:val="22"/>
          <w:szCs w:val="22"/>
          <w:lang w:val="es-MX"/>
        </w:rPr>
        <w:t>Mejorar la integración y el clima laboral de la Rama Judicial.</w:t>
      </w:r>
    </w:p>
    <w:p w:rsidR="00642AD3" w:rsidRPr="00642AD3" w:rsidRDefault="00642AD3" w:rsidP="00642AD3">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642AD3">
        <w:rPr>
          <w:rFonts w:ascii="Arial" w:hAnsi="Arial" w:cs="Arial"/>
          <w:iCs/>
          <w:sz w:val="22"/>
          <w:szCs w:val="22"/>
          <w:lang w:val="es-MX"/>
        </w:rPr>
        <w:t>Fortalecer la inversión de recursos en Programas de Bienestar Social, tales como: Deportivos, Culturales, Social – Académicos, Recreativos, Ecológicos, Vivienda para los servidores de la Rama Judicial.</w:t>
      </w:r>
    </w:p>
    <w:p w:rsidR="00642AD3" w:rsidRPr="00642AD3" w:rsidRDefault="00642AD3" w:rsidP="00642AD3">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501B03">
        <w:rPr>
          <w:rFonts w:ascii="Arial" w:hAnsi="Arial" w:cs="Arial"/>
          <w:iCs/>
          <w:sz w:val="22"/>
          <w:szCs w:val="22"/>
          <w:lang w:val="es-ES"/>
        </w:rPr>
        <w:t>Intensificar y extender las actividades de Salud Ocupacional.</w:t>
      </w:r>
    </w:p>
    <w:p w:rsidR="00642AD3" w:rsidRPr="00642AD3" w:rsidRDefault="00642AD3" w:rsidP="00642AD3">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501B03">
        <w:rPr>
          <w:rFonts w:ascii="Arial" w:hAnsi="Arial" w:cs="Arial"/>
          <w:iCs/>
          <w:sz w:val="22"/>
          <w:szCs w:val="22"/>
          <w:lang w:val="es-ES"/>
        </w:rPr>
        <w:t>Implementar actividades de inducción para nuevos empleados judiciales.</w:t>
      </w:r>
    </w:p>
    <w:p w:rsidR="00642AD3" w:rsidRPr="00642AD3" w:rsidRDefault="00642AD3" w:rsidP="00642AD3">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501B03">
        <w:rPr>
          <w:rFonts w:ascii="Arial" w:hAnsi="Arial" w:cs="Arial"/>
          <w:iCs/>
          <w:sz w:val="22"/>
          <w:szCs w:val="22"/>
          <w:lang w:val="es-ES"/>
        </w:rPr>
        <w:t>Definir y ampliar los temas de capacitación para los servidores judiciales.</w:t>
      </w:r>
    </w:p>
    <w:p w:rsidR="00642AD3" w:rsidRPr="00642AD3" w:rsidRDefault="00642AD3" w:rsidP="00642AD3">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501B03">
        <w:rPr>
          <w:rFonts w:ascii="Arial" w:hAnsi="Arial" w:cs="Arial"/>
          <w:iCs/>
          <w:sz w:val="22"/>
          <w:szCs w:val="22"/>
          <w:lang w:val="es-ES"/>
        </w:rPr>
        <w:t>Actualizar los procedimientos operativos para las diferentes áreas y dependencias judiciales.</w:t>
      </w:r>
    </w:p>
    <w:p w:rsidR="00642AD3" w:rsidRPr="00642AD3" w:rsidRDefault="00642AD3" w:rsidP="00642AD3">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501B03">
        <w:rPr>
          <w:rFonts w:ascii="Arial" w:hAnsi="Arial" w:cs="Arial"/>
          <w:iCs/>
          <w:sz w:val="22"/>
          <w:szCs w:val="22"/>
          <w:lang w:val="es-ES"/>
        </w:rPr>
        <w:lastRenderedPageBreak/>
        <w:t>Modernizar el proceso de evaluación del desempeño para los servidores judiciales que se encuentran en carrera judicial.</w:t>
      </w:r>
    </w:p>
    <w:p w:rsidR="00642AD3" w:rsidRDefault="00642AD3" w:rsidP="00F420E1">
      <w:pPr>
        <w:pStyle w:val="CUERPOTEXTO"/>
      </w:pPr>
    </w:p>
    <w:p w:rsidR="00F420E1" w:rsidRDefault="00F420E1" w:rsidP="00F420E1">
      <w:pPr>
        <w:pStyle w:val="CUERPOTEXTO"/>
        <w:numPr>
          <w:ilvl w:val="1"/>
          <w:numId w:val="34"/>
        </w:numPr>
      </w:pPr>
      <w:r>
        <w:t>En materia de rediseño de la organización:</w:t>
      </w:r>
    </w:p>
    <w:p w:rsidR="00F420E1" w:rsidRDefault="00F420E1" w:rsidP="00F420E1">
      <w:pPr>
        <w:pStyle w:val="CUERPOTEXTO"/>
        <w:ind w:left="1440"/>
      </w:pP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Actualizar los modelos de gestión de las diferentes jurisdicciones.</w:t>
      </w: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Actualizar los procesos operativos de las dependencias administrativas y funcionales de la Rama Judicial.</w:t>
      </w: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Ampliar el acceso a la información jurisdiccional, normativa y procesal en la página Web de la Rama Judicial.</w:t>
      </w: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Revisar y adecuar según lo pertinente los procedimientos de reparto judicial, notificaciones, audiencias públicas y desistimiento tácito a nivel nacional.</w:t>
      </w: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Implementar nuevos mecanismos de descongestión judicial.</w:t>
      </w:r>
    </w:p>
    <w:p w:rsid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Ampliar la certificación de calidad del Sistema Integrado de Gestión y Control de Calidad a los despachos judiciales a nivel nacional.</w:t>
      </w:r>
    </w:p>
    <w:p w:rsidR="00F420E1" w:rsidRDefault="00F420E1" w:rsidP="00F420E1">
      <w:pPr>
        <w:pStyle w:val="Encabezado"/>
        <w:tabs>
          <w:tab w:val="clear" w:pos="4680"/>
          <w:tab w:val="clear" w:pos="9360"/>
          <w:tab w:val="center" w:pos="426"/>
          <w:tab w:val="right" w:pos="8504"/>
        </w:tabs>
        <w:suppressAutoHyphens/>
        <w:ind w:left="2160"/>
        <w:jc w:val="both"/>
        <w:rPr>
          <w:rFonts w:ascii="Arial" w:hAnsi="Arial" w:cs="Arial"/>
          <w:iCs/>
          <w:sz w:val="22"/>
          <w:szCs w:val="22"/>
          <w:lang w:val="es-MX"/>
        </w:rPr>
      </w:pPr>
    </w:p>
    <w:p w:rsidR="00F420E1" w:rsidRDefault="00F420E1" w:rsidP="00F420E1">
      <w:pPr>
        <w:pStyle w:val="Encabezado"/>
        <w:numPr>
          <w:ilvl w:val="1"/>
          <w:numId w:val="34"/>
        </w:numPr>
        <w:tabs>
          <w:tab w:val="clear" w:pos="4680"/>
          <w:tab w:val="clear" w:pos="9360"/>
          <w:tab w:val="center" w:pos="426"/>
          <w:tab w:val="right" w:pos="8504"/>
        </w:tabs>
        <w:suppressAutoHyphens/>
        <w:jc w:val="both"/>
        <w:rPr>
          <w:rFonts w:ascii="Arial" w:hAnsi="Arial" w:cs="Arial"/>
          <w:iCs/>
          <w:sz w:val="22"/>
          <w:szCs w:val="22"/>
          <w:lang w:val="es-MX"/>
        </w:rPr>
      </w:pPr>
      <w:r>
        <w:rPr>
          <w:rFonts w:ascii="Arial" w:hAnsi="Arial" w:cs="Arial"/>
          <w:iCs/>
          <w:sz w:val="22"/>
          <w:szCs w:val="22"/>
          <w:lang w:val="es-MX"/>
        </w:rPr>
        <w:t>En materia de infraestructura:</w:t>
      </w:r>
    </w:p>
    <w:p w:rsidR="00F420E1" w:rsidRDefault="00F420E1" w:rsidP="00F420E1">
      <w:pPr>
        <w:pStyle w:val="Encabezado"/>
        <w:tabs>
          <w:tab w:val="clear" w:pos="4680"/>
          <w:tab w:val="clear" w:pos="9360"/>
          <w:tab w:val="center" w:pos="426"/>
          <w:tab w:val="right" w:pos="8504"/>
        </w:tabs>
        <w:suppressAutoHyphens/>
        <w:ind w:left="1440"/>
        <w:jc w:val="both"/>
        <w:rPr>
          <w:rFonts w:ascii="Arial" w:hAnsi="Arial" w:cs="Arial"/>
          <w:iCs/>
          <w:sz w:val="22"/>
          <w:szCs w:val="22"/>
          <w:lang w:val="es-MX"/>
        </w:rPr>
      </w:pP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Definición de actividades que propendan por la ampliación de puntos lógicos de red y mejoren la conectividad en los sistemas de información a nivel nacional.</w:t>
      </w: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Disponibilidad de dotación tecnológica en los salas de audiencias del sistema oral en las diferentes jurisdicciones.</w:t>
      </w: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Ampliación de la infraestructura tecnológica a nivel nacional, en elementos tales como computadores de alta gama, servidores, impresoras y scanner.</w:t>
      </w:r>
    </w:p>
    <w:p w:rsidR="00F420E1" w:rsidRP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Integración de los sistemas de información en la plataforma tecnológica de la Rama Judicial de tal forma que se pueda extraer información directa de variables transversales.</w:t>
      </w:r>
    </w:p>
    <w:p w:rsidR="00F420E1" w:rsidRDefault="00F420E1" w:rsidP="00F420E1">
      <w:pPr>
        <w:pStyle w:val="Encabezado"/>
        <w:numPr>
          <w:ilvl w:val="2"/>
          <w:numId w:val="34"/>
        </w:numPr>
        <w:tabs>
          <w:tab w:val="clear" w:pos="4680"/>
          <w:tab w:val="clear" w:pos="9360"/>
          <w:tab w:val="center" w:pos="426"/>
          <w:tab w:val="right" w:pos="8504"/>
        </w:tabs>
        <w:suppressAutoHyphens/>
        <w:jc w:val="both"/>
        <w:rPr>
          <w:rFonts w:ascii="Arial" w:hAnsi="Arial" w:cs="Arial"/>
          <w:iCs/>
          <w:sz w:val="22"/>
          <w:szCs w:val="22"/>
          <w:lang w:val="es-MX"/>
        </w:rPr>
      </w:pPr>
      <w:r w:rsidRPr="00F420E1">
        <w:rPr>
          <w:rFonts w:ascii="Arial" w:hAnsi="Arial" w:cs="Arial"/>
          <w:iCs/>
          <w:sz w:val="22"/>
          <w:szCs w:val="22"/>
          <w:lang w:val="es-MX"/>
        </w:rPr>
        <w:t>Diseño de nuevos reportes en el Sistema Justicia XXI y el SIERJU que promuevan el control a la gestión judicial, al igual que la implementación de controles automáticos para la validación de información reportada, entre otros.</w:t>
      </w:r>
    </w:p>
    <w:p w:rsidR="00F420E1" w:rsidRDefault="00F420E1" w:rsidP="00F420E1">
      <w:pPr>
        <w:pStyle w:val="Encabezado"/>
        <w:tabs>
          <w:tab w:val="clear" w:pos="4680"/>
          <w:tab w:val="clear" w:pos="9360"/>
          <w:tab w:val="center" w:pos="426"/>
          <w:tab w:val="right" w:pos="8504"/>
        </w:tabs>
        <w:suppressAutoHyphens/>
        <w:ind w:left="2160"/>
        <w:jc w:val="both"/>
        <w:rPr>
          <w:rFonts w:ascii="Arial" w:hAnsi="Arial" w:cs="Arial"/>
          <w:iCs/>
          <w:sz w:val="22"/>
          <w:szCs w:val="22"/>
          <w:lang w:val="es-MX"/>
        </w:rPr>
      </w:pPr>
    </w:p>
    <w:p w:rsidR="00F420E1" w:rsidRPr="00F420E1" w:rsidRDefault="00F420E1" w:rsidP="00F420E1">
      <w:pPr>
        <w:pStyle w:val="Encabezado"/>
        <w:numPr>
          <w:ilvl w:val="0"/>
          <w:numId w:val="34"/>
        </w:numPr>
        <w:tabs>
          <w:tab w:val="clear" w:pos="4680"/>
          <w:tab w:val="clear" w:pos="9360"/>
          <w:tab w:val="center" w:pos="426"/>
          <w:tab w:val="right" w:pos="8504"/>
        </w:tabs>
        <w:suppressAutoHyphens/>
        <w:jc w:val="both"/>
        <w:outlineLvl w:val="1"/>
        <w:rPr>
          <w:rFonts w:ascii="Arial" w:hAnsi="Arial" w:cs="Arial"/>
          <w:b/>
          <w:iCs/>
          <w:sz w:val="22"/>
          <w:szCs w:val="22"/>
          <w:lang w:val="es-MX"/>
        </w:rPr>
      </w:pPr>
      <w:r w:rsidRPr="00F420E1">
        <w:rPr>
          <w:rFonts w:ascii="Arial" w:hAnsi="Arial" w:cs="Arial"/>
          <w:b/>
          <w:iCs/>
          <w:sz w:val="22"/>
          <w:szCs w:val="22"/>
          <w:lang w:val="es-MX"/>
        </w:rPr>
        <w:t xml:space="preserve">4.2 Atención y Comportamiento de las QRSs </w:t>
      </w:r>
    </w:p>
    <w:p w:rsidR="00F420E1" w:rsidRDefault="00F420E1" w:rsidP="00F420E1">
      <w:pPr>
        <w:pStyle w:val="CUERPOTEXTO"/>
        <w:rPr>
          <w:rFonts w:ascii="Arial" w:eastAsiaTheme="minorHAnsi" w:hAnsi="Arial" w:cs="Arial"/>
          <w:iCs/>
          <w:color w:val="595959" w:themeColor="text1" w:themeTint="A6"/>
          <w:kern w:val="20"/>
          <w:sz w:val="22"/>
          <w:szCs w:val="22"/>
          <w:lang w:val="es-MX" w:eastAsia="ja-JP"/>
        </w:rPr>
      </w:pPr>
    </w:p>
    <w:p w:rsidR="00F420E1" w:rsidRDefault="00F420E1" w:rsidP="00F420E1">
      <w:pPr>
        <w:pStyle w:val="CUERPOTEXTO"/>
        <w:rPr>
          <w:rFonts w:ascii="Arial" w:eastAsiaTheme="minorHAnsi" w:hAnsi="Arial" w:cs="Arial"/>
          <w:iCs/>
          <w:color w:val="595959" w:themeColor="text1" w:themeTint="A6"/>
          <w:kern w:val="20"/>
          <w:sz w:val="22"/>
          <w:szCs w:val="22"/>
          <w:lang w:val="es-MX" w:eastAsia="ja-JP"/>
        </w:rPr>
      </w:pPr>
      <w:r>
        <w:rPr>
          <w:rFonts w:ascii="Arial" w:eastAsiaTheme="minorHAnsi" w:hAnsi="Arial" w:cs="Arial"/>
          <w:iCs/>
          <w:color w:val="595959" w:themeColor="text1" w:themeTint="A6"/>
          <w:kern w:val="20"/>
          <w:sz w:val="22"/>
          <w:szCs w:val="22"/>
          <w:lang w:val="es-MX" w:eastAsia="ja-JP"/>
        </w:rPr>
        <w:t>Durante los primeros tres meses del año se han presentado un total de 290 QRS</w:t>
      </w:r>
      <w:r w:rsidR="00CC474E">
        <w:rPr>
          <w:rFonts w:ascii="Arial" w:eastAsiaTheme="minorHAnsi" w:hAnsi="Arial" w:cs="Arial"/>
          <w:iCs/>
          <w:color w:val="595959" w:themeColor="text1" w:themeTint="A6"/>
          <w:kern w:val="20"/>
          <w:sz w:val="22"/>
          <w:szCs w:val="22"/>
          <w:lang w:val="es-MX" w:eastAsia="ja-JP"/>
        </w:rPr>
        <w:t>s</w:t>
      </w:r>
      <w:r>
        <w:rPr>
          <w:rFonts w:ascii="Arial" w:eastAsiaTheme="minorHAnsi" w:hAnsi="Arial" w:cs="Arial"/>
          <w:iCs/>
          <w:color w:val="595959" w:themeColor="text1" w:themeTint="A6"/>
          <w:kern w:val="20"/>
          <w:sz w:val="22"/>
          <w:szCs w:val="22"/>
          <w:lang w:val="es-MX" w:eastAsia="ja-JP"/>
        </w:rPr>
        <w:t>en todo el país</w:t>
      </w:r>
      <w:r w:rsidR="00CC474E">
        <w:rPr>
          <w:rFonts w:ascii="Arial" w:eastAsiaTheme="minorHAnsi" w:hAnsi="Arial" w:cs="Arial"/>
          <w:iCs/>
          <w:color w:val="595959" w:themeColor="text1" w:themeTint="A6"/>
          <w:kern w:val="20"/>
          <w:sz w:val="22"/>
          <w:szCs w:val="22"/>
          <w:lang w:val="es-MX" w:eastAsia="ja-JP"/>
        </w:rPr>
        <w:t>.</w:t>
      </w:r>
    </w:p>
    <w:p w:rsidR="00CC474E" w:rsidRDefault="00CC474E" w:rsidP="00F420E1">
      <w:pPr>
        <w:pStyle w:val="CUERPOTEXTO"/>
        <w:rPr>
          <w:rFonts w:ascii="Arial" w:eastAsiaTheme="minorHAnsi" w:hAnsi="Arial" w:cs="Arial"/>
          <w:iCs/>
          <w:color w:val="595959" w:themeColor="text1" w:themeTint="A6"/>
          <w:kern w:val="20"/>
          <w:sz w:val="22"/>
          <w:szCs w:val="22"/>
          <w:lang w:val="es-MX" w:eastAsia="ja-JP"/>
        </w:rPr>
      </w:pPr>
    </w:p>
    <w:p w:rsidR="00CC474E" w:rsidRDefault="00CC474E" w:rsidP="00F420E1">
      <w:pPr>
        <w:pStyle w:val="CUERPOTEXTO"/>
        <w:rPr>
          <w:rFonts w:ascii="Arial" w:eastAsiaTheme="minorHAnsi" w:hAnsi="Arial" w:cs="Arial"/>
          <w:iCs/>
          <w:color w:val="595959" w:themeColor="text1" w:themeTint="A6"/>
          <w:kern w:val="20"/>
          <w:sz w:val="22"/>
          <w:szCs w:val="22"/>
          <w:lang w:val="es-MX" w:eastAsia="ja-JP"/>
        </w:rPr>
      </w:pPr>
      <w:r>
        <w:rPr>
          <w:rFonts w:ascii="Arial" w:eastAsiaTheme="minorHAnsi" w:hAnsi="Arial" w:cs="Arial"/>
          <w:iCs/>
          <w:color w:val="595959" w:themeColor="text1" w:themeTint="A6"/>
          <w:kern w:val="20"/>
          <w:sz w:val="22"/>
          <w:szCs w:val="22"/>
          <w:lang w:val="es-MX" w:eastAsia="ja-JP"/>
        </w:rPr>
        <w:t>Del total de QRSs presentadas 155, es decir el 53% se localizaron en el Nivel Central, aspecto que tiene sentido por dos posibles causas: La primera porque la totalidad de las QRSs se reciben a través del software de gestión de calidad y el usuario en muchas ocasiones no identifica fácilmente la sede. La segunda por que más del 45% de los procesos judiciales se encuentran en Bogotá.</w:t>
      </w:r>
    </w:p>
    <w:p w:rsidR="00CC474E" w:rsidRDefault="00CC474E" w:rsidP="00F420E1">
      <w:pPr>
        <w:pStyle w:val="CUERPOTEXTO"/>
        <w:rPr>
          <w:rFonts w:ascii="Arial" w:eastAsiaTheme="minorHAnsi" w:hAnsi="Arial" w:cs="Arial"/>
          <w:iCs/>
          <w:color w:val="595959" w:themeColor="text1" w:themeTint="A6"/>
          <w:kern w:val="20"/>
          <w:sz w:val="22"/>
          <w:szCs w:val="22"/>
          <w:lang w:val="es-MX" w:eastAsia="ja-JP"/>
        </w:rPr>
      </w:pPr>
    </w:p>
    <w:p w:rsidR="00CC474E" w:rsidRDefault="00CC474E" w:rsidP="00F420E1">
      <w:pPr>
        <w:pStyle w:val="CUERPOTEXTO"/>
        <w:rPr>
          <w:lang w:val="es-MX"/>
        </w:rPr>
      </w:pPr>
      <w:r>
        <w:rPr>
          <w:lang w:val="es-MX"/>
        </w:rPr>
        <w:t xml:space="preserve">Un análisis más profundo permite establecer que del total de las 290 QRSs, 137 no corresponden a servicios prestados por la Corporación, pues muchas de las situaciones descritas  se relacionan con trámites judiciales (servicio prestado por los Despachos Judiciales del país) o asuntos relacionados con la gobernación del </w:t>
      </w:r>
      <w:r>
        <w:rPr>
          <w:lang w:val="es-MX"/>
        </w:rPr>
        <w:lastRenderedPageBreak/>
        <w:t>país. Es decir que de las 290 QRSs, el 53% corresponden realmente asuntos propios de la organización.</w:t>
      </w:r>
    </w:p>
    <w:p w:rsidR="00CC474E" w:rsidRDefault="00CC474E" w:rsidP="00F420E1">
      <w:pPr>
        <w:pStyle w:val="CUERPOTEXTO"/>
        <w:rPr>
          <w:lang w:val="es-MX"/>
        </w:rPr>
      </w:pPr>
    </w:p>
    <w:p w:rsidR="00CC474E" w:rsidRDefault="00CC474E" w:rsidP="00F420E1">
      <w:pPr>
        <w:pStyle w:val="CUERPOTEXTO"/>
        <w:rPr>
          <w:lang w:val="es-MX"/>
        </w:rPr>
      </w:pPr>
      <w:r>
        <w:rPr>
          <w:lang w:val="es-MX"/>
        </w:rPr>
        <w:t xml:space="preserve">Del total de QRSs que corresponden a la Entidad 37 son producto de la gestión que realizan las Seccionales en la búsqueda de hacer más eficiente la prestación del servicio. Treinta y dos (32) más a los procesos de selección de personal, especialmente en las etapas de selección (aunque vale la pena señalar que de la totalidad de QRSs presentadas en esta materia, apenas el 3% generan una decisión a favor del usuario), y treinta (30)  más en temas propios de la Gestión de la Información Judicial por solicitudes de jurisprudencia.   </w:t>
      </w:r>
    </w:p>
    <w:p w:rsidR="00F420E1" w:rsidRPr="00F420E1" w:rsidRDefault="00F420E1" w:rsidP="00F420E1">
      <w:pPr>
        <w:pStyle w:val="CUERPOTEXTO"/>
        <w:ind w:left="2880"/>
        <w:rPr>
          <w:lang w:val="es-MX"/>
        </w:rPr>
      </w:pPr>
    </w:p>
    <w:p w:rsidR="00F420E1" w:rsidRDefault="00CC474E" w:rsidP="00F420E1">
      <w:pPr>
        <w:pStyle w:val="CUERPOTEXTO"/>
      </w:pPr>
      <w:r>
        <w:t xml:space="preserve">De resaltar durante lo corrido del año en cuanto a QRSs se refiere es una particular colocada por un anónimo en los organismos de control sobre el sistema de gestión de calidad. </w:t>
      </w:r>
    </w:p>
    <w:p w:rsidR="00CC474E" w:rsidRDefault="00CC474E" w:rsidP="00F420E1">
      <w:pPr>
        <w:pStyle w:val="CUERPOTEXTO"/>
      </w:pPr>
    </w:p>
    <w:p w:rsidR="00CC474E" w:rsidRDefault="00CC474E" w:rsidP="00F420E1">
      <w:pPr>
        <w:pStyle w:val="CUERPOTEXTO"/>
      </w:pPr>
      <w:r>
        <w:t xml:space="preserve">Si bien el quejoso no tuvo mayores argumentos para desvirtuar las bondades del sistema de gestión de calidad de la organización, siempre es importante revisar con cuidado aquellas críticas que puedan fortalecer mucho más el modelo.  </w:t>
      </w:r>
    </w:p>
    <w:p w:rsidR="00CC474E" w:rsidRDefault="00CC474E" w:rsidP="00F420E1">
      <w:pPr>
        <w:pStyle w:val="CUERPOTEXTO"/>
      </w:pPr>
    </w:p>
    <w:p w:rsidR="00CC474E" w:rsidRDefault="00CC474E" w:rsidP="00F420E1">
      <w:pPr>
        <w:pStyle w:val="CUERPOTEXTO"/>
      </w:pPr>
    </w:p>
    <w:p w:rsidR="00311F1B" w:rsidRPr="00EE64AA" w:rsidRDefault="00FB6C2F" w:rsidP="00EE64AA">
      <w:pPr>
        <w:pStyle w:val="CUERPOTEXTO"/>
        <w:numPr>
          <w:ilvl w:val="0"/>
          <w:numId w:val="35"/>
        </w:numPr>
        <w:rPr>
          <w:b/>
          <w:color w:val="0070C0"/>
          <w:sz w:val="28"/>
          <w:szCs w:val="28"/>
        </w:rPr>
      </w:pPr>
      <w:r>
        <w:rPr>
          <w:b/>
          <w:color w:val="0070C0"/>
          <w:sz w:val="28"/>
          <w:szCs w:val="28"/>
        </w:rPr>
        <w:t>DESEMPEÑO DE LOS PROCESOS</w:t>
      </w:r>
      <w:r w:rsidR="00EE64AA" w:rsidRPr="00EE64AA">
        <w:rPr>
          <w:b/>
          <w:color w:val="0070C0"/>
          <w:sz w:val="28"/>
          <w:szCs w:val="28"/>
        </w:rPr>
        <w:t xml:space="preserve">: </w:t>
      </w:r>
    </w:p>
    <w:p w:rsidR="00EE64AA" w:rsidRDefault="00EE64AA" w:rsidP="00EE64AA">
      <w:pPr>
        <w:pStyle w:val="CUERPOTEXTO"/>
        <w:pBdr>
          <w:bottom w:val="single" w:sz="4" w:space="1" w:color="auto"/>
        </w:pBdr>
      </w:pPr>
    </w:p>
    <w:p w:rsidR="00EE64AA" w:rsidRDefault="00EE64AA" w:rsidP="00EE64AA">
      <w:pPr>
        <w:pStyle w:val="CUERPOTEXTO"/>
      </w:pPr>
    </w:p>
    <w:p w:rsidR="009B580C" w:rsidRDefault="009B580C" w:rsidP="00EE64AA">
      <w:pPr>
        <w:pStyle w:val="CUERPOTEXTO"/>
      </w:pPr>
      <w:r>
        <w:t>Para el nivel central e</w:t>
      </w:r>
      <w:r w:rsidR="00C63BFE">
        <w:t>n general se observa un buen desempaño de la totalidad de los procesos en la organización</w:t>
      </w:r>
      <w:r w:rsidR="00B25FFA">
        <w:t xml:space="preserve">.  Del total de los ochenta y dos (82) indicadores establecidos </w:t>
      </w:r>
      <w:r>
        <w:t>setena y siete (77) estuvieron por encima del nivel de referencia establecido.  Es decir que el  94% obtuvieron un resultado satisfactorio.</w:t>
      </w:r>
    </w:p>
    <w:p w:rsidR="009B580C" w:rsidRDefault="009B580C" w:rsidP="00EE64AA">
      <w:pPr>
        <w:pStyle w:val="CUERPOTEXTO"/>
      </w:pPr>
    </w:p>
    <w:p w:rsidR="00EE64AA" w:rsidRDefault="009B580C" w:rsidP="00EE64AA">
      <w:pPr>
        <w:pStyle w:val="CUERPOTEXTO"/>
      </w:pPr>
      <w:r>
        <w:t xml:space="preserve">El cuadro siguiente muestra la situación encontrada en el nivel central. </w:t>
      </w:r>
    </w:p>
    <w:p w:rsidR="00EE64AA" w:rsidRDefault="00EE64AA" w:rsidP="00EE64AA">
      <w:pPr>
        <w:pStyle w:val="CUERPOTEXTO"/>
      </w:pPr>
    </w:p>
    <w:tbl>
      <w:tblPr>
        <w:tblW w:w="6840" w:type="dxa"/>
        <w:tblCellMar>
          <w:left w:w="70" w:type="dxa"/>
          <w:right w:w="70" w:type="dxa"/>
        </w:tblCellMar>
        <w:tblLook w:val="04A0" w:firstRow="1" w:lastRow="0" w:firstColumn="1" w:lastColumn="0" w:noHBand="0" w:noVBand="1"/>
      </w:tblPr>
      <w:tblGrid>
        <w:gridCol w:w="2060"/>
        <w:gridCol w:w="1500"/>
        <w:gridCol w:w="1660"/>
        <w:gridCol w:w="1620"/>
      </w:tblGrid>
      <w:tr w:rsidR="009B580C" w:rsidRPr="009B580C" w:rsidTr="009B580C">
        <w:trPr>
          <w:trHeight w:val="624"/>
          <w:tblHeader/>
        </w:trPr>
        <w:tc>
          <w:tcPr>
            <w:tcW w:w="2060" w:type="dxa"/>
            <w:tcBorders>
              <w:top w:val="single" w:sz="4" w:space="0" w:color="auto"/>
              <w:left w:val="single" w:sz="4" w:space="0" w:color="auto"/>
              <w:bottom w:val="single" w:sz="4" w:space="0" w:color="auto"/>
              <w:right w:val="single" w:sz="4" w:space="0" w:color="auto"/>
            </w:tcBorders>
            <w:shd w:val="clear" w:color="000000" w:fill="203764"/>
            <w:vAlign w:val="center"/>
            <w:hideMark/>
          </w:tcPr>
          <w:p w:rsidR="009B580C" w:rsidRPr="009B580C" w:rsidRDefault="009B580C" w:rsidP="009B580C">
            <w:pPr>
              <w:jc w:val="center"/>
              <w:rPr>
                <w:rFonts w:ascii="Calibri" w:hAnsi="Calibri"/>
                <w:b/>
                <w:bCs/>
                <w:color w:val="FFFFFF"/>
                <w:sz w:val="22"/>
                <w:szCs w:val="22"/>
              </w:rPr>
            </w:pPr>
            <w:r w:rsidRPr="009B580C">
              <w:rPr>
                <w:rFonts w:ascii="Calibri" w:hAnsi="Calibri"/>
                <w:b/>
                <w:bCs/>
                <w:color w:val="FFFFFF"/>
                <w:sz w:val="22"/>
                <w:szCs w:val="22"/>
              </w:rPr>
              <w:t>PROCESO</w:t>
            </w:r>
          </w:p>
        </w:tc>
        <w:tc>
          <w:tcPr>
            <w:tcW w:w="1500" w:type="dxa"/>
            <w:tcBorders>
              <w:top w:val="single" w:sz="4" w:space="0" w:color="auto"/>
              <w:left w:val="nil"/>
              <w:bottom w:val="single" w:sz="4" w:space="0" w:color="auto"/>
              <w:right w:val="single" w:sz="4" w:space="0" w:color="auto"/>
            </w:tcBorders>
            <w:shd w:val="clear" w:color="000000" w:fill="203764"/>
            <w:vAlign w:val="center"/>
            <w:hideMark/>
          </w:tcPr>
          <w:p w:rsidR="009B580C" w:rsidRPr="009B580C" w:rsidRDefault="009B580C" w:rsidP="009B580C">
            <w:pPr>
              <w:jc w:val="center"/>
              <w:rPr>
                <w:rFonts w:ascii="Calibri" w:hAnsi="Calibri"/>
                <w:b/>
                <w:bCs/>
                <w:color w:val="FFFFFF"/>
                <w:sz w:val="22"/>
                <w:szCs w:val="22"/>
              </w:rPr>
            </w:pPr>
            <w:r w:rsidRPr="009B580C">
              <w:rPr>
                <w:rFonts w:ascii="Calibri" w:hAnsi="Calibri"/>
                <w:b/>
                <w:bCs/>
                <w:color w:val="FFFFFF"/>
                <w:sz w:val="22"/>
                <w:szCs w:val="22"/>
              </w:rPr>
              <w:t>Número de Indicadores</w:t>
            </w:r>
          </w:p>
        </w:tc>
        <w:tc>
          <w:tcPr>
            <w:tcW w:w="1660" w:type="dxa"/>
            <w:tcBorders>
              <w:top w:val="single" w:sz="4" w:space="0" w:color="auto"/>
              <w:left w:val="nil"/>
              <w:bottom w:val="single" w:sz="4" w:space="0" w:color="auto"/>
              <w:right w:val="single" w:sz="4" w:space="0" w:color="auto"/>
            </w:tcBorders>
            <w:shd w:val="clear" w:color="000000" w:fill="203764"/>
            <w:vAlign w:val="center"/>
            <w:hideMark/>
          </w:tcPr>
          <w:p w:rsidR="009B580C" w:rsidRPr="009B580C" w:rsidRDefault="009B580C" w:rsidP="009B580C">
            <w:pPr>
              <w:jc w:val="center"/>
              <w:rPr>
                <w:rFonts w:ascii="Calibri" w:hAnsi="Calibri"/>
                <w:b/>
                <w:bCs/>
                <w:color w:val="FFFFFF"/>
                <w:sz w:val="22"/>
                <w:szCs w:val="22"/>
              </w:rPr>
            </w:pPr>
            <w:r w:rsidRPr="009B580C">
              <w:rPr>
                <w:rFonts w:ascii="Calibri" w:hAnsi="Calibri"/>
                <w:b/>
                <w:bCs/>
                <w:color w:val="FFFFFF"/>
                <w:sz w:val="22"/>
                <w:szCs w:val="22"/>
              </w:rPr>
              <w:t>Sin cumplimiento NR</w:t>
            </w:r>
          </w:p>
        </w:tc>
        <w:tc>
          <w:tcPr>
            <w:tcW w:w="1620" w:type="dxa"/>
            <w:tcBorders>
              <w:top w:val="single" w:sz="4" w:space="0" w:color="auto"/>
              <w:left w:val="nil"/>
              <w:bottom w:val="single" w:sz="4" w:space="0" w:color="auto"/>
              <w:right w:val="single" w:sz="4" w:space="0" w:color="auto"/>
            </w:tcBorders>
            <w:shd w:val="clear" w:color="000000" w:fill="C00000"/>
            <w:vAlign w:val="center"/>
            <w:hideMark/>
          </w:tcPr>
          <w:p w:rsidR="009B580C" w:rsidRPr="009B580C" w:rsidRDefault="009B580C" w:rsidP="009B580C">
            <w:pPr>
              <w:jc w:val="center"/>
              <w:rPr>
                <w:rFonts w:ascii="Calibri" w:hAnsi="Calibri"/>
                <w:b/>
                <w:bCs/>
                <w:color w:val="FFFFFF"/>
                <w:sz w:val="22"/>
                <w:szCs w:val="22"/>
              </w:rPr>
            </w:pPr>
            <w:r w:rsidRPr="009B580C">
              <w:rPr>
                <w:rFonts w:ascii="Calibri" w:hAnsi="Calibri"/>
                <w:b/>
                <w:bCs/>
                <w:color w:val="FFFFFF"/>
                <w:sz w:val="22"/>
                <w:szCs w:val="22"/>
              </w:rPr>
              <w:t>% incumplimiento</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Adquisición BYS</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3</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Admon Seguridad</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2</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Asistencia Legal</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3</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Admon Carrera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4</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Auditorìa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4</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Comunicación</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G Financiera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G Documental</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4</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20" w:type="dxa"/>
            <w:tcBorders>
              <w:top w:val="nil"/>
              <w:left w:val="nil"/>
              <w:bottom w:val="single" w:sz="4" w:space="0" w:color="auto"/>
              <w:right w:val="single" w:sz="4" w:space="0" w:color="auto"/>
            </w:tcBorders>
            <w:shd w:val="clear" w:color="auto" w:fill="FF0000"/>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25%</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G Humana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12</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8%</w:t>
            </w:r>
          </w:p>
        </w:tc>
      </w:tr>
      <w:tr w:rsidR="009B580C" w:rsidRPr="009B580C" w:rsidTr="009B580C">
        <w:trPr>
          <w:trHeight w:val="559"/>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G Información Judicial</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2</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559"/>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lastRenderedPageBreak/>
              <w:t>G Información Estadística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G Formación Jud</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12</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G Listas Altas Cortes</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20" w:type="dxa"/>
            <w:tcBorders>
              <w:top w:val="nil"/>
              <w:left w:val="nil"/>
              <w:bottom w:val="single" w:sz="4" w:space="0" w:color="auto"/>
              <w:right w:val="single" w:sz="4" w:space="0" w:color="auto"/>
            </w:tcBorders>
            <w:shd w:val="clear" w:color="auto" w:fill="FF0000"/>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100%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G Salud Ocupacional</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2</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G Tecnológica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5</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559"/>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Mejoramiento SIGCMA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6</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17%</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M Infraestructura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5</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M G Jud</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3</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P Estratégica</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3</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1</w:t>
            </w:r>
          </w:p>
        </w:tc>
        <w:tc>
          <w:tcPr>
            <w:tcW w:w="1620" w:type="dxa"/>
            <w:tcBorders>
              <w:top w:val="nil"/>
              <w:left w:val="nil"/>
              <w:bottom w:val="single" w:sz="4" w:space="0" w:color="auto"/>
              <w:right w:val="single" w:sz="4" w:space="0" w:color="auto"/>
            </w:tcBorders>
            <w:shd w:val="clear" w:color="auto" w:fill="FF0000"/>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33%</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Registro y Control</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3</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B580C" w:rsidRPr="009B580C" w:rsidRDefault="009B580C" w:rsidP="009B580C">
            <w:pPr>
              <w:jc w:val="both"/>
              <w:rPr>
                <w:rFonts w:ascii="Calibri" w:hAnsi="Calibri"/>
                <w:sz w:val="22"/>
                <w:szCs w:val="22"/>
              </w:rPr>
            </w:pPr>
            <w:r w:rsidRPr="009B580C">
              <w:rPr>
                <w:rFonts w:ascii="Calibri" w:hAnsi="Calibri"/>
                <w:sz w:val="22"/>
                <w:szCs w:val="22"/>
              </w:rPr>
              <w:t>Reordenamiento</w:t>
            </w:r>
          </w:p>
        </w:tc>
        <w:tc>
          <w:tcPr>
            <w:tcW w:w="150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5</w:t>
            </w:r>
          </w:p>
        </w:tc>
        <w:tc>
          <w:tcPr>
            <w:tcW w:w="166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c>
          <w:tcPr>
            <w:tcW w:w="1620" w:type="dxa"/>
            <w:tcBorders>
              <w:top w:val="nil"/>
              <w:left w:val="nil"/>
              <w:bottom w:val="single" w:sz="4" w:space="0" w:color="auto"/>
              <w:right w:val="single" w:sz="4" w:space="0" w:color="auto"/>
            </w:tcBorders>
            <w:shd w:val="clear" w:color="000000" w:fill="FFFFFF"/>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0%</w:t>
            </w:r>
          </w:p>
        </w:tc>
      </w:tr>
      <w:tr w:rsidR="009B580C" w:rsidRPr="009B580C" w:rsidTr="009B580C">
        <w:trPr>
          <w:trHeight w:val="28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B580C" w:rsidRPr="009B580C" w:rsidRDefault="009B580C" w:rsidP="009B580C">
            <w:pPr>
              <w:rPr>
                <w:rFonts w:ascii="Calibri" w:hAnsi="Calibri"/>
                <w:sz w:val="22"/>
                <w:szCs w:val="22"/>
              </w:rPr>
            </w:pPr>
            <w:r w:rsidRPr="009B580C">
              <w:rPr>
                <w:rFonts w:ascii="Calibri" w:hAnsi="Calibri"/>
                <w:sz w:val="22"/>
                <w:szCs w:val="22"/>
              </w:rPr>
              <w:t xml:space="preserve">TOTAL INDICADORES </w:t>
            </w:r>
          </w:p>
        </w:tc>
        <w:tc>
          <w:tcPr>
            <w:tcW w:w="1500" w:type="dxa"/>
            <w:tcBorders>
              <w:top w:val="nil"/>
              <w:left w:val="nil"/>
              <w:bottom w:val="single" w:sz="4" w:space="0" w:color="auto"/>
              <w:right w:val="single" w:sz="4" w:space="0" w:color="auto"/>
            </w:tcBorders>
            <w:shd w:val="clear" w:color="auto" w:fill="auto"/>
            <w:noWrap/>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82</w:t>
            </w:r>
          </w:p>
        </w:tc>
        <w:tc>
          <w:tcPr>
            <w:tcW w:w="1660" w:type="dxa"/>
            <w:tcBorders>
              <w:top w:val="nil"/>
              <w:left w:val="nil"/>
              <w:bottom w:val="single" w:sz="4" w:space="0" w:color="auto"/>
              <w:right w:val="single" w:sz="4" w:space="0" w:color="auto"/>
            </w:tcBorders>
            <w:shd w:val="clear" w:color="auto" w:fill="auto"/>
            <w:noWrap/>
            <w:vAlign w:val="center"/>
            <w:hideMark/>
          </w:tcPr>
          <w:p w:rsidR="009B580C" w:rsidRPr="009B580C" w:rsidRDefault="009B580C" w:rsidP="009B580C">
            <w:pPr>
              <w:jc w:val="center"/>
              <w:rPr>
                <w:rFonts w:ascii="Calibri" w:hAnsi="Calibri"/>
                <w:sz w:val="22"/>
                <w:szCs w:val="22"/>
              </w:rPr>
            </w:pPr>
            <w:r w:rsidRPr="009B580C">
              <w:rPr>
                <w:rFonts w:ascii="Calibri" w:hAnsi="Calibri"/>
                <w:sz w:val="22"/>
                <w:szCs w:val="22"/>
              </w:rPr>
              <w:t>5</w:t>
            </w:r>
          </w:p>
        </w:tc>
        <w:tc>
          <w:tcPr>
            <w:tcW w:w="1620" w:type="dxa"/>
            <w:tcBorders>
              <w:top w:val="nil"/>
              <w:left w:val="nil"/>
              <w:bottom w:val="single" w:sz="4" w:space="0" w:color="auto"/>
              <w:right w:val="single" w:sz="4" w:space="0" w:color="auto"/>
            </w:tcBorders>
            <w:shd w:val="clear" w:color="000000" w:fill="FFF2CC"/>
            <w:noWrap/>
            <w:vAlign w:val="bottom"/>
            <w:hideMark/>
          </w:tcPr>
          <w:p w:rsidR="009B580C" w:rsidRPr="009B580C" w:rsidRDefault="009B580C" w:rsidP="009B580C">
            <w:pPr>
              <w:jc w:val="center"/>
              <w:rPr>
                <w:rFonts w:ascii="Calibri" w:hAnsi="Calibri"/>
                <w:b/>
                <w:bCs/>
                <w:sz w:val="22"/>
                <w:szCs w:val="22"/>
              </w:rPr>
            </w:pPr>
            <w:r w:rsidRPr="009B580C">
              <w:rPr>
                <w:rFonts w:ascii="Calibri" w:hAnsi="Calibri"/>
                <w:b/>
                <w:bCs/>
                <w:sz w:val="22"/>
                <w:szCs w:val="22"/>
              </w:rPr>
              <w:t>6%</w:t>
            </w:r>
          </w:p>
        </w:tc>
      </w:tr>
    </w:tbl>
    <w:p w:rsidR="009B580C" w:rsidRDefault="009B580C" w:rsidP="00EE64AA">
      <w:pPr>
        <w:pStyle w:val="CUERPOTEXTO"/>
      </w:pPr>
    </w:p>
    <w:p w:rsidR="004D5E89" w:rsidRDefault="004D5E89" w:rsidP="00EE64AA">
      <w:pPr>
        <w:pStyle w:val="CUERPOTEXTO"/>
      </w:pPr>
      <w:r>
        <w:t xml:space="preserve">A nivel seccional se encuentra una situación similar.  En total se observaron sesenta y tres (63) indicadores que no cumplieron con la meta establecida de los 1.886 indicadores en total que tienen las veintitrés sedes administrativas. </w:t>
      </w:r>
    </w:p>
    <w:p w:rsidR="004D5E89" w:rsidRDefault="004D5E89" w:rsidP="00EE64AA">
      <w:pPr>
        <w:pStyle w:val="CUERPOTEXTO"/>
      </w:pPr>
    </w:p>
    <w:p w:rsidR="009B580C" w:rsidRDefault="004D5E89" w:rsidP="00EE64AA">
      <w:pPr>
        <w:pStyle w:val="CUERPOTEXTO"/>
      </w:pPr>
      <w:r>
        <w:t xml:space="preserve">Es decir que apenas el 3% del total de indicadores presenta incumplimiento. </w:t>
      </w:r>
    </w:p>
    <w:p w:rsidR="004D5E89" w:rsidRDefault="004D5E89" w:rsidP="00EE64AA">
      <w:pPr>
        <w:pStyle w:val="CUERPOTEXTO"/>
      </w:pPr>
    </w:p>
    <w:p w:rsidR="004D5E89" w:rsidRDefault="004D5E89" w:rsidP="00EE64AA">
      <w:pPr>
        <w:pStyle w:val="CUERPOTEXTO"/>
      </w:pPr>
      <w:r>
        <w:t>Los procesos que más presentan incumplimiento a nivel nacional son los de Reordenamiento Judicial con doce (12), Gestión Salud Ocupacional con (11) y Mejoramiento del SIGCMA con ocho (8).</w:t>
      </w:r>
    </w:p>
    <w:p w:rsidR="004D5E89" w:rsidRDefault="004D5E89" w:rsidP="00EE64AA">
      <w:pPr>
        <w:pStyle w:val="CUERPOTEXTO"/>
      </w:pPr>
    </w:p>
    <w:p w:rsidR="004D5E89" w:rsidRDefault="004D5E89" w:rsidP="00EE64AA">
      <w:pPr>
        <w:pStyle w:val="CUERPOTEXTO"/>
      </w:pPr>
      <w:r>
        <w:t>Revisado el análisis y resultados de los indicadores de reordenamiento judicial se observa que la principal causa de incumplimiento radica en la interpretación de la formula, razón por la cual se revisará y ajustará para hacerla más fácil de entender para la toma de decisiones.</w:t>
      </w:r>
    </w:p>
    <w:p w:rsidR="004D5E89" w:rsidRDefault="004D5E89" w:rsidP="00EE64AA">
      <w:pPr>
        <w:pStyle w:val="CUERPOTEXTO"/>
      </w:pPr>
    </w:p>
    <w:p w:rsidR="004D5E89" w:rsidRDefault="004D5E89" w:rsidP="00EE64AA">
      <w:pPr>
        <w:pStyle w:val="CUERPOTEXTO"/>
      </w:pPr>
      <w:r>
        <w:t xml:space="preserve">De la mayor importancia resulta el indicador de Gestión en la Salud Ocupacional, pues las mediciones obtenidas muestran cifras preocupantes en la accidentalidad del personal y complimiento de objetivos. </w:t>
      </w:r>
    </w:p>
    <w:p w:rsidR="004D5E89" w:rsidRDefault="004D5E89" w:rsidP="00EE64AA">
      <w:pPr>
        <w:pStyle w:val="CUERPOTEXTO"/>
      </w:pPr>
    </w:p>
    <w:tbl>
      <w:tblPr>
        <w:tblW w:w="9100" w:type="dxa"/>
        <w:tblCellMar>
          <w:left w:w="70" w:type="dxa"/>
          <w:right w:w="70" w:type="dxa"/>
        </w:tblCellMar>
        <w:tblLook w:val="04A0" w:firstRow="1" w:lastRow="0" w:firstColumn="1" w:lastColumn="0" w:noHBand="0" w:noVBand="1"/>
      </w:tblPr>
      <w:tblGrid>
        <w:gridCol w:w="1150"/>
        <w:gridCol w:w="700"/>
        <w:gridCol w:w="700"/>
        <w:gridCol w:w="500"/>
        <w:gridCol w:w="642"/>
        <w:gridCol w:w="780"/>
        <w:gridCol w:w="780"/>
        <w:gridCol w:w="666"/>
        <w:gridCol w:w="600"/>
        <w:gridCol w:w="500"/>
        <w:gridCol w:w="500"/>
        <w:gridCol w:w="500"/>
        <w:gridCol w:w="500"/>
        <w:gridCol w:w="615"/>
      </w:tblGrid>
      <w:tr w:rsidR="004D5E89" w:rsidRPr="004D5E89" w:rsidTr="004D5E89">
        <w:trPr>
          <w:trHeight w:val="495"/>
          <w:tblHeader/>
        </w:trPr>
        <w:tc>
          <w:tcPr>
            <w:tcW w:w="1240" w:type="dxa"/>
            <w:tcBorders>
              <w:top w:val="single" w:sz="4" w:space="0" w:color="auto"/>
              <w:left w:val="single" w:sz="4" w:space="0" w:color="auto"/>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SECCIONALES</w:t>
            </w:r>
          </w:p>
        </w:tc>
        <w:tc>
          <w:tcPr>
            <w:tcW w:w="70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AUDIT</w:t>
            </w:r>
          </w:p>
        </w:tc>
        <w:tc>
          <w:tcPr>
            <w:tcW w:w="70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A BYS</w:t>
            </w:r>
          </w:p>
        </w:tc>
        <w:tc>
          <w:tcPr>
            <w:tcW w:w="50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G DOC</w:t>
            </w:r>
          </w:p>
        </w:tc>
        <w:tc>
          <w:tcPr>
            <w:tcW w:w="62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G SALUD</w:t>
            </w:r>
          </w:p>
        </w:tc>
        <w:tc>
          <w:tcPr>
            <w:tcW w:w="78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M SIGCMA</w:t>
            </w:r>
          </w:p>
        </w:tc>
        <w:tc>
          <w:tcPr>
            <w:tcW w:w="78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ADMON CARR</w:t>
            </w:r>
          </w:p>
        </w:tc>
        <w:tc>
          <w:tcPr>
            <w:tcW w:w="62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REORD</w:t>
            </w:r>
          </w:p>
        </w:tc>
        <w:tc>
          <w:tcPr>
            <w:tcW w:w="60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GFJ</w:t>
            </w:r>
          </w:p>
        </w:tc>
        <w:tc>
          <w:tcPr>
            <w:tcW w:w="50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GT</w:t>
            </w:r>
          </w:p>
        </w:tc>
        <w:tc>
          <w:tcPr>
            <w:tcW w:w="50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AL</w:t>
            </w:r>
          </w:p>
        </w:tc>
        <w:tc>
          <w:tcPr>
            <w:tcW w:w="50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GH</w:t>
            </w:r>
          </w:p>
        </w:tc>
        <w:tc>
          <w:tcPr>
            <w:tcW w:w="500" w:type="dxa"/>
            <w:tcBorders>
              <w:top w:val="single" w:sz="4" w:space="0" w:color="auto"/>
              <w:left w:val="nil"/>
              <w:bottom w:val="single" w:sz="4" w:space="0" w:color="auto"/>
              <w:right w:val="single" w:sz="4" w:space="0" w:color="auto"/>
            </w:tcBorders>
            <w:shd w:val="clear" w:color="000000" w:fill="00206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PE</w:t>
            </w:r>
          </w:p>
        </w:tc>
        <w:tc>
          <w:tcPr>
            <w:tcW w:w="560" w:type="dxa"/>
            <w:tcBorders>
              <w:top w:val="single" w:sz="4" w:space="0" w:color="auto"/>
              <w:left w:val="nil"/>
              <w:bottom w:val="single" w:sz="4" w:space="0" w:color="auto"/>
              <w:right w:val="single" w:sz="4" w:space="0" w:color="auto"/>
            </w:tcBorders>
            <w:shd w:val="clear" w:color="000000" w:fill="C00000"/>
            <w:vAlign w:val="center"/>
            <w:hideMark/>
          </w:tcPr>
          <w:p w:rsidR="004D5E89" w:rsidRPr="004D5E89" w:rsidRDefault="004D5E89" w:rsidP="004D5E89">
            <w:pPr>
              <w:jc w:val="center"/>
              <w:rPr>
                <w:rFonts w:ascii="Calibri" w:hAnsi="Calibri"/>
                <w:color w:val="FFFFFF"/>
                <w:sz w:val="18"/>
                <w:szCs w:val="18"/>
              </w:rPr>
            </w:pPr>
            <w:r w:rsidRPr="004D5E89">
              <w:rPr>
                <w:rFonts w:ascii="Calibri" w:hAnsi="Calibri"/>
                <w:color w:val="FFFFFF"/>
                <w:sz w:val="18"/>
                <w:szCs w:val="18"/>
              </w:rPr>
              <w:t>TOTAL</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rPr>
                <w:rFonts w:ascii="Calibri" w:hAnsi="Calibri"/>
                <w:sz w:val="18"/>
                <w:szCs w:val="18"/>
              </w:rPr>
            </w:pPr>
            <w:r w:rsidRPr="004D5E89">
              <w:rPr>
                <w:rFonts w:ascii="Calibri" w:hAnsi="Calibri"/>
                <w:sz w:val="18"/>
                <w:szCs w:val="18"/>
              </w:rPr>
              <w:t xml:space="preserve"> Antioquia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rPr>
                <w:rFonts w:ascii="Calibri" w:hAnsi="Calibri"/>
                <w:sz w:val="18"/>
                <w:szCs w:val="18"/>
              </w:rPr>
            </w:pPr>
            <w:r w:rsidRPr="004D5E89">
              <w:rPr>
                <w:rFonts w:ascii="Calibri" w:hAnsi="Calibri"/>
                <w:sz w:val="18"/>
                <w:szCs w:val="18"/>
              </w:rPr>
              <w:t xml:space="preserve"> Atlantico</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4</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Bogotá</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0</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Bolivar</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2</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Boyacá</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5</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Caldas</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6</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lastRenderedPageBreak/>
              <w:t>Caquetá</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Cauca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2</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4</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Cesar</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2</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2</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9</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Chocó</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2</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3</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Córdoba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3</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Guajira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Huila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3</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Magdalena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5</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Meta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0</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 xml:space="preserve"> Nariño</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0</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Nte Santander</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Quindío</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2</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3</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Risaralda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2</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Santander</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2</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2</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Sucre</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Tolima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3</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5</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sz w:val="18"/>
                <w:szCs w:val="18"/>
              </w:rPr>
            </w:pPr>
            <w:r w:rsidRPr="004D5E89">
              <w:rPr>
                <w:rFonts w:ascii="Calibri" w:hAnsi="Calibri"/>
                <w:sz w:val="18"/>
                <w:szCs w:val="18"/>
              </w:rPr>
              <w:t>Vale dell Cauca</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78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2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6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1</w:t>
            </w:r>
          </w:p>
        </w:tc>
        <w:tc>
          <w:tcPr>
            <w:tcW w:w="500" w:type="dxa"/>
            <w:tcBorders>
              <w:top w:val="nil"/>
              <w:left w:val="nil"/>
              <w:bottom w:val="single" w:sz="4" w:space="0" w:color="auto"/>
              <w:right w:val="single" w:sz="4" w:space="0" w:color="auto"/>
            </w:tcBorders>
            <w:shd w:val="clear" w:color="000000" w:fill="FFFFFF"/>
            <w:vAlign w:val="center"/>
            <w:hideMark/>
          </w:tcPr>
          <w:p w:rsidR="004D5E89" w:rsidRPr="004D5E89" w:rsidRDefault="004D5E89" w:rsidP="004D5E89">
            <w:pPr>
              <w:jc w:val="both"/>
              <w:rPr>
                <w:rFonts w:ascii="Calibri" w:hAnsi="Calibri"/>
                <w:color w:val="000000"/>
                <w:sz w:val="18"/>
                <w:szCs w:val="18"/>
              </w:rPr>
            </w:pPr>
            <w:r w:rsidRPr="004D5E89">
              <w:rPr>
                <w:rFonts w:ascii="Calibri" w:hAnsi="Calibri"/>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2</w:t>
            </w:r>
          </w:p>
        </w:tc>
      </w:tr>
      <w:tr w:rsidR="004D5E89" w:rsidRPr="004D5E89" w:rsidTr="004D5E89">
        <w:trPr>
          <w:trHeight w:val="280"/>
        </w:trPr>
        <w:tc>
          <w:tcPr>
            <w:tcW w:w="1240" w:type="dxa"/>
            <w:tcBorders>
              <w:top w:val="nil"/>
              <w:left w:val="single" w:sz="4" w:space="0" w:color="auto"/>
              <w:bottom w:val="single" w:sz="4" w:space="0" w:color="auto"/>
              <w:right w:val="single" w:sz="4" w:space="0" w:color="auto"/>
            </w:tcBorders>
            <w:shd w:val="clear" w:color="000000" w:fill="C00000"/>
            <w:vAlign w:val="center"/>
            <w:hideMark/>
          </w:tcPr>
          <w:p w:rsidR="004D5E89" w:rsidRPr="004D5E89" w:rsidRDefault="004D5E89" w:rsidP="004D5E89">
            <w:pPr>
              <w:jc w:val="center"/>
              <w:rPr>
                <w:rFonts w:ascii="Calibri" w:hAnsi="Calibri"/>
                <w:b/>
                <w:bCs/>
                <w:color w:val="FFFFFF"/>
                <w:sz w:val="18"/>
                <w:szCs w:val="18"/>
              </w:rPr>
            </w:pPr>
            <w:r w:rsidRPr="004D5E89">
              <w:rPr>
                <w:rFonts w:ascii="Calibri" w:hAnsi="Calibri"/>
                <w:b/>
                <w:bCs/>
                <w:color w:val="FFFFFF"/>
                <w:sz w:val="18"/>
                <w:szCs w:val="18"/>
              </w:rPr>
              <w:t>Por Numeral</w:t>
            </w:r>
          </w:p>
        </w:tc>
        <w:tc>
          <w:tcPr>
            <w:tcW w:w="70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5</w:t>
            </w:r>
          </w:p>
        </w:tc>
        <w:tc>
          <w:tcPr>
            <w:tcW w:w="70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2</w:t>
            </w:r>
          </w:p>
        </w:tc>
        <w:tc>
          <w:tcPr>
            <w:tcW w:w="50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2</w:t>
            </w:r>
          </w:p>
        </w:tc>
        <w:tc>
          <w:tcPr>
            <w:tcW w:w="62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11</w:t>
            </w:r>
          </w:p>
        </w:tc>
        <w:tc>
          <w:tcPr>
            <w:tcW w:w="78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8</w:t>
            </w:r>
          </w:p>
        </w:tc>
        <w:tc>
          <w:tcPr>
            <w:tcW w:w="78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5</w:t>
            </w:r>
          </w:p>
        </w:tc>
        <w:tc>
          <w:tcPr>
            <w:tcW w:w="62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12</w:t>
            </w:r>
          </w:p>
        </w:tc>
        <w:tc>
          <w:tcPr>
            <w:tcW w:w="60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3</w:t>
            </w:r>
          </w:p>
        </w:tc>
        <w:tc>
          <w:tcPr>
            <w:tcW w:w="50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3</w:t>
            </w:r>
          </w:p>
        </w:tc>
        <w:tc>
          <w:tcPr>
            <w:tcW w:w="50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3</w:t>
            </w:r>
          </w:p>
        </w:tc>
        <w:tc>
          <w:tcPr>
            <w:tcW w:w="50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6</w:t>
            </w:r>
          </w:p>
        </w:tc>
        <w:tc>
          <w:tcPr>
            <w:tcW w:w="50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bottom"/>
            <w:hideMark/>
          </w:tcPr>
          <w:p w:rsidR="004D5E89" w:rsidRPr="004D5E89" w:rsidRDefault="004D5E89" w:rsidP="004D5E89">
            <w:pPr>
              <w:jc w:val="center"/>
              <w:rPr>
                <w:rFonts w:ascii="Calibri" w:hAnsi="Calibri"/>
                <w:color w:val="000000"/>
                <w:sz w:val="18"/>
                <w:szCs w:val="18"/>
              </w:rPr>
            </w:pPr>
            <w:r w:rsidRPr="004D5E89">
              <w:rPr>
                <w:rFonts w:ascii="Calibri" w:hAnsi="Calibri"/>
                <w:color w:val="000000"/>
                <w:sz w:val="18"/>
                <w:szCs w:val="18"/>
              </w:rPr>
              <w:t>63</w:t>
            </w:r>
          </w:p>
        </w:tc>
      </w:tr>
    </w:tbl>
    <w:p w:rsidR="004D5E89" w:rsidRDefault="004D5E89" w:rsidP="00EE64AA">
      <w:pPr>
        <w:pStyle w:val="CUERPOTEXTO"/>
      </w:pPr>
    </w:p>
    <w:p w:rsidR="00EE64AA" w:rsidRDefault="00EE64AA" w:rsidP="00EE64AA">
      <w:pPr>
        <w:pStyle w:val="CUERPOTEXTO"/>
      </w:pPr>
    </w:p>
    <w:p w:rsidR="00CB6C04" w:rsidRPr="00CB6C04" w:rsidRDefault="00FB6C2F" w:rsidP="00CB6C04">
      <w:pPr>
        <w:pStyle w:val="CUERPOTEXTO"/>
        <w:numPr>
          <w:ilvl w:val="0"/>
          <w:numId w:val="35"/>
        </w:numPr>
        <w:outlineLvl w:val="0"/>
        <w:rPr>
          <w:b/>
          <w:color w:val="0070C0"/>
          <w:sz w:val="28"/>
          <w:szCs w:val="28"/>
        </w:rPr>
      </w:pPr>
      <w:bookmarkStart w:id="5" w:name="_Toc436002475"/>
      <w:r>
        <w:rPr>
          <w:b/>
          <w:color w:val="0070C0"/>
          <w:sz w:val="28"/>
          <w:szCs w:val="28"/>
        </w:rPr>
        <w:t>CONFORMIDAD DEL PRODUCTO Y/O SERVICIO</w:t>
      </w:r>
      <w:r w:rsidR="00CB6C04" w:rsidRPr="00CB6C04">
        <w:rPr>
          <w:b/>
          <w:color w:val="0070C0"/>
          <w:sz w:val="28"/>
          <w:szCs w:val="28"/>
        </w:rPr>
        <w:t>:</w:t>
      </w:r>
      <w:bookmarkEnd w:id="5"/>
      <w:r w:rsidR="00CB6C04" w:rsidRPr="00CB6C04">
        <w:rPr>
          <w:b/>
          <w:color w:val="0070C0"/>
          <w:sz w:val="28"/>
          <w:szCs w:val="28"/>
        </w:rPr>
        <w:t xml:space="preserve"> </w:t>
      </w:r>
    </w:p>
    <w:p w:rsidR="00CB6C04" w:rsidRDefault="00CB6C04" w:rsidP="00CB6C04">
      <w:pPr>
        <w:pStyle w:val="CUERPOTEXTO"/>
        <w:pBdr>
          <w:bottom w:val="single" w:sz="4" w:space="1" w:color="auto"/>
        </w:pBdr>
      </w:pPr>
    </w:p>
    <w:p w:rsidR="00CB6C04" w:rsidRDefault="00CB6C04" w:rsidP="00CB6C04">
      <w:pPr>
        <w:pStyle w:val="CUERPOTEXTO"/>
      </w:pPr>
    </w:p>
    <w:p w:rsidR="00CB6C04" w:rsidRDefault="00CB6C04" w:rsidP="00C43703">
      <w:pPr>
        <w:pStyle w:val="CUERPOTEXTO"/>
      </w:pPr>
      <w:r>
        <w:t xml:space="preserve">De la mayor importancia resulta entender que las decisiones finales sobre la mayoría de los  productos y servicios se reflejan en el nivel central.  Esta situación se entiende puesto que la Sala Administrativa y la Dirección Ejecutiva son órganos desconcentrados no descentralizados. </w:t>
      </w:r>
    </w:p>
    <w:p w:rsidR="00CB6C04" w:rsidRDefault="00CB6C04" w:rsidP="00C43703">
      <w:pPr>
        <w:pStyle w:val="CUERPOTEXTO"/>
      </w:pPr>
    </w:p>
    <w:p w:rsidR="00CB6C04" w:rsidRDefault="00EC2704" w:rsidP="00C43703">
      <w:pPr>
        <w:pStyle w:val="CUERPOTEXTO"/>
      </w:pPr>
      <w:r>
        <w:t>De otra parte es importante señalar que la cantidad de productos o servicios no conformes que se presentan en la organización son realmente pocos.  A manera de ejemplo para lo corrido del 2015 en todo el país se han producido un total de veintisiete (27), situación que debe entenderse en el sentido que se trata de requisitos legales que la organización está obligada a cumplir y que de no hacerlo puede llegar a genera sanciones disciplinarias, fiscales o incluso penales.</w:t>
      </w:r>
    </w:p>
    <w:p w:rsidR="00EC2704" w:rsidRDefault="00EC2704" w:rsidP="00C43703">
      <w:pPr>
        <w:pStyle w:val="CUERPOTEXTO"/>
      </w:pPr>
    </w:p>
    <w:p w:rsidR="00EC2704" w:rsidRDefault="00EC2704" w:rsidP="00C43703">
      <w:pPr>
        <w:pStyle w:val="CUERPOTEXTO"/>
      </w:pPr>
      <w:r>
        <w:t xml:space="preserve">El cuadro siguiente muestra la relación de los productos o servicios no conformes presentados durante el 2015.  </w:t>
      </w:r>
    </w:p>
    <w:p w:rsidR="00EC2704" w:rsidRDefault="00EC2704" w:rsidP="00C43703">
      <w:pPr>
        <w:pStyle w:val="CUERPOTEXTO"/>
      </w:pPr>
    </w:p>
    <w:p w:rsidR="00EC2704" w:rsidRDefault="00EC2704" w:rsidP="00C43703">
      <w:pPr>
        <w:pStyle w:val="CUERPOTEXTO"/>
      </w:pPr>
      <w:r>
        <w:t xml:space="preserve">Algunas conclusiones son importantes considerar.  Por un lado el proceso que más presenta productos no conformes es el de Administración de la Carrera Judicial, siendo de más del 50% respecto al total de hallazgos. Esto se entiende pues el volumen de ciudadanos y servidores judiciales que se presentan a un concurso de </w:t>
      </w:r>
      <w:r>
        <w:lastRenderedPageBreak/>
        <w:t xml:space="preserve">selección sobrepasa en ocasiones la capacidad instalada de la organización. Sin embargo el número de no conformes es bastante bajo (0.00023%)  si se compara con el total de productos que arroja este proceso. </w:t>
      </w:r>
    </w:p>
    <w:p w:rsidR="00EC2704" w:rsidRDefault="00EC2704" w:rsidP="00C43703">
      <w:pPr>
        <w:pStyle w:val="CUERPOTEXTO"/>
      </w:pPr>
    </w:p>
    <w:p w:rsidR="00CB6C04" w:rsidRDefault="00CB6C04" w:rsidP="00C43703">
      <w:pPr>
        <w:pStyle w:val="CUERPOTEXTO"/>
      </w:pPr>
    </w:p>
    <w:tbl>
      <w:tblPr>
        <w:tblW w:w="5000" w:type="pct"/>
        <w:tblCellMar>
          <w:left w:w="70" w:type="dxa"/>
          <w:right w:w="70" w:type="dxa"/>
        </w:tblCellMar>
        <w:tblLook w:val="04A0" w:firstRow="1" w:lastRow="0" w:firstColumn="1" w:lastColumn="0" w:noHBand="0" w:noVBand="1"/>
      </w:tblPr>
      <w:tblGrid>
        <w:gridCol w:w="372"/>
        <w:gridCol w:w="823"/>
        <w:gridCol w:w="1796"/>
        <w:gridCol w:w="1324"/>
        <w:gridCol w:w="901"/>
        <w:gridCol w:w="1858"/>
        <w:gridCol w:w="891"/>
        <w:gridCol w:w="863"/>
      </w:tblGrid>
      <w:tr w:rsidR="00CB6C04" w:rsidRPr="00CB6C04" w:rsidTr="00CB6C04">
        <w:trPr>
          <w:trHeight w:val="301"/>
          <w:tblHeader/>
        </w:trPr>
        <w:tc>
          <w:tcPr>
            <w:tcW w:w="171"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CB6C04" w:rsidRPr="00CB6C04" w:rsidRDefault="00CB6C04" w:rsidP="00CB6C04">
            <w:pPr>
              <w:jc w:val="center"/>
              <w:rPr>
                <w:rFonts w:ascii="Arial" w:hAnsi="Arial" w:cs="Arial"/>
                <w:b/>
                <w:bCs/>
                <w:color w:val="FFFFFF"/>
                <w:sz w:val="18"/>
                <w:szCs w:val="18"/>
              </w:rPr>
            </w:pPr>
            <w:r w:rsidRPr="00CB6C04">
              <w:rPr>
                <w:rFonts w:ascii="Arial" w:hAnsi="Arial" w:cs="Arial"/>
                <w:b/>
                <w:bCs/>
                <w:color w:val="FFFFFF"/>
                <w:sz w:val="18"/>
                <w:szCs w:val="18"/>
              </w:rPr>
              <w:t>No</w:t>
            </w:r>
          </w:p>
        </w:tc>
        <w:tc>
          <w:tcPr>
            <w:tcW w:w="384" w:type="pct"/>
            <w:tcBorders>
              <w:top w:val="single" w:sz="4" w:space="0" w:color="auto"/>
              <w:left w:val="nil"/>
              <w:bottom w:val="single" w:sz="4" w:space="0" w:color="auto"/>
              <w:right w:val="single" w:sz="4" w:space="0" w:color="auto"/>
            </w:tcBorders>
            <w:shd w:val="clear" w:color="000000" w:fill="002060"/>
            <w:vAlign w:val="center"/>
            <w:hideMark/>
          </w:tcPr>
          <w:p w:rsidR="00CB6C04" w:rsidRPr="00CB6C04" w:rsidRDefault="00CB6C04" w:rsidP="00CB6C04">
            <w:pPr>
              <w:jc w:val="center"/>
              <w:rPr>
                <w:rFonts w:ascii="Arial" w:hAnsi="Arial" w:cs="Arial"/>
                <w:b/>
                <w:bCs/>
                <w:color w:val="FFFFFF"/>
                <w:sz w:val="18"/>
                <w:szCs w:val="18"/>
              </w:rPr>
            </w:pPr>
            <w:r w:rsidRPr="00CB6C04">
              <w:rPr>
                <w:rFonts w:ascii="Arial" w:hAnsi="Arial" w:cs="Arial"/>
                <w:b/>
                <w:bCs/>
                <w:color w:val="FFFFFF"/>
                <w:sz w:val="18"/>
                <w:szCs w:val="18"/>
              </w:rPr>
              <w:t>No ACCIÓN</w:t>
            </w:r>
          </w:p>
        </w:tc>
        <w:tc>
          <w:tcPr>
            <w:tcW w:w="840" w:type="pct"/>
            <w:tcBorders>
              <w:top w:val="single" w:sz="4" w:space="0" w:color="auto"/>
              <w:left w:val="nil"/>
              <w:bottom w:val="single" w:sz="4" w:space="0" w:color="auto"/>
              <w:right w:val="single" w:sz="4" w:space="0" w:color="auto"/>
            </w:tcBorders>
            <w:shd w:val="clear" w:color="000000" w:fill="002060"/>
            <w:vAlign w:val="center"/>
            <w:hideMark/>
          </w:tcPr>
          <w:p w:rsidR="00CB6C04" w:rsidRPr="00CB6C04" w:rsidRDefault="00CB6C04" w:rsidP="00CB6C04">
            <w:pPr>
              <w:jc w:val="center"/>
              <w:rPr>
                <w:rFonts w:ascii="Arial" w:hAnsi="Arial" w:cs="Arial"/>
                <w:b/>
                <w:bCs/>
                <w:color w:val="FFFFFF"/>
                <w:sz w:val="18"/>
                <w:szCs w:val="18"/>
              </w:rPr>
            </w:pPr>
            <w:r w:rsidRPr="00CB6C04">
              <w:rPr>
                <w:rFonts w:ascii="Arial" w:hAnsi="Arial" w:cs="Arial"/>
                <w:b/>
                <w:bCs/>
                <w:color w:val="FFFFFF"/>
                <w:sz w:val="18"/>
                <w:szCs w:val="18"/>
              </w:rPr>
              <w:t>PROCESO</w:t>
            </w:r>
          </w:p>
        </w:tc>
        <w:tc>
          <w:tcPr>
            <w:tcW w:w="619" w:type="pct"/>
            <w:tcBorders>
              <w:top w:val="single" w:sz="4" w:space="0" w:color="auto"/>
              <w:left w:val="nil"/>
              <w:bottom w:val="single" w:sz="4" w:space="0" w:color="auto"/>
              <w:right w:val="single" w:sz="4" w:space="0" w:color="auto"/>
            </w:tcBorders>
            <w:shd w:val="clear" w:color="000000" w:fill="002060"/>
            <w:vAlign w:val="center"/>
            <w:hideMark/>
          </w:tcPr>
          <w:p w:rsidR="00CB6C04" w:rsidRPr="00CB6C04" w:rsidRDefault="00CB6C04" w:rsidP="00CB6C04">
            <w:pPr>
              <w:jc w:val="center"/>
              <w:rPr>
                <w:rFonts w:ascii="Arial" w:hAnsi="Arial" w:cs="Arial"/>
                <w:b/>
                <w:bCs/>
                <w:color w:val="FFFFFF"/>
                <w:sz w:val="18"/>
                <w:szCs w:val="18"/>
              </w:rPr>
            </w:pPr>
            <w:r w:rsidRPr="00CB6C04">
              <w:rPr>
                <w:rFonts w:ascii="Arial" w:hAnsi="Arial" w:cs="Arial"/>
                <w:b/>
                <w:bCs/>
                <w:color w:val="FFFFFF"/>
                <w:sz w:val="18"/>
                <w:szCs w:val="18"/>
              </w:rPr>
              <w:t>GENERADA POR</w:t>
            </w:r>
          </w:p>
        </w:tc>
        <w:tc>
          <w:tcPr>
            <w:tcW w:w="492" w:type="pct"/>
            <w:tcBorders>
              <w:top w:val="single" w:sz="4" w:space="0" w:color="auto"/>
              <w:left w:val="nil"/>
              <w:bottom w:val="single" w:sz="4" w:space="0" w:color="auto"/>
              <w:right w:val="single" w:sz="4" w:space="0" w:color="auto"/>
            </w:tcBorders>
            <w:shd w:val="clear" w:color="000000" w:fill="002060"/>
            <w:vAlign w:val="center"/>
            <w:hideMark/>
          </w:tcPr>
          <w:p w:rsidR="00CB6C04" w:rsidRPr="00CB6C04" w:rsidRDefault="00CB6C04" w:rsidP="00CB6C04">
            <w:pPr>
              <w:jc w:val="center"/>
              <w:rPr>
                <w:rFonts w:ascii="Arial" w:hAnsi="Arial" w:cs="Arial"/>
                <w:b/>
                <w:bCs/>
                <w:color w:val="FFFFFF"/>
                <w:sz w:val="18"/>
                <w:szCs w:val="18"/>
              </w:rPr>
            </w:pPr>
            <w:r w:rsidRPr="00CB6C04">
              <w:rPr>
                <w:rFonts w:ascii="Arial" w:hAnsi="Arial" w:cs="Arial"/>
                <w:b/>
                <w:bCs/>
                <w:color w:val="FFFFFF"/>
                <w:sz w:val="18"/>
                <w:szCs w:val="18"/>
              </w:rPr>
              <w:t>CLASE</w:t>
            </w:r>
          </w:p>
        </w:tc>
        <w:tc>
          <w:tcPr>
            <w:tcW w:w="1593" w:type="pct"/>
            <w:tcBorders>
              <w:top w:val="single" w:sz="4" w:space="0" w:color="auto"/>
              <w:left w:val="nil"/>
              <w:bottom w:val="single" w:sz="4" w:space="0" w:color="auto"/>
              <w:right w:val="single" w:sz="4" w:space="0" w:color="auto"/>
            </w:tcBorders>
            <w:shd w:val="clear" w:color="000000" w:fill="002060"/>
            <w:vAlign w:val="center"/>
            <w:hideMark/>
          </w:tcPr>
          <w:p w:rsidR="00CB6C04" w:rsidRPr="00CB6C04" w:rsidRDefault="00CB6C04" w:rsidP="00CB6C04">
            <w:pPr>
              <w:jc w:val="center"/>
              <w:rPr>
                <w:rFonts w:ascii="Arial" w:hAnsi="Arial" w:cs="Arial"/>
                <w:b/>
                <w:bCs/>
                <w:color w:val="FFFFFF"/>
                <w:sz w:val="18"/>
                <w:szCs w:val="18"/>
              </w:rPr>
            </w:pPr>
            <w:r w:rsidRPr="00CB6C04">
              <w:rPr>
                <w:rFonts w:ascii="Arial" w:hAnsi="Arial" w:cs="Arial"/>
                <w:b/>
                <w:bCs/>
                <w:color w:val="FFFFFF"/>
                <w:sz w:val="18"/>
                <w:szCs w:val="18"/>
              </w:rPr>
              <w:t>HALLAZGO</w:t>
            </w:r>
          </w:p>
        </w:tc>
        <w:tc>
          <w:tcPr>
            <w:tcW w:w="416" w:type="pct"/>
            <w:tcBorders>
              <w:top w:val="single" w:sz="4" w:space="0" w:color="auto"/>
              <w:left w:val="nil"/>
              <w:bottom w:val="single" w:sz="4" w:space="0" w:color="auto"/>
              <w:right w:val="single" w:sz="4" w:space="0" w:color="auto"/>
            </w:tcBorders>
            <w:shd w:val="clear" w:color="000000" w:fill="002060"/>
            <w:vAlign w:val="center"/>
            <w:hideMark/>
          </w:tcPr>
          <w:p w:rsidR="00CB6C04" w:rsidRPr="00CB6C04" w:rsidRDefault="00CB6C04" w:rsidP="00CB6C04">
            <w:pPr>
              <w:jc w:val="center"/>
              <w:rPr>
                <w:rFonts w:ascii="Arial" w:hAnsi="Arial" w:cs="Arial"/>
                <w:b/>
                <w:bCs/>
                <w:color w:val="FFFFFF"/>
                <w:sz w:val="18"/>
                <w:szCs w:val="18"/>
              </w:rPr>
            </w:pPr>
            <w:r w:rsidRPr="00CB6C04">
              <w:rPr>
                <w:rFonts w:ascii="Arial" w:hAnsi="Arial" w:cs="Arial"/>
                <w:b/>
                <w:bCs/>
                <w:color w:val="FFFFFF"/>
                <w:sz w:val="18"/>
                <w:szCs w:val="18"/>
              </w:rPr>
              <w:t>TIPO</w:t>
            </w:r>
          </w:p>
        </w:tc>
        <w:tc>
          <w:tcPr>
            <w:tcW w:w="486" w:type="pct"/>
            <w:tcBorders>
              <w:top w:val="single" w:sz="4" w:space="0" w:color="auto"/>
              <w:left w:val="nil"/>
              <w:bottom w:val="single" w:sz="4" w:space="0" w:color="auto"/>
              <w:right w:val="single" w:sz="4" w:space="0" w:color="auto"/>
            </w:tcBorders>
            <w:shd w:val="clear" w:color="000000" w:fill="002060"/>
            <w:vAlign w:val="center"/>
            <w:hideMark/>
          </w:tcPr>
          <w:p w:rsidR="00CB6C04" w:rsidRPr="00CB6C04" w:rsidRDefault="00CB6C04" w:rsidP="00CB6C04">
            <w:pPr>
              <w:jc w:val="center"/>
              <w:rPr>
                <w:rFonts w:ascii="Arial" w:hAnsi="Arial" w:cs="Arial"/>
                <w:b/>
                <w:bCs/>
                <w:color w:val="FFFFFF"/>
                <w:sz w:val="18"/>
                <w:szCs w:val="18"/>
              </w:rPr>
            </w:pPr>
            <w:r w:rsidRPr="00CB6C04">
              <w:rPr>
                <w:rFonts w:ascii="Arial" w:hAnsi="Arial" w:cs="Arial"/>
                <w:b/>
                <w:bCs/>
                <w:color w:val="FFFFFF"/>
                <w:sz w:val="18"/>
                <w:szCs w:val="18"/>
              </w:rPr>
              <w:t>ESTADO</w:t>
            </w:r>
          </w:p>
        </w:tc>
      </w:tr>
      <w:tr w:rsidR="00CB6C04" w:rsidRPr="00CB6C04" w:rsidTr="00CB6C04">
        <w:trPr>
          <w:trHeight w:val="3944"/>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1</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8971</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15" w:history="1">
              <w:r w:rsidRPr="00CB6C04">
                <w:rPr>
                  <w:rFonts w:ascii="Calibri" w:hAnsi="Calibri"/>
                  <w:sz w:val="18"/>
                  <w:szCs w:val="18"/>
                </w:rPr>
                <w:t xml:space="preserve">En el procedimiento de Administracin de Carrera Judicial, se puede evidenciar como un producto no conforme la posibilidad de la suspensión parcial o definitiva del proceso de selecciónpor concurso de méritos producto de una desición de carcter judicial. en este sentido se requiere hacer el respectivo seguimiento a través de la pagina web institucional, considerando que la desición judicial constituye un evento externo que la institución no puede manejar.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1602"/>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2</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8977</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REGISTRO Y CONTROL DE ABOGADOS Y AUXILIARES DE JUSTICIA</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16" w:history="1">
              <w:r w:rsidRPr="00CB6C04">
                <w:rPr>
                  <w:rFonts w:ascii="Calibri" w:hAnsi="Calibri"/>
                  <w:sz w:val="18"/>
                  <w:szCs w:val="18"/>
                </w:rPr>
                <w:t xml:space="preserve">La tarjeta profesional No. 252864 remitida con OFICIO No. URNA 209 recibida el 12 de marzo2015, presenta error en el segundo nombre del Abogado que aparece como ARATURO, el nombre correcto es CARLOS ARTURO GRAJALES VASCO.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289"/>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3</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8978</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17" w:history="1">
              <w:r w:rsidRPr="00CB6C04">
                <w:rPr>
                  <w:rFonts w:ascii="Calibri" w:hAnsi="Calibri"/>
                  <w:sz w:val="18"/>
                  <w:szCs w:val="18"/>
                </w:rPr>
                <w:t xml:space="preserve">Al momento de consolidar el puntaje del factor eficiencia o rendimiento de la calificación del doctor MIGUEL HERNANDO RODRIGUEZ MORENo, Juez Promiscuo Municipal de Tibasosa, en propiedad, se incurrió en error al momento de realizar la ponderación.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3697"/>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4</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9035</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REGISTRO Y CONTROL DE ABOGADOS Y AUXILIARES DE JUSTICIA</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18" w:history="1">
              <w:r w:rsidRPr="00CB6C04">
                <w:rPr>
                  <w:rFonts w:ascii="Calibri" w:hAnsi="Calibri"/>
                  <w:sz w:val="18"/>
                  <w:szCs w:val="18"/>
                </w:rPr>
                <w:t xml:space="preserve">En vista de la queja No.8415, radicada por una usuaria en el formato de encuesta del Registro Nacional de Abogados, sobre el extravío de las fotografías 3x4 en la oficina de la Sala Administrativa Seccional, el comité identificó la necesidad de incluir al procedimiento de trámite para la expedición de la tarjeta profesional otras actividades adicionales que garanticen el control de la documentación recepcionada previo envío.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1602"/>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5</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9053</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REGISTRO Y CONTROL DE ABOGADOS Y AUXILIARES DE JUSTICIA</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19" w:history="1">
              <w:r w:rsidRPr="00CB6C04">
                <w:rPr>
                  <w:rFonts w:ascii="Calibri" w:hAnsi="Calibri"/>
                  <w:sz w:val="18"/>
                  <w:szCs w:val="18"/>
                </w:rPr>
                <w:t xml:space="preserve">la Resolución N 2369 del 29 de Abril de 2015 por medio de la cual se reconoce la Práctica de la Judicatura del señor JOSE LUIS ALVAREZ ZULUAGA, con la cédula de ciudadanía número 1.053.815.241 de Manizales, tiene un error en la aceptación de la Judicatura, debido que la Universiad donde terminó los estudios, no corresponde a la FUNDACION UNIVERSITARIA AGRARIA DE COLOMBIA como lo menciona dicha resolución, la informacion correcta es UNIVERSIDAD DE MANIZALES.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3128"/>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6</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9133</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REGISTRO Y CONTROL DE ABOGADOS Y AUXILIARES DE JUSTICIA</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0" w:history="1">
              <w:r w:rsidRPr="00CB6C04">
                <w:rPr>
                  <w:rFonts w:ascii="Calibri" w:hAnsi="Calibri"/>
                  <w:sz w:val="18"/>
                  <w:szCs w:val="18"/>
                </w:rPr>
                <w:t xml:space="preserve">En el proceso de Registro y Control de Abogados y Auxiliares de la Justicia se puede evidenciar como una mala prestación del servicio la tardanza en el reclamo de las tarjetas profesionales, licencias temporales y reconocimiento de la práctica jurídica. Lo anterior debido a que los interesados luego de hacer la solicitud de estos documentos, no vienen a retirarlos.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3085"/>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7</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9241</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REORDENAMIENTO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1" w:history="1">
              <w:r w:rsidRPr="00CB6C04">
                <w:rPr>
                  <w:rFonts w:ascii="Calibri" w:hAnsi="Calibri"/>
                  <w:sz w:val="18"/>
                  <w:szCs w:val="18"/>
                </w:rPr>
                <w:t xml:space="preserve">El Acuerdo CSBTA15 414 por medio de la cual se autorizó el cierre extraordinario del Juzgado 8 Civil municipal de descongestión de Bogotá para su traslado del Edificio San Remo a la Sede judicial Camacol, sin embargo las fechas de cierre indicadas en el Acto administrativo eran incorrectas por no corresponder a las fechas previamente pactadas con la Dirección Ejecutiva.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1602"/>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8</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9243</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2" w:history="1">
              <w:r w:rsidRPr="00CB6C04">
                <w:rPr>
                  <w:rFonts w:ascii="Calibri" w:hAnsi="Calibri"/>
                  <w:sz w:val="18"/>
                  <w:szCs w:val="18"/>
                </w:rPr>
                <w:t xml:space="preserve">En la Calificación integral de Servicios de 2014 de la Juez Edna Lizarazo, Juez 27 Laboral, se indicó el numero de cédula incorrecto.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483"/>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9244</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3" w:history="1">
              <w:r w:rsidRPr="00CB6C04">
                <w:rPr>
                  <w:rFonts w:ascii="Calibri" w:hAnsi="Calibri"/>
                  <w:sz w:val="18"/>
                  <w:szCs w:val="18"/>
                </w:rPr>
                <w:t xml:space="preserve">En visita realizada al Juzgado 2 Civil Circuito, para obtener la calificación del factor Organización, la información de la planta que tenía la Magistrada no correspondía a la realidad del despacho, debido a que la escribiente en </w:t>
              </w:r>
              <w:r w:rsidRPr="00CB6C04">
                <w:rPr>
                  <w:rFonts w:ascii="Calibri" w:hAnsi="Calibri"/>
                  <w:sz w:val="18"/>
                  <w:szCs w:val="18"/>
                </w:rPr>
                <w:lastRenderedPageBreak/>
                <w:t xml:space="preserve">propiedad se había trasladado al 15 Civil circuito.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1999"/>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10</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9256</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4" w:history="1">
              <w:r w:rsidRPr="00CB6C04">
                <w:rPr>
                  <w:rFonts w:ascii="Calibri" w:hAnsi="Calibri"/>
                  <w:sz w:val="18"/>
                  <w:szCs w:val="18"/>
                </w:rPr>
                <w:t xml:space="preserve">La Calificación integral de servicios del funcionario Raúl Santacruz López del Juzgado 5 Penal circuito de conocimiento se indicaba un puntaje alto para la categoría Excelente sin embargo por error se indicó la categoría Bueno.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397"/>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11</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9257</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5" w:history="1">
              <w:r w:rsidRPr="00CB6C04">
                <w:rPr>
                  <w:rFonts w:ascii="Calibri" w:hAnsi="Calibri"/>
                  <w:sz w:val="18"/>
                  <w:szCs w:val="18"/>
                </w:rPr>
                <w:t xml:space="preserve">El permiso de estudio otorgado por esta Sala Seccional al Doctor Hernando Díaz Franco Juez 14 Penal Municipal de Garantías el 7 de enero de 2015, indicaba una fecha incorrecta de la Sala de aprobación del permiso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429"/>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12</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9258</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6" w:history="1">
              <w:r w:rsidRPr="00CB6C04">
                <w:rPr>
                  <w:rFonts w:ascii="Calibri" w:hAnsi="Calibri"/>
                  <w:sz w:val="18"/>
                  <w:szCs w:val="18"/>
                </w:rPr>
                <w:t xml:space="preserve">Al realizar una verificación de los vacantes publicadas se encontró que algunos cargos no fueron publicados para el mes de Julio, como fue el caso para el cargo de Conductor grado 06, Citador circuito Juzgados 1, 3, 4, 24, 29 y el Juzgado Laboral 31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837"/>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13</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9273</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REORDENAMIENTO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7" w:history="1">
              <w:r w:rsidRPr="00CB6C04">
                <w:rPr>
                  <w:rFonts w:ascii="Calibri" w:hAnsi="Calibri"/>
                  <w:sz w:val="18"/>
                  <w:szCs w:val="18"/>
                </w:rPr>
                <w:t xml:space="preserve">Se modifica el acuerdo N. PSAA1410282 por el acuerdo N. PSAA151028 por el cual se aclara el Numeral 33 del Literal A del Artículo 1 del Acuerdo No. PSAA1410282 de 2014, en el sentido de señalar que los Juzgados Laborales de Pequeñas Causas de Descongestión de Bogotá que se prorrogan son el 1, 2, 3, 704 y 705 y la vigencia es a 31 de diciembre de 2014.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Central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1602"/>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14</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9274</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REORDENAMIENTO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8" w:history="1">
              <w:r w:rsidRPr="00CB6C04">
                <w:rPr>
                  <w:rFonts w:ascii="Calibri" w:hAnsi="Calibri"/>
                  <w:sz w:val="18"/>
                  <w:szCs w:val="18"/>
                </w:rPr>
                <w:t xml:space="preserve">Se modifica el acuerdo PSAA1510288 por el acuerdo PSAA1510311 por el cual se aclara que el cargo de Escribiente de Descongestión prorrogado mediante el numeral 70 del literal B del Artículo 11 del Acuerdo PSAA1510288 corresponde a la Secretaría de la Sala Civil Familia del Tribunal Superior de Antioquia.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Central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4009"/>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15</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9276</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REORDENAMIENTO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29" w:history="1">
              <w:r w:rsidRPr="00CB6C04">
                <w:rPr>
                  <w:rFonts w:ascii="Calibri" w:hAnsi="Calibri"/>
                  <w:sz w:val="18"/>
                  <w:szCs w:val="18"/>
                </w:rPr>
                <w:t xml:space="preserve">modifica el acuerdo PSAA1410288 por el acuerdo PSAA1510296 por medio del cual se aclara el numeral 3 del literal b) del numeral 1 del literal J. ALTAS CORTES del Acuerdo PSAA1410288 de 2015, por cuanto dicho cargo de Magistrado Auxiliar de Sección en la Sección Tercera del Consejo de Estado se creó en el numeral 9 del artículo 13 del mismo Acuerdo, por consiguiente, es un solo cargo además el numeral 10 del Artículo 13, en el sentido de indicar que el cargo </w:t>
              </w:r>
              <w:r w:rsidRPr="00CB6C04">
                <w:rPr>
                  <w:rFonts w:ascii="Calibri" w:hAnsi="Calibri"/>
                  <w:sz w:val="18"/>
                  <w:szCs w:val="18"/>
                </w:rPr>
                <w:lastRenderedPageBreak/>
                <w:t xml:space="preserve">creado corresponde a un Sustanciador.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Central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1602"/>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16</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9277</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REORDENAMIENTO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0" w:history="1">
              <w:r w:rsidRPr="00CB6C04">
                <w:rPr>
                  <w:rFonts w:ascii="Calibri" w:hAnsi="Calibri"/>
                  <w:sz w:val="18"/>
                  <w:szCs w:val="18"/>
                </w:rPr>
                <w:t xml:space="preserve">se adiciona al acuerdo al PSAA1410278 y se modifica en el acuerdo PSAA1510316 por el cual se adicionalmente, la Sala Administrativa del Consejo Seccional de la Judicatura de Bogotá, queda facultada para reasignar los expedientes de tutela a cargo del referido despacho en donde cursan incidentes de desacato, de manera equitativa entre sus pares.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Central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4460"/>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17</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9278</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REORDENAMIENTO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1" w:history="1">
              <w:r w:rsidRPr="00CB6C04">
                <w:rPr>
                  <w:rFonts w:ascii="Calibri" w:hAnsi="Calibri"/>
                  <w:sz w:val="18"/>
                  <w:szCs w:val="18"/>
                </w:rPr>
                <w:t xml:space="preserve">modifica el acuerdo PSAA1510356 por el acuerdo PSAA1510357. Modificar el artículo 15 del Acuerdo No. PSAA1510356 de mayo 29 de 2015, el cual quedará así: ARTÍCULO 15. Remisión de Procesos en el Tribunal Administrativo de Boyacá. A partir del 1 de junio de 2015, los despachos de los Señores Magistrados 704 y 705 de descongestión en el Tribunal Administrativo de Boyacá tendrán competencia mixta, es decir, tramitarán procesos del sistema escrito y oral y Conformación de las salas de decisión en el Tribunal Administrativo de Boyacá.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Central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730"/>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18</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9351</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2" w:history="1">
              <w:r w:rsidRPr="00CB6C04">
                <w:rPr>
                  <w:rFonts w:ascii="Calibri" w:hAnsi="Calibri"/>
                  <w:sz w:val="18"/>
                  <w:szCs w:val="18"/>
                </w:rPr>
                <w:t xml:space="preserve">Contra la Resolución N PSAR15014 del 1 de julio de 2015 se instauraron 6 recursos de Reposición dado que los puntajes de las entrevistas no se veían reflejados en la consolidación de la puntuación. estos puntajes no fueron consolidados por que la información que llego del Nivel Central no contenía dicha puntuación.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EEEEEE"/>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Abierta</w:t>
            </w:r>
          </w:p>
        </w:tc>
      </w:tr>
      <w:tr w:rsidR="00CB6C04" w:rsidRPr="00CB6C04" w:rsidTr="00CB6C04">
        <w:trPr>
          <w:trHeight w:val="2311"/>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19</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9352</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3" w:history="1">
              <w:r w:rsidRPr="00CB6C04">
                <w:rPr>
                  <w:rFonts w:ascii="Calibri" w:hAnsi="Calibri"/>
                  <w:sz w:val="18"/>
                  <w:szCs w:val="18"/>
                </w:rPr>
                <w:t xml:space="preserve">Contra la Resolución PSAA14042 por medio de la cual se publicaron los resultados reportados por La Unidad De carrera a Este Distrito Judicial correspondientes a la Prueba de Conocimiento para cargo de empleados de Tribunales, Juzgados y Centros de Servicios </w:t>
              </w:r>
              <w:r w:rsidRPr="00CB6C04">
                <w:rPr>
                  <w:rFonts w:ascii="Calibri" w:hAnsi="Calibri"/>
                  <w:sz w:val="18"/>
                  <w:szCs w:val="18"/>
                </w:rPr>
                <w:lastRenderedPageBreak/>
                <w:t xml:space="preserve">procedieron 13 recursos por inconformidad con los puntajes obtenidos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Seccional</w:t>
            </w:r>
          </w:p>
        </w:tc>
        <w:tc>
          <w:tcPr>
            <w:tcW w:w="486" w:type="pct"/>
            <w:tcBorders>
              <w:top w:val="nil"/>
              <w:left w:val="nil"/>
              <w:bottom w:val="single" w:sz="4" w:space="0" w:color="auto"/>
              <w:right w:val="single" w:sz="4" w:space="0" w:color="auto"/>
            </w:tcBorders>
            <w:shd w:val="clear" w:color="000000" w:fill="EEEEEE"/>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Abierta</w:t>
            </w:r>
          </w:p>
        </w:tc>
      </w:tr>
      <w:tr w:rsidR="00CB6C04" w:rsidRPr="00CB6C04" w:rsidTr="00CB6C04">
        <w:trPr>
          <w:trHeight w:val="3891"/>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20</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9431</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GESTIÓN DE LA FORMACIÓN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Incumplimiento Indicadores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4" w:history="1">
              <w:r w:rsidRPr="00CB6C04">
                <w:rPr>
                  <w:rFonts w:ascii="Calibri" w:hAnsi="Calibri"/>
                  <w:sz w:val="18"/>
                  <w:szCs w:val="18"/>
                </w:rPr>
                <w:t xml:space="preserve">Mediante oficio EJOF152140 del 9 de septiembre de 2015, se cancelaron los servicios solicitados para los dos requerimientos de los Cursos de Introducción en el concepto de Justicia Comunitaria y Cursos de formación continua dirigido a los Jueces y Juezas de Paz y de Reconsideración, eventos estimados a desarrollarse del 15 al 16 de septiembre en la ciudad de CandelariaValle y del 16 al 17 de septiembre en la ciudad de Guadalajara BugaValle, lo anterior con el propósito de unificar recursos al Requerimiento No. 190 y capacitar una mayor población.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Central</w:t>
            </w:r>
          </w:p>
        </w:tc>
        <w:tc>
          <w:tcPr>
            <w:tcW w:w="486" w:type="pct"/>
            <w:tcBorders>
              <w:top w:val="nil"/>
              <w:left w:val="nil"/>
              <w:bottom w:val="single" w:sz="4" w:space="0" w:color="auto"/>
              <w:right w:val="single" w:sz="4" w:space="0" w:color="auto"/>
            </w:tcBorders>
            <w:shd w:val="clear" w:color="000000" w:fill="EEEEEE"/>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Abierta</w:t>
            </w:r>
          </w:p>
        </w:tc>
      </w:tr>
      <w:tr w:rsidR="00CB6C04" w:rsidRPr="00CB6C04" w:rsidTr="00CB6C04">
        <w:trPr>
          <w:trHeight w:val="2300"/>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21</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9432</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GESTIÓN DE LA FORMACIÓN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Incumplimiento Indicadores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5" w:history="1">
              <w:r w:rsidRPr="00CB6C04">
                <w:rPr>
                  <w:rFonts w:ascii="Calibri" w:hAnsi="Calibri"/>
                  <w:sz w:val="18"/>
                  <w:szCs w:val="18"/>
                </w:rPr>
                <w:t xml:space="preserve">Se cancelan los Cursos sobre Gestión Documental estimados a desarrollarse en las ciudades de Barranquilla(10Sep15), Cali(17Sep15) y Bucaramanga(24Sep15), mediante oficios EJOF152133, EJOF152178, EJOF152179, por falta de disponibilidad de Formadores.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Central</w:t>
            </w:r>
          </w:p>
        </w:tc>
        <w:tc>
          <w:tcPr>
            <w:tcW w:w="486" w:type="pct"/>
            <w:tcBorders>
              <w:top w:val="nil"/>
              <w:left w:val="nil"/>
              <w:bottom w:val="single" w:sz="4" w:space="0" w:color="auto"/>
              <w:right w:val="single" w:sz="4" w:space="0" w:color="auto"/>
            </w:tcBorders>
            <w:shd w:val="clear" w:color="000000" w:fill="EEEEEE"/>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Abierta</w:t>
            </w:r>
          </w:p>
        </w:tc>
      </w:tr>
      <w:tr w:rsidR="00CB6C04" w:rsidRPr="00CB6C04" w:rsidTr="00CB6C04">
        <w:trPr>
          <w:trHeight w:val="2279"/>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22</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9507</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REGISTRO Y CONTROL DE ABOGADOS Y AUXILIARES DE JUSTICIA</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Autoevaluacion</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6" w:history="1">
              <w:r w:rsidRPr="00CB6C04">
                <w:rPr>
                  <w:rFonts w:ascii="Calibri" w:hAnsi="Calibri"/>
                  <w:sz w:val="18"/>
                  <w:szCs w:val="18"/>
                </w:rPr>
                <w:t xml:space="preserve">Error en el nombre de la Universidad reportada en la Resolucin de Judicatura No. 5249 a nombre de YNNIFER LOPEZ MONTOYA, devuelta a la Unidad de Registro Nacional de Abogados, para la respectiva correccin.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236"/>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23</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9631</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7" w:history="1">
              <w:r w:rsidRPr="00CB6C04">
                <w:rPr>
                  <w:rFonts w:ascii="Calibri" w:hAnsi="Calibri"/>
                  <w:sz w:val="18"/>
                  <w:szCs w:val="18"/>
                </w:rPr>
                <w:t xml:space="preserve">En la calificación integral de la doctora MÓNICA ISABEL RINCÓN ARANGO, Jueza 6a Civil Municipal de Tunja, correspondiente al período 2014, se incurrió en un error al no excluir de su carga los procesos recibidos de otros despachos por la implementación de la oralidad.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289"/>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24</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9632</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8" w:history="1">
              <w:r w:rsidRPr="00CB6C04">
                <w:rPr>
                  <w:rFonts w:ascii="Calibri" w:hAnsi="Calibri"/>
                  <w:sz w:val="18"/>
                  <w:szCs w:val="18"/>
                </w:rPr>
                <w:t xml:space="preserve">En la calificación de servicios período 2014, de la doctora MARÍA DEL ROSARIO RONCANCIO BAUTISTA, Jueza 1 Civil Municipal de Tunja, se incurrió en error al no descontar los procesos que le fueron remitidos por otros despachos, durante el período, por la implementación de la oralidad.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1988"/>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25</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9633</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39" w:history="1">
              <w:r w:rsidRPr="00CB6C04">
                <w:rPr>
                  <w:rFonts w:ascii="Calibri" w:hAnsi="Calibri"/>
                  <w:sz w:val="18"/>
                  <w:szCs w:val="18"/>
                </w:rPr>
                <w:t xml:space="preserve">En la Resolución No. CSJBR14205 se incurrió en error al asignar puntaje en la prueba de conocimientos a una aspirante ausente CLARA OFELIA RODRÍGUEZ MARTÍNEZ. El error se generó en el listado enviado por la Universidad.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2429"/>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lastRenderedPageBreak/>
              <w:t>26</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9640</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40" w:history="1">
              <w:r w:rsidRPr="00CB6C04">
                <w:rPr>
                  <w:rFonts w:ascii="Calibri" w:hAnsi="Calibri"/>
                  <w:sz w:val="18"/>
                  <w:szCs w:val="18"/>
                </w:rPr>
                <w:t xml:space="preserve">En la consolidación de la calificación integral de servicios del año 2013, correspondiente a la doctora Isis Yuli Ramírez Tobos, en el factor eficiencia la Sala había autorizado la modificación de la estadística, la cual no fue tenida en cuenta tampoco fueron descontados los días de licencia no remunerada ni de incapacidad médica.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r w:rsidR="00CB6C04" w:rsidRPr="00CB6C04" w:rsidTr="00CB6C04">
        <w:trPr>
          <w:trHeight w:val="3181"/>
        </w:trPr>
        <w:tc>
          <w:tcPr>
            <w:tcW w:w="171" w:type="pct"/>
            <w:tcBorders>
              <w:top w:val="nil"/>
              <w:left w:val="single" w:sz="4" w:space="0" w:color="auto"/>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27</w:t>
            </w:r>
          </w:p>
        </w:tc>
        <w:tc>
          <w:tcPr>
            <w:tcW w:w="384"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9641</w:t>
            </w:r>
          </w:p>
        </w:tc>
        <w:tc>
          <w:tcPr>
            <w:tcW w:w="840"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ADMINISTRACIÓN DE LA CARRERA JUDICIAL</w:t>
            </w:r>
          </w:p>
        </w:tc>
        <w:tc>
          <w:tcPr>
            <w:tcW w:w="619"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PQRS</w:t>
            </w:r>
          </w:p>
        </w:tc>
        <w:tc>
          <w:tcPr>
            <w:tcW w:w="492"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Producto no Conforme</w:t>
            </w:r>
          </w:p>
        </w:tc>
        <w:tc>
          <w:tcPr>
            <w:tcW w:w="1593"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Calibri" w:hAnsi="Calibri"/>
                <w:sz w:val="18"/>
                <w:szCs w:val="18"/>
              </w:rPr>
            </w:pPr>
            <w:hyperlink r:id="rId41" w:history="1">
              <w:r w:rsidRPr="00CB6C04">
                <w:rPr>
                  <w:rFonts w:ascii="Calibri" w:hAnsi="Calibri"/>
                  <w:sz w:val="18"/>
                  <w:szCs w:val="18"/>
                </w:rPr>
                <w:t xml:space="preserve">Dentro de la convocatoria CSJBA09168, Se excluyó exclusivamente para el cargo Profesional Universitario Grado 12 (Derecho), a la señora Jenny Albeida Pulido Parra, identificada con cédula de ciudadanía No. 33.368.193 de Tunja Boyacá por no tener en cuenta la experiencia en el cargo de Auxiliar AdHonorem, como requisito para el reconocimiento de la Judicatura, desempeñado en el Juzgado Primero Civil del Circuito de Tunja, entre el 16 de enero y el 16 de octubre de 2007 </w:t>
              </w:r>
            </w:hyperlink>
          </w:p>
        </w:tc>
        <w:tc>
          <w:tcPr>
            <w:tcW w:w="416" w:type="pct"/>
            <w:tcBorders>
              <w:top w:val="nil"/>
              <w:left w:val="nil"/>
              <w:bottom w:val="single" w:sz="4" w:space="0" w:color="auto"/>
              <w:right w:val="single" w:sz="4" w:space="0" w:color="auto"/>
            </w:tcBorders>
            <w:shd w:val="clear" w:color="000000" w:fill="FFFFFF"/>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Seccional</w:t>
            </w:r>
          </w:p>
        </w:tc>
        <w:tc>
          <w:tcPr>
            <w:tcW w:w="486" w:type="pct"/>
            <w:tcBorders>
              <w:top w:val="nil"/>
              <w:left w:val="nil"/>
              <w:bottom w:val="single" w:sz="4" w:space="0" w:color="auto"/>
              <w:right w:val="single" w:sz="4" w:space="0" w:color="auto"/>
            </w:tcBorders>
            <w:shd w:val="clear" w:color="000000" w:fill="00B0F0"/>
            <w:vAlign w:val="center"/>
            <w:hideMark/>
          </w:tcPr>
          <w:p w:rsidR="00CB6C04" w:rsidRPr="00CB6C04" w:rsidRDefault="00CB6C04" w:rsidP="00CB6C04">
            <w:pPr>
              <w:jc w:val="both"/>
              <w:rPr>
                <w:rFonts w:ascii="Arial" w:hAnsi="Arial" w:cs="Arial"/>
                <w:sz w:val="18"/>
                <w:szCs w:val="18"/>
              </w:rPr>
            </w:pPr>
            <w:r w:rsidRPr="00CB6C04">
              <w:rPr>
                <w:rFonts w:ascii="Arial" w:hAnsi="Arial" w:cs="Arial"/>
                <w:sz w:val="18"/>
                <w:szCs w:val="18"/>
              </w:rPr>
              <w:t>Cerrada</w:t>
            </w:r>
          </w:p>
        </w:tc>
      </w:tr>
    </w:tbl>
    <w:p w:rsidR="00CB6C04" w:rsidRDefault="00CB6C04" w:rsidP="00C43703">
      <w:pPr>
        <w:pStyle w:val="CUERPOTEXTO"/>
      </w:pPr>
    </w:p>
    <w:p w:rsidR="00CB6C04" w:rsidRDefault="00CB6C04" w:rsidP="00C43703">
      <w:pPr>
        <w:pStyle w:val="CUERPOTEXTO"/>
      </w:pPr>
    </w:p>
    <w:p w:rsidR="00CB6C04" w:rsidRPr="00FB6C2F" w:rsidRDefault="00FB6C2F" w:rsidP="0085616F">
      <w:pPr>
        <w:pStyle w:val="CUERPOTEXTO"/>
        <w:numPr>
          <w:ilvl w:val="0"/>
          <w:numId w:val="35"/>
        </w:numPr>
        <w:outlineLvl w:val="0"/>
        <w:rPr>
          <w:b/>
          <w:color w:val="0070C0"/>
          <w:sz w:val="28"/>
          <w:szCs w:val="28"/>
        </w:rPr>
      </w:pPr>
      <w:bookmarkStart w:id="6" w:name="_Toc436002476"/>
      <w:r>
        <w:rPr>
          <w:b/>
          <w:color w:val="0070C0"/>
          <w:sz w:val="28"/>
          <w:szCs w:val="28"/>
        </w:rPr>
        <w:t>ESTADO DE LAS ACCIONES CORRECTIVAS Y PREVENTIVAS</w:t>
      </w:r>
      <w:bookmarkEnd w:id="6"/>
    </w:p>
    <w:p w:rsidR="00EC2704" w:rsidRDefault="00EC2704" w:rsidP="00E11278">
      <w:pPr>
        <w:pStyle w:val="CUERPOTEXTO"/>
        <w:pBdr>
          <w:bottom w:val="single" w:sz="4" w:space="1" w:color="auto"/>
        </w:pBdr>
      </w:pPr>
    </w:p>
    <w:p w:rsidR="00EC2704" w:rsidRDefault="00EC2704" w:rsidP="00EC2704">
      <w:pPr>
        <w:pStyle w:val="CUERPOTEXTO"/>
      </w:pPr>
    </w:p>
    <w:p w:rsidR="00E11278" w:rsidRDefault="00923935" w:rsidP="00EC2704">
      <w:pPr>
        <w:pStyle w:val="CUERPOTEXTO"/>
      </w:pPr>
      <w:r>
        <w:t>Durante el 2015 se han elaborado doscientos veintisiete acciones</w:t>
      </w:r>
      <w:r w:rsidR="00E11278">
        <w:t xml:space="preserve"> (227)</w:t>
      </w:r>
      <w:r>
        <w:t xml:space="preserve"> de gestión, de las cuales 89 se encuentran cerradas</w:t>
      </w:r>
      <w:r w:rsidR="00E11278">
        <w:t xml:space="preserve">, es decir el 39%. </w:t>
      </w:r>
    </w:p>
    <w:p w:rsidR="00E11278" w:rsidRDefault="00E11278" w:rsidP="00EC2704">
      <w:pPr>
        <w:pStyle w:val="CUERPOTEXTO"/>
      </w:pPr>
    </w:p>
    <w:p w:rsidR="00E11278" w:rsidRDefault="00E11278" w:rsidP="00EC2704">
      <w:pPr>
        <w:pStyle w:val="CUERPOTEXTO"/>
      </w:pPr>
      <w:r>
        <w:lastRenderedPageBreak/>
        <w:t>De esta masa de acciones levantadas, la gran mayoría, correspondiendo a más de la mitad de estas (148) 65% tuvieron origen en la autoevaluación que se genera al interior del proceso o a partir de los riesgos identificados en la organización.</w:t>
      </w:r>
    </w:p>
    <w:p w:rsidR="00E11278" w:rsidRDefault="00E11278" w:rsidP="00EC2704">
      <w:pPr>
        <w:pStyle w:val="CUERPOTEXTO"/>
      </w:pPr>
      <w:r>
        <w:t>Esta situación genera gran satisfacción pues se observa que el sistema no funciona solamente a partir de las revisiones internas y externas que se realizan, sino que tiene una gran iniciativa por parte de los líderes de proceso.</w:t>
      </w:r>
    </w:p>
    <w:p w:rsidR="00923935" w:rsidRDefault="00923935" w:rsidP="00EC2704">
      <w:pPr>
        <w:pStyle w:val="CUERPOTEXTO"/>
      </w:pPr>
      <w:r>
        <w:t xml:space="preserve"> </w:t>
      </w:r>
    </w:p>
    <w:p w:rsidR="00923935" w:rsidRDefault="00E11278" w:rsidP="00EC2704">
      <w:pPr>
        <w:pStyle w:val="CUERPOTEXTO"/>
      </w:pPr>
      <w:r>
        <w:t>El cuadro siguiente refleja esta situación:</w:t>
      </w:r>
    </w:p>
    <w:p w:rsidR="00923935" w:rsidRDefault="00923935" w:rsidP="00EC2704">
      <w:pPr>
        <w:pStyle w:val="CUERPOTEXTO"/>
      </w:pPr>
    </w:p>
    <w:p w:rsidR="00923935" w:rsidRDefault="00923935" w:rsidP="00EC2704">
      <w:pPr>
        <w:pStyle w:val="CUERPOTEXTO"/>
      </w:pPr>
    </w:p>
    <w:tbl>
      <w:tblPr>
        <w:tblW w:w="4100" w:type="dxa"/>
        <w:tblCellMar>
          <w:left w:w="70" w:type="dxa"/>
          <w:right w:w="70" w:type="dxa"/>
        </w:tblCellMar>
        <w:tblLook w:val="04A0" w:firstRow="1" w:lastRow="0" w:firstColumn="1" w:lastColumn="0" w:noHBand="0" w:noVBand="1"/>
      </w:tblPr>
      <w:tblGrid>
        <w:gridCol w:w="3114"/>
        <w:gridCol w:w="986"/>
      </w:tblGrid>
      <w:tr w:rsidR="00923935" w:rsidRPr="00923935" w:rsidTr="00E11278">
        <w:trPr>
          <w:trHeight w:val="280"/>
        </w:trPr>
        <w:tc>
          <w:tcPr>
            <w:tcW w:w="3114"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923935" w:rsidRPr="00923935" w:rsidRDefault="00923935" w:rsidP="00923935">
            <w:pPr>
              <w:jc w:val="center"/>
              <w:rPr>
                <w:rFonts w:ascii="Calibri" w:hAnsi="Calibri"/>
                <w:b/>
                <w:bCs/>
                <w:color w:val="FFFFFF"/>
                <w:sz w:val="22"/>
                <w:szCs w:val="22"/>
              </w:rPr>
            </w:pPr>
            <w:r w:rsidRPr="00923935">
              <w:rPr>
                <w:rFonts w:ascii="Calibri" w:hAnsi="Calibri"/>
                <w:b/>
                <w:bCs/>
                <w:color w:val="FFFFFF"/>
                <w:sz w:val="22"/>
                <w:szCs w:val="22"/>
              </w:rPr>
              <w:t xml:space="preserve">TIPO </w:t>
            </w:r>
          </w:p>
        </w:tc>
        <w:tc>
          <w:tcPr>
            <w:tcW w:w="986" w:type="dxa"/>
            <w:tcBorders>
              <w:top w:val="single" w:sz="4" w:space="0" w:color="auto"/>
              <w:left w:val="nil"/>
              <w:bottom w:val="single" w:sz="4" w:space="0" w:color="auto"/>
              <w:right w:val="single" w:sz="4" w:space="0" w:color="auto"/>
            </w:tcBorders>
            <w:shd w:val="clear" w:color="000000" w:fill="002060"/>
            <w:noWrap/>
            <w:vAlign w:val="bottom"/>
            <w:hideMark/>
          </w:tcPr>
          <w:p w:rsidR="00923935" w:rsidRPr="00923935" w:rsidRDefault="00923935" w:rsidP="00923935">
            <w:pPr>
              <w:jc w:val="center"/>
              <w:rPr>
                <w:rFonts w:ascii="Calibri" w:hAnsi="Calibri"/>
                <w:b/>
                <w:bCs/>
                <w:color w:val="FFFFFF"/>
                <w:sz w:val="22"/>
                <w:szCs w:val="22"/>
              </w:rPr>
            </w:pPr>
            <w:r w:rsidRPr="00923935">
              <w:rPr>
                <w:rFonts w:ascii="Calibri" w:hAnsi="Calibri"/>
                <w:b/>
                <w:bCs/>
                <w:color w:val="FFFFFF"/>
                <w:sz w:val="22"/>
                <w:szCs w:val="22"/>
              </w:rPr>
              <w:t>CANT</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Auditoría de Control Interno</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1</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Auditorías de Calidad Internas</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32</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Auditorías de Calidad Externas</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7</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Autoevaluación</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75</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Revisiones anteriores</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9</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Incumplimiento de Indicadores</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15</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Organismos de Control</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2</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QRSs</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13</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Valoración de Riesgos</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73</w:t>
            </w:r>
          </w:p>
        </w:tc>
      </w:tr>
      <w:tr w:rsidR="00923935" w:rsidRPr="00923935" w:rsidTr="00E11278">
        <w:trPr>
          <w:trHeight w:val="28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23935" w:rsidRPr="00923935" w:rsidRDefault="00923935" w:rsidP="00923935">
            <w:pPr>
              <w:rPr>
                <w:rFonts w:ascii="Calibri" w:hAnsi="Calibri"/>
                <w:color w:val="000000"/>
                <w:sz w:val="22"/>
                <w:szCs w:val="22"/>
              </w:rPr>
            </w:pPr>
            <w:r w:rsidRPr="00923935">
              <w:rPr>
                <w:rFonts w:ascii="Calibri" w:hAnsi="Calibri"/>
                <w:color w:val="000000"/>
                <w:sz w:val="22"/>
                <w:szCs w:val="22"/>
              </w:rPr>
              <w:t>TOTALES</w:t>
            </w:r>
          </w:p>
        </w:tc>
        <w:tc>
          <w:tcPr>
            <w:tcW w:w="986" w:type="dxa"/>
            <w:tcBorders>
              <w:top w:val="nil"/>
              <w:left w:val="nil"/>
              <w:bottom w:val="single" w:sz="4" w:space="0" w:color="auto"/>
              <w:right w:val="single" w:sz="4" w:space="0" w:color="auto"/>
            </w:tcBorders>
            <w:shd w:val="clear" w:color="auto" w:fill="auto"/>
            <w:noWrap/>
            <w:vAlign w:val="bottom"/>
            <w:hideMark/>
          </w:tcPr>
          <w:p w:rsidR="00923935" w:rsidRPr="00923935" w:rsidRDefault="00923935" w:rsidP="00923935">
            <w:pPr>
              <w:jc w:val="right"/>
              <w:rPr>
                <w:rFonts w:ascii="Calibri" w:hAnsi="Calibri"/>
                <w:color w:val="000000"/>
                <w:sz w:val="22"/>
                <w:szCs w:val="22"/>
              </w:rPr>
            </w:pPr>
            <w:r w:rsidRPr="00923935">
              <w:rPr>
                <w:rFonts w:ascii="Calibri" w:hAnsi="Calibri"/>
                <w:color w:val="000000"/>
                <w:sz w:val="22"/>
                <w:szCs w:val="22"/>
              </w:rPr>
              <w:t>227</w:t>
            </w:r>
          </w:p>
        </w:tc>
      </w:tr>
    </w:tbl>
    <w:p w:rsidR="00923935" w:rsidRDefault="00923935" w:rsidP="00EC2704">
      <w:pPr>
        <w:pStyle w:val="CUERPOTEXTO"/>
      </w:pPr>
    </w:p>
    <w:p w:rsidR="00E11278" w:rsidRDefault="00E11278" w:rsidP="00EC2704">
      <w:pPr>
        <w:pStyle w:val="CUERPOTEXTO"/>
      </w:pPr>
      <w:r>
        <w:t>De otra parte vale la pena señalar que ochenta y dos (82) de las acciones levantadas corresponden a acciones preventivas, es decir el 37% del total, aunque resulta un poco preocupante que es aquí donde se encuentra el mayor número de acciones abiertas (56) es decir el 68% de las acciones. Claro está que una interpretación que puede darse es porque en general en esta época la mayoría de los procesos generan alguna actualización de su mapa de riesgos.</w:t>
      </w:r>
    </w:p>
    <w:p w:rsidR="00E11278" w:rsidRDefault="00E11278" w:rsidP="00EC2704">
      <w:pPr>
        <w:pStyle w:val="CUERPOTEXTO"/>
      </w:pPr>
    </w:p>
    <w:p w:rsidR="00923935" w:rsidRPr="00FB6C2F" w:rsidRDefault="00FB6C2F" w:rsidP="00FB6C2F">
      <w:pPr>
        <w:pStyle w:val="CUERPOTEXTO"/>
        <w:numPr>
          <w:ilvl w:val="0"/>
          <w:numId w:val="35"/>
        </w:numPr>
        <w:outlineLvl w:val="0"/>
        <w:rPr>
          <w:b/>
          <w:color w:val="0070C0"/>
          <w:sz w:val="28"/>
          <w:szCs w:val="28"/>
        </w:rPr>
      </w:pPr>
      <w:bookmarkStart w:id="7" w:name="_Toc436002477"/>
      <w:r w:rsidRPr="00FB6C2F">
        <w:rPr>
          <w:b/>
          <w:color w:val="0070C0"/>
          <w:sz w:val="28"/>
          <w:szCs w:val="28"/>
        </w:rPr>
        <w:t>INFORME DE SEGUIMIENTO A ACCIONES PREVIAS DE REVISIÓN:</w:t>
      </w:r>
      <w:bookmarkEnd w:id="7"/>
    </w:p>
    <w:p w:rsidR="00FB6C2F" w:rsidRDefault="00FB6C2F" w:rsidP="00FB6C2F">
      <w:pPr>
        <w:pStyle w:val="CUERPOTEXTO"/>
        <w:pBdr>
          <w:bottom w:val="single" w:sz="4" w:space="1" w:color="auto"/>
        </w:pBdr>
      </w:pPr>
    </w:p>
    <w:p w:rsidR="00FB6C2F" w:rsidRDefault="00FB6C2F" w:rsidP="00FB6C2F">
      <w:pPr>
        <w:pStyle w:val="CUERPOTEXTO"/>
      </w:pPr>
    </w:p>
    <w:p w:rsidR="00FB6C2F" w:rsidRDefault="00FB6C2F" w:rsidP="00EC2704">
      <w:pPr>
        <w:pStyle w:val="CUERPOTEXTO"/>
      </w:pPr>
      <w:r>
        <w:t>Como se mencionó en el ítem anterior se han presentado nueve (9) acciones adelantadas a partir de los comentarios de la revisión, una de las cuales corresponde al nivel central y se encuentra cerrada.</w:t>
      </w:r>
    </w:p>
    <w:p w:rsidR="00FB6C2F" w:rsidRDefault="00FB6C2F" w:rsidP="00EC2704">
      <w:pPr>
        <w:pStyle w:val="CUERPOTEXTO"/>
      </w:pPr>
    </w:p>
    <w:p w:rsidR="00FB6C2F" w:rsidRDefault="00FB6C2F" w:rsidP="00EC2704">
      <w:pPr>
        <w:pStyle w:val="CUERPOTEXTO"/>
      </w:pPr>
      <w:r>
        <w:t>La acción en mención está relacionada a una preocupación relacionada con el sistema de calificación donde se observaban registros con puntaje negativo.  La Unidad de Administración de la Carrera Judicial adelantó la acción con resultado exitoso.</w:t>
      </w:r>
    </w:p>
    <w:p w:rsidR="00FB6C2F" w:rsidRDefault="00FB6C2F" w:rsidP="00EC2704">
      <w:pPr>
        <w:pStyle w:val="CUERPOTEXTO"/>
      </w:pPr>
    </w:p>
    <w:p w:rsidR="00FB6C2F" w:rsidRDefault="00FB6C2F" w:rsidP="00EC2704">
      <w:pPr>
        <w:pStyle w:val="CUERPOTEXTO"/>
      </w:pPr>
      <w:r>
        <w:t xml:space="preserve">De otro lado la Alta Dirección en su Acta de Comentarios al Informe de Revisión con corte a 31 de diciembre de 2014 solicitó adelantar lo pertinente para la elaboración de una norma de calidad que permita a la Rama Judicial acercarse e interiorizar de mejor forma su modelo de gestión.  </w:t>
      </w:r>
    </w:p>
    <w:p w:rsidR="00FB6C2F" w:rsidRDefault="00FB6C2F" w:rsidP="00EC2704">
      <w:pPr>
        <w:pStyle w:val="CUERPOTEXTO"/>
      </w:pPr>
      <w:r>
        <w:lastRenderedPageBreak/>
        <w:t>Sobre este tema particular, la Sala aprobó recursos por $498 millones de pesos que fueron comprometidos y se encuentran actualmente en ejecución con la elaboración del proyecto de norma que viene llevando a cabo ICONTEC en su primera fase.</w:t>
      </w:r>
    </w:p>
    <w:p w:rsidR="00FB6C2F" w:rsidRDefault="00FB6C2F" w:rsidP="00EC2704">
      <w:pPr>
        <w:pStyle w:val="CUERPOTEXTO"/>
      </w:pPr>
    </w:p>
    <w:p w:rsidR="00FB6C2F" w:rsidRDefault="00FB6C2F" w:rsidP="00EC2704">
      <w:pPr>
        <w:pStyle w:val="CUERPOTEXTO"/>
      </w:pPr>
      <w:r>
        <w:t xml:space="preserve">De otra parte la Sala se pronunció sobre la necesidad de anticiparnos a la reforma legislativa de la Corporación, identificando el modelo de gestión y  operación más adecuado para la organización.  </w:t>
      </w:r>
    </w:p>
    <w:p w:rsidR="00FB6C2F" w:rsidRDefault="00FB6C2F" w:rsidP="00EC2704">
      <w:pPr>
        <w:pStyle w:val="CUERPOTEXTO"/>
      </w:pPr>
    </w:p>
    <w:p w:rsidR="00E11278" w:rsidRDefault="00FB6C2F" w:rsidP="00EC2704">
      <w:pPr>
        <w:pStyle w:val="CUERPOTEXTO"/>
      </w:pPr>
      <w:r>
        <w:t xml:space="preserve">Para tal efecto se suscribió el Contrato 047 por cerca de $1.400 millones de pesos y que produjo </w:t>
      </w:r>
      <w:r w:rsidR="00657DC5">
        <w:t>entre sus principales productos la plataforma estratégica, riesgos, cargas de trabajo, perfiles de cargos, funciones e indicadores más adecuados para la organización.  El estudio se encuentra ad portas del nuevo órgano de gobierno.</w:t>
      </w:r>
      <w:r>
        <w:t xml:space="preserve">   </w:t>
      </w:r>
    </w:p>
    <w:p w:rsidR="00657DC5" w:rsidRDefault="00657DC5" w:rsidP="00EC2704">
      <w:pPr>
        <w:pStyle w:val="CUERPOTEXTO"/>
      </w:pPr>
    </w:p>
    <w:p w:rsidR="00657DC5" w:rsidRPr="00657DC5" w:rsidRDefault="00657DC5" w:rsidP="00657DC5">
      <w:pPr>
        <w:pStyle w:val="CUERPOTEXTO"/>
        <w:numPr>
          <w:ilvl w:val="0"/>
          <w:numId w:val="35"/>
        </w:numPr>
        <w:outlineLvl w:val="0"/>
        <w:rPr>
          <w:b/>
          <w:color w:val="0070C0"/>
          <w:sz w:val="28"/>
          <w:szCs w:val="28"/>
        </w:rPr>
      </w:pPr>
      <w:bookmarkStart w:id="8" w:name="_Toc436002478"/>
      <w:r w:rsidRPr="00657DC5">
        <w:rPr>
          <w:b/>
          <w:color w:val="0070C0"/>
          <w:sz w:val="28"/>
          <w:szCs w:val="28"/>
        </w:rPr>
        <w:t>CAMBIOS QUE PODRÍAN AFECTAR EL SISTEMA</w:t>
      </w:r>
      <w:bookmarkEnd w:id="8"/>
    </w:p>
    <w:p w:rsidR="00923935" w:rsidRDefault="00923935" w:rsidP="00657DC5">
      <w:pPr>
        <w:pStyle w:val="CUERPOTEXTO"/>
        <w:pBdr>
          <w:bottom w:val="single" w:sz="4" w:space="1" w:color="auto"/>
        </w:pBdr>
      </w:pPr>
    </w:p>
    <w:p w:rsidR="00982623" w:rsidRDefault="00982623" w:rsidP="00982623">
      <w:pPr>
        <w:pStyle w:val="Prrafodelista"/>
        <w:spacing w:after="5" w:line="249" w:lineRule="auto"/>
        <w:jc w:val="both"/>
        <w:rPr>
          <w:rFonts w:ascii="Trebuchet MS" w:eastAsia="Calibri" w:hAnsi="Trebuchet MS"/>
          <w:color w:val="404040" w:themeColor="text1" w:themeTint="BF"/>
          <w:sz w:val="24"/>
          <w:szCs w:val="24"/>
          <w:lang w:val="es-ES" w:eastAsia="es-CO"/>
        </w:rPr>
      </w:pPr>
    </w:p>
    <w:p w:rsidR="00657DC5" w:rsidRDefault="00657DC5" w:rsidP="00657DC5">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Sin lugar a dudas la organización se encuentra viviendo un momento complejo pues es evidente que la incertidumbre producida con la expedición del Acto Legislativo 02 de 2015 genera una condición de expectativa en la organización.</w:t>
      </w:r>
    </w:p>
    <w:p w:rsidR="00657DC5" w:rsidRDefault="00657DC5" w:rsidP="00657DC5">
      <w:pPr>
        <w:spacing w:after="5" w:line="249" w:lineRule="auto"/>
        <w:jc w:val="both"/>
        <w:rPr>
          <w:rFonts w:ascii="Trebuchet MS" w:eastAsia="Calibri" w:hAnsi="Trebuchet MS"/>
          <w:color w:val="404040" w:themeColor="text1" w:themeTint="BF"/>
          <w:lang w:val="es-ES" w:eastAsia="es-CO"/>
        </w:rPr>
      </w:pPr>
    </w:p>
    <w:p w:rsidR="00657DC5" w:rsidRDefault="00657DC5" w:rsidP="00657DC5">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Para lograr mitigar el efecto de esta transición, se ha trabajado principalmente en el nivel seccional en talleres de sensibilización que se vienen adelantando desde la Escuela Judicial y que pretenden mostrar un panorama diferente.</w:t>
      </w:r>
    </w:p>
    <w:p w:rsidR="00657DC5" w:rsidRDefault="00657DC5" w:rsidP="00657DC5">
      <w:pPr>
        <w:spacing w:after="5" w:line="249" w:lineRule="auto"/>
        <w:jc w:val="both"/>
        <w:rPr>
          <w:rFonts w:ascii="Trebuchet MS" w:eastAsia="Calibri" w:hAnsi="Trebuchet MS"/>
          <w:color w:val="404040" w:themeColor="text1" w:themeTint="BF"/>
          <w:lang w:val="es-ES" w:eastAsia="es-CO"/>
        </w:rPr>
      </w:pPr>
    </w:p>
    <w:p w:rsidR="00657DC5" w:rsidRDefault="00657DC5" w:rsidP="00657DC5">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El segundo aspecto que resulta igualmente preocupante es el de la provisión de los cargos de carrera con ocasión del concurso de méritos llevado a cabo en el año 2009.  Esta situación ha ocasionado malestar en la organización, aunque muchas de las seccionales han trabajado en conjunto con la ARL y las Cajas de Compensación Familiar para mitigar el efecto psicológico que ocasiona en el personal.</w:t>
      </w:r>
    </w:p>
    <w:p w:rsidR="00657DC5" w:rsidRDefault="00657DC5" w:rsidP="00657DC5">
      <w:pPr>
        <w:spacing w:after="5" w:line="249" w:lineRule="auto"/>
        <w:jc w:val="both"/>
        <w:rPr>
          <w:rFonts w:ascii="Trebuchet MS" w:eastAsia="Calibri" w:hAnsi="Trebuchet MS"/>
          <w:color w:val="404040" w:themeColor="text1" w:themeTint="BF"/>
          <w:lang w:val="es-ES" w:eastAsia="es-CO"/>
        </w:rPr>
      </w:pPr>
    </w:p>
    <w:p w:rsidR="00657DC5" w:rsidRDefault="00657DC5" w:rsidP="00657DC5">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 xml:space="preserve">El tercer aspecto que afecta la continuidad del sistema está relacionado con la gran cantidad de cargos bajo la figura de la descongestión que viene acompañando el proceso en todo el país (tanto en las sedes administrativas como judiciales).  </w:t>
      </w:r>
      <w:r w:rsidR="007B4975">
        <w:rPr>
          <w:rFonts w:ascii="Trebuchet MS" w:eastAsia="Calibri" w:hAnsi="Trebuchet MS"/>
          <w:color w:val="404040" w:themeColor="text1" w:themeTint="BF"/>
          <w:lang w:val="es-ES" w:eastAsia="es-CO"/>
        </w:rPr>
        <w:t xml:space="preserve">Esta situación es quizá la que viene afectando el sistema de gestión de calidad y que invita al nuevo órgano de gobierno a tener presente para darle la continuidad que merece el sistema de gestión de calidad que con gran esfuerzo ha construido la Sala Administrativa del Consejo Superior de la Judicatura junto con la Dirección Ejecutiva de Administración Judicial. </w:t>
      </w:r>
    </w:p>
    <w:p w:rsidR="007B4975" w:rsidRDefault="007B4975" w:rsidP="00657DC5">
      <w:pPr>
        <w:spacing w:after="5" w:line="249" w:lineRule="auto"/>
        <w:jc w:val="both"/>
        <w:rPr>
          <w:rFonts w:ascii="Trebuchet MS" w:eastAsia="Calibri" w:hAnsi="Trebuchet MS"/>
          <w:color w:val="404040" w:themeColor="text1" w:themeTint="BF"/>
          <w:lang w:val="es-ES" w:eastAsia="es-CO"/>
        </w:rPr>
      </w:pPr>
    </w:p>
    <w:p w:rsidR="007B4975" w:rsidRDefault="007B4975" w:rsidP="00657DC5">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El estudio adelantado con la firma AVANCE ORGANIZACIONAL sobre el modelo de gestión para la Sala Administrativa y Dirección Ejecutiva de Administración Judicial muestra dos (2) alternativas para dar solución a los temas de personal.</w:t>
      </w:r>
    </w:p>
    <w:p w:rsidR="007B4975" w:rsidRDefault="007B4975" w:rsidP="00657DC5">
      <w:pPr>
        <w:spacing w:after="5" w:line="249" w:lineRule="auto"/>
        <w:jc w:val="both"/>
        <w:rPr>
          <w:rFonts w:ascii="Trebuchet MS" w:eastAsia="Calibri" w:hAnsi="Trebuchet MS"/>
          <w:color w:val="404040" w:themeColor="text1" w:themeTint="BF"/>
          <w:lang w:val="es-ES" w:eastAsia="es-CO"/>
        </w:rPr>
      </w:pPr>
    </w:p>
    <w:p w:rsidR="007B4975" w:rsidRPr="007B4975" w:rsidRDefault="007B4975" w:rsidP="007B4975">
      <w:pPr>
        <w:pStyle w:val="Prrafodelista"/>
        <w:numPr>
          <w:ilvl w:val="0"/>
          <w:numId w:val="35"/>
        </w:numPr>
        <w:spacing w:after="5" w:line="249" w:lineRule="auto"/>
        <w:jc w:val="both"/>
        <w:outlineLvl w:val="0"/>
        <w:rPr>
          <w:rFonts w:ascii="Trebuchet MS" w:eastAsia="Calibri" w:hAnsi="Trebuchet MS"/>
          <w:b/>
          <w:color w:val="0070C0"/>
          <w:sz w:val="28"/>
          <w:szCs w:val="28"/>
          <w:lang w:val="es-ES" w:eastAsia="es-CO"/>
        </w:rPr>
      </w:pPr>
      <w:bookmarkStart w:id="9" w:name="_Toc436002479"/>
      <w:r w:rsidRPr="007B4975">
        <w:rPr>
          <w:rFonts w:ascii="Trebuchet MS" w:eastAsia="Calibri" w:hAnsi="Trebuchet MS"/>
          <w:b/>
          <w:color w:val="0070C0"/>
          <w:sz w:val="28"/>
          <w:szCs w:val="28"/>
          <w:lang w:val="es-ES" w:eastAsia="es-CO"/>
        </w:rPr>
        <w:t>RECOMENDACIONES PARA LA MEJORA</w:t>
      </w:r>
      <w:bookmarkEnd w:id="9"/>
    </w:p>
    <w:p w:rsidR="007B4975" w:rsidRDefault="007B4975" w:rsidP="007B4975">
      <w:pPr>
        <w:pBdr>
          <w:bottom w:val="single" w:sz="4" w:space="1" w:color="auto"/>
        </w:pBdr>
        <w:spacing w:after="5" w:line="249" w:lineRule="auto"/>
        <w:jc w:val="both"/>
        <w:rPr>
          <w:rFonts w:ascii="Trebuchet MS" w:eastAsia="Calibri" w:hAnsi="Trebuchet MS"/>
          <w:color w:val="404040" w:themeColor="text1" w:themeTint="BF"/>
          <w:lang w:val="es-ES" w:eastAsia="es-CO"/>
        </w:rPr>
      </w:pPr>
    </w:p>
    <w:p w:rsidR="007B4975" w:rsidRPr="007B4975" w:rsidRDefault="007B4975" w:rsidP="007B4975">
      <w:pPr>
        <w:spacing w:after="5" w:line="249" w:lineRule="auto"/>
        <w:jc w:val="both"/>
        <w:rPr>
          <w:rFonts w:ascii="Trebuchet MS" w:eastAsia="Calibri" w:hAnsi="Trebuchet MS"/>
          <w:color w:val="404040" w:themeColor="text1" w:themeTint="BF"/>
          <w:lang w:val="es-ES" w:eastAsia="es-CO"/>
        </w:rPr>
      </w:pPr>
    </w:p>
    <w:p w:rsidR="00657DC5" w:rsidRDefault="007B4975" w:rsidP="007B4975">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El Comité del SIGCMA para el 2016 sugiere respetuosamente a la Alta Dirección:</w:t>
      </w:r>
    </w:p>
    <w:p w:rsidR="007B4975" w:rsidRDefault="007B4975" w:rsidP="007B4975">
      <w:pPr>
        <w:spacing w:after="5" w:line="249" w:lineRule="auto"/>
        <w:jc w:val="both"/>
        <w:rPr>
          <w:rFonts w:ascii="Trebuchet MS" w:eastAsia="Calibri" w:hAnsi="Trebuchet MS"/>
          <w:color w:val="404040" w:themeColor="text1" w:themeTint="BF"/>
          <w:lang w:val="es-ES" w:eastAsia="es-CO"/>
        </w:rPr>
      </w:pPr>
    </w:p>
    <w:p w:rsidR="007B4975" w:rsidRDefault="007B4975" w:rsidP="007B4975">
      <w:pPr>
        <w:pStyle w:val="Prrafodelista"/>
        <w:numPr>
          <w:ilvl w:val="0"/>
          <w:numId w:val="34"/>
        </w:numPr>
        <w:spacing w:after="5" w:line="249" w:lineRule="auto"/>
        <w:jc w:val="both"/>
        <w:rPr>
          <w:rFonts w:ascii="Trebuchet MS" w:eastAsia="Calibri" w:hAnsi="Trebuchet MS"/>
          <w:color w:val="404040" w:themeColor="text1" w:themeTint="BF"/>
          <w:sz w:val="24"/>
          <w:szCs w:val="24"/>
          <w:lang w:val="es-ES" w:eastAsia="es-CO"/>
        </w:rPr>
      </w:pPr>
      <w:r w:rsidRPr="007B4975">
        <w:rPr>
          <w:rFonts w:ascii="Trebuchet MS" w:eastAsia="Calibri" w:hAnsi="Trebuchet MS"/>
          <w:color w:val="404040" w:themeColor="text1" w:themeTint="BF"/>
          <w:sz w:val="24"/>
          <w:szCs w:val="24"/>
          <w:lang w:val="es-ES" w:eastAsia="es-CO"/>
        </w:rPr>
        <w:t xml:space="preserve">Iniciar la </w:t>
      </w:r>
      <w:r>
        <w:rPr>
          <w:rFonts w:ascii="Trebuchet MS" w:eastAsia="Calibri" w:hAnsi="Trebuchet MS"/>
          <w:color w:val="404040" w:themeColor="text1" w:themeTint="BF"/>
          <w:sz w:val="24"/>
          <w:szCs w:val="24"/>
          <w:lang w:val="es-ES" w:eastAsia="es-CO"/>
        </w:rPr>
        <w:t>articulación de los sistemas de gestión que se encuentran dispersos por el país en las sedes judiciales.</w:t>
      </w:r>
    </w:p>
    <w:p w:rsidR="007B4975" w:rsidRDefault="007B4975" w:rsidP="007B4975">
      <w:pPr>
        <w:pStyle w:val="Prrafodelista"/>
        <w:numPr>
          <w:ilvl w:val="0"/>
          <w:numId w:val="34"/>
        </w:numPr>
        <w:spacing w:after="5" w:line="249" w:lineRule="auto"/>
        <w:jc w:val="both"/>
        <w:rPr>
          <w:rFonts w:ascii="Trebuchet MS" w:eastAsia="Calibri" w:hAnsi="Trebuchet MS"/>
          <w:color w:val="404040" w:themeColor="text1" w:themeTint="BF"/>
          <w:sz w:val="24"/>
          <w:szCs w:val="24"/>
          <w:lang w:val="es-ES" w:eastAsia="es-CO"/>
        </w:rPr>
      </w:pPr>
      <w:r>
        <w:rPr>
          <w:rFonts w:ascii="Trebuchet MS" w:eastAsia="Calibri" w:hAnsi="Trebuchet MS"/>
          <w:color w:val="404040" w:themeColor="text1" w:themeTint="BF"/>
          <w:sz w:val="24"/>
          <w:szCs w:val="24"/>
          <w:lang w:val="es-ES" w:eastAsia="es-CO"/>
        </w:rPr>
        <w:t>Comprar una plataforma tecnológica nueva que permita resolver los problemas actuales que viene presentando el actual software de gestión de calidad, prestando especial atención en las necesidades para las sedes judiciales y en la incorporación del modelo integrado que establece la sala Superior.</w:t>
      </w:r>
    </w:p>
    <w:p w:rsidR="007B4975" w:rsidRDefault="007B4975" w:rsidP="007B4975">
      <w:pPr>
        <w:pStyle w:val="Prrafodelista"/>
        <w:numPr>
          <w:ilvl w:val="0"/>
          <w:numId w:val="34"/>
        </w:numPr>
        <w:spacing w:after="5" w:line="249" w:lineRule="auto"/>
        <w:jc w:val="both"/>
        <w:rPr>
          <w:rFonts w:ascii="Trebuchet MS" w:eastAsia="Calibri" w:hAnsi="Trebuchet MS"/>
          <w:color w:val="404040" w:themeColor="text1" w:themeTint="BF"/>
          <w:sz w:val="24"/>
          <w:szCs w:val="24"/>
          <w:lang w:val="es-ES" w:eastAsia="es-CO"/>
        </w:rPr>
      </w:pPr>
      <w:r>
        <w:rPr>
          <w:rFonts w:ascii="Trebuchet MS" w:eastAsia="Calibri" w:hAnsi="Trebuchet MS"/>
          <w:color w:val="404040" w:themeColor="text1" w:themeTint="BF"/>
          <w:sz w:val="24"/>
          <w:szCs w:val="24"/>
          <w:lang w:val="es-ES" w:eastAsia="es-CO"/>
        </w:rPr>
        <w:t xml:space="preserve">Generar las condiciones necesarias para tener una organización más horizontal y menos funcional, en aras de garantizar que los procesos, procedimientos, objetivos y proyectos, fluyan en forma </w:t>
      </w:r>
      <w:r w:rsidR="00130EA8">
        <w:rPr>
          <w:rFonts w:ascii="Trebuchet MS" w:eastAsia="Calibri" w:hAnsi="Trebuchet MS"/>
          <w:color w:val="404040" w:themeColor="text1" w:themeTint="BF"/>
          <w:sz w:val="24"/>
          <w:szCs w:val="24"/>
          <w:lang w:val="es-ES" w:eastAsia="es-CO"/>
        </w:rPr>
        <w:t>ágil.</w:t>
      </w:r>
    </w:p>
    <w:p w:rsidR="00130EA8" w:rsidRDefault="00130EA8" w:rsidP="007B4975">
      <w:pPr>
        <w:pStyle w:val="Prrafodelista"/>
        <w:numPr>
          <w:ilvl w:val="0"/>
          <w:numId w:val="34"/>
        </w:numPr>
        <w:spacing w:after="5" w:line="249" w:lineRule="auto"/>
        <w:jc w:val="both"/>
        <w:rPr>
          <w:rFonts w:ascii="Trebuchet MS" w:eastAsia="Calibri" w:hAnsi="Trebuchet MS"/>
          <w:color w:val="404040" w:themeColor="text1" w:themeTint="BF"/>
          <w:sz w:val="24"/>
          <w:szCs w:val="24"/>
          <w:lang w:val="es-ES" w:eastAsia="es-CO"/>
        </w:rPr>
      </w:pPr>
      <w:r>
        <w:rPr>
          <w:rFonts w:ascii="Trebuchet MS" w:eastAsia="Calibri" w:hAnsi="Trebuchet MS"/>
          <w:color w:val="404040" w:themeColor="text1" w:themeTint="BF"/>
          <w:sz w:val="24"/>
          <w:szCs w:val="24"/>
          <w:lang w:val="es-ES" w:eastAsia="es-CO"/>
        </w:rPr>
        <w:t xml:space="preserve">Incorporar en los programas de competencias del personal del nivel superior actividades para el desarrollo gerencial y de alto nivel, con el fin de fortalecer la operación de la organización. </w:t>
      </w:r>
    </w:p>
    <w:p w:rsidR="00130EA8" w:rsidRPr="00130EA8" w:rsidRDefault="00130EA8" w:rsidP="00130EA8">
      <w:pPr>
        <w:spacing w:after="5" w:line="249" w:lineRule="auto"/>
        <w:jc w:val="both"/>
        <w:rPr>
          <w:rFonts w:ascii="Trebuchet MS" w:eastAsia="Calibri" w:hAnsi="Trebuchet MS"/>
          <w:color w:val="404040" w:themeColor="text1" w:themeTint="BF"/>
          <w:lang w:val="es-ES" w:eastAsia="es-CO"/>
        </w:rPr>
      </w:pPr>
    </w:p>
    <w:p w:rsidR="00F037AF" w:rsidRPr="00F037AF" w:rsidRDefault="00F037AF" w:rsidP="00F037AF">
      <w:pPr>
        <w:pStyle w:val="CUERPOTEXTO"/>
        <w:numPr>
          <w:ilvl w:val="0"/>
          <w:numId w:val="35"/>
        </w:numPr>
        <w:outlineLvl w:val="0"/>
        <w:rPr>
          <w:b/>
          <w:color w:val="0070C0"/>
          <w:sz w:val="28"/>
          <w:szCs w:val="28"/>
        </w:rPr>
      </w:pPr>
      <w:r w:rsidRPr="00F037AF">
        <w:rPr>
          <w:b/>
          <w:color w:val="0070C0"/>
          <w:sz w:val="28"/>
          <w:szCs w:val="28"/>
        </w:rPr>
        <w:t>RESULTADOS SOBRE LA GESTIÓN REALIZADA SOBRE LOS RIESGOS DE LA ORGANIZACIÓN</w:t>
      </w:r>
    </w:p>
    <w:p w:rsidR="00F037AF" w:rsidRDefault="00F037AF" w:rsidP="00F037AF">
      <w:pPr>
        <w:pStyle w:val="CUERPOTEXTO"/>
        <w:pBdr>
          <w:bottom w:val="single" w:sz="4" w:space="1" w:color="auto"/>
        </w:pBdr>
        <w:rPr>
          <w:color w:val="auto"/>
        </w:rPr>
      </w:pPr>
    </w:p>
    <w:p w:rsidR="00F037AF" w:rsidRPr="00FB6C2F" w:rsidRDefault="00F037AF" w:rsidP="00F037AF">
      <w:pPr>
        <w:pStyle w:val="CUERPOTEXTO"/>
        <w:rPr>
          <w:color w:val="auto"/>
        </w:rPr>
      </w:pPr>
    </w:p>
    <w:p w:rsidR="00F037AF" w:rsidRDefault="00652BC4" w:rsidP="00F037AF">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Durante el 2015 el Comité del SIGCMA aprobó la nueva Guía Riesgos, la cual se encuentra actualmente en implementación gradual.</w:t>
      </w:r>
    </w:p>
    <w:p w:rsidR="00652BC4" w:rsidRDefault="00652BC4" w:rsidP="00F037AF">
      <w:pPr>
        <w:spacing w:after="5" w:line="249" w:lineRule="auto"/>
        <w:jc w:val="both"/>
        <w:rPr>
          <w:rFonts w:ascii="Trebuchet MS" w:eastAsia="Calibri" w:hAnsi="Trebuchet MS"/>
          <w:color w:val="404040" w:themeColor="text1" w:themeTint="BF"/>
          <w:lang w:val="es-ES" w:eastAsia="es-CO"/>
        </w:rPr>
      </w:pPr>
    </w:p>
    <w:p w:rsidR="00652BC4" w:rsidRDefault="00652BC4" w:rsidP="00F037AF">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A partir de este documento, la Coordinación Nacional del SIGCMA, atendiendo las directrices de la Ley Anticorrupción, llevó a cabo un ejercicio de actualización y consolidación de riesgos institucionales, los cuales corresponden a los de mayor  importancia observados a nivel central y seccional.</w:t>
      </w:r>
    </w:p>
    <w:p w:rsidR="00652BC4" w:rsidRDefault="00652BC4" w:rsidP="00F037AF">
      <w:pPr>
        <w:spacing w:after="5" w:line="249" w:lineRule="auto"/>
        <w:jc w:val="both"/>
        <w:rPr>
          <w:rFonts w:ascii="Trebuchet MS" w:eastAsia="Calibri" w:hAnsi="Trebuchet MS"/>
          <w:color w:val="404040" w:themeColor="text1" w:themeTint="BF"/>
          <w:lang w:val="es-ES" w:eastAsia="es-CO"/>
        </w:rPr>
      </w:pPr>
    </w:p>
    <w:p w:rsidR="00652BC4" w:rsidRDefault="00652BC4" w:rsidP="00F037AF">
      <w:pPr>
        <w:spacing w:after="5" w:line="249" w:lineRule="auto"/>
        <w:jc w:val="both"/>
        <w:rPr>
          <w:rFonts w:ascii="Trebuchet MS" w:eastAsia="Calibri" w:hAnsi="Trebuchet MS"/>
          <w:color w:val="404040" w:themeColor="text1" w:themeTint="BF"/>
          <w:lang w:val="es-ES" w:eastAsia="es-CO"/>
        </w:rPr>
      </w:pPr>
      <w:r>
        <w:rPr>
          <w:rFonts w:ascii="Trebuchet MS" w:eastAsia="Calibri" w:hAnsi="Trebuchet MS"/>
          <w:color w:val="404040" w:themeColor="text1" w:themeTint="BF"/>
          <w:lang w:val="es-ES" w:eastAsia="es-CO"/>
        </w:rPr>
        <w:t>En total se establecieron diecinueve riesgos.  Los resultado obtenido fue el siguiente:</w:t>
      </w:r>
    </w:p>
    <w:p w:rsidR="00652BC4" w:rsidRDefault="00652BC4" w:rsidP="00F037AF">
      <w:pPr>
        <w:spacing w:after="5" w:line="249" w:lineRule="auto"/>
        <w:jc w:val="both"/>
        <w:rPr>
          <w:rFonts w:ascii="Trebuchet MS" w:eastAsia="Calibri" w:hAnsi="Trebuchet MS"/>
          <w:color w:val="404040" w:themeColor="text1" w:themeTint="BF"/>
          <w:lang w:val="es-ES" w:eastAsia="es-CO"/>
        </w:rPr>
      </w:pPr>
    </w:p>
    <w:p w:rsidR="00597C52" w:rsidRDefault="00597C52" w:rsidP="00652BC4">
      <w:pPr>
        <w:jc w:val="center"/>
        <w:rPr>
          <w:rFonts w:ascii="Calibri" w:hAnsi="Calibri"/>
          <w:color w:val="000000"/>
          <w:sz w:val="18"/>
          <w:szCs w:val="18"/>
        </w:rPr>
        <w:sectPr w:rsidR="00597C52" w:rsidSect="004E319B">
          <w:headerReference w:type="default" r:id="rId42"/>
          <w:footerReference w:type="default" r:id="rId43"/>
          <w:pgSz w:w="12240" w:h="15840"/>
          <w:pgMar w:top="1417" w:right="1701" w:bottom="1417" w:left="1701" w:header="709" w:footer="709"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475"/>
        <w:gridCol w:w="2164"/>
        <w:gridCol w:w="2164"/>
        <w:gridCol w:w="2164"/>
        <w:gridCol w:w="2793"/>
        <w:gridCol w:w="3229"/>
      </w:tblGrid>
      <w:tr w:rsidR="00652BC4" w:rsidRPr="00652BC4" w:rsidTr="00652BC4">
        <w:trPr>
          <w:trHeight w:val="645"/>
          <w:tblHeader/>
        </w:trPr>
        <w:tc>
          <w:tcPr>
            <w:tcW w:w="183" w:type="pct"/>
            <w:vMerge w:val="restart"/>
            <w:tcBorders>
              <w:top w:val="single" w:sz="8" w:space="0" w:color="auto"/>
              <w:left w:val="single" w:sz="8" w:space="0" w:color="auto"/>
              <w:bottom w:val="single" w:sz="8" w:space="0" w:color="000000"/>
              <w:right w:val="single" w:sz="4" w:space="0" w:color="auto"/>
            </w:tcBorders>
            <w:shd w:val="clear" w:color="000000" w:fill="B4C6E7"/>
            <w:vAlign w:val="center"/>
            <w:hideMark/>
          </w:tcPr>
          <w:p w:rsidR="00652BC4" w:rsidRPr="00652BC4" w:rsidRDefault="00652BC4" w:rsidP="00652BC4">
            <w:pPr>
              <w:jc w:val="center"/>
              <w:rPr>
                <w:rFonts w:ascii="Calibri" w:hAnsi="Calibri"/>
                <w:color w:val="000000"/>
                <w:sz w:val="18"/>
                <w:szCs w:val="18"/>
              </w:rPr>
            </w:pPr>
            <w:r w:rsidRPr="00652BC4">
              <w:rPr>
                <w:rFonts w:ascii="Calibri" w:hAnsi="Calibri"/>
                <w:color w:val="000000"/>
                <w:sz w:val="18"/>
                <w:szCs w:val="18"/>
              </w:rPr>
              <w:lastRenderedPageBreak/>
              <w:t xml:space="preserve">No. </w:t>
            </w:r>
          </w:p>
        </w:tc>
        <w:tc>
          <w:tcPr>
            <w:tcW w:w="833" w:type="pct"/>
            <w:vMerge w:val="restart"/>
            <w:tcBorders>
              <w:top w:val="single" w:sz="8" w:space="0" w:color="auto"/>
              <w:left w:val="single" w:sz="4" w:space="0" w:color="auto"/>
              <w:bottom w:val="single" w:sz="8" w:space="0" w:color="000000"/>
              <w:right w:val="single" w:sz="4" w:space="0" w:color="auto"/>
            </w:tcBorders>
            <w:shd w:val="clear" w:color="000000" w:fill="B4C6E7"/>
            <w:vAlign w:val="center"/>
            <w:hideMark/>
          </w:tcPr>
          <w:p w:rsidR="00652BC4" w:rsidRPr="00652BC4" w:rsidRDefault="00652BC4" w:rsidP="00652BC4">
            <w:pPr>
              <w:jc w:val="center"/>
              <w:rPr>
                <w:rFonts w:ascii="Calibri" w:hAnsi="Calibri"/>
                <w:color w:val="000000"/>
                <w:sz w:val="18"/>
                <w:szCs w:val="18"/>
              </w:rPr>
            </w:pPr>
            <w:r w:rsidRPr="00652BC4">
              <w:rPr>
                <w:rFonts w:ascii="Calibri" w:hAnsi="Calibri"/>
                <w:color w:val="000000"/>
                <w:sz w:val="18"/>
                <w:szCs w:val="18"/>
              </w:rPr>
              <w:t>RIESGOS</w:t>
            </w:r>
          </w:p>
        </w:tc>
        <w:tc>
          <w:tcPr>
            <w:tcW w:w="833" w:type="pct"/>
            <w:vMerge w:val="restart"/>
            <w:tcBorders>
              <w:top w:val="single" w:sz="8" w:space="0" w:color="auto"/>
              <w:left w:val="single" w:sz="4" w:space="0" w:color="auto"/>
              <w:bottom w:val="single" w:sz="8" w:space="0" w:color="000000"/>
              <w:right w:val="single" w:sz="4" w:space="0" w:color="auto"/>
            </w:tcBorders>
            <w:shd w:val="clear" w:color="000000" w:fill="B4C6E7"/>
            <w:vAlign w:val="center"/>
            <w:hideMark/>
          </w:tcPr>
          <w:p w:rsidR="00652BC4" w:rsidRPr="00652BC4" w:rsidRDefault="00652BC4" w:rsidP="00652BC4">
            <w:pPr>
              <w:jc w:val="center"/>
              <w:rPr>
                <w:rFonts w:ascii="Calibri" w:hAnsi="Calibri"/>
                <w:color w:val="000000"/>
                <w:sz w:val="18"/>
                <w:szCs w:val="18"/>
              </w:rPr>
            </w:pPr>
            <w:r w:rsidRPr="00652BC4">
              <w:rPr>
                <w:rFonts w:ascii="Calibri" w:hAnsi="Calibri"/>
                <w:color w:val="000000"/>
                <w:sz w:val="18"/>
                <w:szCs w:val="18"/>
              </w:rPr>
              <w:t>DESCRIPCION</w:t>
            </w:r>
          </w:p>
        </w:tc>
        <w:tc>
          <w:tcPr>
            <w:tcW w:w="833" w:type="pct"/>
            <w:vMerge w:val="restart"/>
            <w:tcBorders>
              <w:top w:val="single" w:sz="8" w:space="0" w:color="auto"/>
              <w:left w:val="single" w:sz="4" w:space="0" w:color="auto"/>
              <w:bottom w:val="single" w:sz="8" w:space="0" w:color="000000"/>
              <w:right w:val="single" w:sz="4" w:space="0" w:color="auto"/>
            </w:tcBorders>
            <w:shd w:val="clear" w:color="000000" w:fill="B4C6E7"/>
            <w:vAlign w:val="center"/>
            <w:hideMark/>
          </w:tcPr>
          <w:p w:rsidR="00652BC4" w:rsidRPr="00652BC4" w:rsidRDefault="00652BC4" w:rsidP="00652BC4">
            <w:pPr>
              <w:jc w:val="center"/>
              <w:rPr>
                <w:rFonts w:ascii="Calibri" w:hAnsi="Calibri"/>
                <w:color w:val="000000"/>
                <w:sz w:val="18"/>
                <w:szCs w:val="18"/>
              </w:rPr>
            </w:pPr>
            <w:r w:rsidRPr="00652BC4">
              <w:rPr>
                <w:rFonts w:ascii="Calibri" w:hAnsi="Calibri"/>
                <w:color w:val="000000"/>
                <w:sz w:val="18"/>
                <w:szCs w:val="18"/>
              </w:rPr>
              <w:t>CAUSAS</w:t>
            </w:r>
          </w:p>
        </w:tc>
        <w:tc>
          <w:tcPr>
            <w:tcW w:w="1075" w:type="pct"/>
            <w:vMerge w:val="restart"/>
            <w:tcBorders>
              <w:top w:val="single" w:sz="8" w:space="0" w:color="auto"/>
              <w:left w:val="single" w:sz="4" w:space="0" w:color="auto"/>
              <w:bottom w:val="single" w:sz="8" w:space="0" w:color="000000"/>
              <w:right w:val="single" w:sz="4" w:space="0" w:color="auto"/>
            </w:tcBorders>
            <w:shd w:val="clear" w:color="000000" w:fill="B4C6E7"/>
            <w:vAlign w:val="center"/>
            <w:hideMark/>
          </w:tcPr>
          <w:p w:rsidR="00652BC4" w:rsidRPr="00652BC4" w:rsidRDefault="00652BC4" w:rsidP="00652BC4">
            <w:pPr>
              <w:jc w:val="center"/>
              <w:rPr>
                <w:rFonts w:ascii="Calibri" w:hAnsi="Calibri"/>
                <w:color w:val="000000"/>
                <w:sz w:val="18"/>
                <w:szCs w:val="18"/>
              </w:rPr>
            </w:pPr>
            <w:r w:rsidRPr="00652BC4">
              <w:rPr>
                <w:rFonts w:ascii="Calibri" w:hAnsi="Calibri"/>
                <w:color w:val="000000"/>
                <w:sz w:val="18"/>
                <w:szCs w:val="18"/>
              </w:rPr>
              <w:t>PROCESOS ASOCIADOS</w:t>
            </w:r>
          </w:p>
        </w:tc>
        <w:tc>
          <w:tcPr>
            <w:tcW w:w="1243" w:type="pct"/>
            <w:vMerge w:val="restart"/>
            <w:tcBorders>
              <w:top w:val="single" w:sz="8" w:space="0" w:color="auto"/>
              <w:left w:val="single" w:sz="4" w:space="0" w:color="auto"/>
              <w:bottom w:val="single" w:sz="8" w:space="0" w:color="000000"/>
              <w:right w:val="single" w:sz="4" w:space="0" w:color="auto"/>
            </w:tcBorders>
            <w:shd w:val="clear" w:color="000000" w:fill="B4C6E7"/>
            <w:vAlign w:val="center"/>
            <w:hideMark/>
          </w:tcPr>
          <w:p w:rsidR="00652BC4" w:rsidRPr="00652BC4" w:rsidRDefault="00652BC4" w:rsidP="00652BC4">
            <w:pPr>
              <w:jc w:val="center"/>
              <w:rPr>
                <w:rFonts w:ascii="Calibri" w:hAnsi="Calibri"/>
                <w:color w:val="000000"/>
                <w:sz w:val="18"/>
                <w:szCs w:val="18"/>
              </w:rPr>
            </w:pPr>
            <w:r w:rsidRPr="00652BC4">
              <w:rPr>
                <w:rFonts w:ascii="Calibri" w:hAnsi="Calibri"/>
                <w:color w:val="000000"/>
                <w:sz w:val="18"/>
                <w:szCs w:val="18"/>
              </w:rPr>
              <w:t>CLASIFICACION DEL RIESGO</w:t>
            </w:r>
          </w:p>
        </w:tc>
      </w:tr>
      <w:tr w:rsidR="00652BC4" w:rsidRPr="00652BC4" w:rsidTr="00652BC4">
        <w:trPr>
          <w:trHeight w:val="220"/>
        </w:trPr>
        <w:tc>
          <w:tcPr>
            <w:tcW w:w="183" w:type="pct"/>
            <w:vMerge/>
            <w:tcBorders>
              <w:top w:val="single" w:sz="8" w:space="0" w:color="auto"/>
              <w:left w:val="single" w:sz="8" w:space="0" w:color="auto"/>
              <w:bottom w:val="single" w:sz="8" w:space="0" w:color="000000"/>
              <w:right w:val="single" w:sz="4" w:space="0" w:color="auto"/>
            </w:tcBorders>
            <w:vAlign w:val="center"/>
            <w:hideMark/>
          </w:tcPr>
          <w:p w:rsidR="00652BC4" w:rsidRPr="00652BC4" w:rsidRDefault="00652BC4" w:rsidP="00652BC4">
            <w:pPr>
              <w:rPr>
                <w:rFonts w:ascii="Calibri" w:hAnsi="Calibri"/>
                <w:color w:val="000000"/>
                <w:sz w:val="18"/>
                <w:szCs w:val="18"/>
              </w:rPr>
            </w:pPr>
          </w:p>
        </w:tc>
        <w:tc>
          <w:tcPr>
            <w:tcW w:w="833" w:type="pct"/>
            <w:vMerge/>
            <w:tcBorders>
              <w:top w:val="single" w:sz="8" w:space="0" w:color="auto"/>
              <w:left w:val="single" w:sz="4" w:space="0" w:color="auto"/>
              <w:bottom w:val="single" w:sz="8" w:space="0" w:color="000000"/>
              <w:right w:val="single" w:sz="4" w:space="0" w:color="auto"/>
            </w:tcBorders>
            <w:vAlign w:val="center"/>
            <w:hideMark/>
          </w:tcPr>
          <w:p w:rsidR="00652BC4" w:rsidRPr="00652BC4" w:rsidRDefault="00652BC4" w:rsidP="00652BC4">
            <w:pPr>
              <w:rPr>
                <w:rFonts w:ascii="Calibri" w:hAnsi="Calibri"/>
                <w:color w:val="000000"/>
                <w:sz w:val="18"/>
                <w:szCs w:val="18"/>
              </w:rPr>
            </w:pPr>
          </w:p>
        </w:tc>
        <w:tc>
          <w:tcPr>
            <w:tcW w:w="833" w:type="pct"/>
            <w:vMerge/>
            <w:tcBorders>
              <w:top w:val="single" w:sz="8" w:space="0" w:color="auto"/>
              <w:left w:val="single" w:sz="4" w:space="0" w:color="auto"/>
              <w:bottom w:val="single" w:sz="8" w:space="0" w:color="000000"/>
              <w:right w:val="single" w:sz="4" w:space="0" w:color="auto"/>
            </w:tcBorders>
            <w:vAlign w:val="center"/>
            <w:hideMark/>
          </w:tcPr>
          <w:p w:rsidR="00652BC4" w:rsidRPr="00652BC4" w:rsidRDefault="00652BC4" w:rsidP="00652BC4">
            <w:pPr>
              <w:rPr>
                <w:rFonts w:ascii="Calibri" w:hAnsi="Calibri"/>
                <w:color w:val="000000"/>
                <w:sz w:val="18"/>
                <w:szCs w:val="18"/>
              </w:rPr>
            </w:pPr>
          </w:p>
        </w:tc>
        <w:tc>
          <w:tcPr>
            <w:tcW w:w="833" w:type="pct"/>
            <w:vMerge/>
            <w:tcBorders>
              <w:top w:val="single" w:sz="8" w:space="0" w:color="auto"/>
              <w:left w:val="single" w:sz="4" w:space="0" w:color="auto"/>
              <w:bottom w:val="single" w:sz="8" w:space="0" w:color="000000"/>
              <w:right w:val="single" w:sz="4" w:space="0" w:color="auto"/>
            </w:tcBorders>
            <w:vAlign w:val="center"/>
            <w:hideMark/>
          </w:tcPr>
          <w:p w:rsidR="00652BC4" w:rsidRPr="00652BC4" w:rsidRDefault="00652BC4" w:rsidP="00652BC4">
            <w:pPr>
              <w:rPr>
                <w:rFonts w:ascii="Calibri" w:hAnsi="Calibri"/>
                <w:color w:val="000000"/>
                <w:sz w:val="18"/>
                <w:szCs w:val="18"/>
              </w:rPr>
            </w:pPr>
          </w:p>
        </w:tc>
        <w:tc>
          <w:tcPr>
            <w:tcW w:w="1075" w:type="pct"/>
            <w:vMerge/>
            <w:tcBorders>
              <w:top w:val="single" w:sz="8" w:space="0" w:color="auto"/>
              <w:left w:val="single" w:sz="4" w:space="0" w:color="auto"/>
              <w:bottom w:val="single" w:sz="8" w:space="0" w:color="000000"/>
              <w:right w:val="single" w:sz="4" w:space="0" w:color="auto"/>
            </w:tcBorders>
            <w:vAlign w:val="center"/>
            <w:hideMark/>
          </w:tcPr>
          <w:p w:rsidR="00652BC4" w:rsidRPr="00652BC4" w:rsidRDefault="00652BC4" w:rsidP="00652BC4">
            <w:pPr>
              <w:rPr>
                <w:rFonts w:ascii="Calibri" w:hAnsi="Calibri"/>
                <w:color w:val="000000"/>
                <w:sz w:val="18"/>
                <w:szCs w:val="18"/>
              </w:rPr>
            </w:pPr>
          </w:p>
        </w:tc>
        <w:tc>
          <w:tcPr>
            <w:tcW w:w="1243" w:type="pct"/>
            <w:vMerge/>
            <w:tcBorders>
              <w:top w:val="single" w:sz="8" w:space="0" w:color="auto"/>
              <w:left w:val="single" w:sz="4" w:space="0" w:color="auto"/>
              <w:bottom w:val="single" w:sz="8" w:space="0" w:color="000000"/>
              <w:right w:val="single" w:sz="4" w:space="0" w:color="auto"/>
            </w:tcBorders>
            <w:vAlign w:val="center"/>
            <w:hideMark/>
          </w:tcPr>
          <w:p w:rsidR="00652BC4" w:rsidRPr="00652BC4" w:rsidRDefault="00652BC4" w:rsidP="00652BC4">
            <w:pPr>
              <w:rPr>
                <w:rFonts w:ascii="Calibri" w:hAnsi="Calibri"/>
                <w:color w:val="000000"/>
                <w:sz w:val="18"/>
                <w:szCs w:val="18"/>
              </w:rPr>
            </w:pPr>
          </w:p>
        </w:tc>
      </w:tr>
      <w:tr w:rsidR="00652BC4" w:rsidRPr="00652BC4" w:rsidTr="00597C52">
        <w:trPr>
          <w:trHeight w:val="2478"/>
        </w:trPr>
        <w:tc>
          <w:tcPr>
            <w:tcW w:w="183" w:type="pct"/>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1</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FALTA DE PLANEACION ESTRATEGICA</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DEFICIENCIA EN LA ELABORACION Y PLANEACION ESTRATEGICA DE LA ENTIDAD.</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1.Falta de desconocimiento de los factores internos y externos que afectan la organización.                       2. Desconocimiento de los objetivos institucionales              3. Ausencia de un seguimiento periodico y mejoramiento del proceso de planificación.</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PLANEACION ESTRATEGICA, COMUNICACIÓN INSTITUCIONAL Y MEJORAMIENTO DEL SICGMA</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 ESTRATEGICO</w:t>
            </w:r>
          </w:p>
        </w:tc>
      </w:tr>
      <w:tr w:rsidR="00652BC4" w:rsidRPr="00652BC4" w:rsidTr="00652BC4">
        <w:trPr>
          <w:trHeight w:val="2963"/>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2</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INCUMPLIMIENTO EN LOS PRODUCTOS ENTREGADOS</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INSATISFACCIÓN DE LOS PRODUCTOS ENTREGADOS.</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1.Error en los productos entregados.                       2.Demora en la entrega de los productos.    3.Personal con deficiencias en las competencias.</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REORDENAMIENTO JUDICIAL, FORMACION JUDICIAL,ADMINISTRACION JUDICIAL, GESTION DE LA INFORMACIÓN JUDICIAL, REGISTRO Y CONTROL DE ABOGADOS, MODERNIZACION DE LA GESTION JUDICIAL, GESTIÓN HUMANA, ADQUISICION DE BNS Y SERVICIOS</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CUMPLIMIENTO</w:t>
            </w:r>
          </w:p>
        </w:tc>
      </w:tr>
      <w:tr w:rsidR="00652BC4" w:rsidRPr="00652BC4" w:rsidTr="00652BC4">
        <w:trPr>
          <w:trHeight w:val="3514"/>
        </w:trPr>
        <w:tc>
          <w:tcPr>
            <w:tcW w:w="183" w:type="pct"/>
            <w:tcBorders>
              <w:top w:val="nil"/>
              <w:left w:val="single" w:sz="8" w:space="0" w:color="auto"/>
              <w:bottom w:val="single" w:sz="4" w:space="0" w:color="auto"/>
              <w:right w:val="single" w:sz="4" w:space="0" w:color="auto"/>
            </w:tcBorders>
            <w:shd w:val="clear" w:color="000000" w:fill="FFC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3</w:t>
            </w:r>
          </w:p>
        </w:tc>
        <w:tc>
          <w:tcPr>
            <w:tcW w:w="833" w:type="pct"/>
            <w:tcBorders>
              <w:top w:val="nil"/>
              <w:left w:val="nil"/>
              <w:bottom w:val="single" w:sz="4" w:space="0" w:color="auto"/>
              <w:right w:val="single" w:sz="4" w:space="0" w:color="auto"/>
            </w:tcBorders>
            <w:shd w:val="clear" w:color="000000" w:fill="FFC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DEMORA  EN LA EJECUCION DE LAS ACTIVIDADES</w:t>
            </w:r>
          </w:p>
        </w:tc>
        <w:tc>
          <w:tcPr>
            <w:tcW w:w="833" w:type="pct"/>
            <w:tcBorders>
              <w:top w:val="nil"/>
              <w:left w:val="nil"/>
              <w:bottom w:val="single" w:sz="4" w:space="0" w:color="auto"/>
              <w:right w:val="single" w:sz="4" w:space="0" w:color="auto"/>
            </w:tcBorders>
            <w:shd w:val="clear" w:color="000000" w:fill="FFC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TARDANZA  EN LA EJECUCIÓN DE LA ACTIVIDADES</w:t>
            </w:r>
          </w:p>
        </w:tc>
        <w:tc>
          <w:tcPr>
            <w:tcW w:w="833" w:type="pct"/>
            <w:tcBorders>
              <w:top w:val="nil"/>
              <w:left w:val="nil"/>
              <w:bottom w:val="single" w:sz="4" w:space="0" w:color="auto"/>
              <w:right w:val="single" w:sz="4" w:space="0" w:color="auto"/>
            </w:tcBorders>
            <w:shd w:val="clear" w:color="000000" w:fill="FFC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1.Demora en la Ejecución de las Actividades.                  2.Personal con deficiencias en las competencias.</w:t>
            </w:r>
          </w:p>
        </w:tc>
        <w:tc>
          <w:tcPr>
            <w:tcW w:w="1075" w:type="pct"/>
            <w:tcBorders>
              <w:top w:val="nil"/>
              <w:left w:val="nil"/>
              <w:bottom w:val="single" w:sz="4" w:space="0" w:color="auto"/>
              <w:right w:val="single" w:sz="4" w:space="0" w:color="auto"/>
            </w:tcBorders>
            <w:shd w:val="clear" w:color="000000" w:fill="FFC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REORDENAMIENTO JUDICIAL, FORMACION JUDICIAL,ADMINISTRACION JUDICIAL, GESTION DE LA INFORMACIÓN JUDICIAL, REGISTRO Y CONTROL DE ABOGADOS, MODERNIZACION DE LA GESTION JUDICIAL, GESTIÓN HUMANA, ADQUISICION DE BNS Y SERVICIOS</w:t>
            </w:r>
          </w:p>
        </w:tc>
        <w:tc>
          <w:tcPr>
            <w:tcW w:w="1243" w:type="pct"/>
            <w:tcBorders>
              <w:top w:val="nil"/>
              <w:left w:val="nil"/>
              <w:bottom w:val="single" w:sz="4" w:space="0" w:color="auto"/>
              <w:right w:val="single" w:sz="4" w:space="0" w:color="auto"/>
            </w:tcBorders>
            <w:shd w:val="clear" w:color="000000" w:fill="FFC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CUMPLIMIENTO</w:t>
            </w:r>
          </w:p>
        </w:tc>
      </w:tr>
      <w:tr w:rsidR="00652BC4" w:rsidRPr="00652BC4" w:rsidTr="00652BC4">
        <w:trPr>
          <w:trHeight w:val="6704"/>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4</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FALLAS TECNOLOGICAS</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Fallas de Hardware y Software Daños en los componentes físicos de los elementos tecnológico que impiden su correcto funcionamiento.</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 Demora en la Ejecución de las Actividades.                   2.Incumplimiento de las actividades.              3. Defectos en los aplicativos de software y de hardware instalados en un sistema informatico que afectan su correcto funcionamiento.</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TECNOLOGICO</w:t>
            </w:r>
          </w:p>
        </w:tc>
      </w:tr>
      <w:tr w:rsidR="00652BC4" w:rsidRPr="00652BC4" w:rsidTr="00652BC4">
        <w:trPr>
          <w:trHeight w:val="4291"/>
        </w:trPr>
        <w:tc>
          <w:tcPr>
            <w:tcW w:w="183" w:type="pct"/>
            <w:tcBorders>
              <w:top w:val="nil"/>
              <w:left w:val="single" w:sz="8" w:space="0" w:color="auto"/>
              <w:bottom w:val="single" w:sz="4" w:space="0" w:color="auto"/>
              <w:right w:val="single" w:sz="4" w:space="0" w:color="auto"/>
            </w:tcBorders>
            <w:shd w:val="clear" w:color="000000" w:fill="FFC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5</w:t>
            </w:r>
          </w:p>
        </w:tc>
        <w:tc>
          <w:tcPr>
            <w:tcW w:w="833" w:type="pct"/>
            <w:tcBorders>
              <w:top w:val="nil"/>
              <w:left w:val="nil"/>
              <w:bottom w:val="single" w:sz="4" w:space="0" w:color="auto"/>
              <w:right w:val="single" w:sz="4" w:space="0" w:color="auto"/>
            </w:tcBorders>
            <w:shd w:val="clear" w:color="000000" w:fill="FFC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INADECUADA PROGRAMACION Y EJECUCION DE LOS RECURSOS PRESUPUESTALES</w:t>
            </w:r>
          </w:p>
        </w:tc>
        <w:tc>
          <w:tcPr>
            <w:tcW w:w="833" w:type="pct"/>
            <w:tcBorders>
              <w:top w:val="nil"/>
              <w:left w:val="nil"/>
              <w:bottom w:val="single" w:sz="4" w:space="0" w:color="auto"/>
              <w:right w:val="single" w:sz="4" w:space="0" w:color="auto"/>
            </w:tcBorders>
            <w:shd w:val="clear" w:color="000000" w:fill="FFC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Desatender necesidades prioritarias de gasto, por baja asignación de recursos del Gobierno Nacional afectando la prestación del servicio de Justicia.</w:t>
            </w:r>
          </w:p>
        </w:tc>
        <w:tc>
          <w:tcPr>
            <w:tcW w:w="833" w:type="pct"/>
            <w:tcBorders>
              <w:top w:val="nil"/>
              <w:left w:val="nil"/>
              <w:bottom w:val="single" w:sz="4" w:space="0" w:color="auto"/>
              <w:right w:val="single" w:sz="4" w:space="0" w:color="auto"/>
            </w:tcBorders>
            <w:shd w:val="clear" w:color="000000" w:fill="FFC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 Congestión Judicial y disminución en la prestación del servicio de justicia.           2.Incumplimiento de metas y objetivos.        3.Rotación de Personal. 4. Baja ejecución presupuestal.</w:t>
            </w:r>
          </w:p>
        </w:tc>
        <w:tc>
          <w:tcPr>
            <w:tcW w:w="1075" w:type="pct"/>
            <w:tcBorders>
              <w:top w:val="nil"/>
              <w:left w:val="nil"/>
              <w:bottom w:val="single" w:sz="4" w:space="0" w:color="auto"/>
              <w:right w:val="single" w:sz="4" w:space="0" w:color="auto"/>
            </w:tcBorders>
            <w:shd w:val="clear" w:color="000000" w:fill="FFC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 GESTIÓN HUMANA, ADQUISICION DE BNS Y SERVICIOS, AUDITORIA INTERNA, GESTION DOCUMENTAL,ASISTENCIA LEGAL, GESTIÓN DE SEGURIDAD Y SALUD OCUPACIONAL, GESTIÓN INFORMACIÓN ESTADISTICA, GESTION FINANCIERA Y PRESUPUESTAL Y ADMINISTRACION DE LA SEGURIDAD. </w:t>
            </w:r>
          </w:p>
        </w:tc>
        <w:tc>
          <w:tcPr>
            <w:tcW w:w="1243" w:type="pct"/>
            <w:tcBorders>
              <w:top w:val="nil"/>
              <w:left w:val="nil"/>
              <w:bottom w:val="single" w:sz="4" w:space="0" w:color="auto"/>
              <w:right w:val="single" w:sz="4" w:space="0" w:color="auto"/>
            </w:tcBorders>
            <w:shd w:val="clear" w:color="000000" w:fill="FFC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FINANCIERO</w:t>
            </w:r>
          </w:p>
        </w:tc>
      </w:tr>
      <w:tr w:rsidR="00652BC4" w:rsidRPr="00652BC4" w:rsidTr="00652BC4">
        <w:trPr>
          <w:trHeight w:val="7184"/>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6</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DESASTRES NATURALES   ( Terremotos, temblores, lluvias, sequías, inundaciones)</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Situaciones imprevistas de tipo externo de origen natural.</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 xml:space="preserve"> Terremoto, incendio, lluvias, sequias, temblores e inundaciones.</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NATURAL</w:t>
            </w:r>
          </w:p>
        </w:tc>
      </w:tr>
      <w:tr w:rsidR="00652BC4" w:rsidRPr="00652BC4" w:rsidTr="00652BC4">
        <w:trPr>
          <w:trHeight w:val="7711"/>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7</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 xml:space="preserve">USO INDEBIDO DE LA </w:t>
            </w:r>
            <w:bookmarkStart w:id="10" w:name="_GoBack"/>
            <w:bookmarkEnd w:id="10"/>
            <w:r w:rsidRPr="00652BC4">
              <w:rPr>
                <w:rFonts w:ascii="Calibri" w:hAnsi="Calibri"/>
                <w:color w:val="FFFFFF"/>
                <w:sz w:val="18"/>
                <w:szCs w:val="18"/>
              </w:rPr>
              <w:t>INFORMACIÓN</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Usar de manera inadecuada la información suministrada.</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1.Falta de control de la seguridad de la información suministrada.                2.Permitir a terceros acesso a la información.                 3. Falta de Confidencialidad.         4. Desconocimiento del buen uso de la información suministrada.</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CORRUPCIÓN</w:t>
            </w:r>
          </w:p>
        </w:tc>
      </w:tr>
      <w:tr w:rsidR="00652BC4" w:rsidRPr="00652BC4" w:rsidTr="00652BC4">
        <w:trPr>
          <w:trHeight w:val="7531"/>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8</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PÉRDIDAS DE RECURSOS DE LA ENTIDAD</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SUSTRACCION DE RECURSOS FINANCIEROS DE LA ENTIDAD.</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 Hurto por agente externo o por empleado.                      2.Inclusión de gastos no autorizados.              3.Inexistencia de registros auxiliares que permitan identificar y controlar los rubros de</w:t>
            </w:r>
            <w:r w:rsidRPr="00652BC4">
              <w:rPr>
                <w:rFonts w:ascii="Calibri" w:hAnsi="Calibri"/>
                <w:color w:val="FFFFFF"/>
                <w:sz w:val="18"/>
                <w:szCs w:val="18"/>
              </w:rPr>
              <w:br/>
              <w:t>inversión.</w:t>
            </w:r>
            <w:r w:rsidRPr="00652BC4">
              <w:rPr>
                <w:rFonts w:ascii="Calibri" w:hAnsi="Calibri"/>
                <w:color w:val="FFFFFF"/>
                <w:sz w:val="18"/>
                <w:szCs w:val="18"/>
              </w:rPr>
              <w:br/>
              <w:t>4. Archivos contables con vacíos de información.</w:t>
            </w:r>
            <w:r w:rsidRPr="00652BC4">
              <w:rPr>
                <w:rFonts w:ascii="Calibri" w:hAnsi="Calibri"/>
                <w:color w:val="FFFFFF"/>
                <w:sz w:val="18"/>
                <w:szCs w:val="18"/>
              </w:rPr>
              <w:br/>
              <w:t>5. Afectar rubros que no corresponden con el objeto del gasto en beneficio propio o a</w:t>
            </w:r>
            <w:r w:rsidRPr="00652BC4">
              <w:rPr>
                <w:rFonts w:ascii="Calibri" w:hAnsi="Calibri"/>
                <w:color w:val="FFFFFF"/>
                <w:sz w:val="18"/>
                <w:szCs w:val="18"/>
              </w:rPr>
              <w:br/>
              <w:t>cambio de una retribución económica.</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 ASISTENCIA LEGAL, GESTIÓN DE SEGURIDAD Y SALUD OCUPACIONAL, GESTIÓN INFORMACIÓN ESTADISTICA, GESTIÓN FINANCIERA Y PRESUPUESTAL Y ADMINISTRACION DE LA SEGURIDAD. </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CORRUPCIÓN</w:t>
            </w:r>
          </w:p>
        </w:tc>
      </w:tr>
      <w:tr w:rsidR="00652BC4" w:rsidRPr="00652BC4" w:rsidTr="00652BC4">
        <w:trPr>
          <w:trHeight w:val="7786"/>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9</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DESVIO DE RECURSOS  ECONÓMICOS DE LA ENTIDAD</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USO INDEBIDO DE LOS RECURSOS ECONOMICOS.</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1.Inexistencia de registros auxiliares que permitan identificar y controlar los rubros de</w:t>
            </w:r>
            <w:r w:rsidRPr="00652BC4">
              <w:rPr>
                <w:rFonts w:ascii="Calibri" w:hAnsi="Calibri"/>
                <w:color w:val="FFFFFF"/>
                <w:sz w:val="18"/>
                <w:szCs w:val="18"/>
              </w:rPr>
              <w:br/>
              <w:t>inversión.</w:t>
            </w:r>
            <w:r w:rsidRPr="00652BC4">
              <w:rPr>
                <w:rFonts w:ascii="Calibri" w:hAnsi="Calibri"/>
                <w:color w:val="FFFFFF"/>
                <w:sz w:val="18"/>
                <w:szCs w:val="18"/>
              </w:rPr>
              <w:br/>
              <w:t>2. Archivos contables con vacíos de información.</w:t>
            </w:r>
            <w:r w:rsidRPr="00652BC4">
              <w:rPr>
                <w:rFonts w:ascii="Calibri" w:hAnsi="Calibri"/>
                <w:color w:val="FFFFFF"/>
                <w:sz w:val="18"/>
                <w:szCs w:val="18"/>
              </w:rPr>
              <w:br/>
              <w:t>3. Afectar rubros que no corresponden con el objeto del gasto en beneficio propio o a</w:t>
            </w:r>
            <w:r w:rsidRPr="00652BC4">
              <w:rPr>
                <w:rFonts w:ascii="Calibri" w:hAnsi="Calibri"/>
                <w:color w:val="FFFFFF"/>
                <w:sz w:val="18"/>
                <w:szCs w:val="18"/>
              </w:rPr>
              <w:br/>
              <w:t>cambio de una retribución económica.</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 ASISTENCIA LEGAL, GESTIÓN DE SEGURIDAD Y SALUD OCUPACIONAL, GESTIÓN INFORMACIÓN ESTADISTICA, GESTIÓN FINANCIERA Y PRESUPUESTAL Y ADMINISTRACION DE LA SEGURIDAD. </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CORRUPCIÓN</w:t>
            </w:r>
          </w:p>
        </w:tc>
      </w:tr>
      <w:tr w:rsidR="00652BC4" w:rsidRPr="00652BC4" w:rsidTr="00652BC4">
        <w:trPr>
          <w:trHeight w:val="2794"/>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10</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PÉRDIDA DE LOS PROCESOS JUDICIALES</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SUSTRACCION DE LOS PROCESOS JUDICIALES</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 Demora en la toma de decisiones judiciales.                      2. Incumplimiento en los tiempos procesales       3. Falta de respuesta  en las peticiones del ciudadano.</w:t>
            </w:r>
          </w:p>
        </w:tc>
        <w:tc>
          <w:tcPr>
            <w:tcW w:w="1075"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ASISTENCIA LEGAL</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CORRUPCIÓN</w:t>
            </w:r>
          </w:p>
        </w:tc>
      </w:tr>
      <w:tr w:rsidR="00652BC4" w:rsidRPr="00652BC4" w:rsidTr="00652BC4">
        <w:trPr>
          <w:trHeight w:val="7501"/>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11</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INFORMACIÓN ERRADA O INEXACTA EN EL PROYECTO DE CONTRATACIÓN</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EQUIVOCACION EN LA INFORMACION SUMINISTRADA PARA CONTRATAR</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 Falta de precisión en los estudios previos y pliegos de condiciones.                 2. Presentar datos o estimaciones en un estudio, equivocadas o incompletas ocasionado por la falta de inducción, entrenamiento yo capacitación del personal encargado de elaborar los estudios previos.                          3. Demora en la contratación.                4. Desconocimiento de la normatividad.</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w:t>
            </w:r>
          </w:p>
        </w:tc>
      </w:tr>
      <w:tr w:rsidR="00652BC4" w:rsidRPr="00652BC4" w:rsidTr="00652BC4">
        <w:trPr>
          <w:trHeight w:val="6985"/>
        </w:trPr>
        <w:tc>
          <w:tcPr>
            <w:tcW w:w="183" w:type="pct"/>
            <w:tcBorders>
              <w:top w:val="nil"/>
              <w:left w:val="single" w:sz="8"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12</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CONTRATACIÓN CON TIEMPOS DE EJECUCION MAS CORTOS DE LOS PLANEADO.</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EJECUCION DE LOS CONTRATOS EN UN MINIMO  TIEMPO NO ESTIPULADO.</w:t>
            </w:r>
          </w:p>
        </w:tc>
        <w:tc>
          <w:tcPr>
            <w:tcW w:w="833"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1.Falta de disponibilidad presupuestal                 2. Demora en el momento de contratar. 3. Falta de seguimiento de los contratos.           4. Proyectos  de mala calidad.</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nil"/>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w:t>
            </w:r>
          </w:p>
        </w:tc>
      </w:tr>
      <w:tr w:rsidR="00652BC4" w:rsidRPr="00652BC4" w:rsidTr="00652BC4">
        <w:trPr>
          <w:trHeight w:val="6846"/>
        </w:trPr>
        <w:tc>
          <w:tcPr>
            <w:tcW w:w="183" w:type="pct"/>
            <w:tcBorders>
              <w:top w:val="nil"/>
              <w:left w:val="single" w:sz="8" w:space="0" w:color="auto"/>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13</w:t>
            </w:r>
          </w:p>
        </w:tc>
        <w:tc>
          <w:tcPr>
            <w:tcW w:w="833" w:type="pct"/>
            <w:tcBorders>
              <w:top w:val="nil"/>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POCA CANTIDAD DE OFERENTES</w:t>
            </w:r>
          </w:p>
        </w:tc>
        <w:tc>
          <w:tcPr>
            <w:tcW w:w="833" w:type="pct"/>
            <w:tcBorders>
              <w:top w:val="nil"/>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BAJA PARTICIPACIÓN DE LOS OFERENTES EN PROCESOS DE CONTRATACIÓN.</w:t>
            </w:r>
          </w:p>
        </w:tc>
        <w:tc>
          <w:tcPr>
            <w:tcW w:w="833" w:type="pct"/>
            <w:tcBorders>
              <w:top w:val="nil"/>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 xml:space="preserve">1.Falta de  mayor búsqueda de oferentes en el analisis y estudio del sector.                             2.  Tiempos demasiados cortos para la ejecucion de los contratos.                </w:t>
            </w:r>
          </w:p>
        </w:tc>
        <w:tc>
          <w:tcPr>
            <w:tcW w:w="1075" w:type="pct"/>
            <w:tcBorders>
              <w:top w:val="nil"/>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nil"/>
              <w:left w:val="nil"/>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w:t>
            </w:r>
          </w:p>
        </w:tc>
      </w:tr>
      <w:tr w:rsidR="00652BC4" w:rsidRPr="00652BC4" w:rsidTr="00652BC4">
        <w:trPr>
          <w:trHeight w:val="3525"/>
        </w:trPr>
        <w:tc>
          <w:tcPr>
            <w:tcW w:w="183" w:type="pct"/>
            <w:vMerge w:val="restart"/>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14</w:t>
            </w:r>
          </w:p>
        </w:tc>
        <w:tc>
          <w:tcPr>
            <w:tcW w:w="833" w:type="pct"/>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PARO JUDICIAL</w:t>
            </w:r>
          </w:p>
        </w:tc>
        <w:tc>
          <w:tcPr>
            <w:tcW w:w="833" w:type="pct"/>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INACTIVIDAD TOTAL O PARCIAL DEL APARATO DE JUSTICIA DECRETADA POR EL SINDICATO DE LA RAMA JUDICIAL.</w:t>
            </w:r>
          </w:p>
        </w:tc>
        <w:tc>
          <w:tcPr>
            <w:tcW w:w="833" w:type="pct"/>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 Falta de  acuerdos o convenios con el gobierno.                            2. Falta de Recursos.      3.Aumento de la demanda de justicia sin generar aumento de personal.</w:t>
            </w:r>
          </w:p>
        </w:tc>
        <w:tc>
          <w:tcPr>
            <w:tcW w:w="1075" w:type="pct"/>
            <w:vMerge w:val="restart"/>
            <w:tcBorders>
              <w:top w:val="nil"/>
              <w:left w:val="single" w:sz="4" w:space="0" w:color="auto"/>
              <w:bottom w:val="nil"/>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vMerge w:val="restart"/>
            <w:tcBorders>
              <w:top w:val="single" w:sz="4" w:space="0" w:color="auto"/>
              <w:left w:val="single" w:sz="4" w:space="0" w:color="auto"/>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w:t>
            </w:r>
          </w:p>
        </w:tc>
      </w:tr>
      <w:tr w:rsidR="00652BC4" w:rsidRPr="00652BC4" w:rsidTr="00652BC4">
        <w:trPr>
          <w:trHeight w:val="280"/>
        </w:trPr>
        <w:tc>
          <w:tcPr>
            <w:tcW w:w="18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1075" w:type="pct"/>
            <w:vMerge/>
            <w:tcBorders>
              <w:top w:val="nil"/>
              <w:left w:val="single" w:sz="4" w:space="0" w:color="auto"/>
              <w:bottom w:val="nil"/>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1243" w:type="pct"/>
            <w:vMerge/>
            <w:tcBorders>
              <w:top w:val="single" w:sz="4" w:space="0" w:color="auto"/>
              <w:left w:val="single" w:sz="4" w:space="0" w:color="auto"/>
              <w:bottom w:val="nil"/>
              <w:right w:val="single" w:sz="4" w:space="0" w:color="auto"/>
            </w:tcBorders>
            <w:vAlign w:val="center"/>
            <w:hideMark/>
          </w:tcPr>
          <w:p w:rsidR="00652BC4" w:rsidRPr="00652BC4" w:rsidRDefault="00652BC4" w:rsidP="00652BC4">
            <w:pPr>
              <w:rPr>
                <w:rFonts w:ascii="Calibri" w:hAnsi="Calibri"/>
                <w:color w:val="FFFFFF"/>
                <w:sz w:val="18"/>
                <w:szCs w:val="18"/>
              </w:rPr>
            </w:pPr>
          </w:p>
        </w:tc>
      </w:tr>
      <w:tr w:rsidR="00652BC4" w:rsidRPr="00652BC4" w:rsidTr="00652BC4">
        <w:trPr>
          <w:trHeight w:val="280"/>
        </w:trPr>
        <w:tc>
          <w:tcPr>
            <w:tcW w:w="18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1075" w:type="pct"/>
            <w:vMerge/>
            <w:tcBorders>
              <w:top w:val="nil"/>
              <w:left w:val="single" w:sz="4" w:space="0" w:color="auto"/>
              <w:bottom w:val="nil"/>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1243" w:type="pct"/>
            <w:vMerge/>
            <w:tcBorders>
              <w:top w:val="single" w:sz="4" w:space="0" w:color="auto"/>
              <w:left w:val="single" w:sz="4" w:space="0" w:color="auto"/>
              <w:bottom w:val="nil"/>
              <w:right w:val="single" w:sz="4" w:space="0" w:color="auto"/>
            </w:tcBorders>
            <w:vAlign w:val="center"/>
            <w:hideMark/>
          </w:tcPr>
          <w:p w:rsidR="00652BC4" w:rsidRPr="00652BC4" w:rsidRDefault="00652BC4" w:rsidP="00652BC4">
            <w:pPr>
              <w:rPr>
                <w:rFonts w:ascii="Calibri" w:hAnsi="Calibri"/>
                <w:color w:val="FFFFFF"/>
                <w:sz w:val="18"/>
                <w:szCs w:val="18"/>
              </w:rPr>
            </w:pPr>
          </w:p>
        </w:tc>
      </w:tr>
      <w:tr w:rsidR="00652BC4" w:rsidRPr="00652BC4" w:rsidTr="00652BC4">
        <w:trPr>
          <w:trHeight w:val="280"/>
        </w:trPr>
        <w:tc>
          <w:tcPr>
            <w:tcW w:w="18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1075" w:type="pct"/>
            <w:vMerge/>
            <w:tcBorders>
              <w:top w:val="nil"/>
              <w:left w:val="single" w:sz="4" w:space="0" w:color="auto"/>
              <w:bottom w:val="nil"/>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1243" w:type="pct"/>
            <w:vMerge/>
            <w:tcBorders>
              <w:top w:val="single" w:sz="4" w:space="0" w:color="auto"/>
              <w:left w:val="single" w:sz="4" w:space="0" w:color="auto"/>
              <w:bottom w:val="nil"/>
              <w:right w:val="single" w:sz="4" w:space="0" w:color="auto"/>
            </w:tcBorders>
            <w:vAlign w:val="center"/>
            <w:hideMark/>
          </w:tcPr>
          <w:p w:rsidR="00652BC4" w:rsidRPr="00652BC4" w:rsidRDefault="00652BC4" w:rsidP="00652BC4">
            <w:pPr>
              <w:rPr>
                <w:rFonts w:ascii="Calibri" w:hAnsi="Calibri"/>
                <w:color w:val="FFFFFF"/>
                <w:sz w:val="18"/>
                <w:szCs w:val="18"/>
              </w:rPr>
            </w:pPr>
          </w:p>
        </w:tc>
      </w:tr>
      <w:tr w:rsidR="00652BC4" w:rsidRPr="00652BC4" w:rsidTr="00652BC4">
        <w:trPr>
          <w:trHeight w:val="4680"/>
        </w:trPr>
        <w:tc>
          <w:tcPr>
            <w:tcW w:w="18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1075" w:type="pct"/>
            <w:vMerge/>
            <w:tcBorders>
              <w:top w:val="nil"/>
              <w:left w:val="single" w:sz="4" w:space="0" w:color="auto"/>
              <w:bottom w:val="nil"/>
              <w:right w:val="single" w:sz="4" w:space="0" w:color="auto"/>
            </w:tcBorders>
            <w:vAlign w:val="center"/>
            <w:hideMark/>
          </w:tcPr>
          <w:p w:rsidR="00652BC4" w:rsidRPr="00652BC4" w:rsidRDefault="00652BC4" w:rsidP="00652BC4">
            <w:pPr>
              <w:rPr>
                <w:rFonts w:ascii="Calibri" w:hAnsi="Calibri"/>
                <w:color w:val="FFFFFF"/>
                <w:sz w:val="18"/>
                <w:szCs w:val="18"/>
              </w:rPr>
            </w:pPr>
          </w:p>
        </w:tc>
        <w:tc>
          <w:tcPr>
            <w:tcW w:w="1243" w:type="pct"/>
            <w:vMerge/>
            <w:tcBorders>
              <w:top w:val="single" w:sz="4" w:space="0" w:color="auto"/>
              <w:left w:val="single" w:sz="4" w:space="0" w:color="auto"/>
              <w:bottom w:val="nil"/>
              <w:right w:val="single" w:sz="4" w:space="0" w:color="auto"/>
            </w:tcBorders>
            <w:vAlign w:val="center"/>
            <w:hideMark/>
          </w:tcPr>
          <w:p w:rsidR="00652BC4" w:rsidRPr="00652BC4" w:rsidRDefault="00652BC4" w:rsidP="00652BC4">
            <w:pPr>
              <w:rPr>
                <w:rFonts w:ascii="Calibri" w:hAnsi="Calibri"/>
                <w:color w:val="FFFFFF"/>
                <w:sz w:val="18"/>
                <w:szCs w:val="18"/>
              </w:rPr>
            </w:pPr>
          </w:p>
        </w:tc>
      </w:tr>
      <w:tr w:rsidR="00652BC4" w:rsidRPr="00652BC4" w:rsidTr="00652BC4">
        <w:trPr>
          <w:trHeight w:val="6464"/>
        </w:trPr>
        <w:tc>
          <w:tcPr>
            <w:tcW w:w="183" w:type="pct"/>
            <w:tcBorders>
              <w:top w:val="nil"/>
              <w:left w:val="nil"/>
              <w:bottom w:val="nil"/>
              <w:right w:val="nil"/>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15</w:t>
            </w:r>
          </w:p>
        </w:tc>
        <w:tc>
          <w:tcPr>
            <w:tcW w:w="833" w:type="pct"/>
            <w:tcBorders>
              <w:top w:val="single" w:sz="4" w:space="0" w:color="auto"/>
              <w:left w:val="single" w:sz="4" w:space="0" w:color="auto"/>
              <w:bottom w:val="nil"/>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CAPACITACION DEFICIENTE O INSUFICIENTE</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FALTA DE CAPACITACION ACORDE CON LAS COMPETENCIAS Y HABILIDADES QUE EL CARGO AMERITA</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 Falta de conocimiento de las necesidades de capacitación.                 2.Falta de aprobacion del Plan de formacion.        3. Falta de formadores.     4. Falta de presupuesto   5. Dificultades Logisticas.</w:t>
            </w:r>
          </w:p>
        </w:tc>
        <w:tc>
          <w:tcPr>
            <w:tcW w:w="1075"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single" w:sz="4" w:space="0" w:color="auto"/>
              <w:left w:val="nil"/>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w:t>
            </w:r>
          </w:p>
        </w:tc>
      </w:tr>
      <w:tr w:rsidR="00652BC4" w:rsidRPr="00652BC4" w:rsidTr="00652BC4">
        <w:trPr>
          <w:trHeight w:val="8192"/>
        </w:trPr>
        <w:tc>
          <w:tcPr>
            <w:tcW w:w="183" w:type="pct"/>
            <w:tcBorders>
              <w:top w:val="single" w:sz="4" w:space="0" w:color="auto"/>
              <w:left w:val="single" w:sz="4" w:space="0" w:color="auto"/>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16</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FALTA DE COMPROMISO Y PARTICIPACION EN LAS ACTIVIDADES PROGRAMADAS</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AUSENTISMO Y DESISTERES DURANTE LA REALIZACIÓN DE ACTIVIDADES QUE SE PROGRAMAN</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 Falta de Tiempo.           2. Fallas en los canales de comunicación           3. Recarga Laboral.         4. Desmotivación del Personal.                         5.Falla de conocimiento del procedimiento.</w:t>
            </w:r>
          </w:p>
        </w:tc>
        <w:tc>
          <w:tcPr>
            <w:tcW w:w="1075" w:type="pct"/>
            <w:tcBorders>
              <w:top w:val="single" w:sz="4" w:space="0" w:color="auto"/>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single" w:sz="4" w:space="0" w:color="auto"/>
              <w:left w:val="nil"/>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w:t>
            </w:r>
          </w:p>
        </w:tc>
      </w:tr>
      <w:tr w:rsidR="00652BC4" w:rsidRPr="00652BC4" w:rsidTr="00652BC4">
        <w:trPr>
          <w:trHeight w:val="8100"/>
        </w:trPr>
        <w:tc>
          <w:tcPr>
            <w:tcW w:w="183" w:type="pct"/>
            <w:tcBorders>
              <w:top w:val="single" w:sz="4" w:space="0" w:color="auto"/>
              <w:left w:val="single" w:sz="4" w:space="0" w:color="auto"/>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17</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FALTA A LA ETICA Y VALORES</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POSIBILIDAD DE QUE ACTOS MALINTENCIONADOS DE LOS FUNCIONARIOS AFECTEN  EL NORMAL DESARROLLO DE SUS OPERACIONES</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1.Falta de claridad en los procedimientos.      2.Falta de Valores.          3. Falta de Formación  y conocimiento del Codigo de Etica.               4. Falta de compromiso.                                    5.Falla en el proceso de selección del personal.</w:t>
            </w:r>
          </w:p>
        </w:tc>
        <w:tc>
          <w:tcPr>
            <w:tcW w:w="1075" w:type="pct"/>
            <w:tcBorders>
              <w:top w:val="nil"/>
              <w:left w:val="nil"/>
              <w:bottom w:val="nil"/>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single" w:sz="4" w:space="0" w:color="auto"/>
              <w:left w:val="nil"/>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 Y ANTICORRUPCION</w:t>
            </w:r>
          </w:p>
        </w:tc>
      </w:tr>
      <w:tr w:rsidR="00652BC4" w:rsidRPr="00652BC4" w:rsidTr="00652BC4">
        <w:trPr>
          <w:trHeight w:val="8192"/>
        </w:trPr>
        <w:tc>
          <w:tcPr>
            <w:tcW w:w="183" w:type="pct"/>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18</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PERDIDA DE DOCUMENTOS Y/O INFORMACIÓN</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POSIBILIDAD DE QUE LOS DOCUMENTOS Y/O INFORMACIÓN  SE EXTRAVIE O SEA DESTRUIDA TOTAL O PARCIALMENTE</w:t>
            </w:r>
          </w:p>
        </w:tc>
        <w:tc>
          <w:tcPr>
            <w:tcW w:w="833" w:type="pct"/>
            <w:tcBorders>
              <w:top w:val="single" w:sz="4" w:space="0" w:color="auto"/>
              <w:left w:val="nil"/>
              <w:bottom w:val="nil"/>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 xml:space="preserve">1. Perdida intencional de la información .        2.Inadecuadas medidas de seguridad para el acceso a archivos de información física y/o en medios magnéticos .  3.Inadecuadas medidas de seguridad para el ingreso y salida de personal de las instalaciones.                4. Espacios físicos inadecuados e insuficientes para la custodia de la información.                   5.robo de terceros, incendios, fenómenos de la naturaleza.                       6. Inadecuada aplicación de las normas de archivo.         7.Desconocimiento o desactualización de las Tablas de Retención Documental.                   </w:t>
            </w:r>
          </w:p>
        </w:tc>
        <w:tc>
          <w:tcPr>
            <w:tcW w:w="1075" w:type="pct"/>
            <w:tcBorders>
              <w:top w:val="nil"/>
              <w:left w:val="nil"/>
              <w:bottom w:val="nil"/>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single" w:sz="4" w:space="0" w:color="auto"/>
              <w:left w:val="nil"/>
              <w:bottom w:val="nil"/>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w:t>
            </w:r>
          </w:p>
        </w:tc>
      </w:tr>
      <w:tr w:rsidR="00652BC4" w:rsidRPr="00652BC4" w:rsidTr="00652BC4">
        <w:trPr>
          <w:trHeight w:val="7636"/>
        </w:trPr>
        <w:tc>
          <w:tcPr>
            <w:tcW w:w="183" w:type="pct"/>
            <w:tcBorders>
              <w:top w:val="nil"/>
              <w:left w:val="single" w:sz="4" w:space="0" w:color="auto"/>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lastRenderedPageBreak/>
              <w:t>19</w:t>
            </w:r>
          </w:p>
        </w:tc>
        <w:tc>
          <w:tcPr>
            <w:tcW w:w="833" w:type="pct"/>
            <w:tcBorders>
              <w:top w:val="single" w:sz="4" w:space="0" w:color="auto"/>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INCUMPLIMIENTO DE LOS CONTROLES DE LOS RIESGOS DE CORRUPCION E INSTITUCIONALES</w:t>
            </w:r>
          </w:p>
        </w:tc>
        <w:tc>
          <w:tcPr>
            <w:tcW w:w="833" w:type="pct"/>
            <w:tcBorders>
              <w:top w:val="single" w:sz="4" w:space="0" w:color="auto"/>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NO SE CUMPLAN LOS CONTROLES DE CORRUPCION E INSTITUCIONALES EN LA ENTIDAD</w:t>
            </w:r>
          </w:p>
        </w:tc>
        <w:tc>
          <w:tcPr>
            <w:tcW w:w="833" w:type="pct"/>
            <w:tcBorders>
              <w:top w:val="single" w:sz="4" w:space="0" w:color="auto"/>
              <w:left w:val="nil"/>
              <w:bottom w:val="single" w:sz="4" w:space="0" w:color="auto"/>
              <w:right w:val="single" w:sz="4" w:space="0" w:color="auto"/>
            </w:tcBorders>
            <w:shd w:val="clear" w:color="000000" w:fill="FF0000"/>
            <w:vAlign w:val="center"/>
            <w:hideMark/>
          </w:tcPr>
          <w:p w:rsidR="00652BC4" w:rsidRPr="00652BC4" w:rsidRDefault="00652BC4" w:rsidP="00652BC4">
            <w:pPr>
              <w:rPr>
                <w:rFonts w:ascii="Calibri" w:hAnsi="Calibri"/>
                <w:color w:val="FFFFFF"/>
                <w:sz w:val="18"/>
                <w:szCs w:val="18"/>
              </w:rPr>
            </w:pPr>
            <w:r w:rsidRPr="00652BC4">
              <w:rPr>
                <w:rFonts w:ascii="Calibri" w:hAnsi="Calibri"/>
                <w:color w:val="FFFFFF"/>
                <w:sz w:val="18"/>
                <w:szCs w:val="18"/>
              </w:rPr>
              <w:t xml:space="preserve">1. Desconocimiento de  la ley anticorrupcion.    2.La falta de  identificación y el analisis de los riesgos.                                  3.Falta de tratamiento.  </w:t>
            </w:r>
          </w:p>
        </w:tc>
        <w:tc>
          <w:tcPr>
            <w:tcW w:w="1075" w:type="pct"/>
            <w:tcBorders>
              <w:top w:val="single" w:sz="4" w:space="0" w:color="auto"/>
              <w:left w:val="nil"/>
              <w:bottom w:val="single" w:sz="4" w:space="0" w:color="auto"/>
              <w:right w:val="single" w:sz="4" w:space="0" w:color="auto"/>
            </w:tcBorders>
            <w:shd w:val="clear" w:color="000000" w:fill="FF0000"/>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 xml:space="preserve">PLANEACION ESTRATEGICA, COMUNICACIÓN INSTITUCIONAL Y MEJORAMIENTO DEL SICGMA, REORDENAMIENTO JUDICIAL, FORMACION JUDICIAL,ADMINISTRACION JUDICIAL, GESTION DE LA INFORMACIÓN JUDICIAL, REGISTRO Y CONTROL DE ABOGADOS, MODERNIZACION DE LA GESTION JUDICIAL Y GESTIÓN HUMANA, ADQUISICION DE BNS Y SERVICIOS, AUDITORIA INTERNA, GESTION DOCUMENTAL,ASISTENCIA LEGAL, GESTIÓN DE SEGURIDAD Y SALUD OCUPACIONAL, GESTIÓN INFORMACIÓN ESTADISTICA, GESTIÓN FINANCIERA Y PRESUPUESTAL Y ADMINISTRACION DE LA SEGURIDAD. </w:t>
            </w:r>
          </w:p>
        </w:tc>
        <w:tc>
          <w:tcPr>
            <w:tcW w:w="1243" w:type="pct"/>
            <w:tcBorders>
              <w:top w:val="single" w:sz="4" w:space="0" w:color="auto"/>
              <w:left w:val="nil"/>
              <w:bottom w:val="single" w:sz="4" w:space="0" w:color="auto"/>
              <w:right w:val="single" w:sz="4" w:space="0" w:color="auto"/>
            </w:tcBorders>
            <w:shd w:val="clear" w:color="000000" w:fill="FF0000"/>
            <w:noWrap/>
            <w:vAlign w:val="center"/>
            <w:hideMark/>
          </w:tcPr>
          <w:p w:rsidR="00652BC4" w:rsidRPr="00652BC4" w:rsidRDefault="00652BC4" w:rsidP="00652BC4">
            <w:pPr>
              <w:jc w:val="center"/>
              <w:rPr>
                <w:rFonts w:ascii="Calibri" w:hAnsi="Calibri"/>
                <w:color w:val="FFFFFF"/>
                <w:sz w:val="18"/>
                <w:szCs w:val="18"/>
              </w:rPr>
            </w:pPr>
            <w:r w:rsidRPr="00652BC4">
              <w:rPr>
                <w:rFonts w:ascii="Calibri" w:hAnsi="Calibri"/>
                <w:color w:val="FFFFFF"/>
                <w:sz w:val="18"/>
                <w:szCs w:val="18"/>
              </w:rPr>
              <w:t>OPERATIVO</w:t>
            </w:r>
          </w:p>
        </w:tc>
      </w:tr>
    </w:tbl>
    <w:p w:rsidR="00652BC4" w:rsidRDefault="00652BC4" w:rsidP="00F037AF">
      <w:pPr>
        <w:spacing w:after="5" w:line="249" w:lineRule="auto"/>
        <w:jc w:val="both"/>
        <w:rPr>
          <w:rFonts w:ascii="Trebuchet MS" w:eastAsia="Calibri" w:hAnsi="Trebuchet MS"/>
          <w:color w:val="404040" w:themeColor="text1" w:themeTint="BF"/>
          <w:lang w:val="es-ES" w:eastAsia="es-CO"/>
        </w:rPr>
      </w:pPr>
    </w:p>
    <w:p w:rsidR="00597C52" w:rsidRDefault="00597C52" w:rsidP="00F037AF">
      <w:pPr>
        <w:spacing w:after="5" w:line="249" w:lineRule="auto"/>
        <w:jc w:val="both"/>
        <w:rPr>
          <w:rFonts w:ascii="Trebuchet MS" w:eastAsia="Calibri" w:hAnsi="Trebuchet MS"/>
          <w:color w:val="404040" w:themeColor="text1" w:themeTint="BF"/>
          <w:lang w:val="es-ES" w:eastAsia="es-CO"/>
        </w:rPr>
        <w:sectPr w:rsidR="00597C52" w:rsidSect="00597C52">
          <w:pgSz w:w="15840" w:h="12240" w:orient="landscape"/>
          <w:pgMar w:top="1701" w:right="1418" w:bottom="1701" w:left="1418" w:header="709" w:footer="709" w:gutter="0"/>
          <w:pgNumType w:start="1"/>
          <w:cols w:space="708"/>
          <w:docGrid w:linePitch="360"/>
        </w:sectPr>
      </w:pPr>
    </w:p>
    <w:p w:rsidR="00652BC4" w:rsidRPr="00F037AF" w:rsidRDefault="00652BC4" w:rsidP="00F037AF">
      <w:pPr>
        <w:spacing w:after="5" w:line="249" w:lineRule="auto"/>
        <w:jc w:val="both"/>
        <w:rPr>
          <w:rFonts w:ascii="Trebuchet MS" w:eastAsia="Calibri" w:hAnsi="Trebuchet MS"/>
          <w:color w:val="404040" w:themeColor="text1" w:themeTint="BF"/>
          <w:lang w:val="es-ES" w:eastAsia="es-CO"/>
        </w:rPr>
      </w:pPr>
    </w:p>
    <w:sectPr w:rsidR="00652BC4" w:rsidRPr="00F037AF" w:rsidSect="004E319B">
      <w:pgSz w:w="12240" w:h="15840"/>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11C" w:rsidRDefault="000F111C">
      <w:r>
        <w:separator/>
      </w:r>
    </w:p>
  </w:endnote>
  <w:endnote w:type="continuationSeparator" w:id="0">
    <w:p w:rsidR="000F111C" w:rsidRDefault="000F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wis721 Hv BT">
    <w:altName w:val="Arial"/>
    <w:charset w:val="00"/>
    <w:family w:val="swiss"/>
    <w:pitch w:val="variable"/>
    <w:sig w:usb0="00000001" w:usb1="00000000" w:usb2="00000000" w:usb3="00000000" w:csb0="0000001B" w:csb1="00000000"/>
  </w:font>
  <w:font w:name="Swis721 LtEx BT">
    <w:altName w:val="Segoe Script"/>
    <w:charset w:val="00"/>
    <w:family w:val="swiss"/>
    <w:pitch w:val="variable"/>
    <w:sig w:usb0="00000001" w:usb1="1000204A"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04" w:rsidRPr="00F272C6" w:rsidRDefault="00CB6C04">
    <w:pPr>
      <w:pStyle w:val="Piedepgina"/>
      <w:rPr>
        <w:lang w:val="es-ES"/>
      </w:rPr>
    </w:pPr>
    <w:r w:rsidRPr="00F272C6">
      <w:rPr>
        <w:rFonts w:ascii="Cambria" w:hAnsi="Cambria"/>
        <w:color w:val="595959"/>
        <w:lang w:val="es-ES"/>
      </w:rPr>
      <w:t xml:space="preserve">Página </w:t>
    </w:r>
    <w:r w:rsidRPr="00F272C6">
      <w:rPr>
        <w:lang w:val="es-ES"/>
      </w:rPr>
      <w:fldChar w:fldCharType="begin"/>
    </w:r>
    <w:r w:rsidRPr="00F272C6">
      <w:rPr>
        <w:lang w:val="es-ES"/>
      </w:rPr>
      <w:instrText xml:space="preserve"> page </w:instrText>
    </w:r>
    <w:r w:rsidRPr="00F272C6">
      <w:rPr>
        <w:lang w:val="es-ES"/>
      </w:rPr>
      <w:fldChar w:fldCharType="separate"/>
    </w:r>
    <w:r w:rsidR="00597C52">
      <w:rPr>
        <w:noProof/>
        <w:lang w:val="es-ES"/>
      </w:rPr>
      <w:t>15</w:t>
    </w:r>
    <w:r w:rsidRPr="00F272C6">
      <w:rPr>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11C" w:rsidRDefault="000F111C">
      <w:r>
        <w:separator/>
      </w:r>
    </w:p>
  </w:footnote>
  <w:footnote w:type="continuationSeparator" w:id="0">
    <w:p w:rsidR="000F111C" w:rsidRDefault="000F1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04" w:rsidRDefault="00CB6C04">
    <w:pPr>
      <w:pStyle w:val="HeaderOdd"/>
      <w:rPr>
        <w:szCs w:val="20"/>
      </w:rPr>
    </w:pPr>
    <w:sdt>
      <w:sdtPr>
        <w:rPr>
          <w:szCs w:val="20"/>
        </w:rPr>
        <w:alias w:val="Title"/>
        <w:id w:val="540932446"/>
        <w:dataBinding w:prefixMappings="xmlns:ns0='http://schemas.openxmlformats.org/package/2006/metadata/core-properties' xmlns:ns1='http://purl.org/dc/elements/1.1/'" w:xpath="/ns0:coreProperties[1]/ns1:title[1]" w:storeItemID="{6C3C8BC8-F283-45AE-878A-BAB7291924A1}"/>
        <w:text/>
      </w:sdtPr>
      <w:sdtContent>
        <w:r>
          <w:rPr>
            <w:szCs w:val="20"/>
            <w:lang w:val="es-MX"/>
          </w:rPr>
          <w:t>INFORME DE REVISIÓN PARA LA ALTA DIRECCIÓN SISTEMA INTEGRADO DE GESTIÓN Y CONTROL DE CALIDAD</w:t>
        </w:r>
      </w:sdtContent>
    </w:sdt>
  </w:p>
  <w:p w:rsidR="00CB6C04" w:rsidRPr="00B75C28" w:rsidRDefault="00CB6C04">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1" w15:restartNumberingAfterBreak="0">
    <w:nsid w:val="FFFFFF80"/>
    <w:multiLevelType w:val="singleLevel"/>
    <w:tmpl w:val="B6E8615A"/>
    <w:lvl w:ilvl="0">
      <w:start w:val="1"/>
      <w:numFmt w:val="bullet"/>
      <w:pStyle w:val="Listaconvietas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ED3A5D16"/>
    <w:lvl w:ilvl="0">
      <w:start w:val="1"/>
      <w:numFmt w:val="bullet"/>
      <w:pStyle w:val="Listaconvietas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4CF4A9A6"/>
    <w:lvl w:ilvl="0">
      <w:start w:val="1"/>
      <w:numFmt w:val="bullet"/>
      <w:pStyle w:val="Listaconvietas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8748435C"/>
    <w:lvl w:ilvl="0">
      <w:start w:val="1"/>
      <w:numFmt w:val="bullet"/>
      <w:pStyle w:val="Listaconvietas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E63AF57E"/>
    <w:lvl w:ilvl="0">
      <w:start w:val="1"/>
      <w:numFmt w:val="bullet"/>
      <w:pStyle w:val="Listaconvietas"/>
      <w:lvlText w:val="•"/>
      <w:lvlJc w:val="left"/>
      <w:pPr>
        <w:ind w:left="360" w:hanging="360"/>
      </w:pPr>
      <w:rPr>
        <w:rFonts w:ascii="Cambria" w:hAnsi="Cambria" w:hint="default"/>
        <w:color w:val="7E97AD" w:themeColor="accent1"/>
      </w:rPr>
    </w:lvl>
  </w:abstractNum>
  <w:abstractNum w:abstractNumId="6" w15:restartNumberingAfterBreak="0">
    <w:nsid w:val="05152A64"/>
    <w:multiLevelType w:val="hybridMultilevel"/>
    <w:tmpl w:val="04D4B1E0"/>
    <w:lvl w:ilvl="0" w:tplc="240A001B">
      <w:start w:val="1"/>
      <w:numFmt w:val="lowerRoman"/>
      <w:lvlText w:val="%1."/>
      <w:lvlJc w:val="righ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7" w15:restartNumberingAfterBreak="0">
    <w:nsid w:val="09AA635C"/>
    <w:multiLevelType w:val="hybridMultilevel"/>
    <w:tmpl w:val="C5C00038"/>
    <w:lvl w:ilvl="0" w:tplc="2D74092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C03492"/>
    <w:multiLevelType w:val="hybridMultilevel"/>
    <w:tmpl w:val="04D4B1E0"/>
    <w:lvl w:ilvl="0" w:tplc="240A001B">
      <w:start w:val="1"/>
      <w:numFmt w:val="lowerRoman"/>
      <w:lvlText w:val="%1."/>
      <w:lvlJc w:val="righ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9" w15:restartNumberingAfterBreak="0">
    <w:nsid w:val="0F5D0EFD"/>
    <w:multiLevelType w:val="hybridMultilevel"/>
    <w:tmpl w:val="78EA21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DF3AC9"/>
    <w:multiLevelType w:val="hybridMultilevel"/>
    <w:tmpl w:val="9708B90E"/>
    <w:lvl w:ilvl="0" w:tplc="EF320F84">
      <w:numFmt w:val="bullet"/>
      <w:lvlText w:val="-"/>
      <w:lvlJc w:val="left"/>
      <w:pPr>
        <w:ind w:left="1080" w:hanging="360"/>
      </w:pPr>
      <w:rPr>
        <w:rFonts w:ascii="Trebuchet MS" w:eastAsia="Calibri" w:hAnsi="Trebuchet M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57672AC"/>
    <w:multiLevelType w:val="hybridMultilevel"/>
    <w:tmpl w:val="0F2C76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6F205A"/>
    <w:multiLevelType w:val="multilevel"/>
    <w:tmpl w:val="9CA4ABB8"/>
    <w:styleLink w:val="Informeanua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F41643"/>
    <w:multiLevelType w:val="hybridMultilevel"/>
    <w:tmpl w:val="2A44C4C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CD95F1B"/>
    <w:multiLevelType w:val="hybridMultilevel"/>
    <w:tmpl w:val="26027376"/>
    <w:lvl w:ilvl="0" w:tplc="D7EABDA0">
      <w:start w:val="1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EC0D06"/>
    <w:multiLevelType w:val="hybridMultilevel"/>
    <w:tmpl w:val="95FA05F4"/>
    <w:lvl w:ilvl="0" w:tplc="4AAE4BC0">
      <w:start w:val="4"/>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20A45AC2"/>
    <w:multiLevelType w:val="hybridMultilevel"/>
    <w:tmpl w:val="2A44C4C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0BD1B38"/>
    <w:multiLevelType w:val="hybridMultilevel"/>
    <w:tmpl w:val="78EA21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1422A09"/>
    <w:multiLevelType w:val="multilevel"/>
    <w:tmpl w:val="A51EFD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51B23C3"/>
    <w:multiLevelType w:val="hybridMultilevel"/>
    <w:tmpl w:val="59104692"/>
    <w:lvl w:ilvl="0" w:tplc="B8181C1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827BC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E0B4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490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28AE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8646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D6CA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10D57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A8D7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C64F71"/>
    <w:multiLevelType w:val="hybridMultilevel"/>
    <w:tmpl w:val="80ACDF8A"/>
    <w:lvl w:ilvl="0" w:tplc="0A88528E">
      <w:numFmt w:val="bullet"/>
      <w:lvlText w:val="-"/>
      <w:lvlJc w:val="left"/>
      <w:pPr>
        <w:ind w:left="720" w:hanging="360"/>
      </w:pPr>
      <w:rPr>
        <w:rFonts w:ascii="Trebuchet MS" w:eastAsia="Calibri" w:hAnsi="Trebuchet M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1D3860"/>
    <w:multiLevelType w:val="hybridMultilevel"/>
    <w:tmpl w:val="3C60BC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2A4551"/>
    <w:multiLevelType w:val="hybridMultilevel"/>
    <w:tmpl w:val="78EA21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200BA8"/>
    <w:multiLevelType w:val="hybridMultilevel"/>
    <w:tmpl w:val="AB36A020"/>
    <w:lvl w:ilvl="0" w:tplc="212C18CC">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347F3D34"/>
    <w:multiLevelType w:val="hybridMultilevel"/>
    <w:tmpl w:val="2A44C4C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60516FD"/>
    <w:multiLevelType w:val="hybridMultilevel"/>
    <w:tmpl w:val="FE8A7DFC"/>
    <w:lvl w:ilvl="0" w:tplc="DE8657F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67F6A45"/>
    <w:multiLevelType w:val="multilevel"/>
    <w:tmpl w:val="30FED030"/>
    <w:lvl w:ilvl="0">
      <w:start w:val="1"/>
      <w:numFmt w:val="decimal"/>
      <w:pStyle w:val="Listaconnmeros"/>
      <w:lvlText w:val="%1."/>
      <w:lvlJc w:val="left"/>
      <w:pPr>
        <w:ind w:left="360" w:hanging="360"/>
      </w:pPr>
      <w:rPr>
        <w:rFonts w:hint="default"/>
      </w:rPr>
    </w:lvl>
    <w:lvl w:ilvl="1">
      <w:start w:val="1"/>
      <w:numFmt w:val="decimal"/>
      <w:pStyle w:val="Listaconnmeros2"/>
      <w:lvlText w:val="%1.%2"/>
      <w:lvlJc w:val="left"/>
      <w:pPr>
        <w:tabs>
          <w:tab w:val="num" w:pos="432"/>
        </w:tabs>
        <w:ind w:left="432" w:hanging="432"/>
      </w:pPr>
      <w:rPr>
        <w:rFonts w:hint="default"/>
      </w:rPr>
    </w:lvl>
    <w:lvl w:ilvl="2">
      <w:start w:val="1"/>
      <w:numFmt w:val="lowerLetter"/>
      <w:pStyle w:val="Listaconnmeros3"/>
      <w:lvlText w:val="%3."/>
      <w:lvlJc w:val="left"/>
      <w:pPr>
        <w:ind w:left="792" w:hanging="360"/>
      </w:pPr>
      <w:rPr>
        <w:rFonts w:hint="default"/>
      </w:rPr>
    </w:lvl>
    <w:lvl w:ilvl="3">
      <w:start w:val="1"/>
      <w:numFmt w:val="lowerRoman"/>
      <w:pStyle w:val="Listaconnmeros4"/>
      <w:lvlText w:val="%4."/>
      <w:lvlJc w:val="left"/>
      <w:pPr>
        <w:ind w:left="1152" w:hanging="360"/>
      </w:pPr>
      <w:rPr>
        <w:rFonts w:hint="default"/>
      </w:rPr>
    </w:lvl>
    <w:lvl w:ilvl="4">
      <w:start w:val="1"/>
      <w:numFmt w:val="lowerLetter"/>
      <w:pStyle w:val="Listaconnme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7" w15:restartNumberingAfterBreak="0">
    <w:nsid w:val="38746BC0"/>
    <w:multiLevelType w:val="hybridMultilevel"/>
    <w:tmpl w:val="2A44C4C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92500C6"/>
    <w:multiLevelType w:val="multilevel"/>
    <w:tmpl w:val="944E0F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AD5F83"/>
    <w:multiLevelType w:val="hybridMultilevel"/>
    <w:tmpl w:val="F80A3F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41665D"/>
    <w:multiLevelType w:val="hybridMultilevel"/>
    <w:tmpl w:val="2A44C4C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2B2F23"/>
    <w:multiLevelType w:val="hybridMultilevel"/>
    <w:tmpl w:val="2A44C4C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D168E6"/>
    <w:multiLevelType w:val="hybridMultilevel"/>
    <w:tmpl w:val="B3FC4836"/>
    <w:lvl w:ilvl="0" w:tplc="3154AD16">
      <w:start w:val="1"/>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EB665EC"/>
    <w:multiLevelType w:val="hybridMultilevel"/>
    <w:tmpl w:val="1D3CDB1A"/>
    <w:lvl w:ilvl="0" w:tplc="E7B46A58">
      <w:numFmt w:val="bullet"/>
      <w:lvlText w:val="-"/>
      <w:lvlJc w:val="left"/>
      <w:pPr>
        <w:ind w:left="720" w:hanging="360"/>
      </w:pPr>
      <w:rPr>
        <w:rFonts w:ascii="Trebuchet MS" w:eastAsia="Calibri" w:hAnsi="Trebuchet MS"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81B5405"/>
    <w:multiLevelType w:val="hybridMultilevel"/>
    <w:tmpl w:val="23AA9C8C"/>
    <w:lvl w:ilvl="0" w:tplc="EC04E036">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B534315"/>
    <w:multiLevelType w:val="hybridMultilevel"/>
    <w:tmpl w:val="6A20ACF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B580AC6"/>
    <w:multiLevelType w:val="hybridMultilevel"/>
    <w:tmpl w:val="EB24657E"/>
    <w:lvl w:ilvl="0" w:tplc="240A0017">
      <w:start w:val="1"/>
      <w:numFmt w:val="lowerLetter"/>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37" w15:restartNumberingAfterBreak="0">
    <w:nsid w:val="5CD364D8"/>
    <w:multiLevelType w:val="hybridMultilevel"/>
    <w:tmpl w:val="0B7281D0"/>
    <w:lvl w:ilvl="0" w:tplc="B19AD4FC">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0E27D3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B89AA42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FF27E4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9EEE97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DAEAFE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030667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376F7C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9E0FC4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8" w15:restartNumberingAfterBreak="0">
    <w:nsid w:val="6476495C"/>
    <w:multiLevelType w:val="hybridMultilevel"/>
    <w:tmpl w:val="881C2942"/>
    <w:lvl w:ilvl="0" w:tplc="E6ACF07C">
      <w:numFmt w:val="bullet"/>
      <w:lvlText w:val="-"/>
      <w:lvlJc w:val="left"/>
      <w:pPr>
        <w:ind w:left="720" w:hanging="360"/>
      </w:pPr>
      <w:rPr>
        <w:rFonts w:ascii="Trebuchet MS" w:eastAsia="Calibr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54001C5"/>
    <w:multiLevelType w:val="hybridMultilevel"/>
    <w:tmpl w:val="431013CE"/>
    <w:lvl w:ilvl="0" w:tplc="2B026E42">
      <w:numFmt w:val="bullet"/>
      <w:lvlText w:val="-"/>
      <w:lvlJc w:val="left"/>
      <w:pPr>
        <w:ind w:left="720" w:hanging="360"/>
      </w:pPr>
      <w:rPr>
        <w:rFonts w:ascii="Trebuchet MS" w:eastAsia="Calibri"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5BE731E"/>
    <w:multiLevelType w:val="hybridMultilevel"/>
    <w:tmpl w:val="CABC044A"/>
    <w:lvl w:ilvl="0" w:tplc="FED6E3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6C5E23ED"/>
    <w:multiLevelType w:val="multilevel"/>
    <w:tmpl w:val="2326F4D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EC42BEC"/>
    <w:multiLevelType w:val="hybridMultilevel"/>
    <w:tmpl w:val="63DA1A2A"/>
    <w:lvl w:ilvl="0" w:tplc="081C6F4E">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01AFB08">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4F2D71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4680CBE">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86FCBA">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C3EDF90">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FF01502">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94362C">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2CE5566">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3" w15:restartNumberingAfterBreak="0">
    <w:nsid w:val="75B448C7"/>
    <w:multiLevelType w:val="hybridMultilevel"/>
    <w:tmpl w:val="1B94662E"/>
    <w:lvl w:ilvl="0" w:tplc="15187B9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476B74"/>
    <w:multiLevelType w:val="hybridMultilevel"/>
    <w:tmpl w:val="40C8BD6C"/>
    <w:lvl w:ilvl="0" w:tplc="568CA40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3BE9EB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A38440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110C4A8">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D8A8E9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BD446114">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D868B04A">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2A229B2">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73A5F26">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2"/>
  </w:num>
  <w:num w:numId="5">
    <w:abstractNumId w:val="1"/>
  </w:num>
  <w:num w:numId="6">
    <w:abstractNumId w:val="12"/>
  </w:num>
  <w:num w:numId="7">
    <w:abstractNumId w:val="26"/>
  </w:num>
  <w:num w:numId="8">
    <w:abstractNumId w:val="20"/>
  </w:num>
  <w:num w:numId="9">
    <w:abstractNumId w:val="29"/>
  </w:num>
  <w:num w:numId="10">
    <w:abstractNumId w:val="18"/>
  </w:num>
  <w:num w:numId="11">
    <w:abstractNumId w:val="23"/>
  </w:num>
  <w:num w:numId="12">
    <w:abstractNumId w:val="32"/>
  </w:num>
  <w:num w:numId="13">
    <w:abstractNumId w:val="15"/>
  </w:num>
  <w:num w:numId="14">
    <w:abstractNumId w:val="34"/>
  </w:num>
  <w:num w:numId="15">
    <w:abstractNumId w:val="43"/>
  </w:num>
  <w:num w:numId="16">
    <w:abstractNumId w:val="7"/>
  </w:num>
  <w:num w:numId="17">
    <w:abstractNumId w:val="38"/>
  </w:num>
  <w:num w:numId="18">
    <w:abstractNumId w:val="10"/>
  </w:num>
  <w:num w:numId="19">
    <w:abstractNumId w:val="39"/>
  </w:num>
  <w:num w:numId="20">
    <w:abstractNumId w:val="30"/>
  </w:num>
  <w:num w:numId="21">
    <w:abstractNumId w:val="19"/>
  </w:num>
  <w:num w:numId="22">
    <w:abstractNumId w:val="21"/>
  </w:num>
  <w:num w:numId="23">
    <w:abstractNumId w:val="31"/>
  </w:num>
  <w:num w:numId="24">
    <w:abstractNumId w:val="27"/>
  </w:num>
  <w:num w:numId="25">
    <w:abstractNumId w:val="16"/>
  </w:num>
  <w:num w:numId="26">
    <w:abstractNumId w:val="41"/>
  </w:num>
  <w:num w:numId="27">
    <w:abstractNumId w:val="14"/>
  </w:num>
  <w:num w:numId="28">
    <w:abstractNumId w:val="40"/>
  </w:num>
  <w:num w:numId="29">
    <w:abstractNumId w:val="13"/>
  </w:num>
  <w:num w:numId="30">
    <w:abstractNumId w:val="24"/>
  </w:num>
  <w:num w:numId="31">
    <w:abstractNumId w:val="44"/>
  </w:num>
  <w:num w:numId="32">
    <w:abstractNumId w:val="42"/>
  </w:num>
  <w:num w:numId="33">
    <w:abstractNumId w:val="37"/>
  </w:num>
  <w:num w:numId="34">
    <w:abstractNumId w:val="33"/>
  </w:num>
  <w:num w:numId="35">
    <w:abstractNumId w:val="22"/>
  </w:num>
  <w:num w:numId="36">
    <w:abstractNumId w:val="0"/>
  </w:num>
  <w:num w:numId="37">
    <w:abstractNumId w:val="28"/>
  </w:num>
  <w:num w:numId="38">
    <w:abstractNumId w:val="17"/>
  </w:num>
  <w:num w:numId="39">
    <w:abstractNumId w:val="9"/>
  </w:num>
  <w:num w:numId="40">
    <w:abstractNumId w:val="6"/>
  </w:num>
  <w:num w:numId="41">
    <w:abstractNumId w:val="25"/>
  </w:num>
  <w:num w:numId="42">
    <w:abstractNumId w:val="8"/>
  </w:num>
  <w:num w:numId="43">
    <w:abstractNumId w:val="11"/>
  </w:num>
  <w:num w:numId="44">
    <w:abstractNumId w:val="35"/>
  </w:num>
  <w:num w:numId="45">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15"/>
    <w:rsid w:val="0000258A"/>
    <w:rsid w:val="00002FDA"/>
    <w:rsid w:val="00012339"/>
    <w:rsid w:val="00013660"/>
    <w:rsid w:val="0001389F"/>
    <w:rsid w:val="00030C53"/>
    <w:rsid w:val="00032737"/>
    <w:rsid w:val="000358C9"/>
    <w:rsid w:val="00041AF9"/>
    <w:rsid w:val="0006120F"/>
    <w:rsid w:val="00073C7C"/>
    <w:rsid w:val="000905E2"/>
    <w:rsid w:val="0009148D"/>
    <w:rsid w:val="000B0595"/>
    <w:rsid w:val="000B2B34"/>
    <w:rsid w:val="000B475E"/>
    <w:rsid w:val="000C5683"/>
    <w:rsid w:val="000D2E90"/>
    <w:rsid w:val="000F111C"/>
    <w:rsid w:val="0010335C"/>
    <w:rsid w:val="00110352"/>
    <w:rsid w:val="001104F6"/>
    <w:rsid w:val="00110D03"/>
    <w:rsid w:val="00114FF2"/>
    <w:rsid w:val="001153B3"/>
    <w:rsid w:val="001201F7"/>
    <w:rsid w:val="00130EA8"/>
    <w:rsid w:val="00143532"/>
    <w:rsid w:val="00151543"/>
    <w:rsid w:val="001654A3"/>
    <w:rsid w:val="001775F9"/>
    <w:rsid w:val="001B363A"/>
    <w:rsid w:val="001C7973"/>
    <w:rsid w:val="001C7C56"/>
    <w:rsid w:val="001D021F"/>
    <w:rsid w:val="001D0D6D"/>
    <w:rsid w:val="002011C0"/>
    <w:rsid w:val="00201C28"/>
    <w:rsid w:val="00221297"/>
    <w:rsid w:val="00241324"/>
    <w:rsid w:val="00245FCF"/>
    <w:rsid w:val="00251A76"/>
    <w:rsid w:val="002601DC"/>
    <w:rsid w:val="002624F5"/>
    <w:rsid w:val="00272CCE"/>
    <w:rsid w:val="002744E8"/>
    <w:rsid w:val="00285ECA"/>
    <w:rsid w:val="00286FF1"/>
    <w:rsid w:val="002A559E"/>
    <w:rsid w:val="002B18A5"/>
    <w:rsid w:val="002C0022"/>
    <w:rsid w:val="002D0EE0"/>
    <w:rsid w:val="002D1018"/>
    <w:rsid w:val="002D1F45"/>
    <w:rsid w:val="002D579D"/>
    <w:rsid w:val="003008D0"/>
    <w:rsid w:val="00301158"/>
    <w:rsid w:val="00311F1B"/>
    <w:rsid w:val="00324BAB"/>
    <w:rsid w:val="00325250"/>
    <w:rsid w:val="00331ABC"/>
    <w:rsid w:val="00336C77"/>
    <w:rsid w:val="003435E5"/>
    <w:rsid w:val="0037122A"/>
    <w:rsid w:val="00375A99"/>
    <w:rsid w:val="003837FB"/>
    <w:rsid w:val="003A4C4B"/>
    <w:rsid w:val="003B30A1"/>
    <w:rsid w:val="003D5C05"/>
    <w:rsid w:val="003E3EF5"/>
    <w:rsid w:val="003F0502"/>
    <w:rsid w:val="003F2BD3"/>
    <w:rsid w:val="003F76EB"/>
    <w:rsid w:val="00400B97"/>
    <w:rsid w:val="0040661C"/>
    <w:rsid w:val="004070CB"/>
    <w:rsid w:val="00410174"/>
    <w:rsid w:val="00411A15"/>
    <w:rsid w:val="004168B1"/>
    <w:rsid w:val="0042347A"/>
    <w:rsid w:val="00423B6A"/>
    <w:rsid w:val="00423C8E"/>
    <w:rsid w:val="00427E43"/>
    <w:rsid w:val="004307A3"/>
    <w:rsid w:val="00433AEC"/>
    <w:rsid w:val="00433CB2"/>
    <w:rsid w:val="0043506F"/>
    <w:rsid w:val="00446CC4"/>
    <w:rsid w:val="004516F9"/>
    <w:rsid w:val="004527E5"/>
    <w:rsid w:val="00465C93"/>
    <w:rsid w:val="004701C5"/>
    <w:rsid w:val="00483BBE"/>
    <w:rsid w:val="004871B8"/>
    <w:rsid w:val="004958CA"/>
    <w:rsid w:val="004A1CF1"/>
    <w:rsid w:val="004A1E37"/>
    <w:rsid w:val="004B49A2"/>
    <w:rsid w:val="004B4DD7"/>
    <w:rsid w:val="004B5D5C"/>
    <w:rsid w:val="004C04B5"/>
    <w:rsid w:val="004D5671"/>
    <w:rsid w:val="004D5E89"/>
    <w:rsid w:val="004D67D5"/>
    <w:rsid w:val="004E319B"/>
    <w:rsid w:val="004F0BB6"/>
    <w:rsid w:val="00500180"/>
    <w:rsid w:val="0050123D"/>
    <w:rsid w:val="00540A9C"/>
    <w:rsid w:val="00556F81"/>
    <w:rsid w:val="00570163"/>
    <w:rsid w:val="00573E82"/>
    <w:rsid w:val="005770C2"/>
    <w:rsid w:val="00581E40"/>
    <w:rsid w:val="0058219C"/>
    <w:rsid w:val="00590D88"/>
    <w:rsid w:val="00597C52"/>
    <w:rsid w:val="005A4837"/>
    <w:rsid w:val="005B79EF"/>
    <w:rsid w:val="005D4D97"/>
    <w:rsid w:val="005E2DA4"/>
    <w:rsid w:val="005F5ACC"/>
    <w:rsid w:val="00610725"/>
    <w:rsid w:val="00620219"/>
    <w:rsid w:val="00622714"/>
    <w:rsid w:val="00635E72"/>
    <w:rsid w:val="00640858"/>
    <w:rsid w:val="00642661"/>
    <w:rsid w:val="00642AD3"/>
    <w:rsid w:val="00646526"/>
    <w:rsid w:val="00652BC4"/>
    <w:rsid w:val="00657DC5"/>
    <w:rsid w:val="00666D3C"/>
    <w:rsid w:val="00696020"/>
    <w:rsid w:val="00697554"/>
    <w:rsid w:val="006B5502"/>
    <w:rsid w:val="006D3362"/>
    <w:rsid w:val="006E31E9"/>
    <w:rsid w:val="006F0AF7"/>
    <w:rsid w:val="00703E39"/>
    <w:rsid w:val="00710FA1"/>
    <w:rsid w:val="00717622"/>
    <w:rsid w:val="00721A15"/>
    <w:rsid w:val="0073344B"/>
    <w:rsid w:val="00736103"/>
    <w:rsid w:val="0074562C"/>
    <w:rsid w:val="00745F61"/>
    <w:rsid w:val="00753B66"/>
    <w:rsid w:val="00773DD4"/>
    <w:rsid w:val="0078752F"/>
    <w:rsid w:val="0079497F"/>
    <w:rsid w:val="00794A7F"/>
    <w:rsid w:val="007A11E4"/>
    <w:rsid w:val="007B4975"/>
    <w:rsid w:val="007D51E0"/>
    <w:rsid w:val="00800F48"/>
    <w:rsid w:val="0081532C"/>
    <w:rsid w:val="00822DF0"/>
    <w:rsid w:val="00825EFA"/>
    <w:rsid w:val="008335E7"/>
    <w:rsid w:val="0084409B"/>
    <w:rsid w:val="00852DB2"/>
    <w:rsid w:val="0085616F"/>
    <w:rsid w:val="00856EB9"/>
    <w:rsid w:val="00880F28"/>
    <w:rsid w:val="008904AD"/>
    <w:rsid w:val="00891FF7"/>
    <w:rsid w:val="008955A3"/>
    <w:rsid w:val="008A25F9"/>
    <w:rsid w:val="008C535A"/>
    <w:rsid w:val="008C7D1A"/>
    <w:rsid w:val="008D1200"/>
    <w:rsid w:val="008E113D"/>
    <w:rsid w:val="008E60A0"/>
    <w:rsid w:val="008E6907"/>
    <w:rsid w:val="008F2FB2"/>
    <w:rsid w:val="0092075C"/>
    <w:rsid w:val="0092160E"/>
    <w:rsid w:val="00921E6B"/>
    <w:rsid w:val="00923935"/>
    <w:rsid w:val="00925690"/>
    <w:rsid w:val="00947139"/>
    <w:rsid w:val="00951963"/>
    <w:rsid w:val="00955C13"/>
    <w:rsid w:val="00956F5A"/>
    <w:rsid w:val="00957688"/>
    <w:rsid w:val="00962900"/>
    <w:rsid w:val="009710F3"/>
    <w:rsid w:val="0097459D"/>
    <w:rsid w:val="00982623"/>
    <w:rsid w:val="00992AC6"/>
    <w:rsid w:val="009B2CCA"/>
    <w:rsid w:val="009B580C"/>
    <w:rsid w:val="009C1A9B"/>
    <w:rsid w:val="009D58FF"/>
    <w:rsid w:val="009E581A"/>
    <w:rsid w:val="00A22A03"/>
    <w:rsid w:val="00A2469A"/>
    <w:rsid w:val="00A326BC"/>
    <w:rsid w:val="00A6454F"/>
    <w:rsid w:val="00A75F98"/>
    <w:rsid w:val="00A803BF"/>
    <w:rsid w:val="00A80B1C"/>
    <w:rsid w:val="00A873E0"/>
    <w:rsid w:val="00A9685B"/>
    <w:rsid w:val="00AA120E"/>
    <w:rsid w:val="00AC2450"/>
    <w:rsid w:val="00AC426C"/>
    <w:rsid w:val="00AC4625"/>
    <w:rsid w:val="00AC7B2B"/>
    <w:rsid w:val="00AD021C"/>
    <w:rsid w:val="00AD317C"/>
    <w:rsid w:val="00AF4733"/>
    <w:rsid w:val="00B04F16"/>
    <w:rsid w:val="00B24168"/>
    <w:rsid w:val="00B25FFA"/>
    <w:rsid w:val="00B32834"/>
    <w:rsid w:val="00B430AC"/>
    <w:rsid w:val="00B4357A"/>
    <w:rsid w:val="00B43CC4"/>
    <w:rsid w:val="00B675A0"/>
    <w:rsid w:val="00B728CE"/>
    <w:rsid w:val="00B75C28"/>
    <w:rsid w:val="00B76231"/>
    <w:rsid w:val="00B828C8"/>
    <w:rsid w:val="00B83B05"/>
    <w:rsid w:val="00B84298"/>
    <w:rsid w:val="00B90B15"/>
    <w:rsid w:val="00B930AA"/>
    <w:rsid w:val="00B954E0"/>
    <w:rsid w:val="00BA191F"/>
    <w:rsid w:val="00BA239F"/>
    <w:rsid w:val="00BA3A7E"/>
    <w:rsid w:val="00BA3ADD"/>
    <w:rsid w:val="00BB28BD"/>
    <w:rsid w:val="00BB303B"/>
    <w:rsid w:val="00BB5F02"/>
    <w:rsid w:val="00BC762D"/>
    <w:rsid w:val="00BD1FEB"/>
    <w:rsid w:val="00BD23F9"/>
    <w:rsid w:val="00BE0F3B"/>
    <w:rsid w:val="00BE6C4E"/>
    <w:rsid w:val="00BE7ECD"/>
    <w:rsid w:val="00BF2988"/>
    <w:rsid w:val="00BF6D7F"/>
    <w:rsid w:val="00C00B6A"/>
    <w:rsid w:val="00C032C1"/>
    <w:rsid w:val="00C074E0"/>
    <w:rsid w:val="00C24B6E"/>
    <w:rsid w:val="00C2723A"/>
    <w:rsid w:val="00C43703"/>
    <w:rsid w:val="00C43893"/>
    <w:rsid w:val="00C50669"/>
    <w:rsid w:val="00C50E48"/>
    <w:rsid w:val="00C52C52"/>
    <w:rsid w:val="00C57294"/>
    <w:rsid w:val="00C63BFE"/>
    <w:rsid w:val="00C732D1"/>
    <w:rsid w:val="00C76CA5"/>
    <w:rsid w:val="00C77CD4"/>
    <w:rsid w:val="00C86391"/>
    <w:rsid w:val="00C871A0"/>
    <w:rsid w:val="00C95BF3"/>
    <w:rsid w:val="00C96741"/>
    <w:rsid w:val="00CA66D2"/>
    <w:rsid w:val="00CB2D31"/>
    <w:rsid w:val="00CB39AF"/>
    <w:rsid w:val="00CB64FE"/>
    <w:rsid w:val="00CB6C04"/>
    <w:rsid w:val="00CC474E"/>
    <w:rsid w:val="00CC508E"/>
    <w:rsid w:val="00CF19AC"/>
    <w:rsid w:val="00CF355C"/>
    <w:rsid w:val="00D217AA"/>
    <w:rsid w:val="00D2433C"/>
    <w:rsid w:val="00D24478"/>
    <w:rsid w:val="00D26E02"/>
    <w:rsid w:val="00D30AFC"/>
    <w:rsid w:val="00D35AE1"/>
    <w:rsid w:val="00D42DB4"/>
    <w:rsid w:val="00D4703D"/>
    <w:rsid w:val="00D54A05"/>
    <w:rsid w:val="00D56B6E"/>
    <w:rsid w:val="00D64692"/>
    <w:rsid w:val="00D70D68"/>
    <w:rsid w:val="00D74CD5"/>
    <w:rsid w:val="00D812A4"/>
    <w:rsid w:val="00D873BB"/>
    <w:rsid w:val="00D87E0F"/>
    <w:rsid w:val="00D90D59"/>
    <w:rsid w:val="00DA03C6"/>
    <w:rsid w:val="00DB177F"/>
    <w:rsid w:val="00DF41B1"/>
    <w:rsid w:val="00E10896"/>
    <w:rsid w:val="00E11278"/>
    <w:rsid w:val="00E15BAD"/>
    <w:rsid w:val="00E16692"/>
    <w:rsid w:val="00E22711"/>
    <w:rsid w:val="00E22C15"/>
    <w:rsid w:val="00E4516A"/>
    <w:rsid w:val="00E50FC8"/>
    <w:rsid w:val="00E51712"/>
    <w:rsid w:val="00E61669"/>
    <w:rsid w:val="00E630C9"/>
    <w:rsid w:val="00E67F42"/>
    <w:rsid w:val="00E73EB9"/>
    <w:rsid w:val="00E81528"/>
    <w:rsid w:val="00E81A3C"/>
    <w:rsid w:val="00E90DE8"/>
    <w:rsid w:val="00E92D84"/>
    <w:rsid w:val="00E92ECE"/>
    <w:rsid w:val="00E93455"/>
    <w:rsid w:val="00EA4FFB"/>
    <w:rsid w:val="00EB3388"/>
    <w:rsid w:val="00EB6A8A"/>
    <w:rsid w:val="00EC0F44"/>
    <w:rsid w:val="00EC2704"/>
    <w:rsid w:val="00EC55F2"/>
    <w:rsid w:val="00EC73D6"/>
    <w:rsid w:val="00ED5011"/>
    <w:rsid w:val="00ED77D3"/>
    <w:rsid w:val="00EE4D70"/>
    <w:rsid w:val="00EE64AA"/>
    <w:rsid w:val="00EF4FE9"/>
    <w:rsid w:val="00F037AF"/>
    <w:rsid w:val="00F070A6"/>
    <w:rsid w:val="00F128D5"/>
    <w:rsid w:val="00F155AF"/>
    <w:rsid w:val="00F21E4F"/>
    <w:rsid w:val="00F268D9"/>
    <w:rsid w:val="00F272C6"/>
    <w:rsid w:val="00F36103"/>
    <w:rsid w:val="00F420E1"/>
    <w:rsid w:val="00F748B7"/>
    <w:rsid w:val="00F8472B"/>
    <w:rsid w:val="00F9220F"/>
    <w:rsid w:val="00F932D9"/>
    <w:rsid w:val="00FA0090"/>
    <w:rsid w:val="00FA1705"/>
    <w:rsid w:val="00FB460D"/>
    <w:rsid w:val="00FB6C2F"/>
    <w:rsid w:val="00FB762A"/>
    <w:rsid w:val="00FC7C0D"/>
    <w:rsid w:val="00FD01AD"/>
    <w:rsid w:val="00FD573A"/>
    <w:rsid w:val="00FD7580"/>
    <w:rsid w:val="00FE1771"/>
    <w:rsid w:val="00FF746C"/>
    <w:rsid w:val="00FF7A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67224-2871-425D-8548-8A9B3629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5E7"/>
    <w:pPr>
      <w:spacing w:before="0" w:after="0" w:line="240" w:lineRule="auto"/>
    </w:pPr>
    <w:rPr>
      <w:rFonts w:ascii="Times New Roman" w:eastAsia="Times New Roman" w:hAnsi="Times New Roman" w:cs="Times New Roman"/>
      <w:color w:val="auto"/>
      <w:sz w:val="24"/>
      <w:szCs w:val="24"/>
      <w:lang w:val="es-MX" w:eastAsia="es-MX"/>
    </w:rPr>
  </w:style>
  <w:style w:type="paragraph" w:styleId="Ttulo1">
    <w:name w:val="heading 1"/>
    <w:basedOn w:val="Normal"/>
    <w:next w:val="Normal"/>
    <w:link w:val="Ttulo1Car"/>
    <w:qFormat/>
    <w:pPr>
      <w:pageBreakBefore/>
      <w:spacing w:after="360"/>
      <w:outlineLvl w:val="0"/>
    </w:pPr>
    <w:rPr>
      <w:rFonts w:asciiTheme="minorHAnsi" w:eastAsiaTheme="minorHAnsi" w:hAnsiTheme="minorHAnsi" w:cstheme="minorBidi"/>
      <w:color w:val="595959" w:themeColor="text1" w:themeTint="A6"/>
      <w:kern w:val="20"/>
      <w:sz w:val="36"/>
      <w:szCs w:val="20"/>
      <w:lang w:val="en-US" w:eastAsia="ja-JP"/>
    </w:rPr>
  </w:style>
  <w:style w:type="paragraph" w:styleId="Ttulo2">
    <w:name w:val="heading 2"/>
    <w:basedOn w:val="Normal"/>
    <w:next w:val="Normal"/>
    <w:link w:val="Ttulo2Car"/>
    <w:unhideWhenUsed/>
    <w:qFormat/>
    <w:pPr>
      <w:keepNext/>
      <w:keepLines/>
      <w:spacing w:before="360" w:after="60"/>
      <w:outlineLvl w:val="1"/>
    </w:pPr>
    <w:rPr>
      <w:rFonts w:asciiTheme="majorHAnsi" w:eastAsiaTheme="majorEastAsia" w:hAnsiTheme="majorHAnsi" w:cstheme="majorBidi"/>
      <w:caps/>
      <w:color w:val="577188" w:themeColor="accent1" w:themeShade="BF"/>
      <w:kern w:val="20"/>
      <w:szCs w:val="20"/>
      <w:lang w:val="en-US" w:eastAsia="ja-JP"/>
      <w14:ligatures w14:val="standardContextual"/>
    </w:rPr>
  </w:style>
  <w:style w:type="paragraph" w:styleId="Ttulo3">
    <w:name w:val="heading 3"/>
    <w:basedOn w:val="Normal"/>
    <w:next w:val="Normal"/>
    <w:link w:val="Ttulo3Car"/>
    <w:unhideWhenUsed/>
    <w:qFormat/>
    <w:pPr>
      <w:keepNext/>
      <w:keepLines/>
      <w:spacing w:before="200" w:line="288" w:lineRule="auto"/>
      <w:outlineLvl w:val="2"/>
    </w:pPr>
    <w:rPr>
      <w:rFonts w:asciiTheme="majorHAnsi" w:eastAsiaTheme="majorEastAsia" w:hAnsiTheme="majorHAnsi" w:cstheme="majorBidi"/>
      <w:b/>
      <w:bCs/>
      <w:color w:val="7E97AD" w:themeColor="accent1"/>
      <w:kern w:val="20"/>
      <w:sz w:val="20"/>
      <w:szCs w:val="20"/>
      <w:lang w:val="en-US" w:eastAsia="ja-JP"/>
      <w14:ligatures w14:val="standardContextual"/>
    </w:rPr>
  </w:style>
  <w:style w:type="paragraph" w:styleId="Ttulo4">
    <w:name w:val="heading 4"/>
    <w:basedOn w:val="Normal"/>
    <w:next w:val="Normal"/>
    <w:link w:val="Ttulo4Car"/>
    <w:semiHidden/>
    <w:unhideWhenUsed/>
    <w:qFormat/>
    <w:pPr>
      <w:keepNext/>
      <w:keepLines/>
      <w:spacing w:before="200" w:line="288" w:lineRule="auto"/>
      <w:outlineLvl w:val="3"/>
    </w:pPr>
    <w:rPr>
      <w:rFonts w:asciiTheme="majorHAnsi" w:eastAsiaTheme="majorEastAsia" w:hAnsiTheme="majorHAnsi" w:cstheme="majorBidi"/>
      <w:b/>
      <w:bCs/>
      <w:i/>
      <w:iCs/>
      <w:color w:val="7E97AD" w:themeColor="accent1"/>
      <w:kern w:val="20"/>
      <w:sz w:val="20"/>
      <w:szCs w:val="20"/>
      <w:lang w:val="en-US" w:eastAsia="ja-JP"/>
    </w:rPr>
  </w:style>
  <w:style w:type="paragraph" w:styleId="Ttulo5">
    <w:name w:val="heading 5"/>
    <w:basedOn w:val="Normal"/>
    <w:next w:val="Normal"/>
    <w:link w:val="Ttulo5Car"/>
    <w:uiPriority w:val="9"/>
    <w:semiHidden/>
    <w:unhideWhenUsed/>
    <w:qFormat/>
    <w:pPr>
      <w:keepNext/>
      <w:keepLines/>
      <w:spacing w:before="200" w:line="288" w:lineRule="auto"/>
      <w:outlineLvl w:val="4"/>
    </w:pPr>
    <w:rPr>
      <w:rFonts w:asciiTheme="majorHAnsi" w:eastAsiaTheme="majorEastAsia" w:hAnsiTheme="majorHAnsi" w:cstheme="majorBidi"/>
      <w:color w:val="394B5A" w:themeColor="accent1" w:themeShade="7F"/>
      <w:kern w:val="20"/>
      <w:sz w:val="20"/>
      <w:szCs w:val="20"/>
      <w:lang w:val="en-US" w:eastAsia="ja-JP"/>
    </w:rPr>
  </w:style>
  <w:style w:type="paragraph" w:styleId="Ttulo6">
    <w:name w:val="heading 6"/>
    <w:basedOn w:val="Normal"/>
    <w:next w:val="Normal"/>
    <w:link w:val="Ttulo6Car"/>
    <w:semiHidden/>
    <w:unhideWhenUsed/>
    <w:qFormat/>
    <w:pPr>
      <w:keepNext/>
      <w:keepLines/>
      <w:spacing w:before="200" w:line="288" w:lineRule="auto"/>
      <w:outlineLvl w:val="5"/>
    </w:pPr>
    <w:rPr>
      <w:rFonts w:asciiTheme="majorHAnsi" w:eastAsiaTheme="majorEastAsia" w:hAnsiTheme="majorHAnsi" w:cstheme="majorBidi"/>
      <w:i/>
      <w:iCs/>
      <w:color w:val="394B5A" w:themeColor="accent1" w:themeShade="7F"/>
      <w:kern w:val="20"/>
      <w:sz w:val="20"/>
      <w:szCs w:val="20"/>
      <w:lang w:val="en-US" w:eastAsia="ja-JP"/>
    </w:rPr>
  </w:style>
  <w:style w:type="paragraph" w:styleId="Ttulo7">
    <w:name w:val="heading 7"/>
    <w:basedOn w:val="Normal"/>
    <w:next w:val="Normal"/>
    <w:link w:val="Ttulo7Car"/>
    <w:uiPriority w:val="18"/>
    <w:semiHidden/>
    <w:unhideWhenUsed/>
    <w:qFormat/>
    <w:pPr>
      <w:keepNext/>
      <w:keepLines/>
      <w:spacing w:before="200" w:line="288" w:lineRule="auto"/>
      <w:outlineLvl w:val="6"/>
    </w:pPr>
    <w:rPr>
      <w:rFonts w:asciiTheme="majorHAnsi" w:eastAsiaTheme="majorEastAsia" w:hAnsiTheme="majorHAnsi" w:cstheme="majorBidi"/>
      <w:i/>
      <w:iCs/>
      <w:color w:val="404040" w:themeColor="text1" w:themeTint="BF"/>
      <w:kern w:val="20"/>
      <w:sz w:val="20"/>
      <w:szCs w:val="20"/>
      <w:lang w:val="en-US" w:eastAsia="ja-JP"/>
    </w:rPr>
  </w:style>
  <w:style w:type="paragraph" w:styleId="Ttulo8">
    <w:name w:val="heading 8"/>
    <w:basedOn w:val="Normal"/>
    <w:next w:val="Normal"/>
    <w:link w:val="Ttulo8Car"/>
    <w:uiPriority w:val="18"/>
    <w:semiHidden/>
    <w:unhideWhenUsed/>
    <w:qFormat/>
    <w:pPr>
      <w:keepNext/>
      <w:keepLines/>
      <w:spacing w:before="200" w:line="288" w:lineRule="auto"/>
      <w:outlineLvl w:val="7"/>
    </w:pPr>
    <w:rPr>
      <w:rFonts w:asciiTheme="majorHAnsi" w:eastAsiaTheme="majorEastAsia" w:hAnsiTheme="majorHAnsi" w:cstheme="majorBidi"/>
      <w:color w:val="404040" w:themeColor="text1" w:themeTint="BF"/>
      <w:kern w:val="20"/>
      <w:sz w:val="20"/>
      <w:szCs w:val="20"/>
      <w:lang w:val="en-US" w:eastAsia="ja-JP"/>
    </w:rPr>
  </w:style>
  <w:style w:type="paragraph" w:styleId="Ttulo9">
    <w:name w:val="heading 9"/>
    <w:basedOn w:val="Normal"/>
    <w:next w:val="Normal"/>
    <w:link w:val="Ttulo9Car"/>
    <w:uiPriority w:val="18"/>
    <w:semiHidden/>
    <w:unhideWhenUsed/>
    <w:qFormat/>
    <w:pPr>
      <w:keepNext/>
      <w:keepLines/>
      <w:spacing w:before="200" w:line="288" w:lineRule="auto"/>
      <w:outlineLvl w:val="8"/>
    </w:pPr>
    <w:rPr>
      <w:rFonts w:asciiTheme="majorHAnsi" w:eastAsiaTheme="majorEastAsia" w:hAnsiTheme="majorHAnsi" w:cstheme="majorBidi"/>
      <w:i/>
      <w:iCs/>
      <w:color w:val="404040" w:themeColor="text1" w:themeTint="BF"/>
      <w:kern w:val="20"/>
      <w:sz w:val="20"/>
      <w:szCs w:val="20"/>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eader Bold,h,TENDER,*Header,*Header1,*Header2,*Header3,Encabezado11,*Header3 Car Car,Car Car Car,Car Car,Header Bold1,h1,TENDER1,*Header4,*Header11,*Header21 Car,Car Car Car Car Car,Encabezado1 Car Car Car,Encabezado111 Car Car"/>
    <w:basedOn w:val="Normal"/>
    <w:link w:val="EncabezadoCar"/>
    <w:unhideWhenUsed/>
    <w:pPr>
      <w:tabs>
        <w:tab w:val="center" w:pos="4680"/>
        <w:tab w:val="right" w:pos="9360"/>
      </w:tabs>
    </w:pPr>
    <w:rPr>
      <w:rFonts w:asciiTheme="minorHAnsi" w:eastAsiaTheme="minorHAnsi" w:hAnsiTheme="minorHAnsi" w:cstheme="minorBidi"/>
      <w:color w:val="595959" w:themeColor="text1" w:themeTint="A6"/>
      <w:kern w:val="20"/>
      <w:sz w:val="20"/>
      <w:szCs w:val="20"/>
      <w:lang w:val="en-US" w:eastAsia="ja-JP"/>
    </w:rPr>
  </w:style>
  <w:style w:type="character" w:customStyle="1" w:styleId="EncabezadoCar">
    <w:name w:val="Encabezado Car"/>
    <w:aliases w:val="Encabezado1 Car,Header Bold Car,h Car,TENDER Car,*Header Car,*Header1 Car,*Header2 Car,*Header3 Car,Encabezado11 Car,*Header3 Car Car Car,Car Car Car Car,Car Car Car1,Header Bold1 Car,h1 Car,TENDER1 Car,*Header4 Car,*Header11 Car"/>
    <w:basedOn w:val="Fuentedeprrafopredeter"/>
    <w:link w:val="Encabezado"/>
    <w:rPr>
      <w:kern w:val="20"/>
    </w:rPr>
  </w:style>
  <w:style w:type="paragraph" w:styleId="Piedepgina">
    <w:name w:val="footer"/>
    <w:basedOn w:val="Normal"/>
    <w:link w:val="PiedepginaCar"/>
    <w:unhideWhenUsed/>
    <w:pPr>
      <w:pBdr>
        <w:top w:val="single" w:sz="4" w:space="6" w:color="B1C0CD" w:themeColor="accent1" w:themeTint="99"/>
        <w:left w:val="single" w:sz="4" w:space="20" w:color="FFFFFF" w:themeColor="background1"/>
        <w:right w:val="single" w:sz="2" w:space="20" w:color="FFFFFF" w:themeColor="background1"/>
      </w:pBd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PiedepginaCar">
    <w:name w:val="Pie de página Car"/>
    <w:basedOn w:val="Fuentedeprrafopredeter"/>
    <w:link w:val="Piedepgina"/>
    <w:rPr>
      <w:kern w:val="20"/>
    </w:r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pPr>
      <w:spacing w:after="0" w:line="240" w:lineRule="auto"/>
    </w:pPr>
  </w:style>
  <w:style w:type="paragraph" w:styleId="Textodeglobo">
    <w:name w:val="Balloon Text"/>
    <w:basedOn w:val="Normal"/>
    <w:link w:val="TextodegloboCar"/>
    <w:semiHidden/>
    <w:unhideWhenUsed/>
    <w:pPr>
      <w:spacing w:before="40"/>
    </w:pPr>
    <w:rPr>
      <w:rFonts w:ascii="Tahoma" w:eastAsiaTheme="minorHAnsi" w:hAnsi="Tahoma" w:cs="Tahoma"/>
      <w:color w:val="595959" w:themeColor="text1" w:themeTint="A6"/>
      <w:kern w:val="20"/>
      <w:sz w:val="16"/>
      <w:szCs w:val="20"/>
      <w:lang w:val="en-US" w:eastAsia="ja-JP"/>
    </w:rPr>
  </w:style>
  <w:style w:type="character" w:customStyle="1" w:styleId="TextodegloboCar">
    <w:name w:val="Texto de globo Car"/>
    <w:basedOn w:val="Fuentedeprrafopredeter"/>
    <w:link w:val="Textodeglobo"/>
    <w:semiHidden/>
    <w:rPr>
      <w:rFonts w:ascii="Tahoma" w:hAnsi="Tahoma" w:cs="Tahoma"/>
      <w:sz w:val="16"/>
    </w:rPr>
  </w:style>
  <w:style w:type="character" w:customStyle="1" w:styleId="Ttulo1Car">
    <w:name w:val="Título 1 Car"/>
    <w:basedOn w:val="Fuentedeprrafopredeter"/>
    <w:link w:val="Ttulo1"/>
    <w:rPr>
      <w:kern w:val="20"/>
      <w:sz w:val="36"/>
    </w:rPr>
  </w:style>
  <w:style w:type="character" w:customStyle="1" w:styleId="Ttulo2Car">
    <w:name w:val="Título 2 Car"/>
    <w:basedOn w:val="Fuentedeprrafopredeter"/>
    <w:link w:val="Ttulo2"/>
    <w:rPr>
      <w:rFonts w:asciiTheme="majorHAnsi" w:eastAsiaTheme="majorEastAsia" w:hAnsiTheme="majorHAnsi" w:cstheme="majorBidi"/>
      <w:caps/>
      <w:color w:val="577188" w:themeColor="accent1" w:themeShade="BF"/>
      <w:kern w:val="20"/>
      <w:sz w:val="24"/>
      <w14:ligatures w14:val="standardContextual"/>
    </w:rPr>
  </w:style>
  <w:style w:type="character" w:styleId="Textodelmarcadordeposicin">
    <w:name w:val="Placeholder Text"/>
    <w:basedOn w:val="Fuentedeprrafopredeter"/>
    <w:uiPriority w:val="99"/>
    <w:semiHidden/>
    <w:rPr>
      <w:color w:val="808080"/>
    </w:rPr>
  </w:style>
  <w:style w:type="paragraph" w:styleId="Cita">
    <w:name w:val="Quote"/>
    <w:basedOn w:val="Normal"/>
    <w:next w:val="Normal"/>
    <w:link w:val="CitaCar"/>
    <w:uiPriority w:val="9"/>
    <w:unhideWhenUsed/>
    <w:qFormat/>
    <w:pPr>
      <w:spacing w:before="240" w:after="240" w:line="288" w:lineRule="auto"/>
      <w:ind w:left="720" w:right="720"/>
    </w:pPr>
    <w:rPr>
      <w:rFonts w:asciiTheme="minorHAnsi" w:eastAsiaTheme="minorHAnsi" w:hAnsiTheme="minorHAnsi" w:cstheme="minorBidi"/>
      <w:i/>
      <w:iCs/>
      <w:noProof/>
      <w:color w:val="7E97AD" w:themeColor="accent1"/>
      <w:kern w:val="20"/>
      <w:sz w:val="28"/>
      <w:szCs w:val="20"/>
      <w:lang w:val="en-US" w:eastAsia="ja-JP"/>
    </w:rPr>
  </w:style>
  <w:style w:type="character" w:customStyle="1" w:styleId="CitaCar">
    <w:name w:val="Cita Car"/>
    <w:basedOn w:val="Fuentedeprrafopredeter"/>
    <w:link w:val="Cita"/>
    <w:uiPriority w:val="9"/>
    <w:rPr>
      <w:i/>
      <w:iCs/>
      <w:noProof/>
      <w:color w:val="7E97AD" w:themeColor="accent1"/>
      <w:kern w:val="20"/>
      <w:sz w:val="28"/>
    </w:rPr>
  </w:style>
  <w:style w:type="paragraph" w:styleId="Bibliografa">
    <w:name w:val="Bibliography"/>
    <w:basedOn w:val="Normal"/>
    <w:next w:val="Normal"/>
    <w:uiPriority w:val="37"/>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paragraph" w:styleId="Textodebloque">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spacing w:before="40" w:after="160" w:line="288" w:lineRule="auto"/>
      <w:ind w:left="1152" w:right="1152"/>
    </w:pPr>
    <w:rPr>
      <w:rFonts w:asciiTheme="minorHAnsi" w:eastAsiaTheme="minorHAnsi" w:hAnsiTheme="minorHAnsi" w:cstheme="minorBidi"/>
      <w:i/>
      <w:iCs/>
      <w:color w:val="7E97AD" w:themeColor="accent1"/>
      <w:kern w:val="20"/>
      <w:sz w:val="20"/>
      <w:szCs w:val="20"/>
      <w:lang w:val="en-US" w:eastAsia="ja-JP"/>
    </w:rPr>
  </w:style>
  <w:style w:type="paragraph" w:styleId="Textoindependiente">
    <w:name w:val="Body Text"/>
    <w:basedOn w:val="Normal"/>
    <w:link w:val="TextoindependienteCar"/>
    <w:semiHidden/>
    <w:unhideWhenUsed/>
    <w:pPr>
      <w:spacing w:before="40" w:after="12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independienteCar">
    <w:name w:val="Texto independiente Car"/>
    <w:basedOn w:val="Fuentedeprrafopredeter"/>
    <w:link w:val="Textoindependiente"/>
    <w:semiHidden/>
  </w:style>
  <w:style w:type="paragraph" w:styleId="Textoindependiente2">
    <w:name w:val="Body Text 2"/>
    <w:basedOn w:val="Normal"/>
    <w:link w:val="Textoindependiente2Car"/>
    <w:semiHidden/>
    <w:unhideWhenUsed/>
    <w:pPr>
      <w:spacing w:before="40" w:after="120" w:line="480"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independiente2Car">
    <w:name w:val="Texto independiente 2 Car"/>
    <w:basedOn w:val="Fuentedeprrafopredeter"/>
    <w:link w:val="Textoindependiente2"/>
    <w:semiHidden/>
  </w:style>
  <w:style w:type="paragraph" w:styleId="Textoindependiente3">
    <w:name w:val="Body Text 3"/>
    <w:basedOn w:val="Normal"/>
    <w:link w:val="Textoindependiente3Car"/>
    <w:semiHidden/>
    <w:unhideWhenUsed/>
    <w:pPr>
      <w:spacing w:before="40" w:after="120" w:line="288" w:lineRule="auto"/>
    </w:pPr>
    <w:rPr>
      <w:rFonts w:asciiTheme="minorHAnsi" w:eastAsiaTheme="minorHAnsi" w:hAnsiTheme="minorHAnsi" w:cstheme="minorBidi"/>
      <w:color w:val="595959" w:themeColor="text1" w:themeTint="A6"/>
      <w:kern w:val="20"/>
      <w:sz w:val="16"/>
      <w:szCs w:val="20"/>
      <w:lang w:val="en-US" w:eastAsia="ja-JP"/>
    </w:rPr>
  </w:style>
  <w:style w:type="character" w:customStyle="1" w:styleId="Textoindependiente3Car">
    <w:name w:val="Texto independiente 3 Car"/>
    <w:basedOn w:val="Fuentedeprrafopredeter"/>
    <w:link w:val="Textoindependiente3"/>
    <w:semiHidden/>
    <w:rPr>
      <w:sz w:val="16"/>
    </w:rPr>
  </w:style>
  <w:style w:type="paragraph" w:styleId="Textoindependienteprimerasangra">
    <w:name w:val="Body Text First Indent"/>
    <w:basedOn w:val="Textoindependiente"/>
    <w:link w:val="TextoindependienteprimerasangraCar"/>
    <w:uiPriority w:val="99"/>
    <w:semiHidden/>
    <w:unhideWhenUse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style>
  <w:style w:type="paragraph" w:styleId="Sangradetextonormal">
    <w:name w:val="Body Text Indent"/>
    <w:basedOn w:val="Normal"/>
    <w:link w:val="SangradetextonormalCar"/>
    <w:uiPriority w:val="99"/>
    <w:semiHidden/>
    <w:unhideWhenUsed/>
    <w:pPr>
      <w:spacing w:before="40" w:after="120" w:line="288" w:lineRule="auto"/>
      <w:ind w:left="360"/>
    </w:pPr>
    <w:rPr>
      <w:rFonts w:asciiTheme="minorHAnsi" w:eastAsiaTheme="minorHAnsi" w:hAnsiTheme="minorHAnsi" w:cstheme="minorBidi"/>
      <w:color w:val="595959" w:themeColor="text1" w:themeTint="A6"/>
      <w:kern w:val="20"/>
      <w:sz w:val="20"/>
      <w:szCs w:val="20"/>
      <w:lang w:val="en-US" w:eastAsia="ja-JP"/>
    </w:rPr>
  </w:style>
  <w:style w:type="character" w:customStyle="1" w:styleId="SangradetextonormalCar">
    <w:name w:val="Sangría de texto normal Car"/>
    <w:basedOn w:val="Fuentedeprrafopredeter"/>
    <w:link w:val="Sangradetextonormal"/>
    <w:uiPriority w:val="99"/>
    <w:semiHidden/>
  </w:style>
  <w:style w:type="paragraph" w:styleId="Textoindependienteprimerasangra2">
    <w:name w:val="Body Text First Indent 2"/>
    <w:basedOn w:val="Sangradetextonormal"/>
    <w:link w:val="Textoindependienteprimerasangra2Car"/>
    <w:uiPriority w:val="99"/>
    <w:semiHidden/>
    <w:unhideWhenUsed/>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style>
  <w:style w:type="paragraph" w:styleId="Sangra2detindependiente">
    <w:name w:val="Body Text Indent 2"/>
    <w:basedOn w:val="Normal"/>
    <w:link w:val="Sangra2detindependienteCar"/>
    <w:uiPriority w:val="99"/>
    <w:semiHidden/>
    <w:unhideWhenUsed/>
    <w:pPr>
      <w:spacing w:before="40" w:after="120" w:line="480" w:lineRule="auto"/>
      <w:ind w:left="360"/>
    </w:pPr>
    <w:rPr>
      <w:rFonts w:asciiTheme="minorHAnsi" w:eastAsiaTheme="minorHAnsi" w:hAnsiTheme="minorHAnsi" w:cstheme="minorBidi"/>
      <w:color w:val="595959" w:themeColor="text1" w:themeTint="A6"/>
      <w:kern w:val="20"/>
      <w:sz w:val="20"/>
      <w:szCs w:val="20"/>
      <w:lang w:val="en-US" w:eastAsia="ja-JP"/>
    </w:rPr>
  </w:style>
  <w:style w:type="character" w:customStyle="1" w:styleId="Sangra2detindependienteCar">
    <w:name w:val="Sangría 2 de t. independiente Car"/>
    <w:basedOn w:val="Fuentedeprrafopredeter"/>
    <w:link w:val="Sangra2detindependiente"/>
    <w:uiPriority w:val="99"/>
    <w:semiHidden/>
  </w:style>
  <w:style w:type="paragraph" w:styleId="Sangra3detindependiente">
    <w:name w:val="Body Text Indent 3"/>
    <w:basedOn w:val="Normal"/>
    <w:link w:val="Sangra3detindependienteCar"/>
    <w:uiPriority w:val="99"/>
    <w:semiHidden/>
    <w:unhideWhenUsed/>
    <w:pPr>
      <w:spacing w:before="40" w:after="120" w:line="288" w:lineRule="auto"/>
      <w:ind w:left="360"/>
    </w:pPr>
    <w:rPr>
      <w:rFonts w:asciiTheme="minorHAnsi" w:eastAsiaTheme="minorHAnsi" w:hAnsiTheme="minorHAnsi" w:cstheme="minorBidi"/>
      <w:color w:val="595959" w:themeColor="text1" w:themeTint="A6"/>
      <w:kern w:val="20"/>
      <w:sz w:val="16"/>
      <w:szCs w:val="20"/>
      <w:lang w:val="en-US" w:eastAsia="ja-JP"/>
    </w:rPr>
  </w:style>
  <w:style w:type="character" w:customStyle="1" w:styleId="Sangra3detindependienteCar">
    <w:name w:val="Sangría 3 de t. independiente Car"/>
    <w:basedOn w:val="Fuentedeprrafopredeter"/>
    <w:link w:val="Sangra3detindependiente"/>
    <w:uiPriority w:val="99"/>
    <w:semiHidden/>
    <w:rPr>
      <w:sz w:val="16"/>
    </w:rPr>
  </w:style>
  <w:style w:type="character" w:styleId="Ttulodellibro">
    <w:name w:val="Book Title"/>
    <w:basedOn w:val="Fuentedeprrafopredeter"/>
    <w:uiPriority w:val="33"/>
    <w:semiHidden/>
    <w:unhideWhenUsed/>
    <w:rPr>
      <w:b/>
      <w:bCs/>
      <w:smallCaps/>
      <w:spacing w:val="5"/>
    </w:rPr>
  </w:style>
  <w:style w:type="paragraph" w:styleId="Descripcin">
    <w:name w:val="caption"/>
    <w:basedOn w:val="Normal"/>
    <w:next w:val="Normal"/>
    <w:unhideWhenUsed/>
    <w:qFormat/>
    <w:pPr>
      <w:spacing w:before="40" w:after="160"/>
    </w:pPr>
    <w:rPr>
      <w:rFonts w:asciiTheme="minorHAnsi" w:eastAsiaTheme="minorHAnsi" w:hAnsiTheme="minorHAnsi" w:cstheme="minorBidi"/>
      <w:b/>
      <w:bCs/>
      <w:color w:val="7E97AD" w:themeColor="accent1"/>
      <w:kern w:val="20"/>
      <w:sz w:val="18"/>
      <w:szCs w:val="20"/>
      <w:lang w:val="en-US" w:eastAsia="ja-JP"/>
    </w:rPr>
  </w:style>
  <w:style w:type="paragraph" w:styleId="Cierre">
    <w:name w:val="Closing"/>
    <w:basedOn w:val="Normal"/>
    <w:link w:val="CierreCar"/>
    <w:uiPriority w:val="99"/>
    <w:semiHidden/>
    <w:unhideWhenUsed/>
    <w:pPr>
      <w:spacing w:before="40"/>
      <w:ind w:left="4320"/>
    </w:pPr>
    <w:rPr>
      <w:rFonts w:asciiTheme="minorHAnsi" w:eastAsiaTheme="minorHAnsi" w:hAnsiTheme="minorHAnsi" w:cstheme="minorBidi"/>
      <w:color w:val="595959" w:themeColor="text1" w:themeTint="A6"/>
      <w:kern w:val="20"/>
      <w:sz w:val="20"/>
      <w:szCs w:val="20"/>
      <w:lang w:val="en-US" w:eastAsia="ja-JP"/>
    </w:rPr>
  </w:style>
  <w:style w:type="character" w:customStyle="1" w:styleId="CierreCar">
    <w:name w:val="Cierre Car"/>
    <w:basedOn w:val="Fuentedeprrafopredeter"/>
    <w:link w:val="Cierre"/>
    <w:uiPriority w:val="99"/>
    <w:semiHidden/>
  </w:style>
  <w:style w:type="table" w:styleId="Cuadrculavistosa">
    <w:name w:val="Colorful Grid"/>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uadrculavistosa-nfasis2">
    <w:name w:val="Colorful Grid Accent 2"/>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uadrculavistosa-nfasis3">
    <w:name w:val="Colorful Grid Accent 3"/>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uadrculavistosa-nfasis4">
    <w:name w:val="Colorful Grid Accent 4"/>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uadrculavistosa-nfasis5">
    <w:name w:val="Colorful Grid Accent 5"/>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uadrculavistosa-nfasis6">
    <w:name w:val="Colorful Grid Accent 6"/>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Listavistosa">
    <w:name w:val="Colorful List"/>
    <w:basedOn w:val="Tabla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Listavistosa-nfasis2">
    <w:name w:val="Colorful List Accent 2"/>
    <w:basedOn w:val="Tabla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Listavistosa-nfasis3">
    <w:name w:val="Colorful List Accent 3"/>
    <w:basedOn w:val="Tabla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Listavistosa-nfasis4">
    <w:name w:val="Colorful List Accent 4"/>
    <w:basedOn w:val="Tabla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Listavistosa-nfasis5">
    <w:name w:val="Colorful List Accent 5"/>
    <w:basedOn w:val="Tabla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Listavistosa-nfasis6">
    <w:name w:val="Colorful List Accent 6"/>
    <w:basedOn w:val="Tabla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Sombreadovistoso">
    <w:name w:val="Colorful Shading"/>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Sombreadovistoso-nfasis4">
    <w:name w:val="Colorful Shading Accent 4"/>
    <w:basedOn w:val="Tabla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semiHidden/>
    <w:unhideWhenUsed/>
    <w:rPr>
      <w:sz w:val="16"/>
    </w:rPr>
  </w:style>
  <w:style w:type="paragraph" w:styleId="Textocomentario">
    <w:name w:val="annotation text"/>
    <w:basedOn w:val="Normal"/>
    <w:link w:val="TextocomentarioCar"/>
    <w:semiHidden/>
    <w:unhideWhenUsed/>
    <w:pPr>
      <w:spacing w:before="40" w:after="16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comentarioCar">
    <w:name w:val="Texto comentario Car"/>
    <w:basedOn w:val="Fuentedeprrafopredeter"/>
    <w:link w:val="Textocomentario"/>
    <w:semiHidden/>
    <w:rPr>
      <w:sz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rPr>
  </w:style>
  <w:style w:type="table" w:styleId="Listaoscura">
    <w:name w:val="Dark List"/>
    <w:basedOn w:val="Tabla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Listaoscura-nfasis2">
    <w:name w:val="Dark List Accent 2"/>
    <w:basedOn w:val="Tabla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Listaoscura-nfasis3">
    <w:name w:val="Dark List Accent 3"/>
    <w:basedOn w:val="Tabla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Listaoscura-nfasis4">
    <w:name w:val="Dark List Accent 4"/>
    <w:basedOn w:val="Tabla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Listaoscura-nfasis5">
    <w:name w:val="Dark List Accent 5"/>
    <w:basedOn w:val="Tabla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Listaoscura-nfasis6">
    <w:name w:val="Dark List Accent 6"/>
    <w:basedOn w:val="Tabla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Fecha">
    <w:name w:val="Date"/>
    <w:basedOn w:val="Normal"/>
    <w:next w:val="Normal"/>
    <w:link w:val="FechaCar"/>
    <w:uiPriority w:val="99"/>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FechaCar">
    <w:name w:val="Fecha Car"/>
    <w:basedOn w:val="Fuentedeprrafopredeter"/>
    <w:link w:val="Fecha"/>
    <w:uiPriority w:val="99"/>
    <w:semiHidden/>
  </w:style>
  <w:style w:type="paragraph" w:styleId="Mapadeldocumento">
    <w:name w:val="Document Map"/>
    <w:basedOn w:val="Normal"/>
    <w:link w:val="MapadeldocumentoCar"/>
    <w:uiPriority w:val="99"/>
    <w:semiHidden/>
    <w:unhideWhenUsed/>
    <w:pPr>
      <w:spacing w:before="40"/>
    </w:pPr>
    <w:rPr>
      <w:rFonts w:ascii="Tahoma" w:eastAsiaTheme="minorHAnsi" w:hAnsi="Tahoma" w:cs="Tahoma"/>
      <w:color w:val="595959" w:themeColor="text1" w:themeTint="A6"/>
      <w:kern w:val="20"/>
      <w:sz w:val="16"/>
      <w:szCs w:val="20"/>
      <w:lang w:val="en-US" w:eastAsia="ja-JP"/>
    </w:rPr>
  </w:style>
  <w:style w:type="character" w:customStyle="1" w:styleId="MapadeldocumentoCar">
    <w:name w:val="Mapa del documento Car"/>
    <w:basedOn w:val="Fuentedeprrafopredeter"/>
    <w:link w:val="Mapadeldocumento"/>
    <w:uiPriority w:val="99"/>
    <w:semiHidden/>
    <w:rPr>
      <w:rFonts w:ascii="Tahoma" w:hAnsi="Tahoma" w:cs="Tahoma"/>
      <w:sz w:val="16"/>
    </w:rPr>
  </w:style>
  <w:style w:type="paragraph" w:styleId="Firmadecorreoelectrnico">
    <w:name w:val="E-mail Signature"/>
    <w:basedOn w:val="Normal"/>
    <w:link w:val="Firmadecorreoelectrnico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irmadecorreoelectrnicoCar">
    <w:name w:val="Firma de correo electrónico Car"/>
    <w:basedOn w:val="Fuentedeprrafopredeter"/>
    <w:link w:val="Firmadecorreoelectrnico"/>
    <w:uiPriority w:val="99"/>
    <w:semiHidden/>
  </w:style>
  <w:style w:type="character" w:styleId="nfasis">
    <w:name w:val="Emphasis"/>
    <w:basedOn w:val="Fuentedeprrafopredeter"/>
    <w:uiPriority w:val="20"/>
    <w:semiHidden/>
    <w:unhideWhenUsed/>
    <w:rPr>
      <w:i/>
      <w:iCs/>
    </w:r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notaalfinalCar">
    <w:name w:val="Texto nota al final Car"/>
    <w:basedOn w:val="Fuentedeprrafopredeter"/>
    <w:link w:val="Textonotaalfinal"/>
    <w:uiPriority w:val="99"/>
    <w:semiHidden/>
    <w:rPr>
      <w:sz w:val="20"/>
    </w:rPr>
  </w:style>
  <w:style w:type="paragraph" w:styleId="Direccinsobre">
    <w:name w:val="envelope address"/>
    <w:basedOn w:val="Normal"/>
    <w:uiPriority w:val="99"/>
    <w:semiHidden/>
    <w:unhideWhenUsed/>
    <w:pPr>
      <w:framePr w:w="7920" w:h="1980" w:hRule="exact" w:hSpace="180" w:wrap="auto" w:hAnchor="page" w:xAlign="center" w:yAlign="bottom"/>
      <w:spacing w:before="40"/>
      <w:ind w:left="2880"/>
    </w:pPr>
    <w:rPr>
      <w:rFonts w:asciiTheme="majorHAnsi" w:eastAsiaTheme="majorEastAsia" w:hAnsiTheme="majorHAnsi" w:cstheme="majorBidi"/>
      <w:color w:val="595959" w:themeColor="text1" w:themeTint="A6"/>
      <w:kern w:val="20"/>
      <w:szCs w:val="20"/>
      <w:lang w:val="en-US" w:eastAsia="ja-JP"/>
    </w:rPr>
  </w:style>
  <w:style w:type="paragraph" w:styleId="Remitedesobre">
    <w:name w:val="envelope return"/>
    <w:basedOn w:val="Normal"/>
    <w:uiPriority w:val="99"/>
    <w:semiHidden/>
    <w:unhideWhenUsed/>
    <w:pPr>
      <w:spacing w:before="40"/>
    </w:pPr>
    <w:rPr>
      <w:rFonts w:asciiTheme="majorHAnsi" w:eastAsiaTheme="majorEastAsia" w:hAnsiTheme="majorHAnsi" w:cstheme="majorBidi"/>
      <w:color w:val="595959" w:themeColor="text1" w:themeTint="A6"/>
      <w:kern w:val="20"/>
      <w:sz w:val="20"/>
      <w:szCs w:val="20"/>
      <w:lang w:val="en-US" w:eastAsia="ja-JP"/>
    </w:rPr>
  </w:style>
  <w:style w:type="character" w:styleId="Hipervnculovisitado">
    <w:name w:val="FollowedHyperlink"/>
    <w:basedOn w:val="Fuentedeprrafopredeter"/>
    <w:uiPriority w:val="99"/>
    <w:semiHidden/>
    <w:unhideWhenUsed/>
    <w:rPr>
      <w:color w:val="969696" w:themeColor="followedHyperlink"/>
      <w:u w:val="single"/>
    </w:rPr>
  </w:style>
  <w:style w:type="character" w:styleId="Refdenotaalpie">
    <w:name w:val="footnote reference"/>
    <w:basedOn w:val="Fuentedeprrafopredeter"/>
    <w:unhideWhenUsed/>
    <w:rPr>
      <w:vertAlign w:val="superscript"/>
    </w:rPr>
  </w:style>
  <w:style w:type="paragraph" w:styleId="Textonotapie">
    <w:name w:val="footnote text"/>
    <w:basedOn w:val="Normal"/>
    <w:link w:val="TextonotapieCar"/>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notapieCar">
    <w:name w:val="Texto nota pie Car"/>
    <w:basedOn w:val="Fuentedeprrafopredeter"/>
    <w:link w:val="Textonotapie"/>
    <w:rPr>
      <w:sz w:val="20"/>
    </w:rPr>
  </w:style>
  <w:style w:type="character" w:customStyle="1" w:styleId="Ttulo3Car">
    <w:name w:val="Título 3 Car"/>
    <w:basedOn w:val="Fuentedeprrafopredeter"/>
    <w:link w:val="Ttulo3"/>
    <w:rPr>
      <w:rFonts w:asciiTheme="majorHAnsi" w:eastAsiaTheme="majorEastAsia" w:hAnsiTheme="majorHAnsi" w:cstheme="majorBidi"/>
      <w:b/>
      <w:bCs/>
      <w:color w:val="7E97AD" w:themeColor="accent1"/>
      <w:kern w:val="20"/>
      <w14:ligatures w14:val="standardContextual"/>
    </w:rPr>
  </w:style>
  <w:style w:type="character" w:customStyle="1" w:styleId="Ttulo4Car">
    <w:name w:val="Título 4 Car"/>
    <w:basedOn w:val="Fuentedeprrafopredeter"/>
    <w:link w:val="Ttulo4"/>
    <w:semiHidden/>
    <w:rPr>
      <w:rFonts w:asciiTheme="majorHAnsi" w:eastAsiaTheme="majorEastAsia" w:hAnsiTheme="majorHAnsi" w:cstheme="majorBidi"/>
      <w:b/>
      <w:bCs/>
      <w:i/>
      <w:iCs/>
      <w:color w:val="7E97AD" w:themeColor="accent1"/>
      <w:kern w:val="2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394B5A" w:themeColor="accent1" w:themeShade="7F"/>
      <w:kern w:val="20"/>
    </w:rPr>
  </w:style>
  <w:style w:type="character" w:customStyle="1" w:styleId="Ttulo6Car">
    <w:name w:val="Título 6 Car"/>
    <w:basedOn w:val="Fuentedeprrafopredeter"/>
    <w:link w:val="Ttulo6"/>
    <w:semiHidden/>
    <w:rPr>
      <w:rFonts w:asciiTheme="majorHAnsi" w:eastAsiaTheme="majorEastAsia" w:hAnsiTheme="majorHAnsi" w:cstheme="majorBidi"/>
      <w:i/>
      <w:iCs/>
      <w:color w:val="394B5A" w:themeColor="accent1" w:themeShade="7F"/>
      <w:kern w:val="20"/>
    </w:rPr>
  </w:style>
  <w:style w:type="character" w:customStyle="1" w:styleId="Ttulo7Car">
    <w:name w:val="Título 7 Car"/>
    <w:basedOn w:val="Fuentedeprrafopredeter"/>
    <w:link w:val="Ttulo7"/>
    <w:uiPriority w:val="18"/>
    <w:semiHidden/>
    <w:rPr>
      <w:rFonts w:asciiTheme="majorHAnsi" w:eastAsiaTheme="majorEastAsia" w:hAnsiTheme="majorHAnsi" w:cstheme="majorBidi"/>
      <w:i/>
      <w:iCs/>
      <w:color w:val="404040" w:themeColor="text1" w:themeTint="BF"/>
      <w:kern w:val="20"/>
    </w:rPr>
  </w:style>
  <w:style w:type="character" w:customStyle="1" w:styleId="Ttulo8Car">
    <w:name w:val="Título 8 Car"/>
    <w:basedOn w:val="Fuentedeprrafopredeter"/>
    <w:link w:val="Ttulo8"/>
    <w:uiPriority w:val="18"/>
    <w:semiHidden/>
    <w:rPr>
      <w:rFonts w:asciiTheme="majorHAnsi" w:eastAsiaTheme="majorEastAsia" w:hAnsiTheme="majorHAnsi" w:cstheme="majorBidi"/>
      <w:color w:val="404040" w:themeColor="text1" w:themeTint="BF"/>
      <w:kern w:val="20"/>
    </w:rPr>
  </w:style>
  <w:style w:type="character" w:customStyle="1" w:styleId="Ttulo9Car">
    <w:name w:val="Título 9 Car"/>
    <w:basedOn w:val="Fuentedeprrafopredeter"/>
    <w:link w:val="Ttulo9"/>
    <w:uiPriority w:val="18"/>
    <w:semiHidden/>
    <w:rPr>
      <w:rFonts w:asciiTheme="majorHAnsi" w:eastAsiaTheme="majorEastAsia" w:hAnsiTheme="majorHAnsi" w:cstheme="majorBidi"/>
      <w:i/>
      <w:iCs/>
      <w:color w:val="404040" w:themeColor="text1" w:themeTint="BF"/>
      <w:kern w:val="20"/>
    </w:rPr>
  </w:style>
  <w:style w:type="character" w:styleId="AcrnimoHTML">
    <w:name w:val="HTML Acronym"/>
    <w:basedOn w:val="Fuentedeprrafopredeter"/>
    <w:uiPriority w:val="99"/>
    <w:semiHidden/>
    <w:unhideWhenUsed/>
  </w:style>
  <w:style w:type="paragraph" w:styleId="DireccinHTML">
    <w:name w:val="HTML Address"/>
    <w:basedOn w:val="Normal"/>
    <w:link w:val="DireccinHTMLCar"/>
    <w:uiPriority w:val="99"/>
    <w:semiHidden/>
    <w:unhideWhenUsed/>
    <w:pPr>
      <w:spacing w:before="40"/>
    </w:pPr>
    <w:rPr>
      <w:rFonts w:asciiTheme="minorHAnsi" w:eastAsiaTheme="minorHAnsi" w:hAnsiTheme="minorHAnsi" w:cstheme="minorBidi"/>
      <w:i/>
      <w:iCs/>
      <w:color w:val="595959" w:themeColor="text1" w:themeTint="A6"/>
      <w:kern w:val="20"/>
      <w:sz w:val="20"/>
      <w:szCs w:val="20"/>
      <w:lang w:val="en-US" w:eastAsia="ja-JP"/>
    </w:rPr>
  </w:style>
  <w:style w:type="character" w:customStyle="1" w:styleId="DireccinHTMLCar">
    <w:name w:val="Dirección HTML Car"/>
    <w:basedOn w:val="Fuentedeprrafopredeter"/>
    <w:link w:val="DireccinHTML"/>
    <w:uiPriority w:val="99"/>
    <w:semiHidden/>
    <w:rPr>
      <w:i/>
      <w:iCs/>
    </w:rPr>
  </w:style>
  <w:style w:type="character" w:styleId="CitaHTML">
    <w:name w:val="HTML Cite"/>
    <w:basedOn w:val="Fuentedeprrafopredeter"/>
    <w:uiPriority w:val="99"/>
    <w:semiHidden/>
    <w:unhideWhenUsed/>
    <w:rPr>
      <w:i/>
      <w:iCs/>
    </w:rPr>
  </w:style>
  <w:style w:type="character" w:styleId="CdigoHTML">
    <w:name w:val="HTML Code"/>
    <w:basedOn w:val="Fuentedeprrafopredeter"/>
    <w:uiPriority w:val="99"/>
    <w:semiHidden/>
    <w:unhideWhenUsed/>
    <w:rPr>
      <w:rFonts w:ascii="Consolas" w:hAnsi="Consolas" w:cs="Consolas"/>
      <w:sz w:val="20"/>
    </w:rPr>
  </w:style>
  <w:style w:type="character" w:styleId="DefinicinHTML">
    <w:name w:val="HTML Definition"/>
    <w:basedOn w:val="Fuentedeprrafopredeter"/>
    <w:uiPriority w:val="99"/>
    <w:semiHidden/>
    <w:unhideWhenUsed/>
    <w:rPr>
      <w:i/>
      <w:iCs/>
    </w:rPr>
  </w:style>
  <w:style w:type="character" w:styleId="TecladoHTML">
    <w:name w:val="HTML Keyboard"/>
    <w:basedOn w:val="Fuentedeprrafopredeter"/>
    <w:uiPriority w:val="99"/>
    <w:semiHidden/>
    <w:unhideWhenUsed/>
    <w:rPr>
      <w:rFonts w:ascii="Consolas" w:hAnsi="Consolas" w:cs="Consolas"/>
      <w:sz w:val="20"/>
    </w:rPr>
  </w:style>
  <w:style w:type="paragraph" w:styleId="HTMLconformatoprevio">
    <w:name w:val="HTML Preformatted"/>
    <w:basedOn w:val="Normal"/>
    <w:link w:val="HTMLconformatoprevioCar"/>
    <w:uiPriority w:val="99"/>
    <w:semiHidden/>
    <w:unhideWhenUsed/>
    <w:pPr>
      <w:spacing w:before="40"/>
    </w:pPr>
    <w:rPr>
      <w:rFonts w:ascii="Consolas" w:eastAsiaTheme="minorHAnsi" w:hAnsi="Consolas" w:cs="Consolas"/>
      <w:color w:val="595959" w:themeColor="text1" w:themeTint="A6"/>
      <w:kern w:val="20"/>
      <w:sz w:val="20"/>
      <w:szCs w:val="20"/>
      <w:lang w:val="en-US" w:eastAsia="ja-JP"/>
    </w:rPr>
  </w:style>
  <w:style w:type="character" w:customStyle="1" w:styleId="HTMLconformatoprevioCar">
    <w:name w:val="HTML con formato previo Car"/>
    <w:basedOn w:val="Fuentedeprrafopredeter"/>
    <w:link w:val="HTMLconformatoprevio"/>
    <w:uiPriority w:val="99"/>
    <w:semiHidden/>
    <w:rPr>
      <w:rFonts w:ascii="Consolas" w:hAnsi="Consolas" w:cs="Consolas"/>
      <w:sz w:val="20"/>
    </w:rPr>
  </w:style>
  <w:style w:type="character" w:styleId="EjemplodeHTML">
    <w:name w:val="HTML Sample"/>
    <w:basedOn w:val="Fuentedeprrafopredeter"/>
    <w:uiPriority w:val="99"/>
    <w:semiHidden/>
    <w:unhideWhenUsed/>
    <w:rPr>
      <w:rFonts w:ascii="Consolas" w:hAnsi="Consolas" w:cs="Consolas"/>
      <w:sz w:val="24"/>
    </w:rPr>
  </w:style>
  <w:style w:type="character" w:styleId="MquinadeescribirHTML">
    <w:name w:val="HTML Typewriter"/>
    <w:basedOn w:val="Fuentedeprrafopredeter"/>
    <w:uiPriority w:val="99"/>
    <w:semiHidden/>
    <w:unhideWhenUsed/>
    <w:rPr>
      <w:rFonts w:ascii="Consolas" w:hAnsi="Consolas" w:cs="Consolas"/>
      <w:sz w:val="20"/>
    </w:rPr>
  </w:style>
  <w:style w:type="character" w:styleId="VariableHTML">
    <w:name w:val="HTML Variable"/>
    <w:basedOn w:val="Fuentedeprrafopredeter"/>
    <w:uiPriority w:val="99"/>
    <w:semiHidden/>
    <w:unhideWhenUsed/>
    <w:rPr>
      <w:i/>
      <w:iCs/>
    </w:rPr>
  </w:style>
  <w:style w:type="character" w:styleId="Hipervnculo">
    <w:name w:val="Hyperlink"/>
    <w:basedOn w:val="Fuentedeprrafopredeter"/>
    <w:uiPriority w:val="99"/>
    <w:unhideWhenUsed/>
    <w:rPr>
      <w:color w:val="646464" w:themeColor="hyperlink"/>
      <w:u w:val="single"/>
    </w:rPr>
  </w:style>
  <w:style w:type="paragraph" w:styleId="ndice1">
    <w:name w:val="index 1"/>
    <w:basedOn w:val="Normal"/>
    <w:next w:val="Normal"/>
    <w:autoRedefine/>
    <w:uiPriority w:val="99"/>
    <w:semiHidden/>
    <w:unhideWhenUsed/>
    <w:pPr>
      <w:spacing w:before="40"/>
      <w:ind w:left="22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2">
    <w:name w:val="index 2"/>
    <w:basedOn w:val="Normal"/>
    <w:next w:val="Normal"/>
    <w:autoRedefine/>
    <w:uiPriority w:val="99"/>
    <w:semiHidden/>
    <w:unhideWhenUsed/>
    <w:pPr>
      <w:spacing w:before="40"/>
      <w:ind w:left="44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3">
    <w:name w:val="index 3"/>
    <w:basedOn w:val="Normal"/>
    <w:next w:val="Normal"/>
    <w:autoRedefine/>
    <w:uiPriority w:val="99"/>
    <w:semiHidden/>
    <w:unhideWhenUsed/>
    <w:pPr>
      <w:spacing w:before="40"/>
      <w:ind w:left="66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4">
    <w:name w:val="index 4"/>
    <w:basedOn w:val="Normal"/>
    <w:next w:val="Normal"/>
    <w:autoRedefine/>
    <w:uiPriority w:val="99"/>
    <w:semiHidden/>
    <w:unhideWhenUsed/>
    <w:pPr>
      <w:spacing w:before="40"/>
      <w:ind w:left="88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5">
    <w:name w:val="index 5"/>
    <w:basedOn w:val="Normal"/>
    <w:next w:val="Normal"/>
    <w:autoRedefine/>
    <w:uiPriority w:val="99"/>
    <w:semiHidden/>
    <w:unhideWhenUsed/>
    <w:pPr>
      <w:spacing w:before="40"/>
      <w:ind w:left="110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6">
    <w:name w:val="index 6"/>
    <w:basedOn w:val="Normal"/>
    <w:next w:val="Normal"/>
    <w:autoRedefine/>
    <w:uiPriority w:val="99"/>
    <w:semiHidden/>
    <w:unhideWhenUsed/>
    <w:pPr>
      <w:spacing w:before="40"/>
      <w:ind w:left="132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7">
    <w:name w:val="index 7"/>
    <w:basedOn w:val="Normal"/>
    <w:next w:val="Normal"/>
    <w:autoRedefine/>
    <w:uiPriority w:val="99"/>
    <w:semiHidden/>
    <w:unhideWhenUsed/>
    <w:pPr>
      <w:spacing w:before="40"/>
      <w:ind w:left="154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8">
    <w:name w:val="index 8"/>
    <w:basedOn w:val="Normal"/>
    <w:next w:val="Normal"/>
    <w:autoRedefine/>
    <w:uiPriority w:val="99"/>
    <w:semiHidden/>
    <w:unhideWhenUsed/>
    <w:pPr>
      <w:spacing w:before="40"/>
      <w:ind w:left="176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9">
    <w:name w:val="index 9"/>
    <w:basedOn w:val="Normal"/>
    <w:next w:val="Normal"/>
    <w:autoRedefine/>
    <w:uiPriority w:val="99"/>
    <w:semiHidden/>
    <w:unhideWhenUsed/>
    <w:pPr>
      <w:spacing w:before="40"/>
      <w:ind w:left="1980" w:hanging="220"/>
    </w:pPr>
    <w:rPr>
      <w:rFonts w:asciiTheme="minorHAnsi" w:eastAsiaTheme="minorHAnsi" w:hAnsiTheme="minorHAnsi" w:cstheme="minorBidi"/>
      <w:color w:val="595959" w:themeColor="text1" w:themeTint="A6"/>
      <w:kern w:val="20"/>
      <w:sz w:val="20"/>
      <w:szCs w:val="20"/>
      <w:lang w:val="en-US" w:eastAsia="ja-JP"/>
    </w:rPr>
  </w:style>
  <w:style w:type="paragraph" w:styleId="Ttulodendice">
    <w:name w:val="index heading"/>
    <w:basedOn w:val="Normal"/>
    <w:next w:val="ndice1"/>
    <w:uiPriority w:val="99"/>
    <w:semiHidden/>
    <w:unhideWhenUsed/>
    <w:pPr>
      <w:spacing w:before="40" w:after="160" w:line="288" w:lineRule="auto"/>
    </w:pPr>
    <w:rPr>
      <w:rFonts w:asciiTheme="majorHAnsi" w:eastAsiaTheme="majorEastAsia" w:hAnsiTheme="majorHAnsi" w:cstheme="majorBidi"/>
      <w:b/>
      <w:bCs/>
      <w:color w:val="595959" w:themeColor="text1" w:themeTint="A6"/>
      <w:kern w:val="20"/>
      <w:sz w:val="20"/>
      <w:szCs w:val="20"/>
      <w:lang w:val="en-US" w:eastAsia="ja-JP"/>
    </w:rPr>
  </w:style>
  <w:style w:type="character" w:styleId="nfasisintenso">
    <w:name w:val="Intense Emphasis"/>
    <w:basedOn w:val="Fuentedeprrafopredeter"/>
    <w:uiPriority w:val="21"/>
    <w:semiHidden/>
    <w:unhideWhenUsed/>
    <w:rPr>
      <w:b/>
      <w:bCs/>
      <w:i/>
      <w:iCs/>
      <w:color w:val="7E97AD" w:themeColor="accent1"/>
    </w:rPr>
  </w:style>
  <w:style w:type="paragraph" w:styleId="Citadestacada">
    <w:name w:val="Intense Quote"/>
    <w:basedOn w:val="Normal"/>
    <w:next w:val="Normal"/>
    <w:link w:val="CitadestacadaCar"/>
    <w:uiPriority w:val="30"/>
    <w:semiHidden/>
    <w:unhideWhenUsed/>
    <w:pPr>
      <w:pBdr>
        <w:bottom w:val="single" w:sz="4" w:space="4" w:color="7E97AD" w:themeColor="accent1"/>
      </w:pBdr>
      <w:spacing w:before="200" w:after="280" w:line="288" w:lineRule="auto"/>
      <w:ind w:left="936" w:right="936"/>
    </w:pPr>
    <w:rPr>
      <w:rFonts w:asciiTheme="minorHAnsi" w:eastAsiaTheme="minorHAnsi" w:hAnsiTheme="minorHAnsi" w:cstheme="minorBidi"/>
      <w:b/>
      <w:bCs/>
      <w:i/>
      <w:iCs/>
      <w:color w:val="7E97AD" w:themeColor="accent1"/>
      <w:kern w:val="20"/>
      <w:sz w:val="20"/>
      <w:szCs w:val="20"/>
      <w:lang w:val="en-US" w:eastAsia="ja-JP"/>
    </w:rPr>
  </w:style>
  <w:style w:type="character" w:customStyle="1" w:styleId="CitadestacadaCar">
    <w:name w:val="Cita destacada Car"/>
    <w:basedOn w:val="Fuentedeprrafopredeter"/>
    <w:link w:val="Citadestacada"/>
    <w:uiPriority w:val="30"/>
    <w:semiHidden/>
    <w:rPr>
      <w:b/>
      <w:bCs/>
      <w:i/>
      <w:iCs/>
      <w:color w:val="7E97AD" w:themeColor="accent1"/>
    </w:rPr>
  </w:style>
  <w:style w:type="character" w:styleId="Referenciaintensa">
    <w:name w:val="Intense Reference"/>
    <w:basedOn w:val="Fuentedeprrafopredeter"/>
    <w:uiPriority w:val="32"/>
    <w:semiHidden/>
    <w:unhideWhenUsed/>
    <w:rPr>
      <w:b/>
      <w:bCs/>
      <w:smallCaps/>
      <w:color w:val="CC8E60" w:themeColor="accent2"/>
      <w:spacing w:val="5"/>
      <w:u w:val="single"/>
    </w:rPr>
  </w:style>
  <w:style w:type="table" w:styleId="Cuadrculaclara">
    <w:name w:val="Light Grid"/>
    <w:basedOn w:val="Tabla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Cuadrculaclara-nfasis2">
    <w:name w:val="Light Grid Accent 2"/>
    <w:basedOn w:val="Tabla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Cuadrculaclara-nfasis3">
    <w:name w:val="Light Grid Accent 3"/>
    <w:basedOn w:val="Tabla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Cuadrculaclara-nfasis4">
    <w:name w:val="Light Grid Accent 4"/>
    <w:basedOn w:val="Tabla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Cuadrculaclara-nfasis5">
    <w:name w:val="Light Grid Accent 5"/>
    <w:basedOn w:val="Tabla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Cuadrculaclara-nfasis6">
    <w:name w:val="Light Grid Accent 6"/>
    <w:basedOn w:val="Tabla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staclara">
    <w:name w:val="Light List"/>
    <w:basedOn w:val="Tabla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staclara-nfasis2">
    <w:name w:val="Light List Accent 2"/>
    <w:basedOn w:val="Tabla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staclara-nfasis3">
    <w:name w:val="Light List Accent 3"/>
    <w:basedOn w:val="Tabla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staclara-nfasis4">
    <w:name w:val="Light List Accent 4"/>
    <w:basedOn w:val="Tabla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staclara-nfasis5">
    <w:name w:val="Light List Accent 5"/>
    <w:basedOn w:val="Tabla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staclara-nfasis6">
    <w:name w:val="Light List Accent 6"/>
    <w:basedOn w:val="Tabla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Sombreadoclaro">
    <w:name w:val="Light Shading"/>
    <w:basedOn w:val="Tabla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Sombreadoclaro-nfasis2">
    <w:name w:val="Light Shading Accent 2"/>
    <w:basedOn w:val="Tabla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Sombreadoclaro-nfasis3">
    <w:name w:val="Light Shading Accent 3"/>
    <w:basedOn w:val="Tabla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Sombreadoclaro-nfasis4">
    <w:name w:val="Light Shading Accent 4"/>
    <w:basedOn w:val="Tabla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Sombreadoclaro-nfasis5">
    <w:name w:val="Light Shading Accent 5"/>
    <w:basedOn w:val="Tabla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Sombreadoclaro-nfasis6">
    <w:name w:val="Light Shading Accent 6"/>
    <w:basedOn w:val="Tabla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Nmerodelnea">
    <w:name w:val="line number"/>
    <w:basedOn w:val="Fuentedeprrafopredeter"/>
    <w:uiPriority w:val="99"/>
    <w:semiHidden/>
    <w:unhideWhenUsed/>
  </w:style>
  <w:style w:type="paragraph" w:styleId="Lista">
    <w:name w:val="List"/>
    <w:basedOn w:val="Normal"/>
    <w:uiPriority w:val="99"/>
    <w:semiHidden/>
    <w:unhideWhenUsed/>
    <w:pPr>
      <w:spacing w:before="40" w:after="160" w:line="288" w:lineRule="auto"/>
      <w:ind w:left="36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2">
    <w:name w:val="List 2"/>
    <w:basedOn w:val="Normal"/>
    <w:uiPriority w:val="99"/>
    <w:semiHidden/>
    <w:unhideWhenUsed/>
    <w:pPr>
      <w:spacing w:before="40" w:after="160" w:line="288" w:lineRule="auto"/>
      <w:ind w:left="72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3">
    <w:name w:val="List 3"/>
    <w:basedOn w:val="Normal"/>
    <w:uiPriority w:val="99"/>
    <w:semiHidden/>
    <w:unhideWhenUsed/>
    <w:pPr>
      <w:spacing w:before="40" w:after="160" w:line="288" w:lineRule="auto"/>
      <w:ind w:left="108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4">
    <w:name w:val="List 4"/>
    <w:basedOn w:val="Normal"/>
    <w:uiPriority w:val="99"/>
    <w:semiHidden/>
    <w:unhideWhenUsed/>
    <w:pPr>
      <w:spacing w:before="40" w:after="160" w:line="288" w:lineRule="auto"/>
      <w:ind w:left="144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5">
    <w:name w:val="List 5"/>
    <w:basedOn w:val="Normal"/>
    <w:uiPriority w:val="99"/>
    <w:semiHidden/>
    <w:unhideWhenUsed/>
    <w:pPr>
      <w:spacing w:before="40" w:after="160" w:line="288" w:lineRule="auto"/>
      <w:ind w:left="180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
    <w:name w:val="List Bullet"/>
    <w:basedOn w:val="Normal"/>
    <w:unhideWhenUsed/>
    <w:qFormat/>
    <w:pPr>
      <w:numPr>
        <w:numId w:val="1"/>
      </w:numPr>
      <w:spacing w:before="40" w:after="40" w:line="288" w:lineRule="auto"/>
    </w:pPr>
    <w:rPr>
      <w:rFonts w:asciiTheme="minorHAnsi" w:eastAsiaTheme="minorHAnsi" w:hAnsiTheme="minorHAnsi" w:cstheme="minorBidi"/>
      <w:color w:val="595959" w:themeColor="text1" w:themeTint="A6"/>
      <w:kern w:val="20"/>
      <w:sz w:val="20"/>
      <w:szCs w:val="20"/>
      <w:lang w:val="en-US" w:eastAsia="ja-JP"/>
    </w:rPr>
  </w:style>
  <w:style w:type="paragraph" w:styleId="Listaconvietas2">
    <w:name w:val="List Bullet 2"/>
    <w:basedOn w:val="Normal"/>
    <w:uiPriority w:val="99"/>
    <w:semiHidden/>
    <w:unhideWhenUsed/>
    <w:pPr>
      <w:numPr>
        <w:numId w:val="2"/>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3">
    <w:name w:val="List Bullet 3"/>
    <w:basedOn w:val="Normal"/>
    <w:uiPriority w:val="99"/>
    <w:semiHidden/>
    <w:unhideWhenUsed/>
    <w:pPr>
      <w:numPr>
        <w:numId w:val="3"/>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4">
    <w:name w:val="List Bullet 4"/>
    <w:basedOn w:val="Normal"/>
    <w:uiPriority w:val="99"/>
    <w:semiHidden/>
    <w:unhideWhenUsed/>
    <w:pPr>
      <w:numPr>
        <w:numId w:val="4"/>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5">
    <w:name w:val="List Bullet 5"/>
    <w:basedOn w:val="Normal"/>
    <w:uiPriority w:val="99"/>
    <w:semiHidden/>
    <w:unhideWhenUsed/>
    <w:pPr>
      <w:numPr>
        <w:numId w:val="5"/>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
    <w:name w:val="List Continue"/>
    <w:basedOn w:val="Normal"/>
    <w:uiPriority w:val="99"/>
    <w:semiHidden/>
    <w:unhideWhenUsed/>
    <w:pPr>
      <w:spacing w:before="40" w:after="120" w:line="288" w:lineRule="auto"/>
      <w:ind w:left="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2">
    <w:name w:val="List Continue 2"/>
    <w:basedOn w:val="Normal"/>
    <w:uiPriority w:val="99"/>
    <w:semiHidden/>
    <w:unhideWhenUsed/>
    <w:pPr>
      <w:spacing w:before="40" w:after="120" w:line="288" w:lineRule="auto"/>
      <w:ind w:left="72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3">
    <w:name w:val="List Continue 3"/>
    <w:basedOn w:val="Normal"/>
    <w:uiPriority w:val="99"/>
    <w:semiHidden/>
    <w:unhideWhenUsed/>
    <w:pPr>
      <w:spacing w:before="40" w:after="120" w:line="288" w:lineRule="auto"/>
      <w:ind w:left="108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4">
    <w:name w:val="List Continue 4"/>
    <w:basedOn w:val="Normal"/>
    <w:uiPriority w:val="99"/>
    <w:semiHidden/>
    <w:unhideWhenUsed/>
    <w:pPr>
      <w:spacing w:before="40" w:after="120" w:line="288" w:lineRule="auto"/>
      <w:ind w:left="144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5">
    <w:name w:val="List Continue 5"/>
    <w:basedOn w:val="Normal"/>
    <w:uiPriority w:val="99"/>
    <w:semiHidden/>
    <w:unhideWhenUsed/>
    <w:pPr>
      <w:spacing w:before="40" w:after="120" w:line="288" w:lineRule="auto"/>
      <w:ind w:left="180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
    <w:name w:val="List Number"/>
    <w:basedOn w:val="Normal"/>
    <w:uiPriority w:val="1"/>
    <w:unhideWhenUsed/>
    <w:qFormat/>
    <w:pPr>
      <w:numPr>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2">
    <w:name w:val="List Number 2"/>
    <w:basedOn w:val="Normal"/>
    <w:uiPriority w:val="1"/>
    <w:unhideWhenUsed/>
    <w:qFormat/>
    <w:pPr>
      <w:numPr>
        <w:ilvl w:val="1"/>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3">
    <w:name w:val="List Number 3"/>
    <w:basedOn w:val="Normal"/>
    <w:uiPriority w:val="18"/>
    <w:unhideWhenUsed/>
    <w:qFormat/>
    <w:pPr>
      <w:numPr>
        <w:ilvl w:val="2"/>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4">
    <w:name w:val="List Number 4"/>
    <w:basedOn w:val="Normal"/>
    <w:uiPriority w:val="18"/>
    <w:semiHidden/>
    <w:unhideWhenUsed/>
    <w:pPr>
      <w:numPr>
        <w:ilvl w:val="3"/>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5">
    <w:name w:val="List Number 5"/>
    <w:basedOn w:val="Normal"/>
    <w:uiPriority w:val="18"/>
    <w:semiHidden/>
    <w:unhideWhenUsed/>
    <w:pPr>
      <w:numPr>
        <w:ilvl w:val="4"/>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Prrafodelista">
    <w:name w:val="List Paragraph"/>
    <w:basedOn w:val="Normal"/>
    <w:link w:val="PrrafodelistaCar"/>
    <w:uiPriority w:val="99"/>
    <w:unhideWhenUsed/>
    <w:qFormat/>
    <w:pPr>
      <w:spacing w:before="40" w:after="160" w:line="288" w:lineRule="auto"/>
      <w:ind w:left="72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Textomacro">
    <w:name w:val="macro"/>
    <w:link w:val="TextomacroC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TextomacroCar">
    <w:name w:val="Texto macro Car"/>
    <w:basedOn w:val="Fuentedeprrafopredeter"/>
    <w:link w:val="Textomacro"/>
    <w:uiPriority w:val="99"/>
    <w:semiHidden/>
    <w:rPr>
      <w:rFonts w:ascii="Consolas" w:hAnsi="Consolas" w:cs="Consolas"/>
      <w:sz w:val="20"/>
    </w:rPr>
  </w:style>
  <w:style w:type="table" w:styleId="Cuadrculamedia1">
    <w:name w:val="Medium Grid 1"/>
    <w:basedOn w:val="Tabla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uadrculamedia1-nfasis2">
    <w:name w:val="Medium Grid 1 Accent 2"/>
    <w:basedOn w:val="Tabla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uadrculamedia1-nfasis3">
    <w:name w:val="Medium Grid 1 Accent 3"/>
    <w:basedOn w:val="Tabla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uadrculamedia1-nfasis4">
    <w:name w:val="Medium Grid 1 Accent 4"/>
    <w:basedOn w:val="Tabla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uadrculamedia1-nfasis5">
    <w:name w:val="Medium Grid 1 Accent 5"/>
    <w:basedOn w:val="Tabla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uadrculamedia1-nfasis6">
    <w:name w:val="Medium Grid 1 Accent 6"/>
    <w:basedOn w:val="Tabla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uadrculamedia2">
    <w:name w:val="Medium Grid 2"/>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Cuadrculamedia3-nfasis2">
    <w:name w:val="Medium Grid 3 Accent 2"/>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Cuadrculamedia3-nfasis3">
    <w:name w:val="Medium Grid 3 Accent 3"/>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Cuadrculamedia3-nfasis4">
    <w:name w:val="Medium Grid 3 Accent 4"/>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Cuadrculamedia3-nfasis5">
    <w:name w:val="Medium Grid 3 Accent 5"/>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Cuadrculamedia3-nfasis6">
    <w:name w:val="Medium Grid 3 Accent 6"/>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Listamedia1">
    <w:name w:val="Medium List 1"/>
    <w:basedOn w:val="Tabla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Listamedia1-nfasis2">
    <w:name w:val="Medium List 1 Accent 2"/>
    <w:basedOn w:val="Tabla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Listamedia1-nfasis3">
    <w:name w:val="Medium List 1 Accent 3"/>
    <w:basedOn w:val="Tabla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Listamedia1-nfasis4">
    <w:name w:val="Medium List 1 Accent 4"/>
    <w:basedOn w:val="Tabla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Listamedia1-nfasis5">
    <w:name w:val="Medium List 1 Accent 5"/>
    <w:basedOn w:val="Tabla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Listamedia1-nfasis6">
    <w:name w:val="Medium List 1 Accent 6"/>
    <w:basedOn w:val="Tabla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Listamedia2">
    <w:name w:val="Medium List 2"/>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40"/>
      <w:ind w:left="1080" w:hanging="1080"/>
    </w:pPr>
    <w:rPr>
      <w:rFonts w:asciiTheme="majorHAnsi" w:eastAsiaTheme="majorEastAsia" w:hAnsiTheme="majorHAnsi" w:cstheme="majorBidi"/>
      <w:color w:val="595959" w:themeColor="text1" w:themeTint="A6"/>
      <w:kern w:val="20"/>
      <w:szCs w:val="20"/>
      <w:lang w:val="en-US" w:eastAsia="ja-JP"/>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pPr>
      <w:spacing w:before="40" w:after="160" w:line="288" w:lineRule="auto"/>
    </w:pPr>
    <w:rPr>
      <w:rFonts w:eastAsiaTheme="minorHAnsi"/>
      <w:color w:val="595959" w:themeColor="text1" w:themeTint="A6"/>
      <w:kern w:val="20"/>
      <w:szCs w:val="20"/>
      <w:lang w:val="en-US" w:eastAsia="ja-JP"/>
    </w:rPr>
  </w:style>
  <w:style w:type="paragraph" w:styleId="Sangranormal">
    <w:name w:val="Normal Indent"/>
    <w:basedOn w:val="Normal"/>
    <w:uiPriority w:val="99"/>
    <w:semiHidden/>
    <w:unhideWhenUsed/>
    <w:pPr>
      <w:spacing w:before="40" w:after="160" w:line="288" w:lineRule="auto"/>
      <w:ind w:left="720"/>
    </w:pPr>
    <w:rPr>
      <w:rFonts w:asciiTheme="minorHAnsi" w:eastAsiaTheme="minorHAnsi" w:hAnsiTheme="minorHAnsi" w:cstheme="minorBidi"/>
      <w:color w:val="595959" w:themeColor="text1" w:themeTint="A6"/>
      <w:kern w:val="20"/>
      <w:sz w:val="20"/>
      <w:szCs w:val="20"/>
      <w:lang w:val="en-US" w:eastAsia="ja-JP"/>
    </w:rPr>
  </w:style>
  <w:style w:type="paragraph" w:styleId="Encabezadodenota">
    <w:name w:val="Note Heading"/>
    <w:basedOn w:val="Normal"/>
    <w:next w:val="Normal"/>
    <w:link w:val="Encabezadodenota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EncabezadodenotaCar">
    <w:name w:val="Encabezado de nota Car"/>
    <w:basedOn w:val="Fuentedeprrafopredeter"/>
    <w:link w:val="Encabezadodenota"/>
    <w:uiPriority w:val="99"/>
    <w:semiHidden/>
  </w:style>
  <w:style w:type="character" w:styleId="Nmerodepgina">
    <w:name w:val="page number"/>
    <w:basedOn w:val="Fuentedeprrafopredeter"/>
    <w:uiPriority w:val="99"/>
    <w:semiHidden/>
    <w:unhideWhenUsed/>
  </w:style>
  <w:style w:type="paragraph" w:styleId="Textosinformato">
    <w:name w:val="Plain Text"/>
    <w:basedOn w:val="Normal"/>
    <w:link w:val="TextosinformatoCar"/>
    <w:uiPriority w:val="99"/>
    <w:semiHidden/>
    <w:unhideWhenUsed/>
    <w:pPr>
      <w:spacing w:before="40"/>
    </w:pPr>
    <w:rPr>
      <w:rFonts w:ascii="Consolas" w:eastAsiaTheme="minorHAnsi" w:hAnsi="Consolas" w:cs="Consolas"/>
      <w:color w:val="595959" w:themeColor="text1" w:themeTint="A6"/>
      <w:kern w:val="20"/>
      <w:sz w:val="21"/>
      <w:szCs w:val="20"/>
      <w:lang w:val="en-US" w:eastAsia="ja-JP"/>
    </w:rPr>
  </w:style>
  <w:style w:type="character" w:customStyle="1" w:styleId="TextosinformatoCar">
    <w:name w:val="Texto sin formato Car"/>
    <w:basedOn w:val="Fuentedeprrafopredeter"/>
    <w:link w:val="Textosinformato"/>
    <w:uiPriority w:val="99"/>
    <w:semiHidden/>
    <w:rPr>
      <w:rFonts w:ascii="Consolas" w:hAnsi="Consolas" w:cs="Consolas"/>
      <w:sz w:val="21"/>
    </w:rPr>
  </w:style>
  <w:style w:type="paragraph" w:styleId="Saludo">
    <w:name w:val="Salutation"/>
    <w:basedOn w:val="Normal"/>
    <w:next w:val="Normal"/>
    <w:link w:val="SaludoCar"/>
    <w:uiPriority w:val="99"/>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SaludoCar">
    <w:name w:val="Saludo Car"/>
    <w:basedOn w:val="Fuentedeprrafopredeter"/>
    <w:link w:val="Saludo"/>
    <w:uiPriority w:val="99"/>
    <w:semiHidden/>
  </w:style>
  <w:style w:type="paragraph" w:styleId="Firma">
    <w:name w:val="Signature"/>
    <w:basedOn w:val="Normal"/>
    <w:link w:val="FirmaCar"/>
    <w:uiPriority w:val="20"/>
    <w:unhideWhenUsed/>
    <w:qFormat/>
    <w:pPr>
      <w:spacing w:before="720" w:line="312" w:lineRule="auto"/>
      <w:contextualSpacing/>
    </w:pPr>
    <w:rPr>
      <w:rFonts w:asciiTheme="minorHAnsi" w:eastAsiaTheme="minorHAnsi" w:hAnsiTheme="minorHAnsi" w:cstheme="minorBidi"/>
      <w:color w:val="595959" w:themeColor="text1" w:themeTint="A6"/>
      <w:kern w:val="20"/>
      <w:sz w:val="20"/>
      <w:szCs w:val="20"/>
      <w:lang w:val="en-US" w:eastAsia="ja-JP"/>
    </w:rPr>
  </w:style>
  <w:style w:type="character" w:customStyle="1" w:styleId="FirmaCar">
    <w:name w:val="Firma Car"/>
    <w:basedOn w:val="Fuentedeprrafopredeter"/>
    <w:link w:val="Firma"/>
    <w:uiPriority w:val="20"/>
    <w:rPr>
      <w:kern w:val="20"/>
    </w:rPr>
  </w:style>
  <w:style w:type="character" w:styleId="Textoennegrita">
    <w:name w:val="Strong"/>
    <w:basedOn w:val="Fuentedeprrafopredeter"/>
    <w:unhideWhenUsed/>
    <w:qFormat/>
    <w:rPr>
      <w:b/>
      <w:bCs/>
    </w:rPr>
  </w:style>
  <w:style w:type="paragraph" w:styleId="Subttulo">
    <w:name w:val="Subtitle"/>
    <w:basedOn w:val="Normal"/>
    <w:next w:val="Normal"/>
    <w:link w:val="SubttuloCar"/>
    <w:uiPriority w:val="19"/>
    <w:unhideWhenUsed/>
    <w:qFormat/>
    <w:pPr>
      <w:numPr>
        <w:ilvl w:val="1"/>
      </w:numPr>
      <w:spacing w:before="40" w:after="160" w:line="288" w:lineRule="auto"/>
      <w:ind w:left="432" w:right="1080"/>
    </w:pPr>
    <w:rPr>
      <w:rFonts w:asciiTheme="majorHAnsi" w:eastAsiaTheme="majorEastAsia" w:hAnsiTheme="majorHAnsi" w:cstheme="majorBidi"/>
      <w:caps/>
      <w:color w:val="7E97AD" w:themeColor="accent1"/>
      <w:kern w:val="20"/>
      <w:sz w:val="56"/>
      <w:szCs w:val="20"/>
      <w:lang w:val="en-US" w:eastAsia="ja-JP"/>
    </w:rPr>
  </w:style>
  <w:style w:type="character" w:customStyle="1" w:styleId="SubttuloCar">
    <w:name w:val="Subtítulo Car"/>
    <w:basedOn w:val="Fuentedeprrafopredeter"/>
    <w:link w:val="Subttulo"/>
    <w:uiPriority w:val="19"/>
    <w:rPr>
      <w:rFonts w:asciiTheme="majorHAnsi" w:eastAsiaTheme="majorEastAsia" w:hAnsiTheme="majorHAnsi" w:cstheme="majorBidi"/>
      <w:caps/>
      <w:color w:val="7E97AD" w:themeColor="accent1"/>
      <w:kern w:val="20"/>
      <w:sz w:val="56"/>
    </w:rPr>
  </w:style>
  <w:style w:type="character" w:styleId="nfasissutil">
    <w:name w:val="Subtle Emphasis"/>
    <w:basedOn w:val="Fuentedeprrafopredeter"/>
    <w:uiPriority w:val="19"/>
    <w:semiHidden/>
    <w:unhideWhenUsed/>
    <w:rPr>
      <w:i/>
      <w:iCs/>
      <w:color w:val="808080" w:themeColor="text1" w:themeTint="7F"/>
    </w:rPr>
  </w:style>
  <w:style w:type="character" w:styleId="Referenciasutil">
    <w:name w:val="Subtle Reference"/>
    <w:basedOn w:val="Fuentedeprrafopredeter"/>
    <w:uiPriority w:val="31"/>
    <w:semiHidden/>
    <w:unhideWhenUsed/>
    <w:rPr>
      <w:smallCaps/>
      <w:color w:val="CC8E60" w:themeColor="accent2"/>
      <w:u w:val="single"/>
    </w:rPr>
  </w:style>
  <w:style w:type="table" w:styleId="Tablaconefectos3D1">
    <w:name w:val="Table 3D effects 1"/>
    <w:basedOn w:val="Tabla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pPr>
      <w:spacing w:before="40" w:line="288" w:lineRule="auto"/>
      <w:ind w:left="220" w:hanging="220"/>
    </w:pPr>
    <w:rPr>
      <w:rFonts w:asciiTheme="minorHAnsi" w:eastAsiaTheme="minorHAnsi" w:hAnsiTheme="minorHAnsi" w:cstheme="minorBidi"/>
      <w:color w:val="595959" w:themeColor="text1" w:themeTint="A6"/>
      <w:kern w:val="20"/>
      <w:sz w:val="20"/>
      <w:szCs w:val="20"/>
      <w:lang w:val="en-US" w:eastAsia="ja-JP"/>
    </w:rPr>
  </w:style>
  <w:style w:type="paragraph" w:styleId="Tabladeilustraciones">
    <w:name w:val="table of figures"/>
    <w:basedOn w:val="Normal"/>
    <w:next w:val="Normal"/>
    <w:uiPriority w:val="99"/>
    <w:unhideWhenUsed/>
    <w:pPr>
      <w:spacing w:before="40" w:line="288" w:lineRule="auto"/>
    </w:pPr>
    <w:rPr>
      <w:rFonts w:asciiTheme="minorHAnsi" w:eastAsiaTheme="minorHAnsi" w:hAnsiTheme="minorHAnsi" w:cstheme="minorBidi"/>
      <w:color w:val="595959" w:themeColor="text1" w:themeTint="A6"/>
      <w:kern w:val="20"/>
      <w:sz w:val="20"/>
      <w:szCs w:val="20"/>
      <w:lang w:val="en-US" w:eastAsia="ja-JP"/>
    </w:rPr>
  </w:style>
  <w:style w:type="table" w:styleId="Tablaprofesional">
    <w:name w:val="Table Professional"/>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uesto">
    <w:name w:val="Title"/>
    <w:basedOn w:val="Normal"/>
    <w:next w:val="Normal"/>
    <w:link w:val="PuestoC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val="en-US" w:eastAsia="ja-JP"/>
      <w14:ligatures w14:val="standardContextual"/>
    </w:rPr>
  </w:style>
  <w:style w:type="character" w:customStyle="1" w:styleId="PuestoCar">
    <w:name w:val="Puesto Car"/>
    <w:basedOn w:val="Fuentedeprrafopredeter"/>
    <w:link w:val="Puesto"/>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Encabezadodelista">
    <w:name w:val="toa heading"/>
    <w:basedOn w:val="Normal"/>
    <w:next w:val="Normal"/>
    <w:uiPriority w:val="99"/>
    <w:semiHidden/>
    <w:unhideWhenUsed/>
    <w:pPr>
      <w:spacing w:before="120" w:after="160" w:line="288" w:lineRule="auto"/>
    </w:pPr>
    <w:rPr>
      <w:rFonts w:asciiTheme="majorHAnsi" w:eastAsiaTheme="majorEastAsia" w:hAnsiTheme="majorHAnsi" w:cstheme="majorBidi"/>
      <w:b/>
      <w:bCs/>
      <w:color w:val="595959" w:themeColor="text1" w:themeTint="A6"/>
      <w:kern w:val="20"/>
      <w:szCs w:val="20"/>
      <w:lang w:val="en-US" w:eastAsia="ja-JP"/>
    </w:rPr>
  </w:style>
  <w:style w:type="paragraph" w:styleId="TDC1">
    <w:name w:val="toc 1"/>
    <w:basedOn w:val="Normal"/>
    <w:next w:val="Normal"/>
    <w:autoRedefine/>
    <w:uiPriority w:val="39"/>
    <w:unhideWhenUsed/>
    <w:pPr>
      <w:tabs>
        <w:tab w:val="right" w:leader="underscore" w:pos="9090"/>
      </w:tabs>
      <w:spacing w:before="40" w:after="100" w:line="288" w:lineRule="auto"/>
    </w:pPr>
    <w:rPr>
      <w:rFonts w:asciiTheme="minorHAnsi" w:eastAsiaTheme="minorHAnsi" w:hAnsiTheme="minorHAnsi" w:cstheme="minorBidi"/>
      <w:noProof/>
      <w:color w:val="7F7F7F" w:themeColor="text1" w:themeTint="80"/>
      <w:kern w:val="20"/>
      <w:sz w:val="22"/>
      <w:szCs w:val="20"/>
      <w:lang w:val="en-US" w:eastAsia="ja-JP"/>
    </w:rPr>
  </w:style>
  <w:style w:type="paragraph" w:styleId="TDC2">
    <w:name w:val="toc 2"/>
    <w:basedOn w:val="Normal"/>
    <w:next w:val="Normal"/>
    <w:autoRedefine/>
    <w:uiPriority w:val="39"/>
    <w:unhideWhenUsed/>
    <w:pPr>
      <w:spacing w:before="40" w:after="100" w:line="288" w:lineRule="auto"/>
      <w:ind w:left="220"/>
    </w:pPr>
    <w:rPr>
      <w:rFonts w:asciiTheme="minorHAnsi" w:eastAsiaTheme="minorHAnsi" w:hAnsiTheme="minorHAnsi" w:cstheme="minorBidi"/>
      <w:color w:val="595959" w:themeColor="text1" w:themeTint="A6"/>
      <w:kern w:val="20"/>
      <w:sz w:val="20"/>
      <w:szCs w:val="20"/>
      <w:lang w:val="en-US" w:eastAsia="ja-JP"/>
    </w:rPr>
  </w:style>
  <w:style w:type="paragraph" w:styleId="TDC3">
    <w:name w:val="toc 3"/>
    <w:basedOn w:val="Normal"/>
    <w:next w:val="Normal"/>
    <w:autoRedefine/>
    <w:uiPriority w:val="39"/>
    <w:unhideWhenUsed/>
    <w:pPr>
      <w:spacing w:before="40" w:after="100" w:line="288" w:lineRule="auto"/>
      <w:ind w:left="440"/>
    </w:pPr>
    <w:rPr>
      <w:rFonts w:asciiTheme="minorHAnsi" w:eastAsiaTheme="minorHAnsi" w:hAnsiTheme="minorHAnsi" w:cstheme="minorBidi"/>
      <w:color w:val="595959" w:themeColor="text1" w:themeTint="A6"/>
      <w:kern w:val="20"/>
      <w:sz w:val="20"/>
      <w:szCs w:val="20"/>
      <w:lang w:val="en-US" w:eastAsia="ja-JP"/>
    </w:rPr>
  </w:style>
  <w:style w:type="paragraph" w:styleId="TDC4">
    <w:name w:val="toc 4"/>
    <w:basedOn w:val="Normal"/>
    <w:next w:val="Normal"/>
    <w:autoRedefine/>
    <w:uiPriority w:val="39"/>
    <w:unhideWhenUsed/>
    <w:pPr>
      <w:spacing w:before="40" w:after="100" w:line="288" w:lineRule="auto"/>
      <w:ind w:left="660"/>
    </w:pPr>
    <w:rPr>
      <w:rFonts w:asciiTheme="minorHAnsi" w:eastAsiaTheme="minorHAnsi" w:hAnsiTheme="minorHAnsi" w:cstheme="minorBidi"/>
      <w:color w:val="595959" w:themeColor="text1" w:themeTint="A6"/>
      <w:kern w:val="20"/>
      <w:sz w:val="20"/>
      <w:szCs w:val="20"/>
      <w:lang w:val="en-US" w:eastAsia="ja-JP"/>
    </w:rPr>
  </w:style>
  <w:style w:type="paragraph" w:styleId="TDC5">
    <w:name w:val="toc 5"/>
    <w:basedOn w:val="Normal"/>
    <w:next w:val="Normal"/>
    <w:autoRedefine/>
    <w:uiPriority w:val="39"/>
    <w:unhideWhenUsed/>
    <w:pPr>
      <w:spacing w:before="40" w:after="100" w:line="288" w:lineRule="auto"/>
      <w:ind w:left="880"/>
    </w:pPr>
    <w:rPr>
      <w:rFonts w:asciiTheme="minorHAnsi" w:eastAsiaTheme="minorHAnsi" w:hAnsiTheme="minorHAnsi" w:cstheme="minorBidi"/>
      <w:color w:val="595959" w:themeColor="text1" w:themeTint="A6"/>
      <w:kern w:val="20"/>
      <w:sz w:val="20"/>
      <w:szCs w:val="20"/>
      <w:lang w:val="en-US" w:eastAsia="ja-JP"/>
    </w:rPr>
  </w:style>
  <w:style w:type="paragraph" w:styleId="TDC6">
    <w:name w:val="toc 6"/>
    <w:basedOn w:val="Normal"/>
    <w:next w:val="Normal"/>
    <w:autoRedefine/>
    <w:uiPriority w:val="39"/>
    <w:unhideWhenUsed/>
    <w:pPr>
      <w:spacing w:before="40" w:after="100" w:line="288" w:lineRule="auto"/>
      <w:ind w:left="1100"/>
    </w:pPr>
    <w:rPr>
      <w:rFonts w:asciiTheme="minorHAnsi" w:eastAsiaTheme="minorHAnsi" w:hAnsiTheme="minorHAnsi" w:cstheme="minorBidi"/>
      <w:color w:val="595959" w:themeColor="text1" w:themeTint="A6"/>
      <w:kern w:val="20"/>
      <w:sz w:val="20"/>
      <w:szCs w:val="20"/>
      <w:lang w:val="en-US" w:eastAsia="ja-JP"/>
    </w:rPr>
  </w:style>
  <w:style w:type="paragraph" w:styleId="TDC7">
    <w:name w:val="toc 7"/>
    <w:basedOn w:val="Normal"/>
    <w:next w:val="Normal"/>
    <w:autoRedefine/>
    <w:uiPriority w:val="39"/>
    <w:unhideWhenUsed/>
    <w:pPr>
      <w:spacing w:before="40" w:after="100" w:line="288" w:lineRule="auto"/>
      <w:ind w:left="1320"/>
    </w:pPr>
    <w:rPr>
      <w:rFonts w:asciiTheme="minorHAnsi" w:eastAsiaTheme="minorHAnsi" w:hAnsiTheme="minorHAnsi" w:cstheme="minorBidi"/>
      <w:color w:val="595959" w:themeColor="text1" w:themeTint="A6"/>
      <w:kern w:val="20"/>
      <w:sz w:val="20"/>
      <w:szCs w:val="20"/>
      <w:lang w:val="en-US" w:eastAsia="ja-JP"/>
    </w:rPr>
  </w:style>
  <w:style w:type="paragraph" w:styleId="TDC8">
    <w:name w:val="toc 8"/>
    <w:basedOn w:val="Normal"/>
    <w:next w:val="Normal"/>
    <w:autoRedefine/>
    <w:uiPriority w:val="39"/>
    <w:unhideWhenUsed/>
    <w:pPr>
      <w:spacing w:before="40" w:after="100" w:line="288" w:lineRule="auto"/>
      <w:ind w:left="1540"/>
    </w:pPr>
    <w:rPr>
      <w:rFonts w:asciiTheme="minorHAnsi" w:eastAsiaTheme="minorHAnsi" w:hAnsiTheme="minorHAnsi" w:cstheme="minorBidi"/>
      <w:color w:val="595959" w:themeColor="text1" w:themeTint="A6"/>
      <w:kern w:val="20"/>
      <w:sz w:val="20"/>
      <w:szCs w:val="20"/>
      <w:lang w:val="en-US" w:eastAsia="ja-JP"/>
    </w:rPr>
  </w:style>
  <w:style w:type="paragraph" w:styleId="TDC9">
    <w:name w:val="toc 9"/>
    <w:basedOn w:val="Normal"/>
    <w:next w:val="Normal"/>
    <w:autoRedefine/>
    <w:uiPriority w:val="39"/>
    <w:unhideWhenUsed/>
    <w:pPr>
      <w:spacing w:before="40" w:after="100" w:line="288" w:lineRule="auto"/>
      <w:ind w:left="1760"/>
    </w:pPr>
    <w:rPr>
      <w:rFonts w:asciiTheme="minorHAnsi" w:eastAsiaTheme="minorHAnsi" w:hAnsiTheme="minorHAnsi" w:cstheme="minorBidi"/>
      <w:color w:val="595959" w:themeColor="text1" w:themeTint="A6"/>
      <w:kern w:val="20"/>
      <w:sz w:val="20"/>
      <w:szCs w:val="20"/>
      <w:lang w:val="en-US" w:eastAsia="ja-JP"/>
    </w:rPr>
  </w:style>
  <w:style w:type="paragraph" w:styleId="TtulodeTDC">
    <w:name w:val="TOC Heading"/>
    <w:basedOn w:val="Ttulo1"/>
    <w:next w:val="Normal"/>
    <w:uiPriority w:val="39"/>
    <w:unhideWhenUsed/>
    <w:qFormat/>
    <w:pPr>
      <w:outlineLvl w:val="9"/>
    </w:pPr>
  </w:style>
  <w:style w:type="character" w:customStyle="1" w:styleId="SinespaciadoCar">
    <w:name w:val="Sin espaciado Car"/>
    <w:basedOn w:val="Fuentedeprrafopredeter"/>
    <w:link w:val="Sinespaciado"/>
    <w:uiPriority w:val="1"/>
  </w:style>
  <w:style w:type="paragraph" w:customStyle="1" w:styleId="Encabezadodelatabla">
    <w:name w:val="Encabezado de la tabla"/>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after="160"/>
      <w:ind w:left="144" w:right="144"/>
    </w:pPr>
    <w:rPr>
      <w:rFonts w:asciiTheme="majorHAnsi" w:eastAsiaTheme="majorEastAsia" w:hAnsiTheme="majorHAnsi" w:cstheme="majorBidi"/>
      <w:caps/>
      <w:color w:val="FFFFFF" w:themeColor="background1"/>
      <w:kern w:val="20"/>
      <w:szCs w:val="20"/>
      <w:lang w:val="en-US" w:eastAsia="ja-JP"/>
    </w:rPr>
  </w:style>
  <w:style w:type="paragraph" w:customStyle="1" w:styleId="Informacindelacompaa">
    <w:name w:val="Información de la compañía"/>
    <w:basedOn w:val="Normal"/>
    <w:uiPriority w:val="2"/>
    <w:qFormat/>
    <w:pPr>
      <w:spacing w:before="40" w:after="40" w:line="288" w:lineRule="auto"/>
    </w:pPr>
    <w:rPr>
      <w:rFonts w:asciiTheme="minorHAnsi" w:eastAsiaTheme="minorHAnsi" w:hAnsiTheme="minorHAnsi" w:cstheme="minorBidi"/>
      <w:color w:val="595959" w:themeColor="text1" w:themeTint="A6"/>
      <w:kern w:val="20"/>
      <w:sz w:val="20"/>
      <w:szCs w:val="20"/>
      <w:lang w:val="en-US" w:eastAsia="ja-JP"/>
    </w:rPr>
  </w:style>
  <w:style w:type="table" w:customStyle="1" w:styleId="Tablafinanciera">
    <w:name w:val="Tabla financiera"/>
    <w:basedOn w:val="Tabla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Informeanual">
    <w:name w:val="Informe anual"/>
    <w:uiPriority w:val="99"/>
    <w:pPr>
      <w:numPr>
        <w:numId w:val="6"/>
      </w:numPr>
    </w:pPr>
  </w:style>
  <w:style w:type="paragraph" w:customStyle="1" w:styleId="Descripcinbreve">
    <w:name w:val="Descripción breve"/>
    <w:basedOn w:val="Normal"/>
    <w:uiPriority w:val="20"/>
    <w:qFormat/>
    <w:pPr>
      <w:spacing w:before="360"/>
      <w:ind w:left="432" w:right="1080"/>
    </w:pPr>
    <w:rPr>
      <w:rFonts w:asciiTheme="minorHAnsi" w:eastAsiaTheme="minorHAnsi" w:hAnsiTheme="minorHAnsi" w:cstheme="minorBidi"/>
      <w:i/>
      <w:iCs/>
      <w:color w:val="7F7F7F" w:themeColor="text1" w:themeTint="80"/>
      <w:kern w:val="20"/>
      <w:sz w:val="28"/>
      <w:szCs w:val="20"/>
      <w:lang w:val="en-US" w:eastAsia="ja-JP"/>
    </w:rPr>
  </w:style>
  <w:style w:type="paragraph" w:customStyle="1" w:styleId="Textodelatabla">
    <w:name w:val="Texto de la tabla"/>
    <w:basedOn w:val="Normal"/>
    <w:uiPriority w:val="10"/>
    <w:qFormat/>
    <w:pPr>
      <w:spacing w:before="60" w:after="60"/>
      <w:ind w:left="144" w:right="144"/>
    </w:pPr>
    <w:rPr>
      <w:rFonts w:asciiTheme="minorHAnsi" w:eastAsiaTheme="minorHAnsi" w:hAnsiTheme="minorHAnsi" w:cstheme="minorBidi"/>
      <w:color w:val="595959" w:themeColor="text1" w:themeTint="A6"/>
      <w:kern w:val="20"/>
      <w:sz w:val="20"/>
      <w:szCs w:val="20"/>
      <w:lang w:val="en-US" w:eastAsia="ja-JP"/>
    </w:rPr>
  </w:style>
  <w:style w:type="paragraph" w:customStyle="1" w:styleId="Encabezadoinversodelatabla">
    <w:name w:val="Encabezado inverso de la tabla"/>
    <w:basedOn w:val="Normal"/>
    <w:uiPriority w:val="10"/>
    <w:qFormat/>
    <w:pPr>
      <w:spacing w:before="40" w:after="40"/>
      <w:ind w:left="144" w:right="144"/>
    </w:pPr>
    <w:rPr>
      <w:rFonts w:asciiTheme="majorHAnsi" w:eastAsiaTheme="majorEastAsia" w:hAnsiTheme="majorHAnsi" w:cstheme="majorBidi"/>
      <w:caps/>
      <w:color w:val="FFFFFF" w:themeColor="background1"/>
      <w:kern w:val="20"/>
      <w:szCs w:val="20"/>
      <w:lang w:val="en-US" w:eastAsia="ja-JP"/>
    </w:rPr>
  </w:style>
  <w:style w:type="paragraph" w:customStyle="1" w:styleId="Sombreadodelencabezado">
    <w:name w:val="Sombreado del encabezado"/>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before="40"/>
    </w:pPr>
    <w:rPr>
      <w:rFonts w:asciiTheme="majorHAnsi" w:eastAsiaTheme="majorEastAsia" w:hAnsiTheme="majorHAnsi" w:cstheme="majorBidi"/>
      <w:caps/>
      <w:color w:val="FFFFFF" w:themeColor="background1"/>
      <w:kern w:val="20"/>
      <w:sz w:val="40"/>
      <w:szCs w:val="20"/>
      <w:lang w:val="en-US" w:eastAsia="ja-JP"/>
    </w:rPr>
  </w:style>
  <w:style w:type="paragraph" w:customStyle="1" w:styleId="CUERPOTEXTO">
    <w:name w:val="CUERPO_TEXTO"/>
    <w:basedOn w:val="Prrafodelista"/>
    <w:link w:val="CUERPOTEXTOCar"/>
    <w:qFormat/>
    <w:rsid w:val="00400B97"/>
    <w:pPr>
      <w:autoSpaceDE w:val="0"/>
      <w:autoSpaceDN w:val="0"/>
      <w:adjustRightInd w:val="0"/>
      <w:spacing w:before="0" w:after="0" w:line="240" w:lineRule="auto"/>
      <w:ind w:left="0"/>
      <w:jc w:val="both"/>
    </w:pPr>
    <w:rPr>
      <w:rFonts w:ascii="Trebuchet MS" w:eastAsia="Calibri" w:hAnsi="Trebuchet MS" w:cs="Times New Roman"/>
      <w:color w:val="404040" w:themeColor="text1" w:themeTint="BF"/>
      <w:kern w:val="0"/>
      <w:sz w:val="24"/>
      <w:szCs w:val="24"/>
      <w:lang w:val="es-ES" w:eastAsia="es-CO"/>
    </w:rPr>
  </w:style>
  <w:style w:type="character" w:customStyle="1" w:styleId="CUERPOTEXTOCar">
    <w:name w:val="CUERPO_TEXTO Car"/>
    <w:basedOn w:val="Fuentedeprrafopredeter"/>
    <w:link w:val="CUERPOTEXTO"/>
    <w:rsid w:val="00400B97"/>
    <w:rPr>
      <w:rFonts w:ascii="Trebuchet MS" w:eastAsia="Calibri" w:hAnsi="Trebuchet MS" w:cs="Times New Roman"/>
      <w:color w:val="404040" w:themeColor="text1" w:themeTint="BF"/>
      <w:sz w:val="24"/>
      <w:szCs w:val="24"/>
      <w:lang w:val="es-ES" w:eastAsia="es-CO"/>
    </w:rPr>
  </w:style>
  <w:style w:type="character" w:customStyle="1" w:styleId="PrrafodelistaCar">
    <w:name w:val="Párrafo de lista Car"/>
    <w:basedOn w:val="Fuentedeprrafopredeter"/>
    <w:link w:val="Prrafodelista"/>
    <w:uiPriority w:val="34"/>
    <w:rsid w:val="00E81528"/>
    <w:rPr>
      <w:kern w:val="20"/>
    </w:rPr>
  </w:style>
  <w:style w:type="paragraph" w:customStyle="1" w:styleId="parrafocuerpo">
    <w:name w:val="parrafo_cuerpo"/>
    <w:basedOn w:val="Normal"/>
    <w:link w:val="parrafocuerpoCar"/>
    <w:qFormat/>
    <w:rsid w:val="00E81528"/>
    <w:pPr>
      <w:spacing w:line="288" w:lineRule="auto"/>
      <w:jc w:val="both"/>
    </w:pPr>
    <w:rPr>
      <w:rFonts w:ascii="Trebuchet MS" w:hAnsi="Trebuchet MS"/>
      <w:color w:val="595959" w:themeColor="text1" w:themeTint="A6"/>
      <w:lang w:val="es-ES_tradnl" w:eastAsia="es-CO"/>
    </w:rPr>
  </w:style>
  <w:style w:type="character" w:customStyle="1" w:styleId="parrafocuerpoCar">
    <w:name w:val="parrafo_cuerpo Car"/>
    <w:basedOn w:val="Fuentedeprrafopredeter"/>
    <w:link w:val="parrafocuerpo"/>
    <w:rsid w:val="00E81528"/>
    <w:rPr>
      <w:rFonts w:ascii="Trebuchet MS" w:eastAsia="Times New Roman" w:hAnsi="Trebuchet MS" w:cs="Times New Roman"/>
      <w:sz w:val="24"/>
      <w:szCs w:val="24"/>
      <w:lang w:val="es-ES_tradnl" w:eastAsia="es-CO"/>
    </w:rPr>
  </w:style>
  <w:style w:type="paragraph" w:customStyle="1" w:styleId="piedegrafica">
    <w:name w:val="pie de grafica"/>
    <w:basedOn w:val="parrafocuerpo"/>
    <w:link w:val="piedegraficaCar"/>
    <w:qFormat/>
    <w:rsid w:val="00E81528"/>
    <w:pPr>
      <w:ind w:right="191"/>
    </w:pPr>
    <w:rPr>
      <w:i/>
    </w:rPr>
  </w:style>
  <w:style w:type="character" w:customStyle="1" w:styleId="piedegraficaCar">
    <w:name w:val="pie de grafica Car"/>
    <w:basedOn w:val="parrafocuerpoCar"/>
    <w:link w:val="piedegrafica"/>
    <w:rsid w:val="00E81528"/>
    <w:rPr>
      <w:rFonts w:ascii="Trebuchet MS" w:eastAsia="Times New Roman" w:hAnsi="Trebuchet MS" w:cs="Times New Roman"/>
      <w:i/>
      <w:sz w:val="24"/>
      <w:szCs w:val="24"/>
      <w:lang w:val="es-ES_tradnl" w:eastAsia="es-CO"/>
    </w:rPr>
  </w:style>
  <w:style w:type="paragraph" w:customStyle="1" w:styleId="PIENOTA">
    <w:name w:val="PIE_NOTA"/>
    <w:basedOn w:val="Textonotapie"/>
    <w:link w:val="PIENOTACar"/>
    <w:qFormat/>
    <w:rsid w:val="00E81528"/>
    <w:pPr>
      <w:spacing w:before="0"/>
    </w:pPr>
    <w:rPr>
      <w:rFonts w:ascii="Calibri" w:eastAsia="Calibri" w:hAnsi="Calibri" w:cs="Times New Roman"/>
      <w:kern w:val="0"/>
      <w:lang w:val="es-ES" w:eastAsia="es-CO"/>
    </w:rPr>
  </w:style>
  <w:style w:type="character" w:customStyle="1" w:styleId="PIENOTACar">
    <w:name w:val="PIE_NOTA Car"/>
    <w:basedOn w:val="TextonotapieCar"/>
    <w:link w:val="PIENOTA"/>
    <w:rsid w:val="00E81528"/>
    <w:rPr>
      <w:rFonts w:ascii="Calibri" w:eastAsia="Calibri" w:hAnsi="Calibri" w:cs="Times New Roman"/>
      <w:sz w:val="20"/>
      <w:lang w:val="es-ES" w:eastAsia="es-CO"/>
    </w:rPr>
  </w:style>
  <w:style w:type="paragraph" w:customStyle="1" w:styleId="SUBTITULO">
    <w:name w:val="SUBTITULO"/>
    <w:basedOn w:val="Normal"/>
    <w:link w:val="SUBTITULOCar"/>
    <w:qFormat/>
    <w:rsid w:val="00E81528"/>
    <w:rPr>
      <w:rFonts w:ascii="Swis721 Hv BT" w:hAnsi="Swis721 Hv BT"/>
      <w:color w:val="808080" w:themeColor="background1" w:themeShade="80"/>
      <w:sz w:val="36"/>
      <w:szCs w:val="36"/>
      <w:lang w:val="es-CO" w:eastAsia="es-CO"/>
    </w:rPr>
  </w:style>
  <w:style w:type="character" w:customStyle="1" w:styleId="SUBTITULOCar">
    <w:name w:val="SUBTITULO Car"/>
    <w:basedOn w:val="Fuentedeprrafopredeter"/>
    <w:link w:val="SUBTITULO"/>
    <w:rsid w:val="00E81528"/>
    <w:rPr>
      <w:rFonts w:ascii="Swis721 Hv BT" w:eastAsia="Times New Roman" w:hAnsi="Swis721 Hv BT" w:cs="Times New Roman"/>
      <w:color w:val="808080" w:themeColor="background1" w:themeShade="80"/>
      <w:sz w:val="36"/>
      <w:szCs w:val="36"/>
      <w:lang w:val="es-CO" w:eastAsia="es-CO"/>
    </w:rPr>
  </w:style>
  <w:style w:type="paragraph" w:customStyle="1" w:styleId="Titulointerno">
    <w:name w:val="Titulo_interno"/>
    <w:basedOn w:val="Normal"/>
    <w:link w:val="TitulointernoCar"/>
    <w:autoRedefine/>
    <w:qFormat/>
    <w:rsid w:val="00E81528"/>
    <w:pPr>
      <w:jc w:val="both"/>
      <w:outlineLvl w:val="0"/>
    </w:pPr>
    <w:rPr>
      <w:rFonts w:ascii="Swis721 LtEx BT" w:hAnsi="Swis721 LtEx BT"/>
      <w:b/>
      <w:color w:val="7030A0"/>
      <w:sz w:val="56"/>
      <w:szCs w:val="56"/>
      <w:lang w:val="es-CO" w:eastAsia="es-CO"/>
    </w:rPr>
  </w:style>
  <w:style w:type="character" w:customStyle="1" w:styleId="TitulointernoCar">
    <w:name w:val="Titulo_interno Car"/>
    <w:basedOn w:val="Fuentedeprrafopredeter"/>
    <w:link w:val="Titulointerno"/>
    <w:rsid w:val="00E81528"/>
    <w:rPr>
      <w:rFonts w:ascii="Swis721 LtEx BT" w:eastAsia="Times New Roman" w:hAnsi="Swis721 LtEx BT" w:cs="Times New Roman"/>
      <w:b/>
      <w:color w:val="7030A0"/>
      <w:sz w:val="56"/>
      <w:szCs w:val="56"/>
      <w:lang w:val="es-CO" w:eastAsia="es-CO"/>
    </w:rPr>
  </w:style>
  <w:style w:type="paragraph" w:customStyle="1" w:styleId="Nocapitulointerno">
    <w:name w:val="No_capitulo_interno"/>
    <w:basedOn w:val="Normal"/>
    <w:link w:val="NocapitulointernoCar"/>
    <w:qFormat/>
    <w:rsid w:val="00E81528"/>
    <w:rPr>
      <w:rFonts w:ascii="Swis721 Hv BT" w:hAnsi="Swis721 Hv BT"/>
      <w:color w:val="808080" w:themeColor="background1" w:themeShade="80"/>
      <w:sz w:val="144"/>
      <w:szCs w:val="144"/>
      <w:lang w:val="es-CO" w:eastAsia="es-CO"/>
    </w:rPr>
  </w:style>
  <w:style w:type="character" w:customStyle="1" w:styleId="NocapitulointernoCar">
    <w:name w:val="No_capitulo_interno Car"/>
    <w:basedOn w:val="Fuentedeprrafopredeter"/>
    <w:link w:val="Nocapitulointerno"/>
    <w:rsid w:val="00E81528"/>
    <w:rPr>
      <w:rFonts w:ascii="Swis721 Hv BT" w:eastAsia="Times New Roman" w:hAnsi="Swis721 Hv BT" w:cs="Times New Roman"/>
      <w:color w:val="808080" w:themeColor="background1" w:themeShade="80"/>
      <w:sz w:val="144"/>
      <w:szCs w:val="144"/>
      <w:lang w:val="es-CO" w:eastAsia="es-CO"/>
    </w:rPr>
  </w:style>
  <w:style w:type="paragraph" w:customStyle="1" w:styleId="Capitulotexto">
    <w:name w:val="Capitulo_texto"/>
    <w:basedOn w:val="Normal"/>
    <w:link w:val="CapitulotextoCar"/>
    <w:qFormat/>
    <w:rsid w:val="00E81528"/>
    <w:pPr>
      <w:spacing w:line="192" w:lineRule="auto"/>
    </w:pPr>
    <w:rPr>
      <w:rFonts w:ascii="Swis721 Hv BT" w:hAnsi="Swis721 Hv BT"/>
      <w:color w:val="808080" w:themeColor="background1" w:themeShade="80"/>
      <w:sz w:val="96"/>
      <w:szCs w:val="96"/>
      <w:lang w:val="es-CO" w:eastAsia="es-CO"/>
    </w:rPr>
  </w:style>
  <w:style w:type="character" w:customStyle="1" w:styleId="CapitulotextoCar">
    <w:name w:val="Capitulo_texto Car"/>
    <w:basedOn w:val="Fuentedeprrafopredeter"/>
    <w:link w:val="Capitulotexto"/>
    <w:rsid w:val="00E81528"/>
    <w:rPr>
      <w:rFonts w:ascii="Swis721 Hv BT" w:eastAsia="Times New Roman" w:hAnsi="Swis721 Hv BT" w:cs="Times New Roman"/>
      <w:color w:val="808080" w:themeColor="background1" w:themeShade="80"/>
      <w:sz w:val="96"/>
      <w:szCs w:val="96"/>
      <w:lang w:val="es-CO" w:eastAsia="es-CO"/>
    </w:rPr>
  </w:style>
  <w:style w:type="paragraph" w:customStyle="1" w:styleId="capitulono">
    <w:name w:val="capitulo_no"/>
    <w:basedOn w:val="Normal"/>
    <w:link w:val="capitulonoCar"/>
    <w:qFormat/>
    <w:rsid w:val="00E81528"/>
    <w:pPr>
      <w:jc w:val="both"/>
    </w:pPr>
    <w:rPr>
      <w:rFonts w:ascii="Swis721 Hv BT" w:hAnsi="Swis721 Hv BT"/>
      <w:color w:val="808080" w:themeColor="background1" w:themeShade="80"/>
      <w:sz w:val="356"/>
      <w:szCs w:val="144"/>
      <w:lang w:val="es-CO" w:eastAsia="es-CO"/>
    </w:rPr>
  </w:style>
  <w:style w:type="character" w:customStyle="1" w:styleId="capitulonoCar">
    <w:name w:val="capitulo_no Car"/>
    <w:basedOn w:val="Fuentedeprrafopredeter"/>
    <w:link w:val="capitulono"/>
    <w:rsid w:val="00E81528"/>
    <w:rPr>
      <w:rFonts w:ascii="Swis721 Hv BT" w:eastAsia="Times New Roman" w:hAnsi="Swis721 Hv BT" w:cs="Times New Roman"/>
      <w:color w:val="808080" w:themeColor="background1" w:themeShade="80"/>
      <w:sz w:val="356"/>
      <w:szCs w:val="144"/>
      <w:lang w:val="es-CO" w:eastAsia="es-CO"/>
    </w:rPr>
  </w:style>
  <w:style w:type="paragraph" w:customStyle="1" w:styleId="portada2">
    <w:name w:val="portada2"/>
    <w:basedOn w:val="Normal"/>
    <w:link w:val="portada2Car"/>
    <w:qFormat/>
    <w:rsid w:val="00E81528"/>
    <w:pPr>
      <w:jc w:val="center"/>
    </w:pPr>
    <w:rPr>
      <w:rFonts w:ascii="Swis721 Hv BT" w:hAnsi="Swis721 Hv BT"/>
      <w:color w:val="808080" w:themeColor="background1" w:themeShade="80"/>
      <w:sz w:val="144"/>
      <w:szCs w:val="144"/>
      <w:lang w:val="es-CO" w:eastAsia="es-CO"/>
    </w:rPr>
  </w:style>
  <w:style w:type="character" w:customStyle="1" w:styleId="portada2Car">
    <w:name w:val="portada2 Car"/>
    <w:basedOn w:val="Fuentedeprrafopredeter"/>
    <w:link w:val="portada2"/>
    <w:rsid w:val="00E81528"/>
    <w:rPr>
      <w:rFonts w:ascii="Swis721 Hv BT" w:eastAsia="Times New Roman" w:hAnsi="Swis721 Hv BT" w:cs="Times New Roman"/>
      <w:color w:val="808080" w:themeColor="background1" w:themeShade="80"/>
      <w:sz w:val="144"/>
      <w:szCs w:val="144"/>
      <w:lang w:val="es-CO" w:eastAsia="es-CO"/>
    </w:rPr>
  </w:style>
  <w:style w:type="paragraph" w:customStyle="1" w:styleId="portada1">
    <w:name w:val="portada1"/>
    <w:basedOn w:val="Normal"/>
    <w:link w:val="portada1Car"/>
    <w:qFormat/>
    <w:rsid w:val="00E81528"/>
    <w:pPr>
      <w:jc w:val="center"/>
    </w:pPr>
    <w:rPr>
      <w:rFonts w:ascii="Swis721 LtEx BT" w:hAnsi="Swis721 LtEx BT"/>
      <w:color w:val="808080" w:themeColor="background1" w:themeShade="80"/>
      <w:sz w:val="96"/>
      <w:szCs w:val="96"/>
      <w:lang w:val="es-CO" w:eastAsia="es-CO"/>
    </w:rPr>
  </w:style>
  <w:style w:type="character" w:customStyle="1" w:styleId="portada1Car">
    <w:name w:val="portada1 Car"/>
    <w:basedOn w:val="Fuentedeprrafopredeter"/>
    <w:link w:val="portada1"/>
    <w:rsid w:val="00E81528"/>
    <w:rPr>
      <w:rFonts w:ascii="Swis721 LtEx BT" w:eastAsia="Times New Roman" w:hAnsi="Swis721 LtEx BT" w:cs="Times New Roman"/>
      <w:color w:val="808080" w:themeColor="background1" w:themeShade="80"/>
      <w:sz w:val="96"/>
      <w:szCs w:val="96"/>
      <w:lang w:val="es-CO" w:eastAsia="es-CO"/>
    </w:rPr>
  </w:style>
  <w:style w:type="paragraph" w:customStyle="1" w:styleId="estilo9">
    <w:name w:val="estilo9"/>
    <w:basedOn w:val="Normal"/>
    <w:rsid w:val="00E81528"/>
    <w:pPr>
      <w:spacing w:before="100" w:beforeAutospacing="1" w:after="100" w:afterAutospacing="1"/>
    </w:pPr>
    <w:rPr>
      <w:color w:val="000000"/>
      <w:lang w:val="es-ES" w:eastAsia="es-ES"/>
    </w:rPr>
  </w:style>
  <w:style w:type="table" w:customStyle="1" w:styleId="Sombreadoclaro-nfasis11">
    <w:name w:val="Sombreado claro - Énfasis 11"/>
    <w:basedOn w:val="Tablanormal"/>
    <w:uiPriority w:val="60"/>
    <w:rsid w:val="00E81528"/>
    <w:pPr>
      <w:spacing w:before="0" w:after="0" w:line="240" w:lineRule="auto"/>
    </w:pPr>
    <w:rPr>
      <w:color w:val="577188" w:themeColor="accent1" w:themeShade="BF"/>
      <w:sz w:val="22"/>
      <w:szCs w:val="22"/>
      <w:lang w:val="es-CO" w:eastAsia="en-US"/>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Sombreadomedio1-nfasis11">
    <w:name w:val="Sombreado medio 1 - Énfasis 11"/>
    <w:basedOn w:val="Tablanormal"/>
    <w:uiPriority w:val="63"/>
    <w:rsid w:val="00E81528"/>
    <w:pPr>
      <w:spacing w:before="0" w:after="0" w:line="240" w:lineRule="auto"/>
    </w:pPr>
    <w:rPr>
      <w:color w:val="auto"/>
      <w:sz w:val="22"/>
      <w:szCs w:val="22"/>
      <w:lang w:val="es-CO" w:eastAsia="en-US"/>
    </w:r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paragraph" w:customStyle="1" w:styleId="Textoindependiente21">
    <w:name w:val="Texto independiente 21"/>
    <w:basedOn w:val="Normal"/>
    <w:rsid w:val="00E81528"/>
    <w:pPr>
      <w:widowControl w:val="0"/>
      <w:ind w:left="567"/>
      <w:jc w:val="both"/>
    </w:pPr>
    <w:rPr>
      <w:rFonts w:ascii="Arial" w:hAnsi="Arial"/>
      <w:szCs w:val="20"/>
      <w:lang w:val="es-ES" w:eastAsia="es-ES"/>
    </w:rPr>
  </w:style>
  <w:style w:type="paragraph" w:customStyle="1" w:styleId="LatinaArialBlack14pt">
    <w:name w:val="(Latina) Arial Black 14 pt"/>
    <w:basedOn w:val="Ttulo2"/>
    <w:rsid w:val="00410174"/>
    <w:pPr>
      <w:keepNext w:val="0"/>
      <w:keepLines w:val="0"/>
      <w:spacing w:before="0" w:after="0"/>
    </w:pPr>
    <w:rPr>
      <w:rFonts w:ascii="Arial Black" w:eastAsia="SimSun" w:hAnsi="Arial Black" w:cs="Tahoma"/>
      <w:b/>
      <w:bCs/>
      <w:caps w:val="0"/>
      <w:color w:val="auto"/>
      <w:kern w:val="0"/>
      <w:sz w:val="28"/>
      <w:szCs w:val="22"/>
      <w:lang w:val="en-GB" w:eastAsia="zh-CN"/>
      <w14:ligatures w14:val="none"/>
    </w:rPr>
  </w:style>
  <w:style w:type="paragraph" w:customStyle="1" w:styleId="HeaderOdd">
    <w:name w:val="Header Odd"/>
    <w:basedOn w:val="Sinespaciado"/>
    <w:qFormat/>
    <w:rsid w:val="00D90D59"/>
    <w:pPr>
      <w:pBdr>
        <w:bottom w:val="single" w:sz="4" w:space="1" w:color="7E97AD" w:themeColor="accent1"/>
      </w:pBdr>
      <w:spacing w:before="0"/>
      <w:jc w:val="right"/>
    </w:pPr>
    <w:rPr>
      <w:rFonts w:eastAsiaTheme="minorEastAsia"/>
      <w:b/>
      <w:bCs/>
      <w:color w:val="1F2123" w:themeColor="text2"/>
      <w:szCs w:val="23"/>
      <w:lang w:val="es-E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055">
      <w:bodyDiv w:val="1"/>
      <w:marLeft w:val="0"/>
      <w:marRight w:val="0"/>
      <w:marTop w:val="0"/>
      <w:marBottom w:val="0"/>
      <w:divBdr>
        <w:top w:val="none" w:sz="0" w:space="0" w:color="auto"/>
        <w:left w:val="none" w:sz="0" w:space="0" w:color="auto"/>
        <w:bottom w:val="none" w:sz="0" w:space="0" w:color="auto"/>
        <w:right w:val="none" w:sz="0" w:space="0" w:color="auto"/>
      </w:divBdr>
    </w:div>
    <w:div w:id="22631968">
      <w:bodyDiv w:val="1"/>
      <w:marLeft w:val="0"/>
      <w:marRight w:val="0"/>
      <w:marTop w:val="0"/>
      <w:marBottom w:val="0"/>
      <w:divBdr>
        <w:top w:val="none" w:sz="0" w:space="0" w:color="auto"/>
        <w:left w:val="none" w:sz="0" w:space="0" w:color="auto"/>
        <w:bottom w:val="none" w:sz="0" w:space="0" w:color="auto"/>
        <w:right w:val="none" w:sz="0" w:space="0" w:color="auto"/>
      </w:divBdr>
    </w:div>
    <w:div w:id="28188336">
      <w:bodyDiv w:val="1"/>
      <w:marLeft w:val="0"/>
      <w:marRight w:val="0"/>
      <w:marTop w:val="0"/>
      <w:marBottom w:val="0"/>
      <w:divBdr>
        <w:top w:val="none" w:sz="0" w:space="0" w:color="auto"/>
        <w:left w:val="none" w:sz="0" w:space="0" w:color="auto"/>
        <w:bottom w:val="none" w:sz="0" w:space="0" w:color="auto"/>
        <w:right w:val="none" w:sz="0" w:space="0" w:color="auto"/>
      </w:divBdr>
    </w:div>
    <w:div w:id="40983436">
      <w:bodyDiv w:val="1"/>
      <w:marLeft w:val="0"/>
      <w:marRight w:val="0"/>
      <w:marTop w:val="0"/>
      <w:marBottom w:val="0"/>
      <w:divBdr>
        <w:top w:val="none" w:sz="0" w:space="0" w:color="auto"/>
        <w:left w:val="none" w:sz="0" w:space="0" w:color="auto"/>
        <w:bottom w:val="none" w:sz="0" w:space="0" w:color="auto"/>
        <w:right w:val="none" w:sz="0" w:space="0" w:color="auto"/>
      </w:divBdr>
    </w:div>
    <w:div w:id="81800209">
      <w:bodyDiv w:val="1"/>
      <w:marLeft w:val="0"/>
      <w:marRight w:val="0"/>
      <w:marTop w:val="0"/>
      <w:marBottom w:val="0"/>
      <w:divBdr>
        <w:top w:val="none" w:sz="0" w:space="0" w:color="auto"/>
        <w:left w:val="none" w:sz="0" w:space="0" w:color="auto"/>
        <w:bottom w:val="none" w:sz="0" w:space="0" w:color="auto"/>
        <w:right w:val="none" w:sz="0" w:space="0" w:color="auto"/>
      </w:divBdr>
    </w:div>
    <w:div w:id="102044267">
      <w:bodyDiv w:val="1"/>
      <w:marLeft w:val="0"/>
      <w:marRight w:val="0"/>
      <w:marTop w:val="0"/>
      <w:marBottom w:val="0"/>
      <w:divBdr>
        <w:top w:val="none" w:sz="0" w:space="0" w:color="auto"/>
        <w:left w:val="none" w:sz="0" w:space="0" w:color="auto"/>
        <w:bottom w:val="none" w:sz="0" w:space="0" w:color="auto"/>
        <w:right w:val="none" w:sz="0" w:space="0" w:color="auto"/>
      </w:divBdr>
    </w:div>
    <w:div w:id="201527249">
      <w:bodyDiv w:val="1"/>
      <w:marLeft w:val="0"/>
      <w:marRight w:val="0"/>
      <w:marTop w:val="0"/>
      <w:marBottom w:val="0"/>
      <w:divBdr>
        <w:top w:val="none" w:sz="0" w:space="0" w:color="auto"/>
        <w:left w:val="none" w:sz="0" w:space="0" w:color="auto"/>
        <w:bottom w:val="none" w:sz="0" w:space="0" w:color="auto"/>
        <w:right w:val="none" w:sz="0" w:space="0" w:color="auto"/>
      </w:divBdr>
      <w:divsChild>
        <w:div w:id="1914581138">
          <w:marLeft w:val="0"/>
          <w:marRight w:val="0"/>
          <w:marTop w:val="0"/>
          <w:marBottom w:val="0"/>
          <w:divBdr>
            <w:top w:val="none" w:sz="0" w:space="0" w:color="auto"/>
            <w:left w:val="none" w:sz="0" w:space="0" w:color="auto"/>
            <w:bottom w:val="none" w:sz="0" w:space="0" w:color="auto"/>
            <w:right w:val="none" w:sz="0" w:space="0" w:color="auto"/>
          </w:divBdr>
          <w:divsChild>
            <w:div w:id="1720544346">
              <w:marLeft w:val="0"/>
              <w:marRight w:val="0"/>
              <w:marTop w:val="0"/>
              <w:marBottom w:val="0"/>
              <w:divBdr>
                <w:top w:val="none" w:sz="0" w:space="0" w:color="auto"/>
                <w:left w:val="none" w:sz="0" w:space="0" w:color="auto"/>
                <w:bottom w:val="none" w:sz="0" w:space="0" w:color="auto"/>
                <w:right w:val="none" w:sz="0" w:space="0" w:color="auto"/>
              </w:divBdr>
            </w:div>
          </w:divsChild>
        </w:div>
        <w:div w:id="1096051865">
          <w:marLeft w:val="0"/>
          <w:marRight w:val="0"/>
          <w:marTop w:val="0"/>
          <w:marBottom w:val="0"/>
          <w:divBdr>
            <w:top w:val="none" w:sz="0" w:space="0" w:color="auto"/>
            <w:left w:val="none" w:sz="0" w:space="0" w:color="auto"/>
            <w:bottom w:val="none" w:sz="0" w:space="0" w:color="auto"/>
            <w:right w:val="none" w:sz="0" w:space="0" w:color="auto"/>
          </w:divBdr>
          <w:divsChild>
            <w:div w:id="1012612989">
              <w:marLeft w:val="0"/>
              <w:marRight w:val="0"/>
              <w:marTop w:val="0"/>
              <w:marBottom w:val="0"/>
              <w:divBdr>
                <w:top w:val="none" w:sz="0" w:space="0" w:color="auto"/>
                <w:left w:val="none" w:sz="0" w:space="0" w:color="auto"/>
                <w:bottom w:val="none" w:sz="0" w:space="0" w:color="auto"/>
                <w:right w:val="none" w:sz="0" w:space="0" w:color="auto"/>
              </w:divBdr>
            </w:div>
          </w:divsChild>
        </w:div>
        <w:div w:id="783115186">
          <w:marLeft w:val="0"/>
          <w:marRight w:val="0"/>
          <w:marTop w:val="0"/>
          <w:marBottom w:val="0"/>
          <w:divBdr>
            <w:top w:val="none" w:sz="0" w:space="0" w:color="auto"/>
            <w:left w:val="none" w:sz="0" w:space="0" w:color="auto"/>
            <w:bottom w:val="none" w:sz="0" w:space="0" w:color="auto"/>
            <w:right w:val="none" w:sz="0" w:space="0" w:color="auto"/>
          </w:divBdr>
          <w:divsChild>
            <w:div w:id="1436900083">
              <w:marLeft w:val="0"/>
              <w:marRight w:val="0"/>
              <w:marTop w:val="0"/>
              <w:marBottom w:val="0"/>
              <w:divBdr>
                <w:top w:val="none" w:sz="0" w:space="0" w:color="auto"/>
                <w:left w:val="none" w:sz="0" w:space="0" w:color="auto"/>
                <w:bottom w:val="none" w:sz="0" w:space="0" w:color="auto"/>
                <w:right w:val="none" w:sz="0" w:space="0" w:color="auto"/>
              </w:divBdr>
            </w:div>
          </w:divsChild>
        </w:div>
        <w:div w:id="1736470543">
          <w:marLeft w:val="0"/>
          <w:marRight w:val="0"/>
          <w:marTop w:val="0"/>
          <w:marBottom w:val="0"/>
          <w:divBdr>
            <w:top w:val="none" w:sz="0" w:space="0" w:color="auto"/>
            <w:left w:val="none" w:sz="0" w:space="0" w:color="auto"/>
            <w:bottom w:val="none" w:sz="0" w:space="0" w:color="auto"/>
            <w:right w:val="none" w:sz="0" w:space="0" w:color="auto"/>
          </w:divBdr>
        </w:div>
      </w:divsChild>
    </w:div>
    <w:div w:id="417101990">
      <w:bodyDiv w:val="1"/>
      <w:marLeft w:val="0"/>
      <w:marRight w:val="0"/>
      <w:marTop w:val="0"/>
      <w:marBottom w:val="0"/>
      <w:divBdr>
        <w:top w:val="none" w:sz="0" w:space="0" w:color="auto"/>
        <w:left w:val="none" w:sz="0" w:space="0" w:color="auto"/>
        <w:bottom w:val="none" w:sz="0" w:space="0" w:color="auto"/>
        <w:right w:val="none" w:sz="0" w:space="0" w:color="auto"/>
      </w:divBdr>
    </w:div>
    <w:div w:id="525677031">
      <w:bodyDiv w:val="1"/>
      <w:marLeft w:val="0"/>
      <w:marRight w:val="0"/>
      <w:marTop w:val="0"/>
      <w:marBottom w:val="0"/>
      <w:divBdr>
        <w:top w:val="none" w:sz="0" w:space="0" w:color="auto"/>
        <w:left w:val="none" w:sz="0" w:space="0" w:color="auto"/>
        <w:bottom w:val="none" w:sz="0" w:space="0" w:color="auto"/>
        <w:right w:val="none" w:sz="0" w:space="0" w:color="auto"/>
      </w:divBdr>
    </w:div>
    <w:div w:id="532352667">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5839091">
      <w:bodyDiv w:val="1"/>
      <w:marLeft w:val="0"/>
      <w:marRight w:val="0"/>
      <w:marTop w:val="0"/>
      <w:marBottom w:val="0"/>
      <w:divBdr>
        <w:top w:val="none" w:sz="0" w:space="0" w:color="auto"/>
        <w:left w:val="none" w:sz="0" w:space="0" w:color="auto"/>
        <w:bottom w:val="none" w:sz="0" w:space="0" w:color="auto"/>
        <w:right w:val="none" w:sz="0" w:space="0" w:color="auto"/>
      </w:divBdr>
    </w:div>
    <w:div w:id="967205729">
      <w:bodyDiv w:val="1"/>
      <w:marLeft w:val="0"/>
      <w:marRight w:val="0"/>
      <w:marTop w:val="0"/>
      <w:marBottom w:val="0"/>
      <w:divBdr>
        <w:top w:val="none" w:sz="0" w:space="0" w:color="auto"/>
        <w:left w:val="none" w:sz="0" w:space="0" w:color="auto"/>
        <w:bottom w:val="none" w:sz="0" w:space="0" w:color="auto"/>
        <w:right w:val="none" w:sz="0" w:space="0" w:color="auto"/>
      </w:divBdr>
    </w:div>
    <w:div w:id="1069619393">
      <w:bodyDiv w:val="1"/>
      <w:marLeft w:val="0"/>
      <w:marRight w:val="0"/>
      <w:marTop w:val="0"/>
      <w:marBottom w:val="0"/>
      <w:divBdr>
        <w:top w:val="none" w:sz="0" w:space="0" w:color="auto"/>
        <w:left w:val="none" w:sz="0" w:space="0" w:color="auto"/>
        <w:bottom w:val="none" w:sz="0" w:space="0" w:color="auto"/>
        <w:right w:val="none" w:sz="0" w:space="0" w:color="auto"/>
      </w:divBdr>
    </w:div>
    <w:div w:id="1081564700">
      <w:bodyDiv w:val="1"/>
      <w:marLeft w:val="0"/>
      <w:marRight w:val="0"/>
      <w:marTop w:val="0"/>
      <w:marBottom w:val="0"/>
      <w:divBdr>
        <w:top w:val="none" w:sz="0" w:space="0" w:color="auto"/>
        <w:left w:val="none" w:sz="0" w:space="0" w:color="auto"/>
        <w:bottom w:val="none" w:sz="0" w:space="0" w:color="auto"/>
        <w:right w:val="none" w:sz="0" w:space="0" w:color="auto"/>
      </w:divBdr>
    </w:div>
    <w:div w:id="1095829053">
      <w:bodyDiv w:val="1"/>
      <w:marLeft w:val="0"/>
      <w:marRight w:val="0"/>
      <w:marTop w:val="0"/>
      <w:marBottom w:val="0"/>
      <w:divBdr>
        <w:top w:val="none" w:sz="0" w:space="0" w:color="auto"/>
        <w:left w:val="none" w:sz="0" w:space="0" w:color="auto"/>
        <w:bottom w:val="none" w:sz="0" w:space="0" w:color="auto"/>
        <w:right w:val="none" w:sz="0" w:space="0" w:color="auto"/>
      </w:divBdr>
    </w:div>
    <w:div w:id="1120758553">
      <w:bodyDiv w:val="1"/>
      <w:marLeft w:val="0"/>
      <w:marRight w:val="0"/>
      <w:marTop w:val="0"/>
      <w:marBottom w:val="0"/>
      <w:divBdr>
        <w:top w:val="none" w:sz="0" w:space="0" w:color="auto"/>
        <w:left w:val="none" w:sz="0" w:space="0" w:color="auto"/>
        <w:bottom w:val="none" w:sz="0" w:space="0" w:color="auto"/>
        <w:right w:val="none" w:sz="0" w:space="0" w:color="auto"/>
      </w:divBdr>
      <w:divsChild>
        <w:div w:id="535974028">
          <w:marLeft w:val="547"/>
          <w:marRight w:val="0"/>
          <w:marTop w:val="0"/>
          <w:marBottom w:val="0"/>
          <w:divBdr>
            <w:top w:val="none" w:sz="0" w:space="0" w:color="auto"/>
            <w:left w:val="none" w:sz="0" w:space="0" w:color="auto"/>
            <w:bottom w:val="none" w:sz="0" w:space="0" w:color="auto"/>
            <w:right w:val="none" w:sz="0" w:space="0" w:color="auto"/>
          </w:divBdr>
        </w:div>
        <w:div w:id="203837350">
          <w:marLeft w:val="547"/>
          <w:marRight w:val="0"/>
          <w:marTop w:val="0"/>
          <w:marBottom w:val="0"/>
          <w:divBdr>
            <w:top w:val="none" w:sz="0" w:space="0" w:color="auto"/>
            <w:left w:val="none" w:sz="0" w:space="0" w:color="auto"/>
            <w:bottom w:val="none" w:sz="0" w:space="0" w:color="auto"/>
            <w:right w:val="none" w:sz="0" w:space="0" w:color="auto"/>
          </w:divBdr>
        </w:div>
      </w:divsChild>
    </w:div>
    <w:div w:id="1153646900">
      <w:bodyDiv w:val="1"/>
      <w:marLeft w:val="0"/>
      <w:marRight w:val="0"/>
      <w:marTop w:val="0"/>
      <w:marBottom w:val="0"/>
      <w:divBdr>
        <w:top w:val="none" w:sz="0" w:space="0" w:color="auto"/>
        <w:left w:val="none" w:sz="0" w:space="0" w:color="auto"/>
        <w:bottom w:val="none" w:sz="0" w:space="0" w:color="auto"/>
        <w:right w:val="none" w:sz="0" w:space="0" w:color="auto"/>
      </w:divBdr>
    </w:div>
    <w:div w:id="1166283292">
      <w:bodyDiv w:val="1"/>
      <w:marLeft w:val="0"/>
      <w:marRight w:val="0"/>
      <w:marTop w:val="0"/>
      <w:marBottom w:val="0"/>
      <w:divBdr>
        <w:top w:val="none" w:sz="0" w:space="0" w:color="auto"/>
        <w:left w:val="none" w:sz="0" w:space="0" w:color="auto"/>
        <w:bottom w:val="none" w:sz="0" w:space="0" w:color="auto"/>
        <w:right w:val="none" w:sz="0" w:space="0" w:color="auto"/>
      </w:divBdr>
    </w:div>
    <w:div w:id="1167401879">
      <w:bodyDiv w:val="1"/>
      <w:marLeft w:val="0"/>
      <w:marRight w:val="0"/>
      <w:marTop w:val="0"/>
      <w:marBottom w:val="0"/>
      <w:divBdr>
        <w:top w:val="none" w:sz="0" w:space="0" w:color="auto"/>
        <w:left w:val="none" w:sz="0" w:space="0" w:color="auto"/>
        <w:bottom w:val="none" w:sz="0" w:space="0" w:color="auto"/>
        <w:right w:val="none" w:sz="0" w:space="0" w:color="auto"/>
      </w:divBdr>
    </w:div>
    <w:div w:id="1212960494">
      <w:bodyDiv w:val="1"/>
      <w:marLeft w:val="0"/>
      <w:marRight w:val="0"/>
      <w:marTop w:val="0"/>
      <w:marBottom w:val="0"/>
      <w:divBdr>
        <w:top w:val="none" w:sz="0" w:space="0" w:color="auto"/>
        <w:left w:val="none" w:sz="0" w:space="0" w:color="auto"/>
        <w:bottom w:val="none" w:sz="0" w:space="0" w:color="auto"/>
        <w:right w:val="none" w:sz="0" w:space="0" w:color="auto"/>
      </w:divBdr>
    </w:div>
    <w:div w:id="1228568534">
      <w:bodyDiv w:val="1"/>
      <w:marLeft w:val="0"/>
      <w:marRight w:val="0"/>
      <w:marTop w:val="0"/>
      <w:marBottom w:val="0"/>
      <w:divBdr>
        <w:top w:val="none" w:sz="0" w:space="0" w:color="auto"/>
        <w:left w:val="none" w:sz="0" w:space="0" w:color="auto"/>
        <w:bottom w:val="none" w:sz="0" w:space="0" w:color="auto"/>
        <w:right w:val="none" w:sz="0" w:space="0" w:color="auto"/>
      </w:divBdr>
    </w:div>
    <w:div w:id="1231621169">
      <w:bodyDiv w:val="1"/>
      <w:marLeft w:val="0"/>
      <w:marRight w:val="0"/>
      <w:marTop w:val="0"/>
      <w:marBottom w:val="0"/>
      <w:divBdr>
        <w:top w:val="none" w:sz="0" w:space="0" w:color="auto"/>
        <w:left w:val="none" w:sz="0" w:space="0" w:color="auto"/>
        <w:bottom w:val="none" w:sz="0" w:space="0" w:color="auto"/>
        <w:right w:val="none" w:sz="0" w:space="0" w:color="auto"/>
      </w:divBdr>
    </w:div>
    <w:div w:id="1319656302">
      <w:bodyDiv w:val="1"/>
      <w:marLeft w:val="0"/>
      <w:marRight w:val="0"/>
      <w:marTop w:val="0"/>
      <w:marBottom w:val="0"/>
      <w:divBdr>
        <w:top w:val="none" w:sz="0" w:space="0" w:color="auto"/>
        <w:left w:val="none" w:sz="0" w:space="0" w:color="auto"/>
        <w:bottom w:val="none" w:sz="0" w:space="0" w:color="auto"/>
        <w:right w:val="none" w:sz="0" w:space="0" w:color="auto"/>
      </w:divBdr>
    </w:div>
    <w:div w:id="1352686882">
      <w:bodyDiv w:val="1"/>
      <w:marLeft w:val="0"/>
      <w:marRight w:val="0"/>
      <w:marTop w:val="0"/>
      <w:marBottom w:val="0"/>
      <w:divBdr>
        <w:top w:val="none" w:sz="0" w:space="0" w:color="auto"/>
        <w:left w:val="none" w:sz="0" w:space="0" w:color="auto"/>
        <w:bottom w:val="none" w:sz="0" w:space="0" w:color="auto"/>
        <w:right w:val="none" w:sz="0" w:space="0" w:color="auto"/>
      </w:divBdr>
    </w:div>
    <w:div w:id="1386175375">
      <w:bodyDiv w:val="1"/>
      <w:marLeft w:val="0"/>
      <w:marRight w:val="0"/>
      <w:marTop w:val="0"/>
      <w:marBottom w:val="0"/>
      <w:divBdr>
        <w:top w:val="none" w:sz="0" w:space="0" w:color="auto"/>
        <w:left w:val="none" w:sz="0" w:space="0" w:color="auto"/>
        <w:bottom w:val="none" w:sz="0" w:space="0" w:color="auto"/>
        <w:right w:val="none" w:sz="0" w:space="0" w:color="auto"/>
      </w:divBdr>
    </w:div>
    <w:div w:id="1394159689">
      <w:bodyDiv w:val="1"/>
      <w:marLeft w:val="0"/>
      <w:marRight w:val="0"/>
      <w:marTop w:val="0"/>
      <w:marBottom w:val="0"/>
      <w:divBdr>
        <w:top w:val="none" w:sz="0" w:space="0" w:color="auto"/>
        <w:left w:val="none" w:sz="0" w:space="0" w:color="auto"/>
        <w:bottom w:val="none" w:sz="0" w:space="0" w:color="auto"/>
        <w:right w:val="none" w:sz="0" w:space="0" w:color="auto"/>
      </w:divBdr>
    </w:div>
    <w:div w:id="1490830166">
      <w:bodyDiv w:val="1"/>
      <w:marLeft w:val="0"/>
      <w:marRight w:val="0"/>
      <w:marTop w:val="0"/>
      <w:marBottom w:val="0"/>
      <w:divBdr>
        <w:top w:val="none" w:sz="0" w:space="0" w:color="auto"/>
        <w:left w:val="none" w:sz="0" w:space="0" w:color="auto"/>
        <w:bottom w:val="none" w:sz="0" w:space="0" w:color="auto"/>
        <w:right w:val="none" w:sz="0" w:space="0" w:color="auto"/>
      </w:divBdr>
    </w:div>
    <w:div w:id="1678650046">
      <w:bodyDiv w:val="1"/>
      <w:marLeft w:val="0"/>
      <w:marRight w:val="0"/>
      <w:marTop w:val="0"/>
      <w:marBottom w:val="0"/>
      <w:divBdr>
        <w:top w:val="none" w:sz="0" w:space="0" w:color="auto"/>
        <w:left w:val="none" w:sz="0" w:space="0" w:color="auto"/>
        <w:bottom w:val="none" w:sz="0" w:space="0" w:color="auto"/>
        <w:right w:val="none" w:sz="0" w:space="0" w:color="auto"/>
      </w:divBdr>
    </w:div>
    <w:div w:id="1823619501">
      <w:bodyDiv w:val="1"/>
      <w:marLeft w:val="0"/>
      <w:marRight w:val="0"/>
      <w:marTop w:val="0"/>
      <w:marBottom w:val="0"/>
      <w:divBdr>
        <w:top w:val="none" w:sz="0" w:space="0" w:color="auto"/>
        <w:left w:val="none" w:sz="0" w:space="0" w:color="auto"/>
        <w:bottom w:val="none" w:sz="0" w:space="0" w:color="auto"/>
        <w:right w:val="none" w:sz="0" w:space="0" w:color="auto"/>
      </w:divBdr>
    </w:div>
    <w:div w:id="1831210555">
      <w:bodyDiv w:val="1"/>
      <w:marLeft w:val="0"/>
      <w:marRight w:val="0"/>
      <w:marTop w:val="0"/>
      <w:marBottom w:val="0"/>
      <w:divBdr>
        <w:top w:val="none" w:sz="0" w:space="0" w:color="auto"/>
        <w:left w:val="none" w:sz="0" w:space="0" w:color="auto"/>
        <w:bottom w:val="none" w:sz="0" w:space="0" w:color="auto"/>
        <w:right w:val="none" w:sz="0" w:space="0" w:color="auto"/>
      </w:divBdr>
    </w:div>
    <w:div w:id="1889493989">
      <w:bodyDiv w:val="1"/>
      <w:marLeft w:val="0"/>
      <w:marRight w:val="0"/>
      <w:marTop w:val="0"/>
      <w:marBottom w:val="0"/>
      <w:divBdr>
        <w:top w:val="none" w:sz="0" w:space="0" w:color="auto"/>
        <w:left w:val="none" w:sz="0" w:space="0" w:color="auto"/>
        <w:bottom w:val="none" w:sz="0" w:space="0" w:color="auto"/>
        <w:right w:val="none" w:sz="0" w:space="0" w:color="auto"/>
      </w:divBdr>
    </w:div>
    <w:div w:id="1957330744">
      <w:bodyDiv w:val="1"/>
      <w:marLeft w:val="0"/>
      <w:marRight w:val="0"/>
      <w:marTop w:val="0"/>
      <w:marBottom w:val="0"/>
      <w:divBdr>
        <w:top w:val="none" w:sz="0" w:space="0" w:color="auto"/>
        <w:left w:val="none" w:sz="0" w:space="0" w:color="auto"/>
        <w:bottom w:val="none" w:sz="0" w:space="0" w:color="auto"/>
        <w:right w:val="none" w:sz="0" w:space="0" w:color="auto"/>
      </w:divBdr>
    </w:div>
    <w:div w:id="1997344569">
      <w:bodyDiv w:val="1"/>
      <w:marLeft w:val="0"/>
      <w:marRight w:val="0"/>
      <w:marTop w:val="0"/>
      <w:marBottom w:val="0"/>
      <w:divBdr>
        <w:top w:val="none" w:sz="0" w:space="0" w:color="auto"/>
        <w:left w:val="none" w:sz="0" w:space="0" w:color="auto"/>
        <w:bottom w:val="none" w:sz="0" w:space="0" w:color="auto"/>
        <w:right w:val="none" w:sz="0" w:space="0" w:color="auto"/>
      </w:divBdr>
    </w:div>
    <w:div w:id="20276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stemagestioncalidad.ramajudicial.gov.co/ModeloCSJ/index.php?sesion=&amp;op=4&amp;sop=4.2.2.1&amp;id_ejecucion=9035" TargetMode="External"/><Relationship Id="rId26" Type="http://schemas.openxmlformats.org/officeDocument/2006/relationships/hyperlink" Target="http://sistemagestioncalidad.ramajudicial.gov.co/ModeloCSJ/index.php?sesion=&amp;op=4&amp;sop=4.2.2.1&amp;id_ejecucion=9258" TargetMode="External"/><Relationship Id="rId39" Type="http://schemas.openxmlformats.org/officeDocument/2006/relationships/hyperlink" Target="http://sistemagestioncalidad.ramajudicial.gov.co/ModeloCSJ/index.php?sesion=&amp;op=4&amp;sop=4.2.2.1&amp;id_ejecucion=9633" TargetMode="External"/><Relationship Id="rId3" Type="http://schemas.openxmlformats.org/officeDocument/2006/relationships/customXml" Target="../customXml/item3.xml"/><Relationship Id="rId21" Type="http://schemas.openxmlformats.org/officeDocument/2006/relationships/hyperlink" Target="http://sistemagestioncalidad.ramajudicial.gov.co/ModeloCSJ/index.php?sesion=&amp;op=4&amp;sop=4.2.2.1&amp;id_ejecucion=9241" TargetMode="External"/><Relationship Id="rId34" Type="http://schemas.openxmlformats.org/officeDocument/2006/relationships/hyperlink" Target="http://sistemagestioncalidad.ramajudicial.gov.co/ModeloCSJ/index.php?sesion=&amp;op=4&amp;sop=4.2.2.1&amp;id_ejecucion=9431"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stemagestioncalidad.ramajudicial.gov.co/ModeloCSJ/index.php?sesion=&amp;op=4&amp;sop=4.2.2.1&amp;id_ejecucion=8978" TargetMode="External"/><Relationship Id="rId25" Type="http://schemas.openxmlformats.org/officeDocument/2006/relationships/hyperlink" Target="http://sistemagestioncalidad.ramajudicial.gov.co/ModeloCSJ/index.php?sesion=&amp;op=4&amp;sop=4.2.2.1&amp;id_ejecucion=9257" TargetMode="External"/><Relationship Id="rId33" Type="http://schemas.openxmlformats.org/officeDocument/2006/relationships/hyperlink" Target="http://sistemagestioncalidad.ramajudicial.gov.co/ModeloCSJ/index.php?sesion=&amp;op=4&amp;sop=4.2.2.1&amp;id_ejecucion=9352" TargetMode="External"/><Relationship Id="rId38" Type="http://schemas.openxmlformats.org/officeDocument/2006/relationships/hyperlink" Target="http://sistemagestioncalidad.ramajudicial.gov.co/ModeloCSJ/index.php?sesion=&amp;op=4&amp;sop=4.2.2.1&amp;id_ejecucion=9632" TargetMode="External"/><Relationship Id="rId2" Type="http://schemas.openxmlformats.org/officeDocument/2006/relationships/customXml" Target="../customXml/item2.xml"/><Relationship Id="rId16" Type="http://schemas.openxmlformats.org/officeDocument/2006/relationships/hyperlink" Target="http://sistemagestioncalidad.ramajudicial.gov.co/ModeloCSJ/index.php?sesion=&amp;op=4&amp;sop=4.2.2.1&amp;id_ejecucion=8977" TargetMode="External"/><Relationship Id="rId20" Type="http://schemas.openxmlformats.org/officeDocument/2006/relationships/hyperlink" Target="http://sistemagestioncalidad.ramajudicial.gov.co/ModeloCSJ/index.php?sesion=&amp;op=4&amp;sop=4.2.2.1&amp;id_ejecucion=9133" TargetMode="External"/><Relationship Id="rId29" Type="http://schemas.openxmlformats.org/officeDocument/2006/relationships/hyperlink" Target="http://sistemagestioncalidad.ramajudicial.gov.co/ModeloCSJ/index.php?sesion=&amp;op=4&amp;sop=4.2.2.1&amp;id_ejecucion=9276" TargetMode="External"/><Relationship Id="rId41" Type="http://schemas.openxmlformats.org/officeDocument/2006/relationships/hyperlink" Target="http://sistemagestioncalidad.ramajudicial.gov.co/ModeloCSJ/index.php?sesion=&amp;op=4&amp;sop=4.2.2.1&amp;id_ejecucion=96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stemagestioncalidad.ramajudicial.gov.co/ModeloCSJ/index.php?sesion=&amp;op=4&amp;sop=4.2.2.1&amp;id_ejecucion=9256" TargetMode="External"/><Relationship Id="rId32" Type="http://schemas.openxmlformats.org/officeDocument/2006/relationships/hyperlink" Target="http://sistemagestioncalidad.ramajudicial.gov.co/ModeloCSJ/index.php?sesion=&amp;op=4&amp;sop=4.2.2.1&amp;id_ejecucion=9351" TargetMode="External"/><Relationship Id="rId37" Type="http://schemas.openxmlformats.org/officeDocument/2006/relationships/hyperlink" Target="http://sistemagestioncalidad.ramajudicial.gov.co/ModeloCSJ/index.php?sesion=&amp;op=4&amp;sop=4.2.2.1&amp;id_ejecucion=9631" TargetMode="External"/><Relationship Id="rId40" Type="http://schemas.openxmlformats.org/officeDocument/2006/relationships/hyperlink" Target="http://sistemagestioncalidad.ramajudicial.gov.co/ModeloCSJ/index.php?sesion=&amp;op=4&amp;sop=4.2.2.1&amp;id_ejecucion=9640"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stemagestioncalidad.ramajudicial.gov.co/ModeloCSJ/index.php?sesion=&amp;op=4&amp;sop=4.2.2.1&amp;id_ejecucion=8971" TargetMode="External"/><Relationship Id="rId23" Type="http://schemas.openxmlformats.org/officeDocument/2006/relationships/hyperlink" Target="http://sistemagestioncalidad.ramajudicial.gov.co/ModeloCSJ/index.php?sesion=&amp;op=4&amp;sop=4.2.2.1&amp;id_ejecucion=9244" TargetMode="External"/><Relationship Id="rId28" Type="http://schemas.openxmlformats.org/officeDocument/2006/relationships/hyperlink" Target="http://sistemagestioncalidad.ramajudicial.gov.co/ModeloCSJ/index.php?sesion=&amp;op=4&amp;sop=4.2.2.1&amp;id_ejecucion=9274" TargetMode="External"/><Relationship Id="rId36" Type="http://schemas.openxmlformats.org/officeDocument/2006/relationships/hyperlink" Target="http://sistemagestioncalidad.ramajudicial.gov.co/ModeloCSJ/index.php?sesion=&amp;op=4&amp;sop=4.2.2.1&amp;id_ejecucion=9507" TargetMode="External"/><Relationship Id="rId10" Type="http://schemas.openxmlformats.org/officeDocument/2006/relationships/endnotes" Target="endnotes.xml"/><Relationship Id="rId19" Type="http://schemas.openxmlformats.org/officeDocument/2006/relationships/hyperlink" Target="http://sistemagestioncalidad.ramajudicial.gov.co/ModeloCSJ/index.php?sesion=&amp;op=4&amp;sop=4.2.2.1&amp;id_ejecucion=9053" TargetMode="External"/><Relationship Id="rId31" Type="http://schemas.openxmlformats.org/officeDocument/2006/relationships/hyperlink" Target="http://sistemagestioncalidad.ramajudicial.gov.co/ModeloCSJ/index.php?sesion=&amp;op=4&amp;sop=4.2.2.1&amp;id_ejecucion=927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istemagestioncalidad.ramajudicial.gov.co/ModeloCSJ/index.php?sesion=&amp;op=4&amp;sop=4.2.2.1&amp;id_ejecucion=9243" TargetMode="External"/><Relationship Id="rId27" Type="http://schemas.openxmlformats.org/officeDocument/2006/relationships/hyperlink" Target="http://sistemagestioncalidad.ramajudicial.gov.co/ModeloCSJ/index.php?sesion=&amp;op=4&amp;sop=4.2.2.1&amp;id_ejecucion=9273" TargetMode="External"/><Relationship Id="rId30" Type="http://schemas.openxmlformats.org/officeDocument/2006/relationships/hyperlink" Target="http://sistemagestioncalidad.ramajudicial.gov.co/ModeloCSJ/index.php?sesion=&amp;op=4&amp;sop=4.2.2.1&amp;id_ejecucion=9277" TargetMode="External"/><Relationship Id="rId35" Type="http://schemas.openxmlformats.org/officeDocument/2006/relationships/hyperlink" Target="http://sistemagestioncalidad.ramajudicial.gov.co/ModeloCSJ/index.php?sesion=&amp;op=4&amp;sop=4.2.2.1&amp;id_ejecucion=9432"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AppData\Roaming\Microsoft\Templates\Informe%20anual%20(con%20foto%20de%20portada).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PublishDate>
  <Abstract>Rendición de cuentas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7369CBA-4778-456E-A36F-9D6E19D6CA3D}">
  <ds:schemaRefs>
    <ds:schemaRef ds:uri="http://schemas.microsoft.com/sharepoint/v3/contenttype/forms"/>
  </ds:schemaRefs>
</ds:datastoreItem>
</file>

<file path=customXml/itemProps4.xml><?xml version="1.0" encoding="utf-8"?>
<ds:datastoreItem xmlns:ds="http://schemas.openxmlformats.org/officeDocument/2006/customXml" ds:itemID="{596D1BC3-8F4B-4FC2-9357-B180A9C5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anual (con foto de portada)</Template>
  <TotalTime>479</TotalTime>
  <Pages>59</Pages>
  <Words>12265</Words>
  <Characters>67463</Characters>
  <Application>Microsoft Office Word</Application>
  <DocSecurity>0</DocSecurity>
  <Lines>562</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DE REVISIÓN PARA LA ALTA DIRECCIÓN 
SISTEMA INTEGRADO DE GESTIÓN Y CONTROL DE CALIDAD</vt:lpstr>
      <vt:lpstr/>
    </vt:vector>
  </TitlesOfParts>
  <Company>CONSEJO SUPERIOR DE LA JUDICATURA</Company>
  <LinksUpToDate>false</LinksUpToDate>
  <CharactersWithSpaces>79569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REVISIÓN PARA LA ALTA DIRECCIÓN 
SISTEMA INTEGRADO DE GESTIÓN Y CONTROL DE CALIDAD</dc:title>
  <dc:creator>DIEGO</dc:creator>
  <cp:lastModifiedBy>diego de jesus londoño ayran</cp:lastModifiedBy>
  <cp:revision>16</cp:revision>
  <cp:lastPrinted>2014-02-04T17:29:00Z</cp:lastPrinted>
  <dcterms:created xsi:type="dcterms:W3CDTF">2015-11-22T17:38:00Z</dcterms:created>
  <dcterms:modified xsi:type="dcterms:W3CDTF">2015-11-23T05:58:00Z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