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Encabezado"/>
        <w:spacing/>
        <w:rPr>
          <w:lang w:val="es-CO"/>
        </w:rPr>
      </w:pPr>
    </w:p>
    <w:p>
      <w:pPr>
        <w:spacing/>
        <w:jc w:val="center"/>
        <w:rPr>
          <w:rFonts w:ascii="Arial" w:hAnsi="Arial" w:eastAsia="Arial" w:cs="Arial"/>
          <w:b/>
          <w:sz w:val="22"/>
          <w:szCs w:val="22"/>
          <w:lang w:val="es-CO"/>
        </w:rPr>
      </w:pPr>
      <w:r>
        <w:rPr>
          <w:rFonts w:ascii="Arial" w:hAnsi="Arial" w:eastAsia="Arial" w:cs="Arial"/>
          <w:b/>
          <w:sz w:val="22"/>
          <w:szCs w:val="22"/>
          <w:lang w:val="es-CO"/>
        </w:rPr>
        <w:t xml:space="preserve">ACUERDO No. CSJMEA20-117</w:t>
      </w:r>
    </w:p>
    <w:p>
      <w:pPr>
        <w:spacing/>
        <w:jc w:val="center"/>
        <w:rPr>
          <w:rFonts w:ascii="Arial" w:hAnsi="Arial" w:eastAsia="Arial" w:cs="Arial"/>
          <w:b/>
          <w:sz w:val="22"/>
          <w:szCs w:val="22"/>
          <w:lang w:val="es-CO"/>
        </w:rPr>
      </w:pPr>
      <w:r>
        <w:rPr>
          <w:rFonts w:ascii="Arial" w:hAnsi="Arial" w:eastAsia="Arial" w:cs="Arial"/>
          <w:b/>
          <w:sz w:val="22"/>
          <w:szCs w:val="22"/>
          <w:lang w:val="es-CO"/>
        </w:rPr>
        <w:t xml:space="preserve">30 de noviembre de 2020</w:t>
      </w:r>
    </w:p>
    <w:p>
      <w:pPr>
        <w:spacing/>
        <w:jc w:val="center"/>
        <w:rPr>
          <w:rFonts w:ascii="Arial" w:hAnsi="Arial" w:eastAsia="Arial" w:cs="Arial"/>
          <w:sz w:val="22"/>
          <w:szCs w:val="22"/>
          <w:lang w:val="es-CO"/>
        </w:rPr>
      </w:pPr>
      <w:r>
        <w:rPr>
          <w:rFonts w:ascii="Arial" w:hAnsi="Arial" w:eastAsia="Arial" w:cs="Arial"/>
          <w:sz w:val="22"/>
          <w:szCs w:val="22"/>
          <w:lang w:val="es-CO"/>
        </w:rPr>
        <w:t xml:space="preserve"> </w:t>
      </w:r>
    </w:p>
    <w:p>
      <w:pPr>
        <w:pStyle w:val="Default"/>
        <w:spacing/>
        <w:jc w:val="center"/>
        <w:rPr>
          <w:i/>
          <w:iCs/>
          <w:sz w:val="22"/>
          <w:szCs w:val="22"/>
        </w:rPr>
      </w:pPr>
      <w:r>
        <w:rPr>
          <w:i/>
          <w:sz w:val="22"/>
          <w:szCs w:val="22"/>
        </w:rPr>
        <w:t xml:space="preserve">“</w:t>
      </w:r>
      <w:r>
        <w:rPr>
          <w:i/>
          <w:iCs/>
          <w:sz w:val="22"/>
          <w:szCs w:val="22"/>
        </w:rPr>
        <w:t xml:space="preserve">Por medio del cual se determina la aplicación del </w:t>
      </w:r>
      <w:r>
        <w:rPr>
          <w:i/>
          <w:sz w:val="22"/>
          <w:szCs w:val="22"/>
        </w:rPr>
        <w:t xml:space="preserve">Acuerdo PCSJA20-11680 del 27 de noviembre de 2020</w:t>
      </w:r>
      <w:r>
        <w:rPr>
          <w:i/>
          <w:sz w:val="22"/>
          <w:szCs w:val="22"/>
        </w:rPr>
        <w:t xml:space="preserve">”</w:t>
      </w:r>
    </w:p>
    <w:p>
      <w:pPr>
        <w:spacing/>
        <w:jc w:val="center"/>
        <w:rPr>
          <w:rFonts w:ascii="Arial" w:hAnsi="Arial" w:eastAsia="Arial" w:cs="Arial"/>
          <w:strike/>
          <w:sz w:val="22"/>
          <w:szCs w:val="22"/>
        </w:rPr>
      </w:pPr>
    </w:p>
    <w:p>
      <w:pPr>
        <w:spacing/>
        <w:jc w:val="both"/>
        <w:rPr>
          <w:rFonts w:ascii="Arial" w:hAnsi="Arial" w:eastAsia="Arial" w:cs="Arial"/>
          <w:sz w:val="22"/>
          <w:szCs w:val="22"/>
        </w:rPr>
      </w:pPr>
    </w:p>
    <w:p>
      <w:pPr>
        <w:spacing/>
        <w:jc w:val="center"/>
        <w:rPr>
          <w:rFonts w:ascii="Arial" w:hAnsi="Arial" w:eastAsia="Arial" w:cs="Arial"/>
          <w:b/>
          <w:sz w:val="22"/>
          <w:szCs w:val="22"/>
        </w:rPr>
      </w:pPr>
      <w:r>
        <w:rPr>
          <w:rFonts w:ascii="Arial" w:hAnsi="Arial" w:eastAsia="Arial" w:cs="Arial"/>
          <w:b/>
          <w:sz w:val="22"/>
          <w:szCs w:val="22"/>
        </w:rPr>
        <w:t xml:space="preserve">EL CONSEJO SECCIONAL DE LA JUDICATURA DEL META</w:t>
      </w:r>
    </w:p>
    <w:p>
      <w:pPr>
        <w:spacing/>
        <w:jc w:val="both"/>
        <w:rPr>
          <w:rFonts w:ascii="Arial" w:hAnsi="Arial" w:eastAsia="Arial" w:cs="Arial"/>
          <w:sz w:val="22"/>
          <w:szCs w:val="22"/>
        </w:rPr>
      </w:pPr>
    </w:p>
    <w:p>
      <w:pPr>
        <w:spacing/>
        <w:jc w:val="both"/>
        <w:rPr>
          <w:rFonts w:ascii="Arial" w:hAnsi="Arial" w:eastAsia="Arial" w:cs="Arial"/>
          <w:sz w:val="22"/>
          <w:szCs w:val="22"/>
        </w:rPr>
      </w:pPr>
      <w:r>
        <w:rPr>
          <w:rFonts w:ascii="Arial" w:hAnsi="Arial" w:eastAsia="Arial" w:cs="Arial"/>
          <w:sz w:val="22"/>
          <w:szCs w:val="22"/>
        </w:rPr>
        <w:t xml:space="preserve">En ejercicio de sus facultades constitucionales, legales y reglamentarias, especialmente las contenidas en la Ley 270 de 1996, en cumplimiento de las directrices del Consejo Superior de la Judicatura en los Acuerdos PCSJA20-11567 de junio 5 de 2020, PCSJA20-11581 de junio 27 de 2020, PCSJA20-11614 de agosto 06 de 2020</w:t>
      </w:r>
      <w:r>
        <w:rPr/>
        <w:t xml:space="preserve">, </w:t>
      </w:r>
      <w:r>
        <w:rPr>
          <w:rFonts w:ascii="Arial" w:hAnsi="Arial" w:eastAsia="Arial" w:cs="Arial"/>
          <w:sz w:val="22"/>
          <w:szCs w:val="22"/>
        </w:rPr>
        <w:t xml:space="preserve">PCSJA20-11623 de agosto 28 de 2020, PCSJA20-11629 del 11 de septiembre de 2020, PCSJA20-11632 del 30 de septiembre de 2020 , de conformidad con lo decidido en la sesión extraordinaria del 01 de octubre de 2020, y PCSJA20-11680 del 27 de noviembre de 2020, y</w:t>
      </w:r>
    </w:p>
    <w:p>
      <w:pPr>
        <w:spacing/>
        <w:jc w:val="both"/>
        <w:rPr>
          <w:rFonts w:ascii="Arial" w:hAnsi="Arial" w:eastAsia="Arial" w:cs="Arial"/>
          <w:sz w:val="22"/>
          <w:szCs w:val="22"/>
        </w:rPr>
      </w:pPr>
    </w:p>
    <w:p>
      <w:pPr>
        <w:spacing/>
        <w:jc w:val="center"/>
        <w:rPr>
          <w:rFonts w:ascii="Arial" w:hAnsi="Arial" w:eastAsia="Arial" w:cs="Arial"/>
          <w:b/>
          <w:sz w:val="22"/>
          <w:szCs w:val="22"/>
        </w:rPr>
      </w:pPr>
    </w:p>
    <w:p>
      <w:pPr>
        <w:spacing/>
        <w:jc w:val="center"/>
        <w:rPr>
          <w:rFonts w:ascii="Arial" w:hAnsi="Arial" w:eastAsia="Arial" w:cs="Arial"/>
          <w:b/>
          <w:sz w:val="22"/>
          <w:szCs w:val="22"/>
        </w:rPr>
      </w:pPr>
      <w:r>
        <w:rPr>
          <w:rFonts w:ascii="Arial" w:hAnsi="Arial" w:eastAsia="Arial" w:cs="Arial"/>
          <w:b/>
          <w:sz w:val="22"/>
          <w:szCs w:val="22"/>
        </w:rPr>
        <w:t xml:space="preserve">CONSIDERANDO:</w:t>
      </w:r>
    </w:p>
    <w:p>
      <w:pPr>
        <w:spacing/>
        <w:jc w:val="center"/>
        <w:rPr>
          <w:rFonts w:ascii="Arial" w:hAnsi="Arial" w:eastAsia="Arial" w:cs="Arial"/>
          <w:b/>
          <w:sz w:val="22"/>
          <w:szCs w:val="22"/>
        </w:rPr>
      </w:pPr>
    </w:p>
    <w:p>
      <w:pPr>
        <w:pStyle w:val="Default"/>
        <w:spacing/>
        <w:jc w:val="both"/>
        <w:rPr>
          <w:sz w:val="22"/>
          <w:szCs w:val="22"/>
        </w:rPr>
      </w:pPr>
      <w:r>
        <w:rPr>
          <w:sz w:val="22"/>
          <w:szCs w:val="22"/>
        </w:rPr>
        <w:t xml:space="preserve">Que el 05 de junio de 2020, el Consejo Superior de la Judicatura expidió el Acuerdo PCSJA20-11567 “Por medio del cual se adoptan medidas para el levantamiento de los términos judiciales y se dictan otras disposiciones por motivos de salubridad pública y fuerza mayor” </w:t>
      </w:r>
    </w:p>
    <w:p>
      <w:pPr>
        <w:pStyle w:val="Default"/>
        <w:spacing/>
        <w:jc w:val="both"/>
        <w:rPr>
          <w:sz w:val="22"/>
          <w:szCs w:val="22"/>
        </w:rPr>
      </w:pPr>
    </w:p>
    <w:p>
      <w:pPr>
        <w:pStyle w:val="Default"/>
        <w:spacing/>
        <w:jc w:val="both"/>
        <w:rPr>
          <w:sz w:val="22"/>
          <w:szCs w:val="22"/>
        </w:rPr>
      </w:pPr>
      <w:r>
        <w:rPr>
          <w:sz w:val="22"/>
          <w:szCs w:val="22"/>
        </w:rPr>
        <w:t xml:space="preserve">E</w:t>
      </w:r>
      <w:r>
        <w:rPr>
          <w:color w:val="auto"/>
          <w:sz w:val="22"/>
          <w:szCs w:val="22"/>
        </w:rPr>
        <w:t xml:space="preserve">n </w:t>
      </w:r>
      <w:r>
        <w:rPr>
          <w:sz w:val="22"/>
          <w:szCs w:val="22"/>
        </w:rPr>
        <w:t xml:space="preserve">cumplimiento a la mencionada disposición, el Consejo Seccional de la Judicatura del Meta, expidió el Acuerdo CSJMEA20-51 del 12 de junio de 2020, “</w:t>
      </w:r>
      <w:r>
        <w:rPr>
          <w:i/>
          <w:iCs/>
          <w:sz w:val="22"/>
          <w:szCs w:val="22"/>
        </w:rPr>
        <w:t xml:space="preserve">Por medio del cual se adoptan medidas para el reingreso a las labores con ocasión al levantamiento de los términos judiciales y se dictan otras disposiciones en los Distritos Judiciales de Villavicencio y del Meta</w:t>
      </w:r>
      <w:r>
        <w:rPr>
          <w:sz w:val="22"/>
          <w:szCs w:val="22"/>
        </w:rPr>
        <w:t xml:space="preserve">”. </w:t>
      </w:r>
    </w:p>
    <w:p>
      <w:pPr>
        <w:pStyle w:val="Default"/>
        <w:spacing/>
        <w:jc w:val="both"/>
        <w:rPr>
          <w:sz w:val="22"/>
          <w:szCs w:val="22"/>
        </w:rPr>
      </w:pPr>
    </w:p>
    <w:p>
      <w:pPr>
        <w:pStyle w:val="Default"/>
        <w:spacing/>
        <w:jc w:val="both"/>
        <w:rPr>
          <w:sz w:val="22"/>
          <w:szCs w:val="22"/>
        </w:rPr>
      </w:pPr>
      <w:r>
        <w:rPr>
          <w:sz w:val="22"/>
          <w:szCs w:val="22"/>
        </w:rPr>
        <w:t xml:space="preserve">Cumplidas las acciones de normalización, se levantaron los términos judiciales y administrativos en la Rama Judicial, bajo las reglas, condiciones y operatividad establecidas para tal fin en los referidos Acuerdos. </w:t>
      </w:r>
    </w:p>
    <w:p>
      <w:pPr>
        <w:pStyle w:val="Default"/>
        <w:spacing/>
        <w:jc w:val="both"/>
        <w:rPr>
          <w:sz w:val="22"/>
          <w:szCs w:val="22"/>
        </w:rPr>
      </w:pPr>
    </w:p>
    <w:p>
      <w:pPr>
        <w:pStyle w:val="Default"/>
        <w:spacing/>
        <w:jc w:val="both"/>
        <w:rPr>
          <w:sz w:val="22"/>
          <w:szCs w:val="22"/>
        </w:rPr>
      </w:pPr>
      <w:r>
        <w:rPr>
          <w:sz w:val="22"/>
          <w:szCs w:val="22"/>
        </w:rPr>
        <w:t xml:space="preserve">De la misma manera, mediante Acuerdo CSJMEA20-58 del 2 de julio de 2020 el Consejo Seccional definió las reglas para garantizar la continuidad de la prestación de los servicios judiciales y administrativos, las condiciones del reparto y el agendamiento de citas, entre otras disposiciones para el Distrito Judicial de Villavicencio.</w:t>
      </w:r>
    </w:p>
    <w:p>
      <w:pPr>
        <w:pStyle w:val="Default"/>
        <w:spacing/>
        <w:jc w:val="both"/>
        <w:rPr>
          <w:sz w:val="22"/>
          <w:szCs w:val="22"/>
        </w:rPr>
      </w:pPr>
    </w:p>
    <w:p>
      <w:pPr>
        <w:pStyle w:val="Default"/>
        <w:spacing/>
        <w:jc w:val="both"/>
        <w:rPr>
          <w:sz w:val="22"/>
          <w:szCs w:val="22"/>
        </w:rPr>
      </w:pPr>
      <w:r>
        <w:rPr>
          <w:sz w:val="22"/>
          <w:szCs w:val="22"/>
        </w:rPr>
        <w:t xml:space="preserve">El 30 se septiembre de 2020</w:t>
      </w:r>
      <w:r>
        <w:rPr>
          <w:color w:val="5B9BD5"/>
          <w:sz w:val="22"/>
          <w:szCs w:val="22"/>
        </w:rPr>
        <w:t xml:space="preserve">, </w:t>
      </w:r>
      <w:r>
        <w:rPr>
          <w:sz w:val="22"/>
          <w:szCs w:val="22"/>
        </w:rPr>
        <w:t xml:space="preserve">el </w:t>
      </w:r>
      <w:r>
        <w:rPr>
          <w:color w:val="auto"/>
          <w:sz w:val="22"/>
          <w:szCs w:val="22"/>
        </w:rPr>
        <w:t xml:space="preserve">Consejo Superior </w:t>
      </w:r>
      <w:r>
        <w:rPr>
          <w:sz w:val="22"/>
          <w:szCs w:val="22"/>
        </w:rPr>
        <w:t xml:space="preserve">de la Judicatura expidió el Acuerdo PCSJA20-11632 “</w:t>
      </w:r>
      <w:r>
        <w:rPr>
          <w:color w:val="auto"/>
          <w:sz w:val="22"/>
          <w:szCs w:val="22"/>
        </w:rPr>
        <w:t xml:space="preserve">P</w:t>
      </w:r>
      <w:r>
        <w:rPr>
          <w:sz w:val="22"/>
          <w:szCs w:val="22"/>
        </w:rPr>
        <w:t xml:space="preserve">or el cual se adoptan unas medidas para la prestación del servicio de justicia de Administración de Justicia para los despachos judiciales y dependencias administrativas en todo el territorio nacional, a partir del 1° de octubre de 2020”</w:t>
      </w:r>
    </w:p>
    <w:p>
      <w:pPr>
        <w:pStyle w:val="Default"/>
        <w:spacing/>
        <w:jc w:val="both"/>
        <w:rPr>
          <w:sz w:val="22"/>
          <w:szCs w:val="22"/>
        </w:rPr>
      </w:pPr>
    </w:p>
    <w:p>
      <w:pPr>
        <w:pStyle w:val="Default"/>
        <w:spacing/>
        <w:jc w:val="both"/>
        <w:rPr>
          <w:sz w:val="22"/>
          <w:szCs w:val="22"/>
        </w:rPr>
      </w:pPr>
      <w:r>
        <w:rPr>
          <w:sz w:val="22"/>
          <w:szCs w:val="22"/>
        </w:rPr>
        <w:t xml:space="preserve">El Consejo Superior de la Judicatura mantiene la regla de que los servidores judiciales laboren bajo el esquema de trabajo no presencial, en casa o a distancia, alternado con el presencial, progresivo y organizado por turnos. </w:t>
      </w:r>
    </w:p>
    <w:p>
      <w:pPr>
        <w:pStyle w:val="Default"/>
        <w:spacing/>
        <w:jc w:val="both"/>
        <w:rPr>
          <w:sz w:val="22"/>
          <w:szCs w:val="22"/>
        </w:rPr>
      </w:pPr>
    </w:p>
    <w:p>
      <w:pPr>
        <w:pStyle w:val="Default"/>
        <w:spacing/>
        <w:jc w:val="both"/>
        <w:rPr>
          <w:sz w:val="22"/>
          <w:szCs w:val="22"/>
        </w:rPr>
      </w:pPr>
      <w:r>
        <w:rPr>
          <w:sz w:val="22"/>
          <w:szCs w:val="22"/>
        </w:rPr>
        <w:t xml:space="preserve">El Ministerio de Salud y Protección Social expidió la Resolución 2230 del 27 de noviembre de 2020, </w:t>
      </w:r>
      <w:r>
        <w:rPr>
          <w:sz w:val="22"/>
          <w:szCs w:val="22"/>
        </w:rPr>
        <w:t xml:space="preserve">que </w:t>
      </w:r>
      <w:r>
        <w:rPr>
          <w:sz w:val="22"/>
          <w:szCs w:val="22"/>
        </w:rPr>
        <w:t xml:space="preserve">prorrogó la emergencia sanitaria en todo el territorio nacional declarada mediante la Resolución 385 del 12 de marzo de 2020, prorrogada por las Resoluciones 844 del 26 de mayo de 2020 y 1462 del 25 de agosto de 2020, hasta el 28 de febrero de 2021.</w:t>
      </w:r>
    </w:p>
    <w:p>
      <w:pPr>
        <w:pStyle w:val="Default"/>
        <w:spacing/>
        <w:jc w:val="both"/>
        <w:rPr>
          <w:sz w:val="22"/>
          <w:szCs w:val="22"/>
        </w:rPr>
      </w:pPr>
    </w:p>
    <w:p>
      <w:pPr>
        <w:pStyle w:val="Default"/>
        <w:spacing/>
        <w:jc w:val="both"/>
        <w:rPr>
          <w:color w:val="auto"/>
          <w:sz w:val="22"/>
          <w:szCs w:val="22"/>
        </w:rPr>
      </w:pPr>
      <w:r>
        <w:rPr>
          <w:sz w:val="22"/>
          <w:szCs w:val="22"/>
        </w:rPr>
        <w:t xml:space="preserve">Para el desarrollo de la actividad de la Rama Judicial, se continuará privilegiando la virtualidad, aunque si las circunstancias lo demandan, esta se adelantará de manera </w:t>
      </w:r>
      <w:r>
        <w:rPr>
          <w:color w:val="auto"/>
          <w:sz w:val="22"/>
          <w:szCs w:val="22"/>
        </w:rPr>
        <w:t xml:space="preserve">presencial, con las restricciones de acceso que establezca el director del proceso y bajo las condiciones específicas establecidas a partir de las reglas de normalización. </w:t>
      </w:r>
    </w:p>
    <w:p>
      <w:pPr>
        <w:pStyle w:val="Default"/>
        <w:spacing/>
        <w:jc w:val="both"/>
        <w:rPr>
          <w:color w:val="auto"/>
          <w:sz w:val="22"/>
          <w:szCs w:val="22"/>
        </w:rPr>
      </w:pPr>
    </w:p>
    <w:p>
      <w:pPr>
        <w:pStyle w:val="Default"/>
        <w:spacing/>
        <w:jc w:val="both"/>
        <w:rPr>
          <w:color w:val="auto"/>
          <w:sz w:val="22"/>
          <w:szCs w:val="22"/>
        </w:rPr>
      </w:pPr>
      <w:r>
        <w:rPr>
          <w:color w:val="auto"/>
          <w:sz w:val="22"/>
          <w:szCs w:val="22"/>
        </w:rPr>
        <w:t xml:space="preserve">En el marco de la continuidad de la prestación del servicio en la Rama Judicial, se debe proteger la salud de servidores, abogados y usuarios, acorde a las medidas que vayan siendo adoptadas por el Gobierno Nacional y el Consejo Superior de la Judicatura. </w:t>
      </w:r>
    </w:p>
    <w:p>
      <w:pPr>
        <w:pStyle w:val="Default"/>
        <w:spacing/>
        <w:jc w:val="both"/>
        <w:rPr>
          <w:color w:val="auto"/>
          <w:sz w:val="22"/>
          <w:szCs w:val="22"/>
        </w:rPr>
      </w:pPr>
    </w:p>
    <w:p>
      <w:pPr>
        <w:pStyle w:val="Default"/>
        <w:spacing/>
        <w:jc w:val="both"/>
        <w:rPr>
          <w:color w:val="auto"/>
          <w:sz w:val="22"/>
          <w:szCs w:val="22"/>
        </w:rPr>
      </w:pPr>
      <w:r>
        <w:rPr>
          <w:color w:val="auto"/>
          <w:sz w:val="22"/>
          <w:szCs w:val="22"/>
        </w:rPr>
        <w:t xml:space="preserve">Se hace necesario atender los lineamientos y directrices impartidas a través del Acuerdo PCSJA20-11680 del 27 de noviembre de 2020, en el sentido de incrementar la presencialidad de un 50 % a 60% a partir del 1° de diciembre de 2020. </w:t>
      </w:r>
    </w:p>
    <w:p>
      <w:pPr>
        <w:pStyle w:val="Default"/>
        <w:spacing/>
        <w:jc w:val="both"/>
        <w:rPr>
          <w:color w:val="auto"/>
          <w:sz w:val="22"/>
          <w:szCs w:val="22"/>
        </w:rPr>
      </w:pPr>
    </w:p>
    <w:p>
      <w:pPr>
        <w:pStyle w:val="Default"/>
        <w:spacing/>
        <w:jc w:val="both"/>
        <w:rPr>
          <w:color w:val="auto"/>
          <w:sz w:val="22"/>
          <w:szCs w:val="22"/>
        </w:rPr>
      </w:pPr>
      <w:r>
        <w:rPr>
          <w:color w:val="auto"/>
          <w:sz w:val="22"/>
          <w:szCs w:val="22"/>
        </w:rPr>
        <w:t xml:space="preserve">Conforme</w:t>
      </w:r>
      <w:r>
        <w:rPr>
          <w:color w:val="ED7D31"/>
          <w:sz w:val="22"/>
          <w:szCs w:val="22"/>
        </w:rPr>
        <w:t xml:space="preserve"> </w:t>
      </w:r>
      <w:r>
        <w:rPr>
          <w:color w:val="auto"/>
          <w:sz w:val="22"/>
          <w:szCs w:val="22"/>
        </w:rPr>
        <w:t xml:space="preserve">a lo dispuesto en la Circular 30 del 8 de mayo de 2020, emitida por el Ministerio de Salud y Protección Social, cuando un servidor judicial tenga sesenta años o más y aun cuando manifieste o no situaciones de afecciones a su salud, el Magistrado, Juez o Jefe de dependencia dará un trato diferencial, con el propósito de establecer las condiciones y viabilidades para garantizar la prestación de su servicio</w:t>
      </w:r>
      <w:r>
        <w:rPr>
          <w:strike/>
          <w:color w:val="ED7D31"/>
          <w:sz w:val="22"/>
          <w:szCs w:val="22"/>
        </w:rPr>
        <w:t xml:space="preserve">.</w:t>
      </w:r>
      <w:r>
        <w:rPr>
          <w:color w:val="auto"/>
          <w:sz w:val="22"/>
          <w:szCs w:val="22"/>
        </w:rPr>
        <w:t xml:space="preserve"> </w:t>
      </w:r>
    </w:p>
    <w:p>
      <w:pPr>
        <w:pStyle w:val="Default"/>
        <w:spacing/>
        <w:jc w:val="both"/>
        <w:rPr>
          <w:color w:val="auto"/>
          <w:sz w:val="22"/>
          <w:szCs w:val="22"/>
        </w:rPr>
      </w:pPr>
    </w:p>
    <w:p>
      <w:pPr>
        <w:pStyle w:val="Default"/>
        <w:spacing/>
        <w:jc w:val="both"/>
        <w:rPr>
          <w:color w:val="auto"/>
          <w:sz w:val="22"/>
          <w:szCs w:val="22"/>
        </w:rPr>
      </w:pPr>
      <w:r>
        <w:rPr>
          <w:color w:val="auto"/>
          <w:sz w:val="22"/>
          <w:szCs w:val="22"/>
        </w:rPr>
        <w:t xml:space="preserve">En mérito de lo expuesto, este Consejo Seccional de la Judicatura del Meta, </w:t>
      </w:r>
    </w:p>
    <w:p>
      <w:pPr>
        <w:spacing/>
        <w:jc w:val="both"/>
        <w:rPr>
          <w:rFonts w:ascii="Arial" w:hAnsi="Arial" w:eastAsia="Arial" w:cs="Arial"/>
          <w:sz w:val="22"/>
          <w:szCs w:val="22"/>
        </w:rPr>
      </w:pPr>
    </w:p>
    <w:p>
      <w:pPr>
        <w:spacing/>
        <w:jc w:val="both"/>
        <w:rPr>
          <w:rFonts w:ascii="Arial" w:hAnsi="Arial" w:eastAsia="Arial" w:cs="Arial"/>
          <w:sz w:val="22"/>
          <w:szCs w:val="22"/>
        </w:rPr>
      </w:pPr>
    </w:p>
    <w:p>
      <w:pPr>
        <w:spacing/>
        <w:jc w:val="center"/>
        <w:rPr>
          <w:rFonts w:ascii="Arial" w:hAnsi="Arial" w:eastAsia="Arial" w:cs="Arial"/>
          <w:b/>
          <w:sz w:val="22"/>
          <w:szCs w:val="22"/>
        </w:rPr>
      </w:pPr>
      <w:r>
        <w:rPr>
          <w:rFonts w:ascii="Arial" w:hAnsi="Arial" w:eastAsia="Arial" w:cs="Arial"/>
          <w:b/>
          <w:sz w:val="22"/>
          <w:szCs w:val="22"/>
        </w:rPr>
        <w:t xml:space="preserve">ACUERDA:</w:t>
      </w:r>
    </w:p>
    <w:p>
      <w:pPr>
        <w:spacing/>
        <w:jc w:val="center"/>
        <w:rPr>
          <w:rFonts w:ascii="Arial" w:hAnsi="Arial" w:eastAsia="Arial" w:cs="Arial"/>
          <w:b/>
          <w:sz w:val="22"/>
          <w:szCs w:val="22"/>
        </w:rPr>
      </w:pPr>
    </w:p>
    <w:p>
      <w:pPr>
        <w:spacing/>
        <w:jc w:val="both"/>
        <w:rPr>
          <w:rFonts w:ascii="Arial" w:hAnsi="Arial" w:eastAsia="Arial" w:cs="Arial"/>
          <w:sz w:val="22"/>
          <w:szCs w:val="22"/>
        </w:rPr>
      </w:pPr>
      <w:r>
        <w:rPr>
          <w:rFonts w:ascii="Arial" w:hAnsi="Arial" w:eastAsia="Arial" w:cs="Arial"/>
          <w:b/>
          <w:sz w:val="22"/>
          <w:szCs w:val="22"/>
        </w:rPr>
        <w:t xml:space="preserve">Artículo 1º </w:t>
      </w:r>
      <w:r>
        <w:rPr>
          <w:rFonts w:ascii="Arial" w:hAnsi="Arial" w:eastAsia="Arial" w:cs="Arial"/>
          <w:b/>
          <w:sz w:val="22"/>
          <w:szCs w:val="22"/>
        </w:rPr>
        <w:t xml:space="preserve">Aplicación del Acuerdo CSJMEA20-51 del 12 de junio de 2020</w:t>
      </w:r>
      <w:r>
        <w:rPr>
          <w:rFonts w:ascii="Arial" w:hAnsi="Arial" w:eastAsia="Arial" w:cs="Arial"/>
          <w:b/>
          <w:sz w:val="22"/>
          <w:szCs w:val="22"/>
        </w:rPr>
        <w:t xml:space="preserve">.</w:t>
      </w:r>
      <w:r>
        <w:rPr>
          <w:rFonts w:ascii="Arial" w:hAnsi="Arial" w:eastAsia="Arial" w:cs="Arial"/>
          <w:sz w:val="22"/>
          <w:szCs w:val="22"/>
        </w:rPr>
        <w:t xml:space="preserve"> Continuar la aplicación del Acuerdo CSJMEA20-51 del 12 de junio de 2020 </w:t>
      </w:r>
      <w:r>
        <w:rPr>
          <w:rFonts w:ascii="Arial" w:hAnsi="Arial" w:eastAsia="Arial" w:cs="Arial"/>
          <w:i/>
          <w:sz w:val="22"/>
          <w:szCs w:val="22"/>
        </w:rPr>
        <w:t xml:space="preserve">“Por medio del cual se adoptan medidas para el reingreso a las labores con ocasión al levantamiento de los términos judiciales y se dictan otras disposiciones en los Distritos Judiciales de Villavicencio y del Meta”</w:t>
      </w:r>
      <w:r>
        <w:rPr>
          <w:rFonts w:ascii="Arial" w:hAnsi="Arial" w:eastAsia="Arial" w:cs="Arial"/>
          <w:sz w:val="22"/>
          <w:szCs w:val="22"/>
        </w:rPr>
        <w:t xml:space="preserve">, con excepción de lo dispuesto en el Artículo 2° el cual quedará así:</w:t>
      </w:r>
    </w:p>
    <w:p>
      <w:pPr>
        <w:autoSpaceDE w:val="false"/>
        <w:autoSpaceDN w:val="false"/>
        <w:adjustRightInd w:val="false"/>
        <w:spacing/>
        <w:ind w:left="567" w:right="567"/>
        <w:jc w:val="both"/>
        <w:rPr>
          <w:rFonts w:ascii="Arial" w:hAnsi="Arial" w:eastAsia="Arial" w:cs="Arial"/>
          <w:i/>
          <w:sz w:val="22"/>
          <w:szCs w:val="22"/>
        </w:rPr>
      </w:pPr>
    </w:p>
    <w:p>
      <w:pPr>
        <w:autoSpaceDE w:val="false"/>
        <w:autoSpaceDN w:val="false"/>
        <w:adjustRightInd w:val="false"/>
        <w:spacing/>
        <w:ind w:left="567" w:right="567"/>
        <w:jc w:val="both"/>
        <w:rPr>
          <w:rFonts w:ascii="Arial" w:hAnsi="Arial" w:eastAsia="Arial" w:cs="Arial"/>
          <w:b/>
          <w:bCs/>
          <w:color w:val="000000"/>
          <w:sz w:val="22"/>
          <w:szCs w:val="22"/>
        </w:rPr>
      </w:pPr>
      <w:r>
        <w:rPr>
          <w:rFonts w:ascii="Arial" w:hAnsi="Arial" w:eastAsia="Arial" w:cs="Arial"/>
          <w:i/>
          <w:sz w:val="22"/>
          <w:szCs w:val="22"/>
        </w:rPr>
        <w:t xml:space="preserve">“</w:t>
      </w:r>
      <w:r>
        <w:rPr>
          <w:rFonts w:ascii="Arial" w:hAnsi="Arial" w:eastAsia="Arial" w:cs="Arial"/>
          <w:b/>
          <w:bCs/>
          <w:i/>
          <w:sz w:val="22"/>
          <w:szCs w:val="22"/>
        </w:rPr>
        <w:t xml:space="preserve">Artículo 2°. </w:t>
      </w:r>
      <w:r>
        <w:rPr>
          <w:rFonts w:ascii="Arial" w:hAnsi="Arial" w:eastAsia="Arial" w:cs="Arial"/>
          <w:b/>
          <w:bCs/>
          <w:color w:val="000000"/>
          <w:sz w:val="22"/>
          <w:szCs w:val="22"/>
        </w:rPr>
        <w:t xml:space="preserve">Presencialidad. </w:t>
      </w:r>
      <w:r>
        <w:rPr>
          <w:rFonts w:ascii="Arial" w:hAnsi="Arial" w:eastAsia="Arial" w:cs="Arial"/>
          <w:bCs/>
          <w:color w:val="000000"/>
          <w:sz w:val="22"/>
          <w:szCs w:val="22"/>
        </w:rPr>
        <w:t xml:space="preserve">Cuando para cumplir con las funciones o la prestación del servicio sea necesaria la presencialidad en la sede de trabajo, podrán asistir a partir del 1° de diciembre de 2020, como máximo el 60 % de los servidores de cada despacho, secretaría, oficina, centro de servicios o dependencia en general, cumpliendo las medidas de bioseguridad previstas en el Acuerdo PCSJA20-11632 de 2020.</w:t>
      </w:r>
      <w:r>
        <w:rPr>
          <w:rFonts w:ascii="Arial" w:hAnsi="Arial" w:eastAsia="Arial" w:cs="Arial"/>
          <w:b/>
          <w:bCs/>
          <w:color w:val="000000"/>
          <w:sz w:val="22"/>
          <w:szCs w:val="22"/>
        </w:rPr>
        <w:t xml:space="preserve"> </w:t>
      </w:r>
    </w:p>
    <w:p>
      <w:pPr>
        <w:autoSpaceDE w:val="false"/>
        <w:autoSpaceDN w:val="false"/>
        <w:adjustRightInd w:val="false"/>
        <w:spacing/>
        <w:ind w:left="567" w:right="567"/>
        <w:jc w:val="both"/>
        <w:rPr>
          <w:rFonts w:ascii="Arial" w:hAnsi="Arial" w:eastAsia="Arial" w:cs="Arial"/>
          <w:b/>
          <w:bCs/>
          <w:color w:val="000000"/>
          <w:sz w:val="22"/>
          <w:szCs w:val="22"/>
        </w:rPr>
      </w:pPr>
    </w:p>
    <w:p>
      <w:pPr>
        <w:autoSpaceDE w:val="false"/>
        <w:autoSpaceDN w:val="false"/>
        <w:adjustRightInd w:val="false"/>
        <w:spacing/>
        <w:ind w:left="567" w:right="567"/>
        <w:jc w:val="both"/>
        <w:rPr>
          <w:rFonts w:ascii="Arial" w:hAnsi="Arial" w:eastAsia="Arial" w:cs="Arial"/>
          <w:b/>
          <w:bCs/>
          <w:color w:val="000000"/>
          <w:sz w:val="22"/>
          <w:szCs w:val="22"/>
        </w:rPr>
      </w:pPr>
      <w:r>
        <w:rPr>
          <w:rFonts w:ascii="Arial" w:hAnsi="Arial" w:eastAsia="Arial" w:cs="Arial"/>
          <w:bCs/>
          <w:color w:val="000000"/>
          <w:sz w:val="22"/>
          <w:szCs w:val="22"/>
        </w:rPr>
        <w:t xml:space="preserve">El magistrado, juez o jefe organizará la asistencia a las sedes de acuerdo con las necesidades de su despacho o dependencia y si es posible estableciendo un sistema de rotación.</w:t>
      </w:r>
    </w:p>
    <w:p>
      <w:pPr>
        <w:autoSpaceDE w:val="false"/>
        <w:autoSpaceDN w:val="false"/>
        <w:adjustRightInd w:val="false"/>
        <w:spacing/>
        <w:ind w:left="567" w:right="567"/>
        <w:jc w:val="both"/>
        <w:rPr>
          <w:rFonts w:ascii="Arial" w:hAnsi="Arial" w:eastAsia="Arial" w:cs="Arial"/>
          <w:bCs/>
          <w:sz w:val="22"/>
          <w:szCs w:val="22"/>
        </w:rPr>
      </w:pPr>
      <w:r>
        <w:rPr>
          <w:rFonts w:ascii="Arial" w:hAnsi="Arial" w:eastAsia="Arial" w:cs="Arial"/>
          <w:bCs/>
          <w:sz w:val="22"/>
          <w:szCs w:val="22"/>
        </w:rPr>
        <w:t xml:space="preserve">Quienes padezcan diabetes, enfermedad cardiovascular, incluida hipertensión arterial y accidente cerebrovascular, VIH, cáncer, enfermedad pulmonar obstructiva crónica (EPOC); que usen corticoides o inmunosupresores; que tengan mal nutrición (obesidad o desnutrición); que sean fumadores; las mujeres en estado de gestación, no deben asistir a las sedes judiciales.</w:t>
      </w:r>
    </w:p>
    <w:p>
      <w:pPr>
        <w:autoSpaceDE w:val="false"/>
        <w:autoSpaceDN w:val="false"/>
        <w:adjustRightInd w:val="false"/>
        <w:spacing/>
        <w:jc w:val="both"/>
        <w:rPr>
          <w:rFonts w:ascii="Arial" w:hAnsi="Arial" w:eastAsia="Arial" w:cs="Arial"/>
          <w:b/>
          <w:color w:val="FF0000"/>
          <w:sz w:val="22"/>
          <w:szCs w:val="22"/>
        </w:rPr>
      </w:pPr>
    </w:p>
    <w:p>
      <w:pPr>
        <w:spacing/>
        <w:jc w:val="both"/>
        <w:rPr>
          <w:rFonts w:ascii="Arial" w:hAnsi="Arial" w:eastAsia="Arial" w:cs="Arial"/>
          <w:sz w:val="22"/>
          <w:szCs w:val="22"/>
        </w:rPr>
      </w:pPr>
      <w:r>
        <w:rPr>
          <w:rFonts w:ascii="Arial" w:hAnsi="Arial" w:eastAsia="Arial" w:cs="Arial"/>
          <w:b/>
          <w:sz w:val="22"/>
          <w:szCs w:val="22"/>
        </w:rPr>
        <w:t xml:space="preserve">Artículo 2º Aplicación del Acuerdo CSJMEA20-</w:t>
      </w:r>
      <w:r>
        <w:rPr>
          <w:rFonts w:ascii="Arial" w:hAnsi="Arial" w:eastAsia="Arial" w:cs="Arial"/>
          <w:b/>
          <w:sz w:val="22"/>
          <w:szCs w:val="22"/>
        </w:rPr>
        <w:t xml:space="preserve">109 del 11 de noviembre de 2020. </w:t>
      </w:r>
      <w:r>
        <w:rPr>
          <w:rFonts w:ascii="Arial" w:hAnsi="Arial" w:eastAsia="Arial" w:cs="Arial"/>
          <w:sz w:val="22"/>
          <w:szCs w:val="22"/>
        </w:rPr>
        <w:t xml:space="preserve">Prorrogar la aplicación del Acuerdo CSJMEA20-</w:t>
      </w:r>
      <w:r>
        <w:rPr>
          <w:rFonts w:ascii="Arial" w:hAnsi="Arial" w:eastAsia="Arial" w:cs="Arial"/>
          <w:b/>
          <w:sz w:val="22"/>
          <w:szCs w:val="22"/>
        </w:rPr>
        <w:t xml:space="preserve">109 del 11 de noviembre de 2020</w:t>
      </w:r>
      <w:r>
        <w:rPr>
          <w:rFonts w:ascii="Arial" w:hAnsi="Arial" w:eastAsia="Arial" w:cs="Arial"/>
          <w:sz w:val="22"/>
          <w:szCs w:val="22"/>
        </w:rPr>
        <w:t xml:space="preserve"> “</w:t>
      </w:r>
      <w:r>
        <w:rPr>
          <w:rFonts w:ascii="Arial" w:hAnsi="Arial" w:eastAsia="Arial" w:cs="Arial"/>
          <w:i/>
          <w:sz w:val="22"/>
          <w:szCs w:val="22"/>
        </w:rPr>
        <w:t xml:space="preserve">Por el cual se adoptan medidas para la prestación del servicio de Administración de Justicia en los despachos judiciales y dependencias administrativas de los Distritos Judicial de Villavicencio y Administrativo del Meta</w:t>
      </w:r>
      <w:r>
        <w:rPr>
          <w:rFonts w:ascii="Arial" w:hAnsi="Arial" w:eastAsia="Arial" w:cs="Arial"/>
          <w:sz w:val="22"/>
          <w:szCs w:val="22"/>
        </w:rPr>
        <w:t xml:space="preserve">”.</w:t>
      </w:r>
    </w:p>
    <w:p>
      <w:pPr>
        <w:spacing/>
        <w:jc w:val="both"/>
        <w:rPr>
          <w:rFonts w:ascii="Arial" w:hAnsi="Arial" w:eastAsia="Arial" w:cs="Arial"/>
          <w:sz w:val="22"/>
          <w:szCs w:val="22"/>
        </w:rPr>
      </w:pPr>
    </w:p>
    <w:p>
      <w:pPr>
        <w:autoSpaceDE w:val="false"/>
        <w:autoSpaceDN w:val="false"/>
        <w:adjustRightInd w:val="false"/>
        <w:spacing/>
        <w:jc w:val="both"/>
        <w:rPr>
          <w:rFonts w:ascii="Arial" w:hAnsi="Arial" w:eastAsia="Arial" w:cs="Arial"/>
          <w:sz w:val="22"/>
          <w:szCs w:val="22"/>
        </w:rPr>
      </w:pPr>
      <w:r>
        <w:rPr>
          <w:rFonts w:ascii="Arial" w:hAnsi="Arial" w:eastAsia="Arial" w:cs="Arial"/>
          <w:b/>
          <w:sz w:val="22"/>
          <w:szCs w:val="22"/>
        </w:rPr>
        <w:t xml:space="preserve">Artículo 3°. Definición de aforos. </w:t>
      </w:r>
      <w:r>
        <w:rPr>
          <w:rFonts w:ascii="Arial" w:hAnsi="Arial" w:eastAsia="Arial" w:cs="Arial"/>
          <w:sz w:val="22"/>
          <w:szCs w:val="22"/>
        </w:rPr>
        <w:t xml:space="preserve">Los aforos permitidos por despacho de acuerdo al número de servidores que prestan el servicio, será el siguiente:</w:t>
      </w:r>
    </w:p>
    <w:p>
      <w:pPr>
        <w:autoSpaceDE w:val="false"/>
        <w:autoSpaceDN w:val="false"/>
        <w:adjustRightInd w:val="false"/>
        <w:spacing/>
        <w:jc w:val="both"/>
        <w:rPr>
          <w:rFonts w:ascii="Arial" w:hAnsi="Arial" w:eastAsia="Arial" w:cs="Arial"/>
          <w:sz w:val="22"/>
          <w:szCs w:val="22"/>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932"/>
        <w:gridCol w:w="1690"/>
        <w:gridCol w:w="1918"/>
        <w:gridCol w:w="2244"/>
      </w:tblGrid>
      <w:tr>
        <w:trPr>
          <w:trHeight w:val="300" w:hRule="atLeast"/>
        </w:trPr>
        <w:tc>
          <w:tcPr>
            <w:tcW w:type="dxa" w:w="8784"/>
            <w:gridSpan w:val="4"/>
            <w:tcBorders>
              <w:top w:val="single" w:color="auto" w:sz="4" w:space="0"/>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CONSEJO SECCIONAL DE LA JUDICATURA DEL META </w:t>
            </w:r>
          </w:p>
        </w:tc>
      </w:tr>
      <w:tr>
        <w:trPr>
          <w:trHeight w:val="20" w:hRule="atLeast"/>
        </w:trPr>
        <w:tc>
          <w:tcPr>
            <w:tcW w:type="dxa" w:w="297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297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Despacho Magistrada Lorena Gómez Roa</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97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Despacho Magistrado Romelio Elías Daza Molina</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97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Secretaría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932"/>
        <w:gridCol w:w="1690"/>
        <w:gridCol w:w="1918"/>
        <w:gridCol w:w="2244"/>
      </w:tblGrid>
      <w:tr>
        <w:trPr>
          <w:trHeight w:val="300" w:hRule="atLeast"/>
        </w:trPr>
        <w:tc>
          <w:tcPr>
            <w:tcW w:type="dxa" w:w="8784"/>
            <w:gridSpan w:val="4"/>
            <w:tcBorders>
              <w:top w:val="single" w:color="auto" w:sz="4" w:space="0"/>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SALA JURISDICCIONAL DISCIPLINARIA SECCIONAL META </w:t>
            </w:r>
          </w:p>
        </w:tc>
      </w:tr>
      <w:tr>
        <w:trPr>
          <w:trHeight w:val="20" w:hRule="atLeast"/>
        </w:trPr>
        <w:tc>
          <w:tcPr>
            <w:tcW w:type="dxa" w:w="297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297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Despacho Magistrado Cristian Pinzón Ortiz</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297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Despacho Magistrado María de Jesús Muñoz </w:t>
            </w:r>
            <w:r>
              <w:rPr>
                <w:rFonts w:ascii="Arial" w:hAnsi="Arial" w:eastAsia="Arial" w:cs="Arial"/>
                <w:sz w:val="20"/>
                <w:szCs w:val="20"/>
                <w:lang w:eastAsia="es-CO"/>
              </w:rPr>
              <w:t xml:space="preserve">Villaquirán</w:t>
            </w:r>
            <w:r>
              <w:rPr>
                <w:rFonts w:ascii="Arial" w:hAnsi="Arial" w:eastAsia="Arial" w:cs="Arial"/>
                <w:sz w:val="20"/>
                <w:szCs w:val="20"/>
                <w:lang w:eastAsia="es-CO"/>
              </w:rPr>
              <w:t xml:space="preserve">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297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Secretaría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932"/>
        <w:gridCol w:w="1690"/>
        <w:gridCol w:w="1918"/>
        <w:gridCol w:w="2244"/>
      </w:tblGrid>
      <w:tr>
        <w:trPr>
          <w:trHeight w:val="300" w:hRule="atLeast"/>
        </w:trPr>
        <w:tc>
          <w:tcPr>
            <w:tcW w:type="dxa" w:w="8784"/>
            <w:gridSpan w:val="4"/>
            <w:tcBorders>
              <w:top w:val="single" w:color="auto" w:sz="4" w:space="0"/>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TRIBUNAL ADMINISTRATIVO 001 SIN SECCIONES DEL META</w:t>
            </w:r>
          </w:p>
        </w:tc>
      </w:tr>
      <w:tr>
        <w:trPr>
          <w:trHeight w:val="20" w:hRule="atLeast"/>
        </w:trPr>
        <w:tc>
          <w:tcPr>
            <w:tcW w:type="dxa" w:w="297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297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Despacho 001 Magistrada Teresa de Jesús Herrera Andrade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97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Despacho 002 Magistrada Carlos Enrique Ardila Obando</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97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Despacho 003 Magistrada Héctor Enrique Rey Moreno</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97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Despacho 004 Magistrada </w:t>
            </w:r>
            <w:r>
              <w:rPr>
                <w:rFonts w:ascii="Arial" w:hAnsi="Arial" w:eastAsia="Arial" w:cs="Arial"/>
                <w:sz w:val="20"/>
                <w:szCs w:val="20"/>
                <w:lang w:eastAsia="es-CO"/>
              </w:rPr>
              <w:t xml:space="preserve">Nelcy</w:t>
            </w:r>
            <w:r>
              <w:rPr>
                <w:rFonts w:ascii="Arial" w:hAnsi="Arial" w:eastAsia="Arial" w:cs="Arial"/>
                <w:sz w:val="20"/>
                <w:szCs w:val="20"/>
                <w:lang w:eastAsia="es-CO"/>
              </w:rPr>
              <w:t xml:space="preserve"> Vargas Tovar</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97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Despacho 005 Magistrada Claudia Patricia Alonso Pérez</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97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Secretaría TAM</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13</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8</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824"/>
        <w:gridCol w:w="1798"/>
        <w:gridCol w:w="1918"/>
        <w:gridCol w:w="2244"/>
      </w:tblGrid>
      <w:tr>
        <w:trPr>
          <w:trHeight w:val="615" w:hRule="atLeast"/>
        </w:trPr>
        <w:tc>
          <w:tcPr>
            <w:tcW w:type="dxa" w:w="8784"/>
            <w:gridSpan w:val="4"/>
            <w:tcBorders>
              <w:top w:val="single" w:color="auto" w:sz="4" w:space="0"/>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TRIBUNAL SUPERIOR DEL DISTRITO JUDICIAL DE VILLAVICENCIO</w:t>
            </w:r>
            <w:r>
              <w:rPr>
                <w:rFonts w:ascii="Arial" w:hAnsi="Arial" w:eastAsia="Arial" w:cs="Arial"/>
                <w:b/>
                <w:bCs/>
                <w:sz w:val="20"/>
                <w:szCs w:val="20"/>
                <w:lang w:eastAsia="es-CO"/>
              </w:rPr>
              <w:br/>
            </w:r>
            <w:r>
              <w:rPr>
                <w:rFonts w:ascii="Arial" w:hAnsi="Arial" w:eastAsia="Arial" w:cs="Arial"/>
                <w:b/>
                <w:bCs/>
                <w:sz w:val="20"/>
                <w:szCs w:val="20"/>
                <w:lang w:eastAsia="es-CO"/>
              </w:rPr>
              <w:t xml:space="preserve">SALA CIVIL - FAMILIA – LABORAL</w:t>
            </w:r>
          </w:p>
        </w:tc>
      </w:tr>
      <w:tr>
        <w:trPr>
          <w:trHeight w:val="20" w:hRule="atLeast"/>
        </w:trPr>
        <w:tc>
          <w:tcPr>
            <w:tcW w:type="dxa" w:w="286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81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286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Despacho 001 Magistrado Alberto Romero </w:t>
            </w:r>
            <w:r>
              <w:rPr>
                <w:rFonts w:ascii="Arial" w:hAnsi="Arial" w:eastAsia="Arial" w:cs="Arial"/>
                <w:sz w:val="20"/>
                <w:szCs w:val="20"/>
                <w:lang w:eastAsia="es-CO"/>
              </w:rPr>
              <w:t xml:space="preserve">Romero</w:t>
            </w:r>
            <w:r>
              <w:rPr>
                <w:rFonts w:ascii="Arial" w:hAnsi="Arial" w:eastAsia="Arial" w:cs="Arial"/>
                <w:sz w:val="20"/>
                <w:szCs w:val="20"/>
                <w:lang w:eastAsia="es-CO"/>
              </w:rPr>
              <w:t xml:space="preserve"> </w:t>
            </w:r>
          </w:p>
        </w:tc>
        <w:tc>
          <w:tcPr>
            <w:tcW w:type="dxa" w:w="181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286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Despacho 002 Magistrado  Hoover Ramos Salas  </w:t>
            </w:r>
          </w:p>
        </w:tc>
        <w:tc>
          <w:tcPr>
            <w:tcW w:type="dxa" w:w="181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286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Despacho 003 Magistrado  Rafael Albeiro Chavarro Poveda  </w:t>
            </w:r>
          </w:p>
        </w:tc>
        <w:tc>
          <w:tcPr>
            <w:tcW w:type="dxa" w:w="181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286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Despacho 004 Magistrado  Delfina Forero Mejía</w:t>
            </w:r>
          </w:p>
        </w:tc>
        <w:tc>
          <w:tcPr>
            <w:tcW w:type="dxa" w:w="181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286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Secretaría común</w:t>
            </w:r>
          </w:p>
        </w:tc>
        <w:tc>
          <w:tcPr>
            <w:tcW w:type="dxa" w:w="181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2862"/>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Relatoría </w:t>
            </w:r>
          </w:p>
        </w:tc>
        <w:tc>
          <w:tcPr>
            <w:tcW w:type="dxa" w:w="181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793"/>
        <w:gridCol w:w="1829"/>
        <w:gridCol w:w="1918"/>
        <w:gridCol w:w="2244"/>
      </w:tblGrid>
      <w:tr>
        <w:trPr>
          <w:trHeight w:val="795" w:hRule="atLeast"/>
        </w:trPr>
        <w:tc>
          <w:tcPr>
            <w:tcW w:type="dxa" w:w="8784"/>
            <w:gridSpan w:val="4"/>
            <w:tcBorders>
              <w:top w:val="single" w:color="auto" w:sz="4" w:space="0"/>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TRIBUNAL SUPERIOR DEL DISTRITO JUDICIAL DE VILLAVICENCIO</w:t>
            </w:r>
            <w:r>
              <w:rPr>
                <w:rFonts w:ascii="Arial" w:hAnsi="Arial" w:eastAsia="Arial" w:cs="Arial"/>
                <w:b/>
                <w:bCs/>
                <w:sz w:val="20"/>
                <w:szCs w:val="20"/>
                <w:lang w:eastAsia="es-CO"/>
              </w:rPr>
              <w:br/>
            </w:r>
            <w:r>
              <w:rPr>
                <w:rFonts w:ascii="Arial" w:hAnsi="Arial" w:eastAsia="Arial" w:cs="Arial"/>
                <w:b/>
                <w:bCs/>
                <w:sz w:val="20"/>
                <w:szCs w:val="20"/>
                <w:lang w:eastAsia="es-CO"/>
              </w:rPr>
              <w:t xml:space="preserve">SALA PENAL</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Despacho 001 Magistrado Patricia Rodríguez Torres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Despacho 002 Magistrado  Joel Darío Trejos Londoño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Despacho 003 Magistrado  Alcibíades Bautista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Secretaría común</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10</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794"/>
        <w:gridCol w:w="1829"/>
        <w:gridCol w:w="1918"/>
        <w:gridCol w:w="2243"/>
      </w:tblGrid>
      <w:tr>
        <w:trPr>
          <w:trHeight w:val="300" w:hRule="atLeast"/>
        </w:trPr>
        <w:tc>
          <w:tcPr>
            <w:tcW w:type="dxa" w:w="8784"/>
            <w:gridSpan w:val="4"/>
            <w:tcBorders>
              <w:top w:val="single" w:color="auto" w:sz="4" w:space="0"/>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JUZGADOS PENALES DEL CIRCUITO ESPECIALIZADO </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Primero Penal Especializado</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Segundo Penal Especializado</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4</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Tercero Penal Especializado</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5</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3</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Cuarto Penal Especializado</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4</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Centro de Servicios Juzgados  Especializado</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10</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6</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794"/>
        <w:gridCol w:w="1829"/>
        <w:gridCol w:w="1918"/>
        <w:gridCol w:w="2243"/>
      </w:tblGrid>
      <w:tr>
        <w:trPr>
          <w:trHeight w:val="300" w:hRule="atLeast"/>
        </w:trPr>
        <w:tc>
          <w:tcPr>
            <w:tcW w:type="dxa" w:w="8784"/>
            <w:gridSpan w:val="4"/>
            <w:tcBorders>
              <w:top w:val="nil"/>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JUZGADO  PENAL DEL CIRCUITO ESPECIALIZADO DE EXTINCION DE DOMINIO</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Penal Especializado de Extinción de Dominio</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793"/>
        <w:gridCol w:w="1829"/>
        <w:gridCol w:w="1918"/>
        <w:gridCol w:w="2244"/>
      </w:tblGrid>
      <w:tr>
        <w:trPr>
          <w:trHeight w:val="300" w:hRule="atLeast"/>
        </w:trPr>
        <w:tc>
          <w:tcPr>
            <w:tcW w:type="dxa" w:w="8784"/>
            <w:gridSpan w:val="4"/>
            <w:tcBorders>
              <w:top w:val="single" w:color="auto" w:sz="4" w:space="0"/>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JUZGADOS PENALES DEL CIRCUITO </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Primero Penal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Segundo Penal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Tercero Penal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Cuarto Penal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Quinto Penal </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843"/>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728"/>
        <w:gridCol w:w="1937"/>
        <w:gridCol w:w="1918"/>
        <w:gridCol w:w="2201"/>
      </w:tblGrid>
      <w:tr>
        <w:trPr>
          <w:trHeight w:val="300" w:hRule="atLeast"/>
        </w:trPr>
        <w:tc>
          <w:tcPr>
            <w:tcW w:type="dxa" w:w="8784"/>
            <w:gridSpan w:val="4"/>
            <w:tcBorders>
              <w:top w:val="single" w:color="auto" w:sz="4" w:space="0"/>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JUZGADOS DE EJECUCIÓN DE PENAS Y MEDIDAS DE SEGURIDAD DE VILLAVICENCIO</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Primero EPYMS</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6</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3,6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Segundo EPYMS</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5</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3</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3</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Tercero EPYMS</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6</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3,6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Centro de Servicios Juzgados  EPYMS</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19</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11,4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11</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728"/>
        <w:gridCol w:w="1937"/>
        <w:gridCol w:w="1918"/>
        <w:gridCol w:w="2201"/>
      </w:tblGrid>
      <w:tr>
        <w:trPr>
          <w:trHeight w:val="300" w:hRule="atLeast"/>
        </w:trPr>
        <w:tc>
          <w:tcPr>
            <w:tcW w:type="dxa" w:w="8784"/>
            <w:gridSpan w:val="4"/>
            <w:tcBorders>
              <w:top w:val="single" w:color="auto" w:sz="4" w:space="0"/>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JUZGADOS PENALES ADOLESCENTES DE VILLAVICENCIO</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Primero Penal del Circuito SRPA</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Segundo Penal del Circuito SRPA</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Primero Penal Municipal SRPA</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Segundo Penal Municipal SRPA</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Centro de Servicios Juzgados  EPYMS</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8</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731"/>
        <w:gridCol w:w="1936"/>
        <w:gridCol w:w="1918"/>
        <w:gridCol w:w="2199"/>
      </w:tblGrid>
      <w:tr>
        <w:trPr>
          <w:trHeight w:val="300" w:hRule="atLeast"/>
        </w:trPr>
        <w:tc>
          <w:tcPr>
            <w:tcW w:type="dxa" w:w="8784"/>
            <w:gridSpan w:val="4"/>
            <w:tcBorders>
              <w:top w:val="single" w:color="auto" w:sz="4" w:space="0"/>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JUZGADOS PENALES MUNICIPALES DE VILLAVICENCIO</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Primero con Función de Control de Garantías</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Segundo con Función de Control de Garantías</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bookmarkStart w:id="2" w:name="_GoBack"/>
            <w:bookmarkEnd w:id="2"/>
            <w:r>
              <w:rPr>
                <w:rFonts w:ascii="Arial" w:hAnsi="Arial" w:eastAsia="Arial" w:cs="Arial"/>
                <w:bCs/>
                <w:sz w:val="20"/>
                <w:szCs w:val="20"/>
                <w:lang w:eastAsia="es-CO"/>
              </w:rPr>
              <w:t xml:space="preserve">3</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Tercero con Funcion de Conocimiento</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Cuarto con Funcion de Conocimiento</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Quinto con Funcion de Conocimiento</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Sexto con Función de Control de Garantías</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Séptimo con Funcion de Conocimiento</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Octavo con Funcion de Conocimiento</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Noveno con Función de Control de Garantías</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Primero Ambulante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Segundo Ambulante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Tercero Ambulante</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Centro de Servicios</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14</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8,4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8</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733"/>
        <w:gridCol w:w="1935"/>
        <w:gridCol w:w="1918"/>
        <w:gridCol w:w="2198"/>
      </w:tblGrid>
      <w:tr>
        <w:trPr>
          <w:trHeight w:val="300" w:hRule="atLeast"/>
        </w:trPr>
        <w:tc>
          <w:tcPr>
            <w:tcW w:type="dxa" w:w="8784"/>
            <w:gridSpan w:val="4"/>
            <w:tcBorders>
              <w:top w:val="single" w:color="auto" w:sz="4" w:space="0"/>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JUZGADOS ADMINISTRATIVO DEL CIRCUITO  DE VILLAVICENCIO</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2830"/>
            <w:tcBorders>
              <w:top w:val="single" w:color="auto" w:sz="8" w:space="0"/>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Primero Administrativo</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Segundo Administrativo</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Tercero Administrativo</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Cuarto Administrativo</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Quinto Administrativo</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Sexto Administrativo</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Séptimo Administrativo</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Octavo Administrativo</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Noveno Administrativo</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728"/>
        <w:gridCol w:w="1937"/>
        <w:gridCol w:w="1918"/>
        <w:gridCol w:w="2201"/>
      </w:tblGrid>
      <w:tr>
        <w:trPr>
          <w:trHeight w:val="300" w:hRule="atLeast"/>
        </w:trPr>
        <w:tc>
          <w:tcPr>
            <w:tcW w:type="dxa" w:w="8784"/>
            <w:gridSpan w:val="4"/>
            <w:tcBorders>
              <w:top w:val="single" w:color="auto" w:sz="4" w:space="0"/>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JUZGADOS CIVILES DEL CIRCUITO  DE VILLAVICENCIO</w:t>
            </w:r>
          </w:p>
        </w:tc>
      </w:tr>
      <w:tr>
        <w:trPr>
          <w:trHeight w:val="537"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300" w:hRule="atLeast"/>
        </w:trPr>
        <w:tc>
          <w:tcPr>
            <w:tcW w:type="dxa" w:w="2830"/>
            <w:tcBorders>
              <w:top w:val="single" w:color="auto" w:sz="8" w:space="0"/>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Primero Civil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30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Segundo Civil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30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Tercero Civil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30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Cuarto Civil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30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Quinto Civil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30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Centro de Servicios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728"/>
        <w:gridCol w:w="1937"/>
        <w:gridCol w:w="1918"/>
        <w:gridCol w:w="2201"/>
      </w:tblGrid>
      <w:tr>
        <w:trPr>
          <w:trHeight w:val="750" w:hRule="atLeast"/>
        </w:trPr>
        <w:tc>
          <w:tcPr>
            <w:tcW w:type="dxa" w:w="8784"/>
            <w:gridSpan w:val="4"/>
            <w:tcBorders>
              <w:top w:val="single" w:color="auto" w:sz="4" w:space="0"/>
              <w:left w:val="single" w:color="auto" w:sz="4" w:space="0"/>
              <w:bottom w:val="single" w:color="auto" w:sz="4" w:space="0"/>
              <w:right w:val="single" w:color="auto" w:sz="4" w:space="0"/>
            </w:tcBorders>
            <w:shd w:fill="99CCFF" w:color="000000" w:val="clear"/>
            <w:hideMark/>
            <w:vAlign w:val="bottom"/>
          </w:tcPr>
          <w:p>
            <w:pPr>
              <w:spacing/>
              <w:jc w:val="center"/>
              <w:rPr>
                <w:rFonts w:ascii="Arial" w:hAnsi="Arial" w:eastAsia="Arial" w:cs="Arial"/>
                <w:b/>
                <w:bCs/>
                <w:color w:val="000000"/>
                <w:sz w:val="20"/>
                <w:szCs w:val="20"/>
                <w:lang w:eastAsia="es-CO"/>
              </w:rPr>
            </w:pPr>
            <w:r>
              <w:rPr>
                <w:rFonts w:ascii="Arial" w:hAnsi="Arial" w:eastAsia="Arial" w:cs="Arial"/>
                <w:b/>
                <w:bCs/>
                <w:color w:val="000000"/>
                <w:sz w:val="20"/>
                <w:szCs w:val="20"/>
                <w:lang w:eastAsia="es-CO"/>
              </w:rPr>
              <w:t xml:space="preserve">JUZGADOS CIVILES DEL CIRCUITO  ESPECIALIZADO EN RESTITUCIÓN DE TIERRAS DE VILLAVICENCIO</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Primero Civil de Tierras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Segundo Civil de Tierras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9</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728"/>
        <w:gridCol w:w="1937"/>
        <w:gridCol w:w="1918"/>
        <w:gridCol w:w="2201"/>
      </w:tblGrid>
      <w:tr>
        <w:trPr>
          <w:trHeight w:val="735" w:hRule="atLeast"/>
        </w:trPr>
        <w:tc>
          <w:tcPr>
            <w:tcW w:type="dxa" w:w="8784"/>
            <w:gridSpan w:val="4"/>
            <w:tcBorders>
              <w:top w:val="single" w:color="auto" w:sz="4" w:space="0"/>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JUZGADOS CIVILES MUNICIPALES  DE VILLAVICENCIO</w:t>
            </w:r>
          </w:p>
        </w:tc>
      </w:tr>
      <w:tr>
        <w:trPr>
          <w:trHeight w:val="5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30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Primero Civil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30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Segundo Civil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30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Tercero Civil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30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Cuarto Civil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4,2</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30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Quinto Civil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30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Sexto Civil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30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Séptimo Civil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30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Octavo Civil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730"/>
        <w:gridCol w:w="1936"/>
        <w:gridCol w:w="1918"/>
        <w:gridCol w:w="2200"/>
      </w:tblGrid>
      <w:tr>
        <w:trPr>
          <w:trHeight w:val="750" w:hRule="atLeast"/>
        </w:trPr>
        <w:tc>
          <w:tcPr>
            <w:tcW w:type="dxa" w:w="8784"/>
            <w:gridSpan w:val="4"/>
            <w:tcBorders>
              <w:top w:val="single" w:color="auto" w:sz="4" w:space="0"/>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JUZGADOS CIVILES DE PEQUEÑAS CAUSAS Y COMPETENCIA MULTIPLES  DE VILLAVICENCIO</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Primero Civil de Pequeñas Causas y Competencia Múltiple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Primero Civil de Pequeñas Causas y Competencia Múltiple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728"/>
        <w:gridCol w:w="1937"/>
        <w:gridCol w:w="1918"/>
        <w:gridCol w:w="2201"/>
      </w:tblGrid>
      <w:tr>
        <w:trPr>
          <w:trHeight w:val="300" w:hRule="atLeast"/>
        </w:trPr>
        <w:tc>
          <w:tcPr>
            <w:tcW w:type="dxa" w:w="8784"/>
            <w:gridSpan w:val="4"/>
            <w:tcBorders>
              <w:top w:val="single" w:color="auto" w:sz="4" w:space="0"/>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JUZGADOS LABORALES DEL CIRCUITO  DE VILLAVICENCIO</w:t>
            </w:r>
          </w:p>
        </w:tc>
      </w:tr>
      <w:tr>
        <w:trPr>
          <w:trHeight w:val="20" w:hRule="atLeast"/>
        </w:trPr>
        <w:tc>
          <w:tcPr>
            <w:tcW w:type="dxa" w:w="2830"/>
            <w:tcBorders>
              <w:top w:val="nil"/>
              <w:left w:val="single" w:color="auto" w:sz="4" w:space="0"/>
              <w:bottom w:val="nil"/>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2830"/>
            <w:tcBorders>
              <w:top w:val="single" w:color="auto" w:sz="4" w:space="0"/>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Primero Laborales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Segundo Laborales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Tercero Laborales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8</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4,8</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r>
    </w:tbl>
    <w:p>
      <w:pPr>
        <w:spacing/>
        <w:rPr>
          <w:rFonts w:ascii="Arial" w:hAnsi="Arial" w:eastAsia="Arial" w:cs="Arial"/>
          <w:sz w:val="20"/>
          <w:szCs w:val="20"/>
        </w:rPr>
      </w:pPr>
    </w:p>
    <w:tbl>
      <w:tblPr>
        <w:tblW w:w="8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2728"/>
        <w:gridCol w:w="1937"/>
        <w:gridCol w:w="1918"/>
        <w:gridCol w:w="2201"/>
      </w:tblGrid>
      <w:tr>
        <w:trPr>
          <w:trHeight w:val="300" w:hRule="atLeast"/>
        </w:trPr>
        <w:tc>
          <w:tcPr>
            <w:tcW w:type="dxa" w:w="8784"/>
            <w:gridSpan w:val="4"/>
            <w:tcBorders>
              <w:top w:val="nil"/>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JUZGADO DE PEQUEÑAS CAUSAS LABORALES</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283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Juez Pequeñas Causas Laborales </w:t>
            </w:r>
          </w:p>
        </w:tc>
        <w:tc>
          <w:tcPr>
            <w:tcW w:type="dxa" w:w="198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268"/>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bl>
    <w:p>
      <w:pPr>
        <w:spacing/>
        <w:rPr>
          <w:rFonts w:ascii="Arial" w:hAnsi="Arial" w:eastAsia="Arial" w:cs="Arial"/>
          <w:sz w:val="20"/>
          <w:szCs w:val="20"/>
        </w:rPr>
      </w:pPr>
    </w:p>
    <w:tbl>
      <w:tblPr>
        <w:tblW w:w="89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3131"/>
        <w:gridCol w:w="1540"/>
        <w:gridCol w:w="1918"/>
        <w:gridCol w:w="2337"/>
      </w:tblGrid>
      <w:tr>
        <w:trPr>
          <w:trHeight w:val="675" w:hRule="atLeast"/>
        </w:trPr>
        <w:tc>
          <w:tcPr>
            <w:tcW w:type="dxa" w:w="8926"/>
            <w:gridSpan w:val="4"/>
            <w:tcBorders>
              <w:top w:val="single" w:color="auto" w:sz="4" w:space="0"/>
              <w:left w:val="single" w:color="auto" w:sz="4" w:space="0"/>
              <w:bottom w:val="single" w:color="auto" w:sz="4" w:space="0"/>
              <w:right w:val="single" w:color="auto"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JUZGADOS FAMILIA DEL CIRCUITO  DE VILLAVICENCIO</w:t>
            </w:r>
          </w:p>
        </w:tc>
      </w:tr>
      <w:tr>
        <w:trPr>
          <w:trHeight w:val="20" w:hRule="atLeast"/>
        </w:trPr>
        <w:tc>
          <w:tcPr>
            <w:tcW w:type="dxa" w:w="3256"/>
            <w:tcBorders>
              <w:top w:val="nil"/>
              <w:left w:val="single" w:color="auto" w:sz="4" w:space="0"/>
              <w:bottom w:val="nil"/>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55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41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3256"/>
            <w:tcBorders>
              <w:top w:val="single" w:color="auto" w:sz="4" w:space="0"/>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Primero Familia </w:t>
            </w:r>
          </w:p>
        </w:tc>
        <w:tc>
          <w:tcPr>
            <w:tcW w:type="dxa" w:w="155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41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256"/>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Segundo Familia</w:t>
            </w:r>
          </w:p>
        </w:tc>
        <w:tc>
          <w:tcPr>
            <w:tcW w:type="dxa" w:w="155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41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256"/>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Tercero Familia</w:t>
            </w:r>
          </w:p>
        </w:tc>
        <w:tc>
          <w:tcPr>
            <w:tcW w:type="dxa" w:w="155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4,2</w:t>
            </w:r>
          </w:p>
        </w:tc>
        <w:tc>
          <w:tcPr>
            <w:tcW w:type="dxa" w:w="241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3256"/>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Cuarto Familia</w:t>
            </w:r>
          </w:p>
        </w:tc>
        <w:tc>
          <w:tcPr>
            <w:tcW w:type="dxa" w:w="155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41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256"/>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Centro de Servicios </w:t>
            </w:r>
          </w:p>
        </w:tc>
        <w:tc>
          <w:tcPr>
            <w:tcW w:type="dxa" w:w="155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1701"/>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7,2</w:t>
            </w:r>
          </w:p>
        </w:tc>
        <w:tc>
          <w:tcPr>
            <w:tcW w:type="dxa" w:w="241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r>
    </w:tbl>
    <w:p>
      <w:pPr>
        <w:spacing/>
        <w:rPr>
          <w:rFonts w:ascii="Arial" w:hAnsi="Arial" w:eastAsia="Arial" w:cs="Arial"/>
          <w:sz w:val="20"/>
          <w:szCs w:val="20"/>
        </w:rPr>
      </w:pPr>
    </w:p>
    <w:tbl>
      <w:tblPr>
        <w:tblW w:w="89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3212"/>
        <w:gridCol w:w="1558"/>
        <w:gridCol w:w="1918"/>
        <w:gridCol w:w="2238"/>
      </w:tblGrid>
      <w:tr>
        <w:trPr>
          <w:trHeight w:val="20" w:hRule="atLeast"/>
        </w:trPr>
        <w:tc>
          <w:tcPr>
            <w:tcW w:type="dxa" w:w="8926"/>
            <w:gridSpan w:val="4"/>
            <w:tcBorders>
              <w:top w:val="single" w:color="auto" w:sz="4" w:space="0"/>
              <w:left w:val="single" w:color="auto" w:sz="4" w:space="0"/>
              <w:bottom w:val="single" w:color="auto" w:sz="4" w:space="0"/>
              <w:right w:val="single" w:color="000000" w:sz="4" w:space="0"/>
            </w:tcBorders>
            <w:shd w:fill="FFCC99"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SEDES JUDICIALES FUERA DE VILLAVICENCIO</w:t>
            </w:r>
          </w:p>
        </w:tc>
      </w:tr>
      <w:tr>
        <w:trPr>
          <w:trHeight w:val="20" w:hRule="atLeast"/>
        </w:trPr>
        <w:tc>
          <w:tcPr>
            <w:tcW w:type="dxa" w:w="8926"/>
            <w:gridSpan w:val="4"/>
            <w:tcBorders>
              <w:top w:val="single" w:color="auto" w:sz="4" w:space="0"/>
              <w:left w:val="single" w:color="auto" w:sz="4" w:space="0"/>
              <w:bottom w:val="single" w:color="auto" w:sz="4" w:space="0"/>
              <w:right w:val="single" w:color="000000"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JUZGADOS ADSCRITOS AL CIRCUITO VILLAVICENCIO</w:t>
            </w:r>
          </w:p>
        </w:tc>
      </w:tr>
      <w:tr>
        <w:trPr>
          <w:trHeight w:val="20" w:hRule="atLeast"/>
        </w:trPr>
        <w:tc>
          <w:tcPr>
            <w:tcW w:type="dxa" w:w="325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56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184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2262"/>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325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PROMISCUO MUNICIPAL DE BARRANCA DE UPIA </w:t>
            </w:r>
          </w:p>
        </w:tc>
        <w:tc>
          <w:tcPr>
            <w:tcW w:type="dxa" w:w="156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84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2"/>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25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PROMISCUO MUNICIPAL DE CUMARAL</w:t>
            </w:r>
          </w:p>
        </w:tc>
        <w:tc>
          <w:tcPr>
            <w:tcW w:type="dxa" w:w="156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84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2"/>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25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PROMISCUO MUNICIPAL DE EL CALVARIO</w:t>
            </w:r>
          </w:p>
        </w:tc>
        <w:tc>
          <w:tcPr>
            <w:tcW w:type="dxa" w:w="156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84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2"/>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25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PROMISCUO MUNICIPAL DE GUAYABETAL</w:t>
            </w:r>
          </w:p>
        </w:tc>
        <w:tc>
          <w:tcPr>
            <w:tcW w:type="dxa" w:w="156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84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2"/>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25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PROMISCUO MUNICIPAL DE LA MACARENA</w:t>
            </w:r>
          </w:p>
        </w:tc>
        <w:tc>
          <w:tcPr>
            <w:tcW w:type="dxa" w:w="156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84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2"/>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25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PROMISCUO MUNICIPAL DE MAPIRIPAN</w:t>
            </w:r>
          </w:p>
        </w:tc>
        <w:tc>
          <w:tcPr>
            <w:tcW w:type="dxa" w:w="156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184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2262"/>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25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PROMISCUO MUNICIPAL DE MEDINA</w:t>
            </w:r>
          </w:p>
        </w:tc>
        <w:tc>
          <w:tcPr>
            <w:tcW w:type="dxa" w:w="156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84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2"/>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25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PROMISCUO MUNICIPAL DE PARATEBUENO </w:t>
            </w:r>
          </w:p>
        </w:tc>
        <w:tc>
          <w:tcPr>
            <w:tcW w:type="dxa" w:w="156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84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2262"/>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25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PROMISCUO MUNICIPAL DE RESTREPO</w:t>
            </w:r>
          </w:p>
        </w:tc>
        <w:tc>
          <w:tcPr>
            <w:tcW w:type="dxa" w:w="156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184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2262"/>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25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PROMISCUO MUNICIPAL DE SAN JUANITO</w:t>
            </w:r>
          </w:p>
        </w:tc>
        <w:tc>
          <w:tcPr>
            <w:tcW w:type="dxa" w:w="1565"/>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1849"/>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2262"/>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bl>
    <w:p>
      <w:pPr>
        <w:spacing/>
        <w:rPr>
          <w:rFonts w:ascii="Arial" w:hAnsi="Arial" w:eastAsia="Arial" w:cs="Arial"/>
          <w:sz w:val="20"/>
          <w:szCs w:val="20"/>
        </w:rPr>
      </w:pPr>
    </w:p>
    <w:tbl>
      <w:tblPr>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3440"/>
        <w:gridCol w:w="1660"/>
        <w:gridCol w:w="2180"/>
        <w:gridCol w:w="1900"/>
      </w:tblGrid>
      <w:tr>
        <w:trPr>
          <w:trHeight w:val="20" w:hRule="atLeast"/>
        </w:trPr>
        <w:tc>
          <w:tcPr>
            <w:tcW w:type="dxa" w:w="9180"/>
            <w:gridSpan w:val="4"/>
            <w:tcBorders>
              <w:top w:val="single" w:color="auto" w:sz="4" w:space="0"/>
              <w:left w:val="single" w:color="auto" w:sz="4" w:space="0"/>
              <w:bottom w:val="single" w:color="auto" w:sz="4" w:space="0"/>
              <w:right w:val="single" w:color="000000"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CIRCUITO JUDICIAL DE ACACIAS</w:t>
            </w:r>
          </w:p>
        </w:tc>
      </w:tr>
      <w:tr>
        <w:trPr>
          <w:trHeight w:val="20" w:hRule="atLeast"/>
        </w:trPr>
        <w:tc>
          <w:tcPr>
            <w:tcW w:type="dxa" w:w="3440"/>
            <w:tcBorders>
              <w:top w:val="nil"/>
              <w:left w:val="single" w:color="auto" w:sz="4" w:space="0"/>
              <w:bottom w:val="nil"/>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660"/>
            <w:tcBorders>
              <w:top w:val="nil"/>
              <w:left w:val="nil"/>
              <w:bottom w:val="nil"/>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2180"/>
            <w:tcBorders>
              <w:top w:val="nil"/>
              <w:left w:val="nil"/>
              <w:bottom w:val="nil"/>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1900"/>
            <w:tcBorders>
              <w:top w:val="nil"/>
              <w:left w:val="nil"/>
              <w:bottom w:val="nil"/>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3440"/>
            <w:tcBorders>
              <w:top w:val="single" w:color="auto" w:sz="4" w:space="0"/>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CIVIL DEL CIRCUITO </w:t>
            </w:r>
          </w:p>
        </w:tc>
        <w:tc>
          <w:tcPr>
            <w:tcW w:type="dxa" w:w="1660"/>
            <w:tcBorders>
              <w:top w:val="single" w:color="auto" w:sz="4" w:space="0"/>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single" w:color="auto" w:sz="4" w:space="0"/>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single" w:color="auto" w:sz="4" w:space="0"/>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PENAL DEL CIRCUITO </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PROMISCUO FAMILIA</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8</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4,8</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PRIMERO PROMISCUO MUNICIPAL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SEGUNDO PROMISCUO MUNICIPAL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CENTRO DE SERVICIOS JUZGADOS PROMISCUOS MPALES</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4,2</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1 EJECUCIÓN DE PENAS Y MEDIDAS DE SEGURIDAD</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2 EJECUCIÓN DE PENAS Y MEDIDAS DE SEGURIDAD</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3 EJECUCIÓN DE PENAS Y MEDIDAS DE SEGURIDAD </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4 EJECUCIÓN DE PENAS Y MEDIDAS DE SEGURIDAD</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CENTRO DE SERVICIOS DE EJECUCIÓN DE PENAS Y MEDIDAS DE SEGURIDAD</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11</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6,6</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7</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CASTILLA LA NUEVA</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CUBARRAL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EL CASTILLO</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GUAMAL </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SAN CARLOS DE GUAROA</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EL DORADO </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bl>
    <w:p>
      <w:pPr>
        <w:spacing/>
        <w:rPr>
          <w:rFonts w:ascii="Arial" w:hAnsi="Arial" w:eastAsia="Arial" w:cs="Arial"/>
          <w:sz w:val="20"/>
          <w:szCs w:val="20"/>
        </w:rPr>
      </w:pPr>
    </w:p>
    <w:tbl>
      <w:tblPr>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3440"/>
        <w:gridCol w:w="1660"/>
        <w:gridCol w:w="2180"/>
        <w:gridCol w:w="1900"/>
      </w:tblGrid>
      <w:tr>
        <w:trPr>
          <w:trHeight w:val="20" w:hRule="atLeast"/>
        </w:trPr>
        <w:tc>
          <w:tcPr>
            <w:tcW w:type="dxa" w:w="9180"/>
            <w:gridSpan w:val="4"/>
            <w:tcBorders>
              <w:top w:val="single" w:color="auto" w:sz="4" w:space="0"/>
              <w:left w:val="single" w:color="auto" w:sz="4" w:space="0"/>
              <w:bottom w:val="single" w:color="auto" w:sz="4" w:space="0"/>
              <w:right w:val="single" w:color="000000"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CIRCUITO JUDICIAL DE GRANADA</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CIVIL DEL CIRCUITO </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PENAL DEL CIRCUITO </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PROMISCUO FAMILIA</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PRIMERO PROMISCUO MUNICIPAL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SEGUNDO PROMISCUO MUNICIPAL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TERCERO PROMISCUO MUNICIPAL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CENTRO DE SERVICIOS JUZGADOS PROMISCUOS MPALES</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FUENTE DE ORO</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PUERTO LLERAS </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PUERTO RICO </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bl>
    <w:p>
      <w:pPr>
        <w:spacing/>
        <w:rPr>
          <w:rFonts w:ascii="Arial" w:hAnsi="Arial" w:eastAsia="Arial" w:cs="Arial"/>
          <w:sz w:val="20"/>
          <w:szCs w:val="20"/>
        </w:rPr>
      </w:pPr>
    </w:p>
    <w:tbl>
      <w:tblPr>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3440"/>
        <w:gridCol w:w="1660"/>
        <w:gridCol w:w="2180"/>
        <w:gridCol w:w="1900"/>
      </w:tblGrid>
      <w:tr>
        <w:trPr>
          <w:trHeight w:val="20" w:hRule="atLeast"/>
        </w:trPr>
        <w:tc>
          <w:tcPr>
            <w:tcW w:type="dxa" w:w="9180"/>
            <w:gridSpan w:val="4"/>
            <w:tcBorders>
              <w:top w:val="single" w:color="auto" w:sz="4" w:space="0"/>
              <w:left w:val="single" w:color="auto" w:sz="4" w:space="0"/>
              <w:bottom w:val="single" w:color="auto" w:sz="4" w:space="0"/>
              <w:right w:val="single" w:color="000000"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CIRCUITO JUDICIAL DE PUERTO LOPEZ</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PRIMERO PROMISCUO DEL CIRCUITO</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SEGUNDO PROMISCUO DEL CIRCUITO</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PROMISCUO FAMILIA</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PRIMERO PROMISCUO MUNICIPAL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0,6</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SEGUNDO PROMISCUO MUNICIPAL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0,6</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CENTRO DE SERVICIOS JUZGADOS PROMISCUOS MPALES</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CABUYARO</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PUERTO GAITAN </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bl>
    <w:p>
      <w:pPr>
        <w:spacing/>
        <w:rPr>
          <w:rFonts w:ascii="Arial" w:hAnsi="Arial" w:eastAsia="Arial" w:cs="Arial"/>
          <w:sz w:val="20"/>
          <w:szCs w:val="20"/>
        </w:rPr>
      </w:pPr>
    </w:p>
    <w:tbl>
      <w:tblPr>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3440"/>
        <w:gridCol w:w="1660"/>
        <w:gridCol w:w="2180"/>
        <w:gridCol w:w="1900"/>
      </w:tblGrid>
      <w:tr>
        <w:trPr>
          <w:trHeight w:val="20" w:hRule="atLeast"/>
        </w:trPr>
        <w:tc>
          <w:tcPr>
            <w:tcW w:type="dxa" w:w="9180"/>
            <w:gridSpan w:val="4"/>
            <w:tcBorders>
              <w:top w:val="single" w:color="auto" w:sz="4" w:space="0"/>
              <w:left w:val="single" w:color="auto" w:sz="4" w:space="0"/>
              <w:bottom w:val="single" w:color="auto" w:sz="4" w:space="0"/>
              <w:right w:val="single" w:color="000000"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CIRCUITO JUDICIAL DE SAN MARTIN</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PROMISCUO DEL CIRCUITO</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PROMISCUO FAMILIA</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PRIMERO PROMISCUO MUNICIPAL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0,6</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SEGUNDO PROMISCUO MUNICIPAL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0,6</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CENTRO DE SERVICIOS JUZGADOS PROMISCUOS MPALES</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6</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3,6</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MESETAS</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LA URIBE</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LEJANIAS</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SAN JUAN DE ARAMA</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VISTA HERMOSA</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bl>
    <w:p>
      <w:pPr>
        <w:spacing/>
        <w:rPr>
          <w:rFonts w:ascii="Arial" w:hAnsi="Arial" w:eastAsia="Arial" w:cs="Arial"/>
          <w:sz w:val="20"/>
          <w:szCs w:val="20"/>
        </w:rPr>
      </w:pPr>
    </w:p>
    <w:tbl>
      <w:tblPr>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3440"/>
        <w:gridCol w:w="1660"/>
        <w:gridCol w:w="2180"/>
        <w:gridCol w:w="1900"/>
      </w:tblGrid>
      <w:tr>
        <w:trPr>
          <w:trHeight w:val="20" w:hRule="atLeast"/>
        </w:trPr>
        <w:tc>
          <w:tcPr>
            <w:tcW w:type="dxa" w:w="9180"/>
            <w:gridSpan w:val="4"/>
            <w:tcBorders>
              <w:top w:val="single" w:color="auto" w:sz="4" w:space="0"/>
              <w:left w:val="single" w:color="auto" w:sz="4" w:space="0"/>
              <w:bottom w:val="single" w:color="auto" w:sz="4" w:space="0"/>
              <w:right w:val="single" w:color="000000"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CIRCUITO JUDICIAL DE SAN JOSÈ DEL GUAVIARE</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PROMISCUO DEL CIRCUITO</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PROMISCUO FAMILIA</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PRIMERO PROMISCUO MUNICIPAL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0,6</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SEGUNDO PROMISCUO MUNICIPAL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0,6</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CENTRO DE SERVICIOS JUZGADOS PROMISCUOS MPALES</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CALAMAR</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EL RETORNO</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MIRAFLORES</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PUERTO CONCORDIA</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bl>
    <w:p>
      <w:pPr>
        <w:spacing/>
        <w:rPr>
          <w:rFonts w:ascii="Arial" w:hAnsi="Arial" w:eastAsia="Arial" w:cs="Arial"/>
          <w:sz w:val="20"/>
          <w:szCs w:val="20"/>
        </w:rPr>
      </w:pPr>
    </w:p>
    <w:tbl>
      <w:tblPr>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3440"/>
        <w:gridCol w:w="1660"/>
        <w:gridCol w:w="2180"/>
        <w:gridCol w:w="1900"/>
      </w:tblGrid>
      <w:tr>
        <w:trPr>
          <w:trHeight w:val="20" w:hRule="atLeast"/>
        </w:trPr>
        <w:tc>
          <w:tcPr>
            <w:tcW w:type="dxa" w:w="9180"/>
            <w:gridSpan w:val="4"/>
            <w:tcBorders>
              <w:top w:val="single" w:color="auto" w:sz="4" w:space="0"/>
              <w:left w:val="single" w:color="auto" w:sz="4" w:space="0"/>
              <w:bottom w:val="single" w:color="auto" w:sz="4" w:space="0"/>
              <w:right w:val="single" w:color="000000"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CIRCUITO JUDICIAL DE PUERTO CARREÑO</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PROMISCUO DEL CIRCUITO</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PROMISCUO FAMILIA</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PRIMERO PROMISCUO MUNICIPAL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SEGUNDO PROMISCUO MUNICIPAL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CUMARIBO</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LA PRIMAVERA</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SANTA ROSALIA</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bl>
    <w:p>
      <w:pPr>
        <w:spacing/>
        <w:rPr>
          <w:rFonts w:ascii="Arial" w:hAnsi="Arial" w:eastAsia="Arial" w:cs="Arial"/>
          <w:sz w:val="20"/>
          <w:szCs w:val="20"/>
        </w:rPr>
      </w:pPr>
    </w:p>
    <w:tbl>
      <w:tblPr>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3440"/>
        <w:gridCol w:w="1660"/>
        <w:gridCol w:w="2180"/>
        <w:gridCol w:w="1900"/>
      </w:tblGrid>
      <w:tr>
        <w:trPr>
          <w:trHeight w:val="20" w:hRule="atLeast"/>
        </w:trPr>
        <w:tc>
          <w:tcPr>
            <w:tcW w:type="dxa" w:w="9180"/>
            <w:gridSpan w:val="4"/>
            <w:tcBorders>
              <w:top w:val="single" w:color="auto" w:sz="4" w:space="0"/>
              <w:left w:val="single" w:color="auto" w:sz="4" w:space="0"/>
              <w:bottom w:val="single" w:color="auto" w:sz="4" w:space="0"/>
              <w:right w:val="single" w:color="000000"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CIRCUITO JUDICIAL DE MITU</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PROMISCUO DEL CIRCUITO</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4</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2,4</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PROMISCUO FAMILIA</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PRIMERO PROMISCUO MUNICIPAL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SEGUNDO PROMISCUO MUNICIPAL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CARURU</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TARAIRA</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bl>
    <w:p>
      <w:pPr>
        <w:spacing/>
        <w:rPr>
          <w:rFonts w:ascii="Arial" w:hAnsi="Arial" w:eastAsia="Arial" w:cs="Arial"/>
          <w:sz w:val="20"/>
          <w:szCs w:val="20"/>
        </w:rPr>
      </w:pPr>
    </w:p>
    <w:tbl>
      <w:tblPr>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4A0" w:firstRow="1" w:lastRow="0" w:firstColumn="1" w:lastColumn="0" w:noHBand="0" w:noVBand="1"/>
      </w:tblPr>
      <w:tblGrid>
        <w:gridCol w:w="3440"/>
        <w:gridCol w:w="1660"/>
        <w:gridCol w:w="2180"/>
        <w:gridCol w:w="1900"/>
      </w:tblGrid>
      <w:tr>
        <w:trPr>
          <w:trHeight w:val="20" w:hRule="atLeast"/>
        </w:trPr>
        <w:tc>
          <w:tcPr>
            <w:tcW w:type="dxa" w:w="9180"/>
            <w:gridSpan w:val="4"/>
            <w:tcBorders>
              <w:top w:val="single" w:color="auto" w:sz="4" w:space="0"/>
              <w:left w:val="single" w:color="auto" w:sz="4" w:space="0"/>
              <w:bottom w:val="single" w:color="auto" w:sz="4" w:space="0"/>
              <w:right w:val="single" w:color="000000" w:sz="4" w:space="0"/>
            </w:tcBorders>
            <w:shd w:fill="99CCFF" w:color="000000"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CIRCUITO JUDICIAL DE INIRIDA</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DESPACHO </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PLANTA DE PERSONAL </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PRESENCIALIDAD MÁXIMA DEL 60% </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
                <w:bCs/>
                <w:sz w:val="20"/>
                <w:szCs w:val="20"/>
                <w:lang w:eastAsia="es-CO"/>
              </w:rPr>
            </w:pPr>
            <w:r>
              <w:rPr>
                <w:rFonts w:ascii="Arial" w:hAnsi="Arial" w:eastAsia="Arial" w:cs="Arial"/>
                <w:b/>
                <w:bCs/>
                <w:sz w:val="20"/>
                <w:szCs w:val="20"/>
                <w:lang w:eastAsia="es-CO"/>
              </w:rPr>
              <w:t xml:space="preserve">CANTIDAD PERMITIDA PARA INGRESAR </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PROMISCUO DEL CIRCUITO</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sz w:val="20"/>
                <w:szCs w:val="20"/>
                <w:lang w:eastAsia="es-CO"/>
              </w:rPr>
            </w:pPr>
            <w:r>
              <w:rPr>
                <w:rFonts w:ascii="Arial" w:hAnsi="Arial" w:eastAsia="Arial" w:cs="Arial"/>
                <w:sz w:val="20"/>
                <w:szCs w:val="20"/>
                <w:lang w:eastAsia="es-CO"/>
              </w:rPr>
              <w:t xml:space="preserve">JUZGADO PROMISCUO FAMILIA</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5</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PRIMERO PROMISCUO MUNICIPAL - JUEZ COORDINADOR</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SEGUNDO PROMISCUO MUNICIPAL</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1,2</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w:t>
            </w:r>
          </w:p>
        </w:tc>
      </w:tr>
      <w:tr>
        <w:trPr>
          <w:trHeight w:val="20" w:hRule="atLeast"/>
        </w:trPr>
        <w:tc>
          <w:tcPr>
            <w:tcW w:type="dxa" w:w="3440"/>
            <w:tcBorders>
              <w:top w:val="nil"/>
              <w:left w:val="single" w:color="auto" w:sz="4" w:space="0"/>
              <w:bottom w:val="single" w:color="auto" w:sz="4" w:space="0"/>
              <w:right w:val="single" w:color="auto" w:sz="4" w:space="0"/>
            </w:tcBorders>
            <w:shd w:fill="auto" w:color="auto" w:val="clear"/>
            <w:hideMark/>
            <w:vAlign w:val="center"/>
          </w:tcPr>
          <w:p>
            <w:pPr>
              <w:spacing/>
              <w:jc w:val="center"/>
              <w:rPr>
                <w:rFonts w:ascii="Arial" w:hAnsi="Arial" w:eastAsia="Arial" w:cs="Arial"/>
                <w:color w:val="000000"/>
                <w:sz w:val="20"/>
                <w:szCs w:val="20"/>
                <w:lang w:eastAsia="es-CO"/>
              </w:rPr>
            </w:pPr>
            <w:r>
              <w:rPr>
                <w:rFonts w:ascii="Arial" w:hAnsi="Arial" w:eastAsia="Arial" w:cs="Arial"/>
                <w:color w:val="000000"/>
                <w:sz w:val="20"/>
                <w:szCs w:val="20"/>
                <w:lang w:eastAsia="es-CO"/>
              </w:rPr>
              <w:t xml:space="preserve">JUZGADO PROMISCUO MUNICIPAL DE BARRANCO MINAS</w:t>
            </w:r>
          </w:p>
        </w:tc>
        <w:tc>
          <w:tcPr>
            <w:tcW w:type="dxa" w:w="166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3</w:t>
            </w:r>
          </w:p>
        </w:tc>
        <w:tc>
          <w:tcPr>
            <w:tcW w:type="dxa" w:w="218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1,8</w:t>
            </w:r>
          </w:p>
        </w:tc>
        <w:tc>
          <w:tcPr>
            <w:tcW w:type="dxa" w:w="1900"/>
            <w:tcBorders>
              <w:top w:val="nil"/>
              <w:left w:val="nil"/>
              <w:bottom w:val="single" w:color="auto" w:sz="4" w:space="0"/>
              <w:right w:val="single" w:color="auto" w:sz="4" w:space="0"/>
            </w:tcBorders>
            <w:shd w:fill="auto" w:color="auto" w:val="clear"/>
            <w:hideMark/>
            <w:vAlign w:val="center"/>
          </w:tcPr>
          <w:p>
            <w:pPr>
              <w:spacing/>
              <w:jc w:val="center"/>
              <w:rPr>
                <w:rFonts w:ascii="Arial" w:hAnsi="Arial" w:eastAsia="Arial" w:cs="Arial"/>
                <w:bCs/>
                <w:sz w:val="20"/>
                <w:szCs w:val="20"/>
                <w:lang w:eastAsia="es-CO"/>
              </w:rPr>
            </w:pPr>
            <w:r>
              <w:rPr>
                <w:rFonts w:ascii="Arial" w:hAnsi="Arial" w:eastAsia="Arial" w:cs="Arial"/>
                <w:bCs/>
                <w:sz w:val="20"/>
                <w:szCs w:val="20"/>
                <w:lang w:eastAsia="es-CO"/>
              </w:rPr>
              <w:t xml:space="preserve">2</w:t>
            </w:r>
          </w:p>
        </w:tc>
      </w:tr>
    </w:tbl>
    <w:p>
      <w:pPr>
        <w:autoSpaceDE w:val="false"/>
        <w:autoSpaceDN w:val="false"/>
        <w:adjustRightInd w:val="false"/>
        <w:spacing/>
        <w:jc w:val="both"/>
        <w:rPr>
          <w:rFonts w:ascii="Arial" w:hAnsi="Arial" w:eastAsia="Arial" w:cs="Arial"/>
          <w:sz w:val="22"/>
          <w:szCs w:val="22"/>
        </w:rPr>
      </w:pPr>
    </w:p>
    <w:p>
      <w:pPr>
        <w:autoSpaceDE w:val="false"/>
        <w:autoSpaceDN w:val="false"/>
        <w:adjustRightInd w:val="false"/>
        <w:spacing/>
        <w:jc w:val="both"/>
        <w:rPr>
          <w:rFonts w:ascii="Arial" w:hAnsi="Arial" w:eastAsia="Arial" w:cs="Arial"/>
          <w:sz w:val="22"/>
          <w:szCs w:val="22"/>
        </w:rPr>
      </w:pPr>
      <w:r>
        <w:rPr>
          <w:rFonts w:ascii="Arial" w:hAnsi="Arial" w:eastAsia="Arial" w:cs="Arial"/>
          <w:b/>
          <w:sz w:val="22"/>
          <w:szCs w:val="22"/>
        </w:rPr>
        <w:t xml:space="preserve">Parágrafo</w:t>
      </w:r>
      <w:r>
        <w:rPr>
          <w:rFonts w:ascii="Arial" w:hAnsi="Arial" w:eastAsia="Arial" w:cs="Arial"/>
          <w:b/>
          <w:sz w:val="22"/>
          <w:szCs w:val="22"/>
        </w:rPr>
        <w:t xml:space="preserve"> 1º</w:t>
      </w:r>
      <w:r>
        <w:rPr>
          <w:rFonts w:ascii="Arial" w:hAnsi="Arial" w:eastAsia="Arial" w:cs="Arial"/>
          <w:b/>
          <w:sz w:val="22"/>
          <w:szCs w:val="22"/>
        </w:rPr>
        <w:t xml:space="preserve">: </w:t>
      </w:r>
      <w:r>
        <w:rPr>
          <w:rFonts w:ascii="Arial" w:hAnsi="Arial" w:eastAsia="Arial" w:cs="Arial"/>
          <w:sz w:val="22"/>
          <w:szCs w:val="22"/>
        </w:rPr>
        <w:t xml:space="preserve">Para efectos del aforo de la Dirección Seccional de Administración Judicial, se entiende como dependencia cada una de las Coordinaciones.</w:t>
      </w:r>
    </w:p>
    <w:p>
      <w:pPr>
        <w:autoSpaceDE w:val="false"/>
        <w:autoSpaceDN w:val="false"/>
        <w:adjustRightInd w:val="false"/>
        <w:spacing/>
        <w:jc w:val="both"/>
        <w:rPr>
          <w:rFonts w:ascii="Arial" w:hAnsi="Arial" w:eastAsia="Arial" w:cs="Arial"/>
          <w:sz w:val="22"/>
          <w:szCs w:val="22"/>
        </w:rPr>
      </w:pPr>
    </w:p>
    <w:p>
      <w:pPr>
        <w:autoSpaceDE w:val="false"/>
        <w:autoSpaceDN w:val="false"/>
        <w:adjustRightInd w:val="false"/>
        <w:spacing/>
        <w:jc w:val="both"/>
        <w:rPr>
          <w:rFonts w:ascii="Arial" w:hAnsi="Arial" w:eastAsia="Arial" w:cs="Arial"/>
          <w:sz w:val="22"/>
          <w:szCs w:val="22"/>
        </w:rPr>
      </w:pPr>
      <w:r>
        <w:rPr>
          <w:rFonts w:ascii="Arial" w:hAnsi="Arial" w:eastAsia="Arial" w:cs="Arial"/>
          <w:b/>
          <w:sz w:val="22"/>
          <w:szCs w:val="22"/>
        </w:rPr>
        <w:t xml:space="preserve">Parágrafo 2º</w:t>
      </w:r>
      <w:r>
        <w:rPr>
          <w:rFonts w:ascii="Arial" w:hAnsi="Arial" w:eastAsia="Arial" w:cs="Arial"/>
          <w:b/>
          <w:bCs/>
          <w:sz w:val="22"/>
          <w:szCs w:val="22"/>
        </w:rPr>
        <w:t xml:space="preserve">.</w:t>
      </w:r>
      <w:r>
        <w:rPr>
          <w:rFonts w:ascii="Arial" w:hAnsi="Arial" w:eastAsia="Arial" w:cs="Arial"/>
          <w:bCs/>
          <w:sz w:val="22"/>
          <w:szCs w:val="22"/>
        </w:rPr>
        <w:t xml:space="preserve"> </w:t>
      </w:r>
      <w:r>
        <w:rPr>
          <w:rFonts w:ascii="Arial" w:hAnsi="Arial" w:eastAsia="Arial" w:cs="Arial"/>
          <w:b/>
          <w:bCs/>
          <w:sz w:val="22"/>
          <w:szCs w:val="22"/>
        </w:rPr>
        <w:t xml:space="preserve">Aforo de Auxiliares Judiciales Ad-Honorem y practicantes de derecho.</w:t>
      </w:r>
      <w:r>
        <w:rPr>
          <w:rFonts w:ascii="Arial" w:hAnsi="Arial" w:eastAsia="Arial" w:cs="Arial"/>
          <w:bCs/>
          <w:sz w:val="22"/>
          <w:szCs w:val="22"/>
        </w:rPr>
        <w:t xml:space="preserve"> Los despachos, secretarías, oficinas, centros o dependencias en general, que tengan dentro de su planta de personal Auxiliares Judiciales Ad-Honorem, y practicantes de derecho deberán reportarlos a la Dirección Seccional de Administración Judicial, al correo electrónico </w:t>
      </w:r>
      <w:r>
        <w:rPr/>
        <w:fldChar w:fldCharType="begin"/>
      </w:r>
      <w:r>
        <w:rPr/>
        <w:instrText xml:space="preserve">HYPERLINK "mailto:sopsisvcio@cendoj.ramajudicial.gov.co" </w:instrText>
      </w:r>
      <w:r>
        <w:rPr/>
        <w:fldChar w:fldCharType="separate"/>
      </w:r>
      <w:r>
        <w:rPr>
          <w:rStyle w:val="Hipervnculo"/>
          <w:rFonts w:ascii="Arial" w:hAnsi="Arial" w:eastAsia="Arial" w:cs="Arial"/>
          <w:color w:val="auto"/>
          <w:sz w:val="22"/>
          <w:szCs w:val="22"/>
        </w:rPr>
        <w:t xml:space="preserve">sopsisvcio@cendoj.ramajudicial.gov.co</w:t>
      </w:r>
      <w:r>
        <w:rPr/>
        <w:fldChar w:fldCharType="end"/>
      </w:r>
      <w:r>
        <w:rPr>
          <w:rFonts w:ascii="Arial" w:hAnsi="Arial" w:eastAsia="Arial" w:cs="Arial"/>
          <w:bCs/>
          <w:sz w:val="22"/>
          <w:szCs w:val="22"/>
        </w:rPr>
        <w:t xml:space="preserve">, con el fin de actualizar las bases de datos y ajustar el correspondiente aforo del 60%.</w:t>
      </w:r>
    </w:p>
    <w:p>
      <w:pPr>
        <w:spacing/>
        <w:jc w:val="both"/>
        <w:rPr>
          <w:rFonts w:ascii="Arial" w:hAnsi="Arial" w:eastAsia="Arial" w:cs="Arial"/>
          <w:sz w:val="22"/>
          <w:szCs w:val="22"/>
        </w:rPr>
      </w:pPr>
    </w:p>
    <w:p>
      <w:pPr>
        <w:spacing/>
        <w:jc w:val="both"/>
        <w:rPr>
          <w:rFonts w:ascii="Arial" w:hAnsi="Arial" w:eastAsia="Arial" w:cs="Arial"/>
          <w:sz w:val="22"/>
          <w:szCs w:val="22"/>
        </w:rPr>
      </w:pPr>
      <w:r>
        <w:rPr>
          <w:rFonts w:ascii="Arial" w:hAnsi="Arial" w:eastAsia="Arial" w:cs="Arial"/>
          <w:b/>
          <w:sz w:val="22"/>
          <w:szCs w:val="22"/>
        </w:rPr>
        <w:t xml:space="preserve">Artículo 4º.</w:t>
      </w:r>
      <w:r>
        <w:rPr>
          <w:rFonts w:ascii="Arial" w:hAnsi="Arial" w:eastAsia="Arial" w:cs="Arial"/>
          <w:sz w:val="22"/>
          <w:szCs w:val="22"/>
        </w:rPr>
        <w:t xml:space="preserve"> </w:t>
      </w:r>
      <w:r>
        <w:rPr>
          <w:rFonts w:ascii="Arial" w:hAnsi="Arial" w:eastAsia="Arial" w:cs="Arial"/>
          <w:b/>
          <w:sz w:val="22"/>
          <w:szCs w:val="22"/>
        </w:rPr>
        <w:t xml:space="preserve">Vigencia</w:t>
      </w:r>
      <w:r>
        <w:rPr>
          <w:rFonts w:ascii="Arial" w:hAnsi="Arial" w:eastAsia="Arial" w:cs="Arial"/>
          <w:sz w:val="22"/>
          <w:szCs w:val="22"/>
        </w:rPr>
        <w:t xml:space="preserve">. El presente Acuerdo rige a partir de la fecha de su expedición. </w:t>
      </w:r>
    </w:p>
    <w:p>
      <w:pPr>
        <w:spacing/>
        <w:jc w:val="both"/>
        <w:rPr>
          <w:rFonts w:ascii="Arial" w:hAnsi="Arial" w:eastAsia="Arial" w:cs="Arial"/>
          <w:sz w:val="22"/>
          <w:szCs w:val="22"/>
        </w:rPr>
      </w:pPr>
    </w:p>
    <w:p>
      <w:pPr>
        <w:spacing/>
        <w:jc w:val="center"/>
        <w:rPr>
          <w:rFonts w:ascii="Arial" w:hAnsi="Arial" w:eastAsia="Arial" w:cs="Arial"/>
          <w:b/>
          <w:sz w:val="22"/>
          <w:szCs w:val="22"/>
        </w:rPr>
      </w:pPr>
    </w:p>
    <w:p>
      <w:pPr>
        <w:spacing/>
        <w:jc w:val="center"/>
        <w:rPr>
          <w:rFonts w:ascii="Arial" w:hAnsi="Arial" w:eastAsia="Arial" w:cs="Arial"/>
          <w:b/>
          <w:sz w:val="22"/>
          <w:szCs w:val="22"/>
        </w:rPr>
      </w:pPr>
      <w:r>
        <w:rPr>
          <w:rFonts w:ascii="Arial" w:hAnsi="Arial" w:eastAsia="Arial" w:cs="Arial"/>
          <w:b/>
          <w:sz w:val="22"/>
          <w:szCs w:val="22"/>
        </w:rPr>
        <w:t xml:space="preserve">PUBLÍQUESE, COMUNÍQUESE Y CÚMPLASE</w:t>
      </w:r>
    </w:p>
    <w:p>
      <w:pPr>
        <w:spacing/>
        <w:jc w:val="center"/>
        <w:rPr>
          <w:rFonts w:ascii="Arial" w:hAnsi="Arial" w:eastAsia="Arial" w:cs="Arial"/>
          <w:sz w:val="22"/>
          <w:szCs w:val="22"/>
        </w:rPr>
      </w:pPr>
    </w:p>
    <w:p>
      <w:pPr>
        <w:spacing/>
        <w:jc w:val="center"/>
        <w:rPr>
          <w:rFonts w:ascii="Arial" w:hAnsi="Arial" w:eastAsia="Arial" w:cs="Arial"/>
          <w:sz w:val="22"/>
          <w:szCs w:val="22"/>
        </w:rPr>
      </w:pPr>
    </w:p>
    <w:p>
      <w:pPr>
        <w:spacing/>
        <w:jc w:val="center"/>
        <w:rPr>
          <w:rFonts w:ascii="Arial" w:hAnsi="Arial" w:eastAsia="Arial" w:cs="Arial"/>
          <w:sz w:val="22"/>
          <w:szCs w:val="22"/>
        </w:rPr>
      </w:pPr>
    </w:p>
    <w:p>
      <w:pPr>
        <w:spacing/>
        <w:jc w:val="center"/>
        <w:rPr>
          <w:rFonts w:ascii="Arial" w:hAnsi="Arial" w:eastAsia="Arial" w:cs="Arial"/>
          <w:sz w:val="22"/>
          <w:szCs w:val="22"/>
        </w:rPr>
      </w:pPr>
    </w:p>
    <w:p>
      <w:pPr>
        <w:spacing/>
        <w:rPr>
          <w:rFonts w:ascii="Arial" w:hAnsi="Arial" w:eastAsia="Arial" w:cs="Arial"/>
          <w:b/>
          <w:sz w:val="22"/>
          <w:szCs w:val="22"/>
        </w:rPr>
      </w:pPr>
      <w:r>
        <w:rPr>
          <w:rFonts w:ascii="Arial" w:hAnsi="Arial" w:eastAsia="Arial" w:cs="Arial"/>
          <w:b/>
          <w:sz w:val="22"/>
          <w:szCs w:val="22"/>
        </w:rPr>
        <w:t xml:space="preserve">LORENA GÓMEZ ROA </w:t>
      </w:r>
    </w:p>
    <w:p>
      <w:pPr>
        <w:spacing/>
        <w:rPr>
          <w:rFonts w:ascii="Arial" w:hAnsi="Arial" w:eastAsia="Arial" w:cs="Arial"/>
          <w:sz w:val="22"/>
          <w:szCs w:val="22"/>
        </w:rPr>
      </w:pPr>
      <w:r>
        <w:rPr>
          <w:rFonts w:ascii="Arial" w:hAnsi="Arial" w:eastAsia="Arial" w:cs="Arial"/>
          <w:sz w:val="22"/>
          <w:szCs w:val="22"/>
        </w:rPr>
        <w:t xml:space="preserve">Presidente</w:t>
      </w:r>
    </w:p>
    <w:p>
      <w:pPr>
        <w:spacing/>
        <w:rPr>
          <w:rFonts w:ascii="Arial" w:hAnsi="Arial" w:eastAsia="Arial" w:cs="Arial"/>
          <w:sz w:val="22"/>
          <w:szCs w:val="22"/>
        </w:rPr>
      </w:pPr>
    </w:p>
    <w:p>
      <w:pPr>
        <w:spacing/>
        <w:rPr>
          <w:rFonts w:ascii="Arial" w:hAnsi="Arial" w:eastAsia="Arial" w:cs="Arial"/>
          <w:sz w:val="16"/>
          <w:szCs w:val="16"/>
        </w:rPr>
      </w:pPr>
      <w:r>
        <w:rPr>
          <w:rFonts w:ascii="Arial" w:hAnsi="Arial" w:eastAsia="Arial" w:cs="Arial"/>
          <w:sz w:val="16"/>
          <w:szCs w:val="16"/>
        </w:rPr>
        <w:t xml:space="preserve">LGR/CPCR</w:t>
      </w:r>
    </w:p>
    <w:p>
      <w:pPr>
        <w:spacing/>
        <w:jc w:val="center"/>
        <w:rPr>
          <w:rFonts w:ascii="Arial" w:hAnsi="Arial" w:eastAsia="Arial" w:cs="Arial"/>
          <w:sz w:val="16"/>
          <w:szCs w:val="16"/>
          <w:lang w:val="es-CO"/>
        </w:rPr>
      </w:pPr>
    </w:p>
    <w:sectPr>
      <w:headerReference w:type="first" r:id="rId1"/>
      <w:footerReference w:type="first" r:id="rId2"/>
      <w:headerReference w:type="default" r:id="rId3"/>
      <w:footerReference w:type="default" r:id="rId4"/>
      <w:type w:val="nextPage"/>
      <w:pgSz w:w="12242" w:h="15842"/>
      <w:pgMar w:top="1701" w:right="1701" w:bottom="1701" w:left="1701" w:header="709" w:footer="709" w:gutter="0"/>
      <w:pgBorders/>
      <w:pgNumType w:fmt="decimal"/>
      <w:cols w:num="1" w:equalWidth="1"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43" w:usb2="00000009" w:usb3="00000000" w:csb0="000001FF" w:csb1="00000000"/>
  </w:font>
  <w:font w:name="Tahoma">
    <w:charset w:val="0"/>
    <w:family w:val="swiss"/>
    <w:pitch w:val="variable"/>
    <w:sig w:usb0="E1002EFF" w:usb1="C000605B" w:usb2="00000029" w:usb3="00000000" w:csb0="000101FF" w:csb1="00000000"/>
  </w:font>
  <w:font w:name="Arial Unicode MS">
    <w:charset w:val="80"/>
    <w:family w:val="swiss"/>
    <w:pitch w:val="variable"/>
    <w:sig w:usb0="F7FFAFFF" w:usb1="E9DFFFFF" w:usb2="0000003F" w:usb3="00000000" w:csb0="003F01FF" w:csb1="00000000"/>
  </w:font>
  <w:font w:name="Arial">
    <w:charset w:val="0"/>
    <w:family w:val="swiss"/>
    <w:pitch w:val="variable"/>
    <w:sig w:usb0="E0002AFF" w:usb1="C0007843" w:usb2="00000009" w:usb3="00000000" w:csb0="000001FF" w:csb1="00000000"/>
  </w:font>
  <w:font w:name="Berylium">
    <w:altName w:val="Times New Roman"/>
    <w:charset w:val="0"/>
    <w:family w:val="roman"/>
    <w:pitch w:val="default"/>
    <w:sig w:usb0="00000000" w:usb1="00000000" w:usb2="00000000" w:usb3="00000000" w:csb0="00000000" w:csb1="00000000"/>
  </w:font>
  <w:font w:name="Berylum">
    <w:altName w:val="Times New Roman"/>
    <w:charset w:val="0"/>
    <w:family w:val="roman"/>
    <w:pitch w:val="default"/>
    <w:sig w:usb0="00000000" w:usb1="00000000" w:usb2="00000000" w:usb3="00000000" w:csb0="00000000" w:csb1="00000000"/>
  </w:font>
  <w:font w:name="Calibri Light">
    <w:charset w:val="0"/>
    <w:family w:val="swiss"/>
    <w:pitch w:val="variable"/>
    <w:sig w:usb0="A00002EF" w:usb1="4000207B" w:usb2="00000000" w:usb3="00000000" w:csb0="0000019F" w:csb1="00000000"/>
  </w:font>
  <w:font w:name="Calibri">
    <w:charset w:val="0"/>
    <w:family w:val="swiss"/>
    <w:pitch w:val="variable"/>
    <w:sig w:usb0="E00002FF" w:usb1="4000ACFF" w:usb2="00000001" w:usb3="00000000" w:csb0="0000019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Piedepgina"/>
      <w:tabs>
        <w:tab w:val="left" w:pos="7371"/>
      </w:tabs>
      <w:spacing/>
      <w:rPr>
        <w:rFonts w:ascii="Berylum" w:hAnsi="Berylum" w:eastAsia="Berylum"/>
        <w:bCs/>
        <w:iCs/>
        <w:sz w:val="22"/>
        <w:szCs w:val="22"/>
      </w:rPr>
    </w:pPr>
    <w:r>
      <w:rPr>
        <w:rFonts w:ascii="Berylum" w:hAnsi="Berylum" w:eastAsia="Berylum"/>
        <w:bCs/>
        <w:iCs/>
      </w:rPr>
      <w:pict>
        <v:group id="Grupo 10" style="position:absolute;;margin-left:369pt;margin-top:-10.7pt;width:85.5pt;height:78pt;z-index:251658240;;mso-wrap-distance-left:0pt;mso-wrap-distance-top:0pt;mso-wrap-distance-right:0pt;mso-wrap-distance-bottom:0pt;" coordsize="10861,9906" coordorigin="0,0">
          <v:shape id="Picture 2" type="#_x0000_t75" style="position:absolute;left:6305;top:1607;width:4556;height:4686;;v-text-anchor:top" strokecolor="#000000" strokeweight="0.75pt">
            <v:stroke dashstyle="solid" linestyle="single" joinstyle="miter" endcap="flat" color2="#000000"/>
            <v:imagedata r:id="rId5" o:title="Logo-IQNet AZUL" croptop="3856f" cropbottom="4819f" cropleft="4819f" cropright="2891f"/>
          </v:shape>
          <v:rect id="3 Rectángulo" style="position:absolute;;top:7900;width:7120;height:2006;;v-text-anchor:top" filled="f" stroked="f" strokecolor="#000000">
            <v:textbox style="mso-fit-shape-to-text:t;">
              <w:txbxContent>
                <w:p>
                  <w:pPr>
                    <w:pStyle w:val="NormalWeb"/>
                    <w:spacing w:before="0" w:beforeAutospacing="0" w:after="0" w:afterAutospacing="0" w:line="256" w:lineRule="auto"/>
                    <w:rPr/>
                  </w:pPr>
                  <w:r>
                    <w:rPr>
                      <w:rFonts w:ascii="Arial" w:hAnsi="Arial" w:eastAsia="Arial"/>
                      <w:color w:val="000000"/>
                      <w:kern w:val="24"/>
                      <w:sz w:val="14"/>
                      <w:szCs w:val="14"/>
                      <w:lang w:val="es-CO"/>
                    </w:rPr>
                    <w:t xml:space="preserve">SC5780-4-15</w:t>
                  </w:r>
                </w:p>
              </w:txbxContent>
            </v:textbox>
          </v:rect>
          <v:shape id="Picture 3" type="#_x0000_t75" style="position:absolute;left:675;width:5321;height:7901;;v-text-anchor:top" strokecolor="#000000" strokeweight="0.75pt">
            <v:stroke dashstyle="solid" linestyle="single" joinstyle="miter" endcap="flat" color2="#000000"/>
            <v:imagedata r:id="rId6" o:title="Sello-ICONTEC_ISO-9001 AZUL" croptop="3710f" cropbottom="3710f" cropleft="4977f" cropright="5807f"/>
          </v:shape>
        </v:group>
      </w:pict>
    </w:r>
    <w:r>
      <w:rPr>
        <w:rFonts w:ascii="Berylum" w:hAnsi="Berylum" w:eastAsia="Berylum"/>
        <w:bCs/>
        <w:iCs/>
        <w:sz w:val="22"/>
        <w:szCs w:val="22"/>
      </w:rPr>
      <w:t xml:space="preserve">Carrera 29 No. 33B – 79 Palacio de Justicia, Torre B Tel: (8) 6622899 </w:t>
    </w:r>
  </w:p>
  <w:p>
    <w:pPr>
      <w:pStyle w:val="Piedepgina"/>
      <w:spacing/>
      <w:rPr>
        <w:rFonts w:ascii="Berylum" w:hAnsi="Berylum" w:eastAsia="Berylum"/>
        <w:bCs/>
        <w:iCs/>
        <w:sz w:val="22"/>
        <w:szCs w:val="22"/>
      </w:rPr>
    </w:pPr>
    <w:r>
      <w:rPr>
        <w:rFonts w:ascii="Berylum" w:hAnsi="Berylum" w:eastAsia="Berylum"/>
        <w:bCs/>
        <w:iCs/>
        <w:sz w:val="22"/>
        <w:szCs w:val="22"/>
      </w:rPr>
      <w:t xml:space="preserve">Fax. (8) 6629503 </w:t>
    </w:r>
    <w:r>
      <w:rPr/>
      <w:fldChar w:fldCharType="begin"/>
    </w:r>
    <w:r>
      <w:rPr/>
      <w:instrText xml:space="preserve">HYPERLINK "http://www.ramajudicial.gov.co" </w:instrText>
    </w:r>
    <w:r>
      <w:rPr/>
      <w:fldChar w:fldCharType="separate"/>
    </w:r>
    <w:r>
      <w:rPr>
        <w:rStyle w:val="Hipervnculo"/>
        <w:rFonts w:ascii="Berylum" w:hAnsi="Berylum" w:eastAsia="Berylum"/>
        <w:bCs/>
        <w:iCs/>
        <w:color w:val="auto"/>
        <w:sz w:val="22"/>
        <w:szCs w:val="22"/>
        <w:u w:val="none"/>
      </w:rPr>
      <w:t xml:space="preserve">www.ramajudicial.gov.co</w:t>
    </w:r>
    <w:r>
      <w:rPr/>
      <w:fldChar w:fldCharType="end"/>
    </w:r>
    <w:r>
      <w:rPr>
        <w:rFonts w:ascii="Berylum" w:hAnsi="Berylum" w:eastAsia="Berylum"/>
        <w:bCs/>
        <w:iCs/>
        <w:sz w:val="22"/>
        <w:szCs w:val="22"/>
      </w:rPr>
      <w:t xml:space="preserve"> </w:t>
    </w:r>
  </w:p>
  <w:p>
    <w:pPr>
      <w:pStyle w:val="Piedepgina"/>
      <w:spacing/>
      <w:rPr>
        <w:rFonts w:ascii="Berylum" w:hAnsi="Berylum" w:eastAsia="Berylum"/>
        <w:bCs/>
        <w:iCs/>
        <w:sz w:val="22"/>
        <w:szCs w:val="22"/>
      </w:rPr>
    </w:pPr>
    <w:r>
      <w:rPr>
        <w:rFonts w:ascii="Berylum" w:hAnsi="Berylum" w:eastAsia="Berylum"/>
        <w:bCs/>
        <w:iCs/>
        <w:sz w:val="22"/>
        <w:szCs w:val="22"/>
      </w:rPr>
      <w:t xml:space="preserve">E mail: </w:t>
    </w:r>
    <w:r>
      <w:rPr/>
      <w:fldChar w:fldCharType="begin"/>
    </w:r>
    <w:r>
      <w:rPr/>
      <w:instrText xml:space="preserve">HYPERLINK "mailto:consecmet@cendoj.ramajudicial.gov.co" </w:instrText>
    </w:r>
    <w:r>
      <w:rPr/>
      <w:fldChar w:fldCharType="separate"/>
    </w:r>
    <w:r>
      <w:rPr>
        <w:rFonts w:ascii="Berylum" w:hAnsi="Berylum" w:eastAsia="Berylum"/>
        <w:iCs/>
      </w:rPr>
      <w:t xml:space="preserve">consecmet@cendoj.ramajudicial.gov</w:t>
    </w:r>
    <w:r>
      <w:rPr>
        <w:rFonts w:ascii="Berylum" w:hAnsi="Berylum" w:eastAsia="Berylum"/>
        <w:iCs/>
      </w:rPr>
      <w:t xml:space="preserve">.co</w:t>
    </w:r>
    <w:r>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Piedepgina"/>
      <w:spacing/>
      <w:jc w:val="center"/>
      <w:rPr>
        <w:rFonts w:ascii="Berylum" w:hAnsi="Berylum" w:eastAsia="Berylum"/>
        <w:bCs/>
        <w:iCs/>
        <w:sz w:val="22"/>
        <w:szCs w:val="22"/>
      </w:rPr>
    </w:pPr>
    <w:r>
      <w:rPr>
        <w:rFonts w:ascii="Berylum" w:hAnsi="Berylum" w:eastAsia="Berylum"/>
        <w:bCs/>
        <w:iCs/>
        <w:sz w:val="22"/>
        <w:szCs w:val="22"/>
      </w:rPr>
      <w:t xml:space="preserve">Carrera 29 No. 33B – 79 Palacio de Justicia, Torre B Tel: (8) 6622899 Fax. (8) 6629503</w:t>
    </w:r>
  </w:p>
  <w:p>
    <w:pPr>
      <w:pStyle w:val="Piedepgina"/>
      <w:spacing/>
      <w:jc w:val="center"/>
      <w:rPr>
        <w:rFonts w:ascii="Berylum" w:hAnsi="Berylum" w:eastAsia="Berylum"/>
        <w:bCs/>
        <w:iCs/>
        <w:sz w:val="22"/>
        <w:szCs w:val="22"/>
      </w:rPr>
    </w:pPr>
    <w:r>
      <w:rPr/>
      <w:fldChar w:fldCharType="begin"/>
    </w:r>
    <w:r>
      <w:rPr/>
      <w:instrText xml:space="preserve">HYPERLINK "http://www.ramajudicial.gov.co" </w:instrText>
    </w:r>
    <w:r>
      <w:rPr/>
      <w:fldChar w:fldCharType="separate"/>
    </w:r>
    <w:r>
      <w:rPr>
        <w:rStyle w:val="Hipervnculo"/>
        <w:rFonts w:ascii="Berylum" w:hAnsi="Berylum" w:eastAsia="Berylum"/>
        <w:bCs/>
        <w:iCs/>
        <w:sz w:val="22"/>
        <w:szCs w:val="22"/>
      </w:rPr>
      <w:t xml:space="preserve">www.ramajudicial.gov.co</w:t>
    </w:r>
    <w:r>
      <w:rPr/>
      <w:fldChar w:fldCharType="end"/>
    </w:r>
    <w:r>
      <w:rPr>
        <w:rFonts w:ascii="Berylum" w:hAnsi="Berylum" w:eastAsia="Berylum"/>
        <w:bCs/>
        <w:iCs/>
        <w:sz w:val="22"/>
        <w:szCs w:val="22"/>
      </w:rPr>
      <w:t xml:space="preserve"> - E mail: </w:t>
    </w:r>
    <w:r>
      <w:rPr/>
      <w:fldChar w:fldCharType="begin"/>
    </w:r>
    <w:r>
      <w:rPr/>
      <w:instrText xml:space="preserve">HYPERLINK "mailto:consecmet@cendoj.ramajudicial.gov.co" </w:instrText>
    </w:r>
    <w:r>
      <w:rPr/>
      <w:fldChar w:fldCharType="separate"/>
    </w:r>
    <w:r>
      <w:rPr>
        <w:rFonts w:ascii="Berylum" w:hAnsi="Berylum" w:eastAsia="Berylum"/>
        <w:iCs/>
      </w:rPr>
      <w:t xml:space="preserve">consecmet@cendoj.ramajudicial.gov.co</w:t>
    </w:r>
    <w:r>
      <w:rPr/>
      <w:fldChar w:fldCharType="end"/>
    </w:r>
  </w:p>
  <w:p>
    <w:pPr>
      <w:pStyle w:val="Piedepgina"/>
      <w:spacing/>
      <w:rPr>
        <w:szCs w:val="22"/>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spacing/>
      <w:jc w:val="center"/>
      <w:rPr>
        <w:bCs/>
        <w:iCs/>
        <w:sz w:val="22"/>
        <w:szCs w:val="22"/>
      </w:rPr>
    </w:pPr>
    <w:r>
      <w:rPr>
        <w:rFonts w:ascii="Berylium" w:hAnsi="Berylium" w:eastAsia="Berylium"/>
        <w:bCs/>
        <w:iCs/>
        <w:noProof/>
        <w:sz w:val="22"/>
        <w:szCs w:val="22"/>
        <w:lang w:val="es-CO" w:eastAsia="es-CO"/>
      </w:rPr>
      <w:pict>
        <v:shape type="#_x0000_t75" style="position:absolute;margin-left:-67.05pt;margin-top:-10pt;width:188.25pt;height:62.15pt;z-index:-251659264;visibility:visible" wrapcoords="0 21600 21600 21600 21600 0 0 0">
          <v:imagedata r:id="rId7" o:title="Logo CSJ RGB_01"/>
          <w10:wrap type="none"/>
        </v:shape>
      </w:pict>
    </w:r>
  </w:p>
  <w:p>
    <w:pPr>
      <w:pStyle w:val="Encabezado"/>
      <w:spacing/>
      <w:jc w:val="center"/>
      <w:rPr>
        <w:rFonts w:ascii="Berylium" w:hAnsi="Berylium" w:eastAsia="Berylium"/>
        <w:bCs/>
        <w:iCs/>
        <w:sz w:val="22"/>
        <w:szCs w:val="22"/>
      </w:rPr>
    </w:pPr>
    <w:r>
      <w:rPr>
        <w:rFonts w:ascii="Berylium" w:hAnsi="Berylium" w:eastAsia="Berylium"/>
        <w:bCs/>
        <w:iCs/>
        <w:sz w:val="22"/>
        <w:szCs w:val="22"/>
      </w:rPr>
      <w:t xml:space="preserve">Consejo Superior de la Judicatura</w:t>
    </w:r>
  </w:p>
  <w:p>
    <w:pPr>
      <w:pStyle w:val="Encabezado"/>
      <w:spacing/>
      <w:jc w:val="center"/>
      <w:rPr/>
    </w:pPr>
    <w:r>
      <w:rPr>
        <w:rFonts w:ascii="Berylium" w:hAnsi="Berylium" w:eastAsia="Berylium"/>
        <w:bCs/>
        <w:iCs/>
        <w:sz w:val="22"/>
        <w:szCs w:val="22"/>
      </w:rPr>
      <w:t xml:space="preserve">Consejo Seccional de la Judicatura del Meta</w:t>
    </w:r>
  </w:p>
  <w:p>
    <w:pPr>
      <w:pStyle w:val="Encabezado"/>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Encabezado"/>
      <w:spacing/>
      <w:rPr>
        <w:rFonts w:ascii="Berylium" w:hAnsi="Berylium" w:eastAsia="Berylium"/>
        <w:bCs/>
        <w:iCs/>
        <w:sz w:val="22"/>
        <w:szCs w:val="22"/>
      </w:rPr>
    </w:pPr>
    <w:r>
      <w:rPr>
        <w:rFonts w:ascii="Berylium" w:hAnsi="Berylium" w:eastAsia="Berylium"/>
        <w:bCs/>
        <w:iCs/>
        <w:sz w:val="22"/>
        <w:szCs w:val="22"/>
      </w:rPr>
      <w:t xml:space="preserve">Acuerdo Hoja No. </w:t>
    </w:r>
    <w:r>
      <w:rPr>
        <w:rFonts w:ascii="Berylium" w:hAnsi="Berylium" w:eastAsia="Berylium"/>
        <w:bCs/>
        <w:iCs/>
        <w:sz w:val="22"/>
        <w:szCs w:val="22"/>
      </w:rPr>
      <w:fldChar w:fldCharType="begin"/>
    </w:r>
    <w:r>
      <w:rPr>
        <w:rFonts w:ascii="Berylium" w:hAnsi="Berylium" w:eastAsia="Berylium"/>
        <w:bCs/>
        <w:iCs/>
        <w:sz w:val="22"/>
        <w:szCs w:val="22"/>
      </w:rPr>
      <w:instrText xml:space="preserve"> PAGE   \* MERGEFORMAT </w:instrText>
    </w:r>
    <w:r>
      <w:rPr>
        <w:rFonts w:ascii="Berylium" w:hAnsi="Berylium" w:eastAsia="Berylium"/>
        <w:bCs/>
        <w:iCs/>
        <w:sz w:val="22"/>
        <w:szCs w:val="22"/>
      </w:rPr>
      <w:fldChar w:fldCharType="separate"/>
    </w:r>
    <w:r>
      <w:rPr>
        <w:rFonts w:ascii="Berylium" w:hAnsi="Berylium" w:eastAsia="Berylium"/>
        <w:bCs/>
        <w:iCs/>
        <w:noProof/>
        <w:sz w:val="22"/>
        <w:szCs w:val="22"/>
      </w:rPr>
      <w:t xml:space="preserve">12</w:t>
    </w:r>
    <w:r>
      <w:rPr>
        <w:rFonts w:ascii="Berylium" w:hAnsi="Berylium" w:eastAsia="Berylium"/>
        <w:bCs/>
        <w:iCs/>
        <w:sz w:val="22"/>
        <w:szCs w:val="22"/>
      </w:rPr>
      <w:fldChar w:fldCharType="end"/>
    </w:r>
  </w:p>
  <w:p>
    <w:pPr>
      <w:pStyle w:val="Encabezado"/>
      <w:spacin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xmlns:w="http://schemas.openxmlformats.org/wordprocessingml/2006/main"/>
  <w:documentProtection w:edit="forms" w:enforcement="0"/>
  <w:defaultTabStop w:val="708"/>
  <w:hyphenationZone w:val="425"/>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xmlns:w="http://schemas.openxmlformats.org/wordprocessingml/2006/main" w:val="es-MX"/>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s-MX" w:eastAsia="es-MX" w:bidi="ar-SA"/>
      </w:rPr>
    </w:rPrDefault>
    <w:pPrDefault>
      <w:pPr>
        <w:spacing/>
      </w:pPr>
    </w:pPrDefault>
  </w:docDefaults>
  <w:latentStyles xmlns:w="http://schemas.openxmlformats.org/wordprocessingml/2006/main"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pPr>
    <w:rPr>
      <w:sz w:val="24"/>
      <w:szCs w:val="24"/>
      <w:lang w:val="es-ES" w:eastAsia="es-ES"/>
    </w:rPr>
  </w:style>
  <w:style w:type="paragraph" w:styleId="Ttulo5">
    <w:name w:val="Heading 5"/>
    <w:basedOn w:val="Normal"/>
    <w:next w:val="Normal"/>
    <w:qFormat/>
    <w:pPr>
      <w:keepNext/>
      <w:spacing/>
      <w:jc w:val="both"/>
      <w:outlineLvl w:val="4"/>
    </w:pPr>
    <w:rPr>
      <w:rFonts w:ascii="Tahoma" w:hAnsi="Tahoma" w:eastAsia="Arial Unicode MS" w:cs="Tahoma"/>
      <w:b/>
      <w:bCs/>
      <w:lang w:val="es-CO"/>
    </w:rPr>
  </w:style>
  <w:style w:type="character" w:styleId="Fuentedeprrafopredeter" w:default="1">
    <w:name w:val="Default Paragraph Font"/>
    <w:uiPriority w:val="1"/>
    <w:semiHidden/>
    <w:unhideWhenUsed/>
    <w:rPr/>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name w:val="No List"/>
    <w:uiPriority w:val="99"/>
    <w:semiHidden/>
    <w:unhideWhenUsed/>
  </w:style>
  <w:style w:type="table" w:styleId="Tablaconcuadrcula">
    <w:name w:val="Table Grid"/>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styleId="Encabezado">
    <w:name w:val="Header"/>
    <w:basedOn w:val="Normal"/>
    <w:link w:val="EncabezadoCar"/>
    <w:uiPriority w:val="99"/>
    <w:pPr>
      <w:tabs>
        <w:tab w:val="center" w:pos="4252"/>
        <w:tab w:val="right" w:pos="8504"/>
      </w:tabs>
      <w:spacing/>
    </w:pPr>
    <w:rPr/>
  </w:style>
  <w:style w:type="paragraph" w:styleId="Piedepgina">
    <w:name w:val="Footer"/>
    <w:basedOn w:val="Normal"/>
    <w:pPr>
      <w:tabs>
        <w:tab w:val="center" w:pos="4252"/>
        <w:tab w:val="right" w:pos="8504"/>
      </w:tabs>
      <w:spacing/>
    </w:pPr>
    <w:rPr/>
  </w:style>
  <w:style w:type="character" w:styleId="PiedepginaCar" w:customStyle="1">
    <w:name w:val="Pie de página Car"/>
    <w:basedOn w:val="Fuentedeprrafopredeter"/>
    <w:rPr>
      <w:sz w:val="24"/>
      <w:szCs w:val="24"/>
      <w:lang w:val="es-ES" w:eastAsia="es-ES"/>
    </w:rPr>
  </w:style>
  <w:style w:type="character" w:styleId="EncabezadoCar" w:customStyle="1">
    <w:name w:val="Encabezado Car"/>
    <w:basedOn w:val="Fuentedeprrafopredeter"/>
    <w:uiPriority w:val="99"/>
    <w:rPr>
      <w:sz w:val="24"/>
      <w:szCs w:val="24"/>
      <w:lang w:val="es-ES" w:eastAsia="es-ES"/>
    </w:rPr>
  </w:style>
  <w:style w:type="character" w:styleId="Hipervnculo">
    <w:name w:val="Hyperlink"/>
    <w:basedOn w:val="Fuentedeprrafopredeter"/>
    <w:rPr>
      <w:color w:val="0000FF"/>
      <w:u w:val="single"/>
    </w:rPr>
  </w:style>
  <w:style w:type="paragraph" w:styleId="NormalWeb">
    <w:name w:val="Normal (Web)"/>
    <w:basedOn w:val="Normal"/>
    <w:uiPriority w:val="99"/>
    <w:unhideWhenUsed/>
    <w:pPr>
      <w:spacing w:before="100" w:beforeAutospacing="1" w:after="100" w:afterAutospacing="1"/>
    </w:pPr>
    <w:rPr>
      <w:lang w:val="es-MX" w:eastAsia="es-MX"/>
    </w:rPr>
  </w:style>
  <w:style w:type="paragraph" w:styleId="Default" w:customStyle="1">
    <w:name w:val="Default"/>
    <w:pPr>
      <w:autoSpaceDE w:val="false"/>
      <w:autoSpaceDN w:val="false"/>
      <w:adjustRightInd w:val="false"/>
      <w:spacing/>
    </w:pPr>
    <w:rPr>
      <w:rFonts w:ascii="Arial" w:hAnsi="Arial" w:eastAsia="Arial" w:cs="Arial"/>
      <w:color w:val="000000"/>
      <w:sz w:val="24"/>
      <w:szCs w:val="24"/>
      <w:lang w:val="es-CO" w:eastAsia="es-CO"/>
    </w:rPr>
  </w:style>
</w:styles>
</file>

<file path=word/_rels/document.xml.rels>&#65279;<?xml version="1.0" encoding="utf-8" standalone="yes"?><Relationships xmlns="http://schemas.openxmlformats.org/package/2006/relationships"><Relationship Id="rId8" Type="http://schemas.openxmlformats.org/officeDocument/2006/relationships/styles" Target="styles.xml" /><Relationship Id="rId9" Type="http://schemas.openxmlformats.org/officeDocument/2006/relationships/settings" Target="settings.xml" /><Relationship Id="rId10" Type="http://schemas.openxmlformats.org/officeDocument/2006/relationships/theme" Target="theme/theme1.xml" /><Relationship Id="rId2" Type="http://schemas.openxmlformats.org/officeDocument/2006/relationships/footer" Target="footer2.xml" /><Relationship Id="rId1" Type="http://schemas.openxmlformats.org/officeDocument/2006/relationships/header" Target="header1.xml" /><Relationship Id="rId4" Type="http://schemas.openxmlformats.org/officeDocument/2006/relationships/footer" Target="footer4.xml" /><Relationship Id="rId3" Type="http://schemas.openxmlformats.org/officeDocument/2006/relationships/header" Target="header3.xml" /><Relationship Id="rId11" Type="http://schemas.openxmlformats.org/officeDocument/2006/relationships/fontTable" Target="fontTable.xml" /></Relationships>
</file>

<file path=word/_rels/footer2.xml.rels>&#65279;<?xml version="1.0" encoding="utf-8" standalone="yes"?><Relationships xmlns="http://schemas.openxmlformats.org/package/2006/relationships"><Relationship Id="rId5" Type="http://schemas.openxmlformats.org/officeDocument/2006/relationships/image" Target="media/image2.png" /><Relationship Id="rId6" Type="http://schemas.openxmlformats.org/officeDocument/2006/relationships/image" Target="media/image3.png" /></Relationships>
</file>

<file path=word/_rels/header1.xml.rels>&#65279;<?xml version="1.0" encoding="utf-8" standalone="yes"?><Relationships xmlns="http://schemas.openxmlformats.org/package/2006/relationships"><Relationship Id="rId7"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12</Pages>
  <Words>2885</Words>
  <Characters>15870</Characters>
  <Application>Microsoft Office Word</Application>
  <DocSecurity>0</DocSecurity>
  <Lines>132</Lines>
  <Paragraphs>37</Paragraphs>
  <Company>CSJ</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CLAUDIA PATRICIA COLLAZOS RUIZ</cp:lastModifiedBy>
  <cp:revision>2</cp:revision>
  <dcterms:created xsi:type="dcterms:W3CDTF">2020-11-30T19:42:00Z</dcterms:created>
  <dcterms:modified xsi:type="dcterms:W3CDTF">2020-11-30T19:42:00Z</dcterms:modified>
</cp:coreProperties>
</file>