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34" w:rsidRPr="008F1A87" w:rsidRDefault="00FC3734" w:rsidP="00FC3734">
      <w:pPr>
        <w:jc w:val="center"/>
        <w:rPr>
          <w:rFonts w:ascii="Arial" w:hAnsi="Arial" w:cs="Arial"/>
          <w:sz w:val="22"/>
          <w:szCs w:val="22"/>
          <w:lang w:val="es-CO"/>
        </w:rPr>
      </w:pPr>
      <w:r w:rsidRPr="008F1A87">
        <w:rPr>
          <w:rFonts w:ascii="Arial" w:hAnsi="Arial" w:cs="Arial"/>
          <w:sz w:val="22"/>
          <w:szCs w:val="22"/>
          <w:lang w:val="es-CO"/>
        </w:rPr>
        <w:t xml:space="preserve">RESOLUCION No. </w:t>
      </w:r>
      <w:r>
        <w:rPr>
          <w:rFonts w:ascii="Arial" w:hAnsi="Arial" w:cs="Arial"/>
          <w:sz w:val="22"/>
          <w:szCs w:val="22"/>
          <w:lang w:val="es-CO"/>
        </w:rPr>
        <w:t>CSJMER17-210</w:t>
      </w:r>
    </w:p>
    <w:p w:rsidR="00FC3734" w:rsidRDefault="00FC3734" w:rsidP="00FC3734">
      <w:pPr>
        <w:jc w:val="center"/>
        <w:rPr>
          <w:rFonts w:ascii="Arial" w:hAnsi="Arial" w:cs="Arial"/>
          <w:sz w:val="22"/>
          <w:szCs w:val="22"/>
          <w:lang w:val="es-CO"/>
        </w:rPr>
      </w:pPr>
      <w:r>
        <w:rPr>
          <w:rFonts w:ascii="Arial" w:hAnsi="Arial" w:cs="Arial"/>
          <w:sz w:val="22"/>
          <w:szCs w:val="22"/>
          <w:lang w:val="es-CO"/>
        </w:rPr>
        <w:t>30 de octubre de 2017</w:t>
      </w:r>
    </w:p>
    <w:p w:rsidR="00955B5C" w:rsidRPr="00C96099" w:rsidRDefault="00955B5C" w:rsidP="00FC3734">
      <w:pPr>
        <w:rPr>
          <w:rFonts w:ascii="Arial" w:hAnsi="Arial" w:cs="Arial"/>
          <w:sz w:val="22"/>
          <w:szCs w:val="22"/>
          <w:lang w:val="es-CO"/>
        </w:rPr>
      </w:pPr>
    </w:p>
    <w:p w:rsidR="00D34307" w:rsidRPr="00C96099" w:rsidRDefault="00D34307" w:rsidP="00D34307">
      <w:pPr>
        <w:jc w:val="center"/>
        <w:rPr>
          <w:rFonts w:ascii="Arial" w:hAnsi="Arial" w:cs="Arial"/>
          <w:i/>
          <w:sz w:val="22"/>
          <w:szCs w:val="22"/>
          <w:lang w:val="es-CO"/>
        </w:rPr>
      </w:pPr>
      <w:r w:rsidRPr="00C96099">
        <w:rPr>
          <w:rFonts w:ascii="Arial" w:hAnsi="Arial" w:cs="Arial"/>
          <w:i/>
          <w:sz w:val="22"/>
          <w:szCs w:val="22"/>
          <w:lang w:val="es-CO"/>
        </w:rPr>
        <w:t>“Por medio de la cual se resuelve el recurso de reposición contra la calificación integral de servicios del pe</w:t>
      </w:r>
      <w:r w:rsidR="00AC0283" w:rsidRPr="00C96099">
        <w:rPr>
          <w:rFonts w:ascii="Arial" w:hAnsi="Arial" w:cs="Arial"/>
          <w:i/>
          <w:sz w:val="22"/>
          <w:szCs w:val="22"/>
          <w:lang w:val="es-CO"/>
        </w:rPr>
        <w:t>riodo 2015 por parte de la Juez</w:t>
      </w:r>
      <w:r w:rsidRPr="00C96099">
        <w:rPr>
          <w:rFonts w:ascii="Arial" w:hAnsi="Arial" w:cs="Arial"/>
          <w:i/>
          <w:sz w:val="22"/>
          <w:szCs w:val="22"/>
          <w:lang w:val="es-CO"/>
        </w:rPr>
        <w:t xml:space="preserve"> Civil del Circuito de Granada - Meta”</w:t>
      </w:r>
    </w:p>
    <w:p w:rsidR="00D34307" w:rsidRPr="00C96099" w:rsidRDefault="00D34307" w:rsidP="00D34307">
      <w:pPr>
        <w:jc w:val="center"/>
        <w:rPr>
          <w:rFonts w:ascii="Arial" w:hAnsi="Arial" w:cs="Arial"/>
          <w:sz w:val="22"/>
          <w:szCs w:val="22"/>
          <w:lang w:val="es-CO"/>
        </w:rPr>
      </w:pPr>
    </w:p>
    <w:p w:rsidR="00D34307" w:rsidRPr="00C96099" w:rsidRDefault="00D34307" w:rsidP="00D34307">
      <w:pPr>
        <w:jc w:val="center"/>
        <w:rPr>
          <w:rFonts w:ascii="Arial" w:hAnsi="Arial" w:cs="Arial"/>
          <w:sz w:val="22"/>
          <w:szCs w:val="22"/>
          <w:lang w:val="es-CO"/>
        </w:rPr>
      </w:pPr>
    </w:p>
    <w:p w:rsidR="00D34307" w:rsidRPr="00C96099" w:rsidRDefault="00D34307" w:rsidP="00D34307">
      <w:pPr>
        <w:jc w:val="center"/>
        <w:rPr>
          <w:rFonts w:ascii="Arial" w:hAnsi="Arial" w:cs="Arial"/>
          <w:b/>
          <w:sz w:val="22"/>
          <w:szCs w:val="22"/>
          <w:lang w:val="es-CO"/>
        </w:rPr>
      </w:pPr>
      <w:r w:rsidRPr="00C96099">
        <w:rPr>
          <w:rFonts w:ascii="Arial" w:hAnsi="Arial" w:cs="Arial"/>
          <w:b/>
          <w:sz w:val="22"/>
          <w:szCs w:val="22"/>
          <w:lang w:val="es-CO"/>
        </w:rPr>
        <w:t>EL CONSEJO SECCIONAL DE LA JUDICATURA DEL META</w:t>
      </w:r>
    </w:p>
    <w:p w:rsidR="00D34307" w:rsidRPr="00C96099" w:rsidRDefault="00D34307" w:rsidP="00D34307">
      <w:pPr>
        <w:rPr>
          <w:rFonts w:ascii="Arial" w:hAnsi="Arial" w:cs="Arial"/>
          <w:sz w:val="22"/>
          <w:szCs w:val="22"/>
          <w:lang w:val="es-CO"/>
        </w:rPr>
      </w:pPr>
    </w:p>
    <w:p w:rsidR="00D34307" w:rsidRPr="00C96099" w:rsidRDefault="00D34307" w:rsidP="00D34307">
      <w:pPr>
        <w:jc w:val="both"/>
        <w:rPr>
          <w:rFonts w:ascii="Arial" w:hAnsi="Arial" w:cs="Arial"/>
          <w:sz w:val="22"/>
          <w:szCs w:val="22"/>
          <w:lang w:val="es-CO"/>
        </w:rPr>
      </w:pPr>
      <w:r w:rsidRPr="00C96099">
        <w:rPr>
          <w:rFonts w:ascii="Arial" w:hAnsi="Arial" w:cs="Arial"/>
          <w:sz w:val="22"/>
          <w:szCs w:val="22"/>
          <w:lang w:val="es-CO"/>
        </w:rPr>
        <w:t>En ejercicio de sus facultades constitucionales, legales y reglamentarias, en especial de las conferidas en el artículo 101 de la Ley 270 de 1996 y las del Acuerdo No. PSAA14-10281 de 24 de diciembre de 2014, modificado por el Acuerdo PSAA15-10290 de 29 de enero de 2015 proferidos por el Consejo Superior de la Judicatura y con fundamento en los directrices que para tal efecto ha desarrollado la Corte Constitucional, se procede a resolver el recurs</w:t>
      </w:r>
      <w:r w:rsidR="00A12E9A" w:rsidRPr="00C96099">
        <w:rPr>
          <w:rFonts w:ascii="Arial" w:hAnsi="Arial" w:cs="Arial"/>
          <w:sz w:val="22"/>
          <w:szCs w:val="22"/>
          <w:lang w:val="es-CO"/>
        </w:rPr>
        <w:t xml:space="preserve">o de reposición interpuesto contra la calificación integral de servicios del año 2015, por parte de la servidora judicial </w:t>
      </w:r>
      <w:proofErr w:type="spellStart"/>
      <w:r w:rsidR="00A12E9A" w:rsidRPr="00C96099">
        <w:rPr>
          <w:rFonts w:ascii="Arial" w:hAnsi="Arial" w:cs="Arial"/>
          <w:sz w:val="22"/>
          <w:szCs w:val="22"/>
          <w:lang w:val="es-CO"/>
        </w:rPr>
        <w:t>Briyit</w:t>
      </w:r>
      <w:proofErr w:type="spellEnd"/>
      <w:r w:rsidR="00A12E9A" w:rsidRPr="00C96099">
        <w:rPr>
          <w:rFonts w:ascii="Arial" w:hAnsi="Arial" w:cs="Arial"/>
          <w:sz w:val="22"/>
          <w:szCs w:val="22"/>
          <w:lang w:val="es-CO"/>
        </w:rPr>
        <w:t xml:space="preserve"> Rocio Acosta Jara, en su calidad de Jueza Civil del Circuito de Granada - Meta</w:t>
      </w:r>
      <w:r w:rsidRPr="00C96099">
        <w:rPr>
          <w:rFonts w:ascii="Arial" w:hAnsi="Arial" w:cs="Arial"/>
          <w:sz w:val="22"/>
          <w:szCs w:val="22"/>
          <w:lang w:val="es-CO"/>
        </w:rPr>
        <w:t>. Para adoptar la decisión se deben tener en cuenta los siguientes:</w:t>
      </w:r>
    </w:p>
    <w:p w:rsidR="00D34307" w:rsidRDefault="00D34307" w:rsidP="00D34307">
      <w:pPr>
        <w:rPr>
          <w:rFonts w:ascii="Arial" w:hAnsi="Arial" w:cs="Arial"/>
          <w:b/>
          <w:sz w:val="22"/>
          <w:szCs w:val="22"/>
          <w:lang w:val="es-CO"/>
        </w:rPr>
      </w:pPr>
    </w:p>
    <w:p w:rsidR="00FC3734" w:rsidRPr="00C96099" w:rsidRDefault="00FC3734" w:rsidP="00D34307">
      <w:pPr>
        <w:rPr>
          <w:rFonts w:ascii="Arial" w:hAnsi="Arial" w:cs="Arial"/>
          <w:b/>
          <w:sz w:val="22"/>
          <w:szCs w:val="22"/>
          <w:lang w:val="es-CO"/>
        </w:rPr>
      </w:pPr>
    </w:p>
    <w:p w:rsidR="00D34307" w:rsidRPr="00C96099" w:rsidRDefault="00D34307" w:rsidP="002538AE">
      <w:pPr>
        <w:pStyle w:val="Prrafodelista"/>
        <w:numPr>
          <w:ilvl w:val="0"/>
          <w:numId w:val="2"/>
        </w:numPr>
        <w:tabs>
          <w:tab w:val="left" w:pos="3686"/>
        </w:tabs>
        <w:jc w:val="center"/>
        <w:rPr>
          <w:rFonts w:ascii="Arial" w:hAnsi="Arial" w:cs="Arial"/>
          <w:b/>
          <w:sz w:val="22"/>
          <w:szCs w:val="22"/>
          <w:lang w:val="es-CO"/>
        </w:rPr>
      </w:pPr>
      <w:r w:rsidRPr="00C96099">
        <w:rPr>
          <w:rFonts w:ascii="Arial" w:hAnsi="Arial" w:cs="Arial"/>
          <w:b/>
          <w:sz w:val="22"/>
          <w:szCs w:val="22"/>
          <w:lang w:val="es-CO"/>
        </w:rPr>
        <w:t>ANTECEDENTES</w:t>
      </w:r>
    </w:p>
    <w:p w:rsidR="00D34307" w:rsidRPr="00C96099" w:rsidRDefault="00D34307" w:rsidP="00D34307">
      <w:pPr>
        <w:rPr>
          <w:rFonts w:ascii="Arial" w:hAnsi="Arial" w:cs="Arial"/>
          <w:b/>
          <w:sz w:val="22"/>
          <w:szCs w:val="22"/>
          <w:lang w:val="es-CO"/>
        </w:rPr>
      </w:pPr>
    </w:p>
    <w:p w:rsidR="00D34307" w:rsidRPr="00C96099" w:rsidRDefault="00D34307" w:rsidP="00D34307">
      <w:pPr>
        <w:pStyle w:val="Prrafodelista"/>
        <w:numPr>
          <w:ilvl w:val="1"/>
          <w:numId w:val="2"/>
        </w:numPr>
        <w:jc w:val="both"/>
        <w:rPr>
          <w:rFonts w:ascii="Arial" w:hAnsi="Arial" w:cs="Arial"/>
          <w:sz w:val="22"/>
          <w:szCs w:val="22"/>
          <w:lang w:val="es-CO"/>
        </w:rPr>
      </w:pPr>
      <w:r w:rsidRPr="00C96099">
        <w:rPr>
          <w:rFonts w:ascii="Arial" w:hAnsi="Arial" w:cs="Arial"/>
          <w:b/>
          <w:sz w:val="22"/>
          <w:szCs w:val="22"/>
          <w:lang w:val="es-CO"/>
        </w:rPr>
        <w:t>Sobre el recurso:</w:t>
      </w:r>
    </w:p>
    <w:p w:rsidR="00D34307" w:rsidRPr="00C96099" w:rsidRDefault="00D34307" w:rsidP="00D34307">
      <w:pPr>
        <w:jc w:val="both"/>
        <w:rPr>
          <w:rFonts w:ascii="Arial" w:hAnsi="Arial" w:cs="Arial"/>
          <w:sz w:val="22"/>
          <w:szCs w:val="22"/>
          <w:lang w:val="es-CO"/>
        </w:rPr>
      </w:pPr>
    </w:p>
    <w:p w:rsidR="002538AE" w:rsidRPr="00C96099" w:rsidRDefault="00D34307" w:rsidP="00D34307">
      <w:pPr>
        <w:jc w:val="both"/>
        <w:rPr>
          <w:rFonts w:ascii="Arial" w:hAnsi="Arial" w:cs="Arial"/>
          <w:sz w:val="22"/>
          <w:szCs w:val="22"/>
          <w:lang w:val="es-CO"/>
        </w:rPr>
      </w:pPr>
      <w:r w:rsidRPr="00C96099">
        <w:rPr>
          <w:rFonts w:ascii="Arial" w:hAnsi="Arial" w:cs="Arial"/>
          <w:sz w:val="22"/>
          <w:szCs w:val="22"/>
          <w:lang w:val="es-CO"/>
        </w:rPr>
        <w:t xml:space="preserve">Mediante Acto Administrativo de 28 de febrero de 2017, el Consejo Seccional realizó la calificación Integral de servicios </w:t>
      </w:r>
      <w:r w:rsidR="00601AFB" w:rsidRPr="00C96099">
        <w:rPr>
          <w:rFonts w:ascii="Arial" w:hAnsi="Arial" w:cs="Arial"/>
          <w:sz w:val="22"/>
          <w:szCs w:val="22"/>
          <w:lang w:val="es-CO"/>
        </w:rPr>
        <w:t xml:space="preserve">de la funcionaria judicial </w:t>
      </w:r>
      <w:proofErr w:type="spellStart"/>
      <w:r w:rsidR="00601AFB" w:rsidRPr="00C96099">
        <w:rPr>
          <w:rFonts w:ascii="Arial" w:hAnsi="Arial" w:cs="Arial"/>
          <w:sz w:val="22"/>
          <w:szCs w:val="22"/>
          <w:lang w:val="es-CO"/>
        </w:rPr>
        <w:t>Briyit</w:t>
      </w:r>
      <w:proofErr w:type="spellEnd"/>
      <w:r w:rsidR="00601AFB" w:rsidRPr="00C96099">
        <w:rPr>
          <w:rFonts w:ascii="Arial" w:hAnsi="Arial" w:cs="Arial"/>
          <w:sz w:val="22"/>
          <w:szCs w:val="22"/>
          <w:lang w:val="es-CO"/>
        </w:rPr>
        <w:t xml:space="preserve"> Rocio Acosta Jara</w:t>
      </w:r>
      <w:r w:rsidRPr="00C96099">
        <w:rPr>
          <w:rFonts w:ascii="Arial" w:hAnsi="Arial" w:cs="Arial"/>
          <w:sz w:val="22"/>
          <w:szCs w:val="22"/>
          <w:lang w:val="es-CO"/>
        </w:rPr>
        <w:t xml:space="preserve">, </w:t>
      </w:r>
      <w:r w:rsidR="00601AFB" w:rsidRPr="00C96099">
        <w:rPr>
          <w:rFonts w:ascii="Arial" w:hAnsi="Arial" w:cs="Arial"/>
          <w:sz w:val="22"/>
          <w:szCs w:val="22"/>
          <w:lang w:val="es-CO"/>
        </w:rPr>
        <w:t xml:space="preserve">en su calidad de </w:t>
      </w:r>
      <w:r w:rsidRPr="00C96099">
        <w:rPr>
          <w:rFonts w:ascii="Arial" w:hAnsi="Arial" w:cs="Arial"/>
          <w:sz w:val="22"/>
          <w:szCs w:val="22"/>
          <w:lang w:val="es-CO"/>
        </w:rPr>
        <w:t>Juez</w:t>
      </w:r>
      <w:r w:rsidR="00601AFB" w:rsidRPr="00C96099">
        <w:rPr>
          <w:rFonts w:ascii="Arial" w:hAnsi="Arial" w:cs="Arial"/>
          <w:sz w:val="22"/>
          <w:szCs w:val="22"/>
          <w:lang w:val="es-CO"/>
        </w:rPr>
        <w:t>a Civil del Circuito de Granada - Meta</w:t>
      </w:r>
      <w:r w:rsidRPr="00C96099">
        <w:rPr>
          <w:rFonts w:ascii="Arial" w:hAnsi="Arial" w:cs="Arial"/>
          <w:sz w:val="22"/>
          <w:szCs w:val="22"/>
          <w:lang w:val="es-CO"/>
        </w:rPr>
        <w:t xml:space="preserve">, </w:t>
      </w:r>
      <w:r w:rsidR="00601AFB" w:rsidRPr="00C96099">
        <w:rPr>
          <w:rFonts w:ascii="Arial" w:hAnsi="Arial" w:cs="Arial"/>
          <w:sz w:val="22"/>
          <w:szCs w:val="22"/>
          <w:lang w:val="es-CO"/>
        </w:rPr>
        <w:t xml:space="preserve">cuyo resultado fue notificado vía correo electrónico </w:t>
      </w:r>
      <w:r w:rsidR="00F33CF5" w:rsidRPr="00C96099">
        <w:rPr>
          <w:rFonts w:ascii="Arial" w:hAnsi="Arial" w:cs="Arial"/>
          <w:sz w:val="22"/>
          <w:szCs w:val="22"/>
          <w:lang w:val="es-CO"/>
        </w:rPr>
        <w:t>con</w:t>
      </w:r>
      <w:r w:rsidR="00601AFB" w:rsidRPr="00C96099">
        <w:rPr>
          <w:rFonts w:ascii="Arial" w:hAnsi="Arial" w:cs="Arial"/>
          <w:sz w:val="22"/>
          <w:szCs w:val="22"/>
          <w:lang w:val="es-CO"/>
        </w:rPr>
        <w:t xml:space="preserve"> autorización expresa de la</w:t>
      </w:r>
      <w:r w:rsidRPr="00C96099">
        <w:rPr>
          <w:rFonts w:ascii="Arial" w:hAnsi="Arial" w:cs="Arial"/>
          <w:sz w:val="22"/>
          <w:szCs w:val="22"/>
          <w:lang w:val="es-CO"/>
        </w:rPr>
        <w:t xml:space="preserve"> funcionari</w:t>
      </w:r>
      <w:r w:rsidR="00601AFB" w:rsidRPr="00C96099">
        <w:rPr>
          <w:rFonts w:ascii="Arial" w:hAnsi="Arial" w:cs="Arial"/>
          <w:sz w:val="22"/>
          <w:szCs w:val="22"/>
          <w:lang w:val="es-CO"/>
        </w:rPr>
        <w:t>a,</w:t>
      </w:r>
      <w:r w:rsidR="003928F9" w:rsidRPr="00C96099">
        <w:rPr>
          <w:rFonts w:ascii="Arial" w:hAnsi="Arial" w:cs="Arial"/>
          <w:sz w:val="22"/>
          <w:szCs w:val="22"/>
          <w:lang w:val="es-CO"/>
        </w:rPr>
        <w:t xml:space="preserve"> el 4 de mayo del año que transcurre,</w:t>
      </w:r>
      <w:r w:rsidRPr="00C96099">
        <w:rPr>
          <w:rFonts w:ascii="Arial" w:hAnsi="Arial" w:cs="Arial"/>
          <w:sz w:val="22"/>
          <w:szCs w:val="22"/>
          <w:lang w:val="es-CO"/>
        </w:rPr>
        <w:t xml:space="preserve"> cuyo puntaje correspondió a </w:t>
      </w:r>
      <w:r w:rsidR="00F33CF5" w:rsidRPr="00C96099">
        <w:rPr>
          <w:rFonts w:ascii="Arial" w:hAnsi="Arial" w:cs="Arial"/>
          <w:sz w:val="22"/>
          <w:szCs w:val="22"/>
          <w:lang w:val="es-CO"/>
        </w:rPr>
        <w:t>sesenta y seis (66)</w:t>
      </w:r>
      <w:r w:rsidR="002538AE" w:rsidRPr="00C96099">
        <w:rPr>
          <w:rFonts w:ascii="Arial" w:hAnsi="Arial" w:cs="Arial"/>
          <w:sz w:val="22"/>
          <w:szCs w:val="22"/>
          <w:lang w:val="es-CO"/>
        </w:rPr>
        <w:t xml:space="preserve"> puntos.</w:t>
      </w:r>
    </w:p>
    <w:p w:rsidR="002538AE" w:rsidRPr="00C96099" w:rsidRDefault="002538AE" w:rsidP="00D34307">
      <w:pPr>
        <w:jc w:val="both"/>
        <w:rPr>
          <w:rFonts w:ascii="Arial" w:hAnsi="Arial" w:cs="Arial"/>
          <w:sz w:val="22"/>
          <w:szCs w:val="22"/>
          <w:lang w:val="es-CO"/>
        </w:rPr>
      </w:pPr>
    </w:p>
    <w:p w:rsidR="00D34307" w:rsidRDefault="002538AE" w:rsidP="00D34307">
      <w:pPr>
        <w:jc w:val="both"/>
        <w:rPr>
          <w:rFonts w:ascii="Arial" w:hAnsi="Arial" w:cs="Arial"/>
          <w:sz w:val="22"/>
          <w:szCs w:val="22"/>
          <w:lang w:val="es-CO"/>
        </w:rPr>
      </w:pPr>
      <w:r w:rsidRPr="00C96099">
        <w:rPr>
          <w:rFonts w:ascii="Arial" w:hAnsi="Arial" w:cs="Arial"/>
          <w:sz w:val="22"/>
          <w:szCs w:val="22"/>
          <w:lang w:val="es-CO"/>
        </w:rPr>
        <w:t xml:space="preserve">Esta decisión fue objeto de </w:t>
      </w:r>
      <w:r w:rsidR="00D34307" w:rsidRPr="00C96099">
        <w:rPr>
          <w:rFonts w:ascii="Arial" w:hAnsi="Arial" w:cs="Arial"/>
          <w:sz w:val="22"/>
          <w:szCs w:val="22"/>
          <w:lang w:val="es-CO"/>
        </w:rPr>
        <w:t xml:space="preserve">los recursos de reposición y en subsidio apelación, </w:t>
      </w:r>
      <w:r w:rsidR="0024397B" w:rsidRPr="00C96099">
        <w:rPr>
          <w:rFonts w:ascii="Arial" w:hAnsi="Arial" w:cs="Arial"/>
          <w:sz w:val="22"/>
          <w:szCs w:val="22"/>
          <w:lang w:val="es-CO"/>
        </w:rPr>
        <w:t xml:space="preserve">por parte de la servidora judicial, los cuales fueron presentados dentro del término legal establecido, </w:t>
      </w:r>
      <w:r w:rsidR="00D34307" w:rsidRPr="00C96099">
        <w:rPr>
          <w:rFonts w:ascii="Arial" w:hAnsi="Arial" w:cs="Arial"/>
          <w:sz w:val="22"/>
          <w:szCs w:val="22"/>
          <w:lang w:val="es-CO"/>
        </w:rPr>
        <w:t xml:space="preserve">sustentando </w:t>
      </w:r>
      <w:r w:rsidR="0024397B" w:rsidRPr="00C96099">
        <w:rPr>
          <w:rFonts w:ascii="Arial" w:hAnsi="Arial" w:cs="Arial"/>
          <w:sz w:val="22"/>
          <w:szCs w:val="22"/>
          <w:lang w:val="es-CO"/>
        </w:rPr>
        <w:t xml:space="preserve">su inconformidad en </w:t>
      </w:r>
      <w:r w:rsidR="00D34307" w:rsidRPr="00C96099">
        <w:rPr>
          <w:rFonts w:ascii="Arial" w:hAnsi="Arial" w:cs="Arial"/>
          <w:sz w:val="22"/>
          <w:szCs w:val="22"/>
          <w:lang w:val="es-CO"/>
        </w:rPr>
        <w:t>lo siguiente:</w:t>
      </w:r>
    </w:p>
    <w:p w:rsidR="001A0279" w:rsidRPr="00C96099" w:rsidRDefault="001A0279" w:rsidP="00D34307">
      <w:pPr>
        <w:jc w:val="both"/>
        <w:rPr>
          <w:rFonts w:ascii="Arial" w:hAnsi="Arial" w:cs="Arial"/>
          <w:sz w:val="22"/>
          <w:szCs w:val="22"/>
          <w:lang w:val="es-CO"/>
        </w:rPr>
      </w:pPr>
    </w:p>
    <w:p w:rsidR="00D34307" w:rsidRPr="00C96099" w:rsidRDefault="00D34307" w:rsidP="00D34307">
      <w:pPr>
        <w:jc w:val="both"/>
        <w:rPr>
          <w:rFonts w:ascii="Arial" w:hAnsi="Arial" w:cs="Arial"/>
          <w:b/>
          <w:sz w:val="22"/>
          <w:szCs w:val="22"/>
          <w:lang w:val="es-CO"/>
        </w:rPr>
      </w:pPr>
    </w:p>
    <w:p w:rsidR="00D34307" w:rsidRPr="00C96099" w:rsidRDefault="00D34307" w:rsidP="00D34307">
      <w:pPr>
        <w:pStyle w:val="Prrafodelista"/>
        <w:numPr>
          <w:ilvl w:val="1"/>
          <w:numId w:val="2"/>
        </w:numPr>
        <w:jc w:val="both"/>
        <w:rPr>
          <w:rFonts w:ascii="Arial" w:hAnsi="Arial" w:cs="Arial"/>
          <w:b/>
          <w:sz w:val="22"/>
          <w:szCs w:val="22"/>
          <w:lang w:val="es-CO"/>
        </w:rPr>
      </w:pPr>
      <w:r w:rsidRPr="00C96099">
        <w:rPr>
          <w:rFonts w:ascii="Arial" w:hAnsi="Arial" w:cs="Arial"/>
          <w:b/>
          <w:sz w:val="22"/>
          <w:szCs w:val="22"/>
          <w:lang w:val="es-CO"/>
        </w:rPr>
        <w:t>Fundamentos del Recurso:</w:t>
      </w:r>
    </w:p>
    <w:p w:rsidR="00D34307" w:rsidRDefault="00D34307" w:rsidP="00D34307">
      <w:pPr>
        <w:jc w:val="both"/>
        <w:rPr>
          <w:rFonts w:ascii="Arial" w:hAnsi="Arial" w:cs="Arial"/>
          <w:sz w:val="22"/>
          <w:szCs w:val="22"/>
          <w:lang w:val="es-CO"/>
        </w:rPr>
      </w:pPr>
    </w:p>
    <w:p w:rsidR="00FC3734" w:rsidRPr="00C96099" w:rsidRDefault="00FC3734" w:rsidP="00D34307">
      <w:pPr>
        <w:jc w:val="both"/>
        <w:rPr>
          <w:rFonts w:ascii="Arial" w:hAnsi="Arial" w:cs="Arial"/>
          <w:sz w:val="22"/>
          <w:szCs w:val="22"/>
          <w:lang w:val="es-CO"/>
        </w:rPr>
      </w:pPr>
    </w:p>
    <w:p w:rsidR="00D34307" w:rsidRPr="00C96099" w:rsidRDefault="00D34307" w:rsidP="000A548C">
      <w:pPr>
        <w:pStyle w:val="Prrafodelista"/>
        <w:numPr>
          <w:ilvl w:val="0"/>
          <w:numId w:val="1"/>
        </w:numPr>
        <w:tabs>
          <w:tab w:val="left" w:pos="284"/>
        </w:tabs>
        <w:ind w:left="0" w:firstLine="0"/>
        <w:jc w:val="both"/>
        <w:rPr>
          <w:rFonts w:ascii="Arial" w:hAnsi="Arial" w:cs="Arial"/>
          <w:b/>
          <w:sz w:val="22"/>
          <w:szCs w:val="22"/>
          <w:lang w:val="es-CO"/>
        </w:rPr>
      </w:pPr>
      <w:r w:rsidRPr="00C96099">
        <w:rPr>
          <w:rFonts w:ascii="Arial" w:hAnsi="Arial" w:cs="Arial"/>
          <w:sz w:val="22"/>
          <w:szCs w:val="22"/>
          <w:lang w:val="es-CO"/>
        </w:rPr>
        <w:t xml:space="preserve">Respecto del factor </w:t>
      </w:r>
      <w:r w:rsidR="00AC0283" w:rsidRPr="00C96099">
        <w:rPr>
          <w:rFonts w:ascii="Arial" w:hAnsi="Arial" w:cs="Arial"/>
          <w:b/>
          <w:sz w:val="22"/>
          <w:szCs w:val="22"/>
          <w:lang w:val="es-CO"/>
        </w:rPr>
        <w:t>CALIDAD</w:t>
      </w:r>
      <w:r w:rsidR="00AC0283" w:rsidRPr="00C96099">
        <w:rPr>
          <w:rFonts w:ascii="Arial" w:hAnsi="Arial" w:cs="Arial"/>
          <w:sz w:val="22"/>
          <w:szCs w:val="22"/>
          <w:lang w:val="es-CO"/>
        </w:rPr>
        <w:t>,</w:t>
      </w:r>
      <w:r w:rsidRPr="00C96099">
        <w:rPr>
          <w:rFonts w:ascii="Arial" w:hAnsi="Arial" w:cs="Arial"/>
          <w:b/>
          <w:sz w:val="22"/>
          <w:szCs w:val="22"/>
          <w:lang w:val="es-CO"/>
        </w:rPr>
        <w:t xml:space="preserve"> </w:t>
      </w:r>
      <w:r w:rsidRPr="00C96099">
        <w:rPr>
          <w:rFonts w:ascii="Arial" w:hAnsi="Arial" w:cs="Arial"/>
          <w:sz w:val="22"/>
          <w:szCs w:val="22"/>
          <w:lang w:val="es-CO"/>
        </w:rPr>
        <w:t>señala que si bien es cierto esta calificación es producto de la aplicación de ciertas fórmulas, el puntaje de treinta y siete (37) sobre cuarenta (40) posibles, lo advierte</w:t>
      </w:r>
      <w:r w:rsidR="001A0279">
        <w:rPr>
          <w:rFonts w:ascii="Arial" w:hAnsi="Arial" w:cs="Arial"/>
          <w:sz w:val="22"/>
          <w:szCs w:val="22"/>
          <w:lang w:val="es-CO"/>
        </w:rPr>
        <w:t xml:space="preserve"> escaso ya que el Despacho que e</w:t>
      </w:r>
      <w:r w:rsidRPr="00C96099">
        <w:rPr>
          <w:rFonts w:ascii="Arial" w:hAnsi="Arial" w:cs="Arial"/>
          <w:sz w:val="22"/>
          <w:szCs w:val="22"/>
          <w:lang w:val="es-CO"/>
        </w:rPr>
        <w:t>l</w:t>
      </w:r>
      <w:r w:rsidR="001A0279">
        <w:rPr>
          <w:rFonts w:ascii="Arial" w:hAnsi="Arial" w:cs="Arial"/>
          <w:sz w:val="22"/>
          <w:szCs w:val="22"/>
          <w:lang w:val="es-CO"/>
        </w:rPr>
        <w:t>la</w:t>
      </w:r>
      <w:r w:rsidRPr="00C96099">
        <w:rPr>
          <w:rFonts w:ascii="Arial" w:hAnsi="Arial" w:cs="Arial"/>
          <w:sz w:val="22"/>
          <w:szCs w:val="22"/>
          <w:lang w:val="es-CO"/>
        </w:rPr>
        <w:t xml:space="preserve"> dirige reportó en 2015 un rendimiento acorde con las medidas esperadas, sin excepción alguna, a pesar que para ese periodo y hasta finales de octubre del mismo, el juzgado contaba con tres (3) colaboradores menos y aun teniendo la planta de p</w:t>
      </w:r>
      <w:r w:rsidR="001A0279">
        <w:rPr>
          <w:rFonts w:ascii="Arial" w:hAnsi="Arial" w:cs="Arial"/>
          <w:sz w:val="22"/>
          <w:szCs w:val="22"/>
          <w:lang w:val="es-CO"/>
        </w:rPr>
        <w:t>ersonal reducida en un 50%, el D</w:t>
      </w:r>
      <w:r w:rsidRPr="00C96099">
        <w:rPr>
          <w:rFonts w:ascii="Arial" w:hAnsi="Arial" w:cs="Arial"/>
          <w:sz w:val="22"/>
          <w:szCs w:val="22"/>
          <w:lang w:val="es-CO"/>
        </w:rPr>
        <w:t>espacho tuvo un rendimiento adecuado, superando incluso a otros juzgados de la misma especialidad que contaba con toda la capacidad instalada, por lo que solicita que este factor sea calificado en la cifra cercana al máximo permitido.</w:t>
      </w:r>
    </w:p>
    <w:p w:rsidR="00CB7D78" w:rsidRDefault="00CB7D78" w:rsidP="001A0279">
      <w:pPr>
        <w:tabs>
          <w:tab w:val="left" w:pos="284"/>
        </w:tabs>
        <w:jc w:val="both"/>
        <w:rPr>
          <w:rFonts w:ascii="Arial" w:hAnsi="Arial" w:cs="Arial"/>
          <w:b/>
          <w:sz w:val="22"/>
          <w:szCs w:val="22"/>
          <w:lang w:val="es-CO"/>
        </w:rPr>
      </w:pPr>
    </w:p>
    <w:p w:rsidR="00FC3734" w:rsidRPr="001A0279" w:rsidRDefault="00FC3734" w:rsidP="001A0279">
      <w:pPr>
        <w:tabs>
          <w:tab w:val="left" w:pos="284"/>
        </w:tabs>
        <w:jc w:val="both"/>
        <w:rPr>
          <w:rFonts w:ascii="Arial" w:hAnsi="Arial" w:cs="Arial"/>
          <w:b/>
          <w:sz w:val="22"/>
          <w:szCs w:val="22"/>
          <w:lang w:val="es-CO"/>
        </w:rPr>
      </w:pPr>
    </w:p>
    <w:p w:rsidR="00AC0283" w:rsidRPr="00C96099" w:rsidRDefault="00AC0283" w:rsidP="000A548C">
      <w:pPr>
        <w:pStyle w:val="Prrafodelista"/>
        <w:numPr>
          <w:ilvl w:val="0"/>
          <w:numId w:val="1"/>
        </w:numPr>
        <w:tabs>
          <w:tab w:val="left" w:pos="284"/>
        </w:tabs>
        <w:ind w:left="0" w:firstLine="0"/>
        <w:jc w:val="both"/>
        <w:rPr>
          <w:rFonts w:ascii="Arial" w:hAnsi="Arial" w:cs="Arial"/>
          <w:b/>
          <w:sz w:val="22"/>
          <w:szCs w:val="22"/>
          <w:lang w:val="es-CO"/>
        </w:rPr>
      </w:pPr>
      <w:r w:rsidRPr="00C96099">
        <w:rPr>
          <w:rFonts w:ascii="Arial" w:hAnsi="Arial" w:cs="Arial"/>
          <w:sz w:val="22"/>
          <w:szCs w:val="22"/>
          <w:lang w:val="es-CO"/>
        </w:rPr>
        <w:t xml:space="preserve">Respecto del factor </w:t>
      </w:r>
      <w:r w:rsidRPr="00C96099">
        <w:rPr>
          <w:rFonts w:ascii="Arial" w:hAnsi="Arial" w:cs="Arial"/>
          <w:b/>
          <w:sz w:val="22"/>
          <w:szCs w:val="22"/>
          <w:lang w:val="es-CO"/>
        </w:rPr>
        <w:t xml:space="preserve">RENDIMIENTO, </w:t>
      </w:r>
      <w:r w:rsidR="001A0279">
        <w:rPr>
          <w:rFonts w:ascii="Arial" w:hAnsi="Arial" w:cs="Arial"/>
          <w:sz w:val="22"/>
          <w:szCs w:val="22"/>
          <w:lang w:val="es-CO"/>
        </w:rPr>
        <w:t>señala que los datos estadísticos tenidos en cuenta en esta calificación, no corresponden a los reportados por su Despacho, por lo que solicita sean revisados los mismos y si es el caso, se proceda a realizar las respectivas correcciones frente a este factor.</w:t>
      </w:r>
    </w:p>
    <w:p w:rsidR="00D34307" w:rsidRDefault="00D34307"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FC3734" w:rsidRDefault="00FC3734" w:rsidP="00D34307">
      <w:pPr>
        <w:pStyle w:val="Prrafodelista"/>
        <w:rPr>
          <w:rFonts w:ascii="Arial" w:hAnsi="Arial" w:cs="Arial"/>
          <w:sz w:val="22"/>
          <w:szCs w:val="22"/>
          <w:lang w:val="es-CO"/>
        </w:rPr>
      </w:pPr>
    </w:p>
    <w:p w:rsidR="00D34307" w:rsidRPr="00C96099" w:rsidRDefault="00D34307" w:rsidP="00D34307">
      <w:pPr>
        <w:pStyle w:val="Prrafodelista"/>
        <w:tabs>
          <w:tab w:val="left" w:pos="284"/>
        </w:tabs>
        <w:ind w:left="0"/>
        <w:jc w:val="both"/>
        <w:rPr>
          <w:rFonts w:ascii="Arial" w:hAnsi="Arial" w:cs="Arial"/>
          <w:sz w:val="20"/>
          <w:szCs w:val="20"/>
          <w:lang w:val="es-CO"/>
        </w:rPr>
      </w:pPr>
    </w:p>
    <w:p w:rsidR="00D34307" w:rsidRDefault="00D34307" w:rsidP="00D34307">
      <w:pPr>
        <w:pStyle w:val="Prrafodelista"/>
        <w:numPr>
          <w:ilvl w:val="0"/>
          <w:numId w:val="2"/>
        </w:numPr>
        <w:tabs>
          <w:tab w:val="left" w:pos="284"/>
        </w:tabs>
        <w:jc w:val="center"/>
        <w:rPr>
          <w:rFonts w:ascii="Arial" w:hAnsi="Arial" w:cs="Arial"/>
          <w:b/>
          <w:sz w:val="20"/>
          <w:szCs w:val="20"/>
          <w:lang w:val="es-CO"/>
        </w:rPr>
      </w:pPr>
      <w:r w:rsidRPr="00C96099">
        <w:rPr>
          <w:rFonts w:ascii="Arial" w:hAnsi="Arial" w:cs="Arial"/>
          <w:b/>
          <w:sz w:val="20"/>
          <w:szCs w:val="20"/>
          <w:lang w:val="es-CO"/>
        </w:rPr>
        <w:t>EN ORDEN A RESOLVER SE CONSIDERA</w:t>
      </w:r>
    </w:p>
    <w:p w:rsidR="00FC3734" w:rsidRPr="00C96099" w:rsidRDefault="00FC3734" w:rsidP="00FC3734">
      <w:pPr>
        <w:pStyle w:val="Prrafodelista"/>
        <w:tabs>
          <w:tab w:val="left" w:pos="284"/>
        </w:tabs>
        <w:ind w:left="1080"/>
        <w:rPr>
          <w:rFonts w:ascii="Arial" w:hAnsi="Arial" w:cs="Arial"/>
          <w:b/>
          <w:sz w:val="20"/>
          <w:szCs w:val="20"/>
          <w:lang w:val="es-CO"/>
        </w:rPr>
      </w:pPr>
    </w:p>
    <w:p w:rsidR="00D34307" w:rsidRPr="00C96099" w:rsidRDefault="00D34307" w:rsidP="00D34307">
      <w:pPr>
        <w:tabs>
          <w:tab w:val="left" w:pos="284"/>
        </w:tabs>
        <w:jc w:val="both"/>
        <w:rPr>
          <w:rFonts w:ascii="Arial" w:hAnsi="Arial" w:cs="Arial"/>
          <w:sz w:val="20"/>
          <w:szCs w:val="20"/>
          <w:lang w:val="es-CO"/>
        </w:rPr>
      </w:pPr>
    </w:p>
    <w:p w:rsidR="00D34307" w:rsidRPr="00C96099" w:rsidRDefault="00D34307" w:rsidP="00D34307">
      <w:pPr>
        <w:pStyle w:val="Default"/>
        <w:numPr>
          <w:ilvl w:val="1"/>
          <w:numId w:val="2"/>
        </w:numPr>
        <w:rPr>
          <w:b/>
          <w:bCs/>
          <w:sz w:val="22"/>
          <w:szCs w:val="22"/>
        </w:rPr>
      </w:pPr>
      <w:r w:rsidRPr="00C96099">
        <w:rPr>
          <w:b/>
          <w:bCs/>
          <w:sz w:val="22"/>
          <w:szCs w:val="22"/>
        </w:rPr>
        <w:t xml:space="preserve">Marco Normativo </w:t>
      </w:r>
    </w:p>
    <w:p w:rsidR="00D34307" w:rsidRPr="00C96099" w:rsidRDefault="00D34307" w:rsidP="00D34307">
      <w:pPr>
        <w:pStyle w:val="Default"/>
        <w:jc w:val="both"/>
        <w:rPr>
          <w:sz w:val="16"/>
          <w:szCs w:val="16"/>
        </w:rPr>
      </w:pPr>
    </w:p>
    <w:p w:rsidR="00D34307" w:rsidRPr="00C96099" w:rsidRDefault="00D34307" w:rsidP="00D34307">
      <w:pPr>
        <w:pStyle w:val="Default"/>
        <w:jc w:val="both"/>
        <w:rPr>
          <w:sz w:val="22"/>
          <w:szCs w:val="22"/>
        </w:rPr>
      </w:pPr>
      <w:r w:rsidRPr="00C96099">
        <w:rPr>
          <w:sz w:val="22"/>
          <w:szCs w:val="22"/>
        </w:rPr>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D34307" w:rsidRPr="00C96099" w:rsidRDefault="00D34307" w:rsidP="00D34307">
      <w:pPr>
        <w:jc w:val="both"/>
        <w:rPr>
          <w:rFonts w:ascii="Arial" w:hAnsi="Arial" w:cs="Arial"/>
          <w:sz w:val="22"/>
          <w:szCs w:val="22"/>
        </w:rPr>
      </w:pPr>
    </w:p>
    <w:p w:rsidR="00D34307" w:rsidRPr="00C96099" w:rsidRDefault="00D34307" w:rsidP="00D34307">
      <w:pPr>
        <w:jc w:val="both"/>
        <w:rPr>
          <w:rFonts w:ascii="Arial" w:hAnsi="Arial" w:cs="Arial"/>
          <w:sz w:val="22"/>
          <w:szCs w:val="22"/>
        </w:rPr>
      </w:pPr>
      <w:r w:rsidRPr="00C96099">
        <w:rPr>
          <w:rFonts w:ascii="Arial" w:hAnsi="Arial" w:cs="Arial"/>
          <w:bCs/>
          <w:sz w:val="22"/>
          <w:szCs w:val="22"/>
        </w:rPr>
        <w:t>El Conse</w:t>
      </w:r>
      <w:r w:rsidRPr="00C96099">
        <w:rPr>
          <w:rFonts w:ascii="Arial" w:hAnsi="Arial" w:cs="Arial"/>
          <w:sz w:val="22"/>
          <w:szCs w:val="22"/>
        </w:rPr>
        <w:t xml:space="preserve">jo Superior de la Judicatura mediante </w:t>
      </w:r>
      <w:r w:rsidRPr="00C96099">
        <w:rPr>
          <w:rFonts w:ascii="Arial" w:hAnsi="Arial" w:cs="Arial"/>
          <w:bCs/>
          <w:sz w:val="22"/>
          <w:szCs w:val="22"/>
        </w:rPr>
        <w:t>Acuerdo PSAA14-10281 de 24 de diciembre de 2014</w:t>
      </w:r>
      <w:r w:rsidRPr="00C96099">
        <w:rPr>
          <w:rFonts w:ascii="Arial" w:hAnsi="Arial" w:cs="Arial"/>
          <w:b/>
          <w:bCs/>
          <w:sz w:val="22"/>
          <w:szCs w:val="22"/>
        </w:rPr>
        <w:t xml:space="preserve">, </w:t>
      </w:r>
      <w:r w:rsidRPr="00C96099">
        <w:rPr>
          <w:rFonts w:ascii="Arial" w:hAnsi="Arial" w:cs="Arial"/>
          <w:sz w:val="22"/>
          <w:szCs w:val="22"/>
        </w:rPr>
        <w:t xml:space="preserve">reglamentó la Calificación Integral de Servicios de los funcionarios y empleados de la Rama Judicial, cuya aplicabilidad se establece para calificar los periodos del año 2015 y 2016, así mismo, en el artículo 22 del Acuerdo se observan los puntajes máximos para cada factor, así: Calidad: hasta 42 puntos; Eficiencia o rendimiento: hasta 40 puntos; Organización del trabajo: hasta 16 puntos; Publicaciones: hasta 2 puntos. </w:t>
      </w:r>
    </w:p>
    <w:p w:rsidR="00D34307" w:rsidRPr="00C96099" w:rsidRDefault="00D34307" w:rsidP="00D34307">
      <w:pPr>
        <w:pStyle w:val="Default"/>
        <w:ind w:left="2124"/>
        <w:jc w:val="both"/>
        <w:rPr>
          <w:sz w:val="22"/>
          <w:szCs w:val="22"/>
        </w:rPr>
      </w:pPr>
    </w:p>
    <w:p w:rsidR="00D34307" w:rsidRPr="00C96099" w:rsidRDefault="00D34307" w:rsidP="00D34307">
      <w:pPr>
        <w:pStyle w:val="Default"/>
        <w:jc w:val="both"/>
        <w:rPr>
          <w:sz w:val="22"/>
          <w:szCs w:val="22"/>
        </w:rPr>
      </w:pPr>
      <w:r w:rsidRPr="00C96099">
        <w:rPr>
          <w:sz w:val="22"/>
          <w:szCs w:val="22"/>
        </w:rPr>
        <w:t>El Acuerdo PSAA14-10281 en su artículo 27 contempla la procedencia de los recursos en sede administrativa contra la calificación integral de servicios, conforme lo previsto en el Código de Procedimiento Administrativo y de lo Contencioso Administrativo.</w:t>
      </w: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Pr="00C96099" w:rsidRDefault="00D34307" w:rsidP="00D34307">
      <w:pPr>
        <w:ind w:left="708" w:right="760"/>
        <w:jc w:val="both"/>
        <w:rPr>
          <w:rFonts w:ascii="Arial" w:hAnsi="Arial" w:cs="Arial"/>
          <w:bCs/>
          <w:iCs/>
          <w:sz w:val="2"/>
          <w:szCs w:val="2"/>
        </w:rPr>
      </w:pPr>
    </w:p>
    <w:p w:rsidR="00D34307" w:rsidRDefault="00D34307" w:rsidP="00D34307">
      <w:pPr>
        <w:rPr>
          <w:rFonts w:ascii="Arial" w:hAnsi="Arial" w:cs="Arial"/>
          <w:sz w:val="16"/>
          <w:szCs w:val="16"/>
          <w:lang w:val="es-CO"/>
        </w:rPr>
      </w:pPr>
    </w:p>
    <w:p w:rsidR="001A0279" w:rsidRPr="00C96099" w:rsidRDefault="001A0279" w:rsidP="00D34307">
      <w:pPr>
        <w:rPr>
          <w:rFonts w:ascii="Arial" w:hAnsi="Arial" w:cs="Arial"/>
          <w:sz w:val="16"/>
          <w:szCs w:val="16"/>
          <w:lang w:val="es-CO"/>
        </w:rPr>
      </w:pPr>
    </w:p>
    <w:p w:rsidR="00D34307" w:rsidRPr="00C96099" w:rsidRDefault="00D34307" w:rsidP="000A548C">
      <w:pPr>
        <w:pStyle w:val="Prrafodelista"/>
        <w:keepNext/>
        <w:numPr>
          <w:ilvl w:val="1"/>
          <w:numId w:val="2"/>
        </w:numPr>
        <w:tabs>
          <w:tab w:val="left" w:pos="851"/>
        </w:tabs>
        <w:spacing w:line="240" w:lineRule="exact"/>
        <w:ind w:left="0" w:firstLine="0"/>
        <w:jc w:val="both"/>
        <w:outlineLvl w:val="2"/>
        <w:rPr>
          <w:rFonts w:ascii="Arial" w:hAnsi="Arial" w:cs="Arial"/>
          <w:b/>
          <w:sz w:val="22"/>
          <w:szCs w:val="22"/>
          <w:lang w:val="es-CO"/>
        </w:rPr>
      </w:pPr>
      <w:r w:rsidRPr="00C96099">
        <w:rPr>
          <w:rFonts w:ascii="Arial" w:hAnsi="Arial" w:cs="Arial"/>
          <w:b/>
          <w:sz w:val="22"/>
          <w:szCs w:val="22"/>
          <w:lang w:val="es-CO"/>
        </w:rPr>
        <w:t>Competencia:</w:t>
      </w:r>
    </w:p>
    <w:p w:rsidR="00D34307" w:rsidRPr="00C96099" w:rsidRDefault="00D34307" w:rsidP="00D34307">
      <w:pPr>
        <w:keepNext/>
        <w:spacing w:line="240" w:lineRule="exact"/>
        <w:jc w:val="both"/>
        <w:outlineLvl w:val="2"/>
        <w:rPr>
          <w:rFonts w:ascii="Arial" w:hAnsi="Arial" w:cs="Arial"/>
          <w:b/>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lang w:val="es-CO"/>
        </w:rPr>
        <w:t xml:space="preserve"> Este Consejo Seccional es competente para resolver el recurso de </w:t>
      </w:r>
      <w:proofErr w:type="spellStart"/>
      <w:r w:rsidR="001A0279">
        <w:rPr>
          <w:rFonts w:ascii="Arial" w:hAnsi="Arial" w:cs="Arial"/>
          <w:sz w:val="22"/>
          <w:szCs w:val="22"/>
          <w:lang w:val="es-CO"/>
        </w:rPr>
        <w:t>reposiciòn</w:t>
      </w:r>
      <w:proofErr w:type="spellEnd"/>
      <w:r w:rsidRPr="00C96099">
        <w:rPr>
          <w:rFonts w:ascii="Arial" w:hAnsi="Arial" w:cs="Arial"/>
          <w:sz w:val="22"/>
          <w:szCs w:val="22"/>
          <w:lang w:val="es-CO"/>
        </w:rPr>
        <w:t xml:space="preserve"> interpuesto por </w:t>
      </w:r>
      <w:r w:rsidR="000A548C" w:rsidRPr="00C96099">
        <w:rPr>
          <w:rFonts w:ascii="Arial" w:hAnsi="Arial" w:cs="Arial"/>
          <w:sz w:val="22"/>
          <w:szCs w:val="22"/>
          <w:lang w:val="es-CO"/>
        </w:rPr>
        <w:t>BRIYIT ROCIO ACOSTA JARA</w:t>
      </w:r>
      <w:r w:rsidRPr="00C96099">
        <w:rPr>
          <w:rFonts w:ascii="Arial" w:hAnsi="Arial" w:cs="Arial"/>
          <w:sz w:val="22"/>
          <w:szCs w:val="22"/>
          <w:lang w:val="es-CO"/>
        </w:rPr>
        <w:t xml:space="preserve">, </w:t>
      </w:r>
      <w:r w:rsidR="000A548C" w:rsidRPr="00C96099">
        <w:rPr>
          <w:rFonts w:ascii="Arial" w:hAnsi="Arial" w:cs="Arial"/>
          <w:sz w:val="22"/>
          <w:szCs w:val="22"/>
          <w:lang w:val="es-CO"/>
        </w:rPr>
        <w:t>en su condición de Juez Civil del Circuito de Granada</w:t>
      </w:r>
      <w:r w:rsidRPr="00C96099">
        <w:rPr>
          <w:rFonts w:ascii="Arial" w:hAnsi="Arial" w:cs="Arial"/>
          <w:sz w:val="22"/>
          <w:szCs w:val="22"/>
          <w:lang w:val="es-CO"/>
        </w:rPr>
        <w:t xml:space="preserve">, por haber consolidado la respectiva calificación de servicios del periodo 2015 de conformidad con el Acuerdo PSAA14-10281 de 2014, expedido por el Consejo Superior de la Judicatura. </w:t>
      </w:r>
    </w:p>
    <w:p w:rsidR="00D34307" w:rsidRDefault="00D34307" w:rsidP="000A548C">
      <w:pPr>
        <w:keepNext/>
        <w:spacing w:line="240" w:lineRule="exact"/>
        <w:jc w:val="both"/>
        <w:outlineLvl w:val="2"/>
        <w:rPr>
          <w:rFonts w:ascii="Arial" w:hAnsi="Arial" w:cs="Arial"/>
          <w:sz w:val="22"/>
          <w:szCs w:val="22"/>
          <w:lang w:val="es-CO"/>
        </w:rPr>
      </w:pPr>
    </w:p>
    <w:p w:rsidR="001A0279" w:rsidRPr="00C96099" w:rsidRDefault="001A0279" w:rsidP="000A548C">
      <w:pPr>
        <w:keepNext/>
        <w:spacing w:line="240" w:lineRule="exact"/>
        <w:jc w:val="both"/>
        <w:outlineLvl w:val="2"/>
        <w:rPr>
          <w:rFonts w:ascii="Arial" w:hAnsi="Arial" w:cs="Arial"/>
          <w:sz w:val="22"/>
          <w:szCs w:val="22"/>
          <w:lang w:val="es-CO"/>
        </w:rPr>
      </w:pPr>
    </w:p>
    <w:p w:rsidR="00D34307" w:rsidRPr="00C96099" w:rsidRDefault="00D34307" w:rsidP="000A548C">
      <w:pPr>
        <w:pStyle w:val="Prrafodelista"/>
        <w:keepNext/>
        <w:numPr>
          <w:ilvl w:val="1"/>
          <w:numId w:val="2"/>
        </w:numPr>
        <w:spacing w:line="240" w:lineRule="exact"/>
        <w:ind w:left="0" w:firstLine="0"/>
        <w:jc w:val="both"/>
        <w:outlineLvl w:val="2"/>
        <w:rPr>
          <w:rFonts w:ascii="Arial" w:hAnsi="Arial" w:cs="Arial"/>
          <w:b/>
          <w:sz w:val="22"/>
          <w:szCs w:val="22"/>
          <w:lang w:val="es-CO"/>
        </w:rPr>
      </w:pPr>
      <w:r w:rsidRPr="00C96099">
        <w:rPr>
          <w:rFonts w:ascii="Arial" w:hAnsi="Arial" w:cs="Arial"/>
          <w:b/>
          <w:sz w:val="22"/>
          <w:szCs w:val="22"/>
          <w:lang w:val="es-CO"/>
        </w:rPr>
        <w:t>Oportunidad procesal:</w:t>
      </w:r>
    </w:p>
    <w:p w:rsidR="00D34307" w:rsidRPr="00C96099" w:rsidRDefault="00D34307" w:rsidP="00D34307">
      <w:pPr>
        <w:keepNext/>
        <w:spacing w:line="240" w:lineRule="exact"/>
        <w:jc w:val="both"/>
        <w:outlineLvl w:val="2"/>
        <w:rPr>
          <w:rFonts w:ascii="Arial" w:hAnsi="Arial" w:cs="Arial"/>
          <w:b/>
          <w:sz w:val="22"/>
          <w:szCs w:val="22"/>
          <w:lang w:val="es-CO"/>
        </w:rPr>
      </w:pPr>
    </w:p>
    <w:p w:rsidR="00D34307" w:rsidRPr="00C96099" w:rsidRDefault="00D34307" w:rsidP="00D34307">
      <w:pPr>
        <w:pStyle w:val="Default"/>
        <w:jc w:val="both"/>
        <w:rPr>
          <w:sz w:val="22"/>
          <w:szCs w:val="22"/>
        </w:rPr>
      </w:pPr>
      <w:r w:rsidRPr="00C96099">
        <w:rPr>
          <w:sz w:val="22"/>
          <w:szCs w:val="22"/>
        </w:rPr>
        <w:t>El recurso de reposición fue presentado oportunamente, según lo establece el artículo 76 del Código de Procedimiento Administrativo y de lo Contencioso Ad</w:t>
      </w:r>
      <w:r w:rsidR="000A548C" w:rsidRPr="00C96099">
        <w:rPr>
          <w:sz w:val="22"/>
          <w:szCs w:val="22"/>
        </w:rPr>
        <w:t xml:space="preserve">ministrativo y </w:t>
      </w:r>
      <w:r w:rsidRPr="00C96099">
        <w:rPr>
          <w:sz w:val="22"/>
          <w:szCs w:val="22"/>
        </w:rPr>
        <w:t xml:space="preserve">este Consejo Seccional procede a resolverlo dentro del término señalado en el artículo 79 del Código de Procedimiento Administrativo y de lo Contencioso Administrativo. </w:t>
      </w:r>
    </w:p>
    <w:p w:rsidR="00D34307" w:rsidRPr="00C96099" w:rsidRDefault="00D34307" w:rsidP="00D34307">
      <w:pPr>
        <w:pStyle w:val="Default"/>
        <w:jc w:val="both"/>
        <w:rPr>
          <w:sz w:val="22"/>
          <w:szCs w:val="22"/>
        </w:rPr>
      </w:pPr>
    </w:p>
    <w:p w:rsidR="00D34307" w:rsidRPr="00C96099" w:rsidRDefault="00D34307" w:rsidP="00D34307">
      <w:pPr>
        <w:keepNext/>
        <w:spacing w:line="240" w:lineRule="exact"/>
        <w:jc w:val="both"/>
        <w:outlineLvl w:val="2"/>
        <w:rPr>
          <w:rFonts w:ascii="Arial" w:hAnsi="Arial" w:cs="Arial"/>
          <w:sz w:val="22"/>
          <w:szCs w:val="22"/>
          <w:lang w:val="es-CO"/>
        </w:rPr>
      </w:pPr>
    </w:p>
    <w:p w:rsidR="00D34307" w:rsidRPr="00C96099" w:rsidRDefault="00D34307" w:rsidP="00D34307">
      <w:pPr>
        <w:pStyle w:val="Prrafodelista"/>
        <w:keepNext/>
        <w:numPr>
          <w:ilvl w:val="0"/>
          <w:numId w:val="2"/>
        </w:numPr>
        <w:tabs>
          <w:tab w:val="left" w:pos="567"/>
        </w:tabs>
        <w:spacing w:line="240" w:lineRule="exact"/>
        <w:jc w:val="center"/>
        <w:outlineLvl w:val="2"/>
        <w:rPr>
          <w:rFonts w:ascii="Arial" w:hAnsi="Arial" w:cs="Arial"/>
          <w:b/>
          <w:sz w:val="22"/>
          <w:szCs w:val="22"/>
          <w:lang w:val="es-CO"/>
        </w:rPr>
      </w:pPr>
      <w:r w:rsidRPr="00C96099">
        <w:rPr>
          <w:rFonts w:ascii="Arial" w:hAnsi="Arial" w:cs="Arial"/>
          <w:b/>
          <w:sz w:val="22"/>
          <w:szCs w:val="22"/>
          <w:lang w:val="es-CO"/>
        </w:rPr>
        <w:t>CONSIDERACIONES DEL CASO ESPECÍFICO</w:t>
      </w:r>
    </w:p>
    <w:p w:rsidR="00D34307" w:rsidRPr="00C96099" w:rsidRDefault="00D34307" w:rsidP="00D34307">
      <w:pPr>
        <w:keepNext/>
        <w:spacing w:line="240" w:lineRule="exact"/>
        <w:jc w:val="both"/>
        <w:outlineLvl w:val="2"/>
        <w:rPr>
          <w:rFonts w:ascii="Arial" w:hAnsi="Arial" w:cs="Arial"/>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rPr>
        <w:t xml:space="preserve">Con el fin de resolver el recurso interpuesto por </w:t>
      </w:r>
      <w:r w:rsidR="000A548C" w:rsidRPr="00C96099">
        <w:rPr>
          <w:rFonts w:ascii="Arial" w:hAnsi="Arial" w:cs="Arial"/>
          <w:sz w:val="22"/>
          <w:szCs w:val="22"/>
          <w:lang w:val="es-CO"/>
        </w:rPr>
        <w:t>BRIYIT ROCIO ACOSTA JARA</w:t>
      </w:r>
      <w:r w:rsidRPr="00C96099">
        <w:rPr>
          <w:rFonts w:ascii="Arial" w:hAnsi="Arial" w:cs="Arial"/>
          <w:sz w:val="22"/>
          <w:szCs w:val="22"/>
        </w:rPr>
        <w:t xml:space="preserve">, </w:t>
      </w:r>
      <w:r w:rsidR="000A548C" w:rsidRPr="00C96099">
        <w:rPr>
          <w:rFonts w:ascii="Arial" w:hAnsi="Arial" w:cs="Arial"/>
          <w:sz w:val="22"/>
          <w:szCs w:val="22"/>
        </w:rPr>
        <w:t>Juez Civil del Circuito de Granada</w:t>
      </w:r>
      <w:r w:rsidRPr="00C96099">
        <w:rPr>
          <w:rFonts w:ascii="Arial" w:hAnsi="Arial" w:cs="Arial"/>
          <w:sz w:val="22"/>
          <w:szCs w:val="22"/>
        </w:rPr>
        <w:t xml:space="preserve">, se tendrá en cuenta que </w:t>
      </w:r>
      <w:r w:rsidR="000A548C" w:rsidRPr="00C96099">
        <w:rPr>
          <w:rFonts w:ascii="Arial" w:hAnsi="Arial" w:cs="Arial"/>
          <w:sz w:val="22"/>
          <w:szCs w:val="22"/>
        </w:rPr>
        <w:t>el componente</w:t>
      </w:r>
      <w:r w:rsidRPr="00C96099">
        <w:rPr>
          <w:rFonts w:ascii="Arial" w:hAnsi="Arial" w:cs="Arial"/>
          <w:sz w:val="22"/>
          <w:szCs w:val="22"/>
        </w:rPr>
        <w:t xml:space="preserve"> de Eficiencia o Rendimiento</w:t>
      </w:r>
      <w:r w:rsidR="000A548C" w:rsidRPr="00C96099">
        <w:rPr>
          <w:rFonts w:ascii="Arial" w:hAnsi="Arial" w:cs="Arial"/>
          <w:sz w:val="22"/>
          <w:szCs w:val="22"/>
        </w:rPr>
        <w:t>, será</w:t>
      </w:r>
      <w:r w:rsidRPr="00C96099">
        <w:rPr>
          <w:rFonts w:ascii="Arial" w:hAnsi="Arial" w:cs="Arial"/>
          <w:sz w:val="22"/>
          <w:szCs w:val="22"/>
        </w:rPr>
        <w:t xml:space="preserve"> resuelto por este Consejo Seccional y que el componente de Factor Calidad de la Calificación Integral de Servicios, debe ser revisado por el superior jerárquico, que evaluó a</w:t>
      </w:r>
      <w:r w:rsidR="001A0279">
        <w:rPr>
          <w:rFonts w:ascii="Arial" w:hAnsi="Arial" w:cs="Arial"/>
          <w:sz w:val="22"/>
          <w:szCs w:val="22"/>
        </w:rPr>
        <w:t xml:space="preserve"> </w:t>
      </w:r>
      <w:r w:rsidRPr="00C96099">
        <w:rPr>
          <w:rFonts w:ascii="Arial" w:hAnsi="Arial" w:cs="Arial"/>
          <w:sz w:val="22"/>
          <w:szCs w:val="22"/>
        </w:rPr>
        <w:t>l</w:t>
      </w:r>
      <w:r w:rsidR="001A0279">
        <w:rPr>
          <w:rFonts w:ascii="Arial" w:hAnsi="Arial" w:cs="Arial"/>
          <w:sz w:val="22"/>
          <w:szCs w:val="22"/>
        </w:rPr>
        <w:t>a</w:t>
      </w:r>
      <w:r w:rsidRPr="00C96099">
        <w:rPr>
          <w:rFonts w:ascii="Arial" w:hAnsi="Arial" w:cs="Arial"/>
          <w:sz w:val="22"/>
          <w:szCs w:val="22"/>
        </w:rPr>
        <w:t xml:space="preserve"> servidor</w:t>
      </w:r>
      <w:r w:rsidR="001A0279">
        <w:rPr>
          <w:rFonts w:ascii="Arial" w:hAnsi="Arial" w:cs="Arial"/>
          <w:sz w:val="22"/>
          <w:szCs w:val="22"/>
        </w:rPr>
        <w:t>a</w:t>
      </w:r>
      <w:r w:rsidRPr="00C96099">
        <w:rPr>
          <w:rFonts w:ascii="Arial" w:hAnsi="Arial" w:cs="Arial"/>
          <w:sz w:val="22"/>
          <w:szCs w:val="22"/>
        </w:rPr>
        <w:t xml:space="preserve"> judicial recurrente, </w:t>
      </w:r>
      <w:r w:rsidR="000A548C" w:rsidRPr="00C96099">
        <w:rPr>
          <w:rFonts w:ascii="Arial" w:hAnsi="Arial" w:cs="Arial"/>
          <w:sz w:val="22"/>
          <w:szCs w:val="22"/>
        </w:rPr>
        <w:t xml:space="preserve">en este caso la Sala Plena del Tribunal Superior de Villavicencio, </w:t>
      </w:r>
      <w:r w:rsidRPr="00C96099">
        <w:rPr>
          <w:rFonts w:ascii="Arial" w:hAnsi="Arial" w:cs="Arial"/>
          <w:sz w:val="22"/>
          <w:szCs w:val="22"/>
        </w:rPr>
        <w:t>en virtud de lo contemplado en el artículo 28 del Acuerdo</w:t>
      </w:r>
      <w:r w:rsidRPr="00C96099">
        <w:rPr>
          <w:rFonts w:ascii="Arial" w:hAnsi="Arial" w:cs="Arial"/>
          <w:sz w:val="22"/>
          <w:szCs w:val="22"/>
          <w:lang w:val="es-CO"/>
        </w:rPr>
        <w:t xml:space="preserve"> PSAA14-10281 de 2014.</w:t>
      </w:r>
    </w:p>
    <w:p w:rsidR="00FC3734" w:rsidRPr="00C96099" w:rsidRDefault="00FC3734" w:rsidP="00D34307">
      <w:pPr>
        <w:keepNext/>
        <w:spacing w:line="240" w:lineRule="exact"/>
        <w:jc w:val="both"/>
        <w:outlineLvl w:val="2"/>
        <w:rPr>
          <w:rFonts w:ascii="Arial" w:hAnsi="Arial" w:cs="Arial"/>
          <w:sz w:val="22"/>
          <w:szCs w:val="22"/>
          <w:lang w:val="es-CO"/>
        </w:rPr>
      </w:pPr>
    </w:p>
    <w:p w:rsidR="00D34307" w:rsidRPr="00C96099" w:rsidRDefault="00D34307" w:rsidP="00D34307">
      <w:pPr>
        <w:pStyle w:val="Prrafodelista"/>
        <w:keepNext/>
        <w:numPr>
          <w:ilvl w:val="1"/>
          <w:numId w:val="2"/>
        </w:numPr>
        <w:spacing w:line="240" w:lineRule="exact"/>
        <w:jc w:val="both"/>
        <w:outlineLvl w:val="2"/>
        <w:rPr>
          <w:rFonts w:ascii="Arial" w:hAnsi="Arial" w:cs="Arial"/>
          <w:b/>
          <w:i/>
          <w:sz w:val="22"/>
          <w:szCs w:val="22"/>
          <w:lang w:val="es-CO"/>
        </w:rPr>
      </w:pPr>
      <w:r w:rsidRPr="00C96099">
        <w:rPr>
          <w:rFonts w:ascii="Arial" w:hAnsi="Arial" w:cs="Arial"/>
          <w:b/>
          <w:i/>
          <w:sz w:val="22"/>
          <w:szCs w:val="22"/>
          <w:lang w:val="es-CO"/>
        </w:rPr>
        <w:t xml:space="preserve">Factor Calidad </w:t>
      </w:r>
    </w:p>
    <w:p w:rsidR="00D34307" w:rsidRPr="00C96099" w:rsidRDefault="00D34307" w:rsidP="00D34307">
      <w:pPr>
        <w:keepNext/>
        <w:spacing w:line="240" w:lineRule="exact"/>
        <w:jc w:val="both"/>
        <w:outlineLvl w:val="2"/>
        <w:rPr>
          <w:rFonts w:ascii="Arial" w:hAnsi="Arial" w:cs="Arial"/>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lang w:val="es-CO"/>
        </w:rPr>
        <w:t>En vista de lo anterior, se corrió traslado del presente recurso a la Sala Plena del Tribunal Superior de Villavicencio p</w:t>
      </w:r>
      <w:r w:rsidR="00AC0283" w:rsidRPr="00C96099">
        <w:rPr>
          <w:rFonts w:ascii="Arial" w:hAnsi="Arial" w:cs="Arial"/>
          <w:sz w:val="22"/>
          <w:szCs w:val="22"/>
          <w:lang w:val="es-CO"/>
        </w:rPr>
        <w:t>ara lo de su competencia y esa C</w:t>
      </w:r>
      <w:r w:rsidRPr="00C96099">
        <w:rPr>
          <w:rFonts w:ascii="Arial" w:hAnsi="Arial" w:cs="Arial"/>
          <w:sz w:val="22"/>
          <w:szCs w:val="22"/>
          <w:lang w:val="es-CO"/>
        </w:rPr>
        <w:t xml:space="preserve">orporación mediante Oficio </w:t>
      </w:r>
      <w:r w:rsidR="00AC0283" w:rsidRPr="00C96099">
        <w:rPr>
          <w:rFonts w:ascii="Arial" w:hAnsi="Arial" w:cs="Arial"/>
          <w:sz w:val="22"/>
          <w:szCs w:val="22"/>
          <w:lang w:val="es-CO"/>
        </w:rPr>
        <w:t>de 5 de julio de 2017</w:t>
      </w:r>
      <w:r w:rsidRPr="00C96099">
        <w:rPr>
          <w:rFonts w:ascii="Arial" w:hAnsi="Arial" w:cs="Arial"/>
          <w:sz w:val="22"/>
          <w:szCs w:val="22"/>
          <w:lang w:val="es-CO"/>
        </w:rPr>
        <w:t xml:space="preserve">, resolvió lo relacionado con el Factor Calidad de la calificación de calidad del año 2015 de </w:t>
      </w:r>
      <w:proofErr w:type="spellStart"/>
      <w:r w:rsidR="00C96099" w:rsidRPr="00C96099">
        <w:rPr>
          <w:rFonts w:ascii="Arial" w:hAnsi="Arial" w:cs="Arial"/>
          <w:sz w:val="22"/>
          <w:szCs w:val="22"/>
          <w:lang w:val="es-CO"/>
        </w:rPr>
        <w:t>Briyit</w:t>
      </w:r>
      <w:proofErr w:type="spellEnd"/>
      <w:r w:rsidR="00C96099" w:rsidRPr="00C96099">
        <w:rPr>
          <w:rFonts w:ascii="Arial" w:hAnsi="Arial" w:cs="Arial"/>
          <w:sz w:val="22"/>
          <w:szCs w:val="22"/>
          <w:lang w:val="es-CO"/>
        </w:rPr>
        <w:t xml:space="preserve"> Rocio Acosta Jara</w:t>
      </w:r>
      <w:r w:rsidRPr="00C96099">
        <w:rPr>
          <w:rFonts w:ascii="Arial" w:hAnsi="Arial" w:cs="Arial"/>
          <w:sz w:val="22"/>
          <w:szCs w:val="22"/>
          <w:lang w:val="es-CO"/>
        </w:rPr>
        <w:t xml:space="preserve">, </w:t>
      </w:r>
      <w:r w:rsidR="000A548C" w:rsidRPr="00C96099">
        <w:rPr>
          <w:rFonts w:ascii="Arial" w:hAnsi="Arial" w:cs="Arial"/>
          <w:sz w:val="22"/>
          <w:szCs w:val="22"/>
          <w:lang w:val="es-CO"/>
        </w:rPr>
        <w:t>Juez Civil del Circuito de Granada</w:t>
      </w:r>
      <w:r w:rsidRPr="00C96099">
        <w:rPr>
          <w:rFonts w:ascii="Arial" w:hAnsi="Arial" w:cs="Arial"/>
          <w:sz w:val="22"/>
          <w:szCs w:val="22"/>
          <w:lang w:val="es-CO"/>
        </w:rPr>
        <w:t>, modificando la decisión inicialmente adoptada, señalando lo siguiente:</w:t>
      </w:r>
    </w:p>
    <w:p w:rsidR="00FC3734" w:rsidRPr="00C96099" w:rsidRDefault="00FC3734" w:rsidP="00D34307">
      <w:pPr>
        <w:keepNext/>
        <w:spacing w:line="240" w:lineRule="exact"/>
        <w:jc w:val="both"/>
        <w:outlineLvl w:val="2"/>
        <w:rPr>
          <w:rFonts w:ascii="Arial" w:hAnsi="Arial" w:cs="Arial"/>
          <w:sz w:val="22"/>
          <w:szCs w:val="22"/>
          <w:lang w:val="es-CO"/>
        </w:rPr>
      </w:pPr>
    </w:p>
    <w:p w:rsidR="002D3F53" w:rsidRPr="00C96099" w:rsidRDefault="00D34307" w:rsidP="00D34307">
      <w:pPr>
        <w:keepNext/>
        <w:spacing w:line="240" w:lineRule="exact"/>
        <w:jc w:val="both"/>
        <w:outlineLvl w:val="2"/>
        <w:rPr>
          <w:rFonts w:ascii="Arial" w:hAnsi="Arial" w:cs="Arial"/>
          <w:i/>
          <w:sz w:val="22"/>
          <w:szCs w:val="22"/>
          <w:lang w:val="es-CO"/>
        </w:rPr>
      </w:pPr>
      <w:r w:rsidRPr="00C96099">
        <w:rPr>
          <w:rFonts w:ascii="Arial" w:hAnsi="Arial" w:cs="Arial"/>
          <w:i/>
          <w:sz w:val="22"/>
          <w:szCs w:val="22"/>
          <w:lang w:val="es-CO"/>
        </w:rPr>
        <w:t xml:space="preserve">“(…) </w:t>
      </w:r>
      <w:r w:rsidR="00C41CC6" w:rsidRPr="00C96099">
        <w:rPr>
          <w:rFonts w:ascii="Arial" w:hAnsi="Arial" w:cs="Arial"/>
          <w:i/>
          <w:sz w:val="22"/>
          <w:szCs w:val="22"/>
          <w:lang w:val="es-CO"/>
        </w:rPr>
        <w:t xml:space="preserve">La censura frente a los procesos No. 2015-00119, 2013-00223 y 2014 00114, se centra en que acorde con la motivación expuesta en cada uno de ellos, se </w:t>
      </w:r>
      <w:r w:rsidR="002D3F53" w:rsidRPr="00C96099">
        <w:rPr>
          <w:rFonts w:ascii="Arial" w:hAnsi="Arial" w:cs="Arial"/>
          <w:i/>
          <w:sz w:val="22"/>
          <w:szCs w:val="22"/>
          <w:lang w:val="es-CO"/>
        </w:rPr>
        <w:t>restó</w:t>
      </w:r>
      <w:r w:rsidR="00C41CC6" w:rsidRPr="00C96099">
        <w:rPr>
          <w:rFonts w:ascii="Arial" w:hAnsi="Arial" w:cs="Arial"/>
          <w:i/>
          <w:sz w:val="22"/>
          <w:szCs w:val="22"/>
          <w:lang w:val="es-CO"/>
        </w:rPr>
        <w:t xml:space="preserve"> puntaje de la máxima calificación sin indicación de ninguna falencia y en los demás procesos, se recrimina el hecho de haber diligenciado tal evaluación en un formato </w:t>
      </w:r>
      <w:r w:rsidR="002D3F53" w:rsidRPr="00C96099">
        <w:rPr>
          <w:rFonts w:ascii="Arial" w:hAnsi="Arial" w:cs="Arial"/>
          <w:i/>
          <w:sz w:val="22"/>
          <w:szCs w:val="22"/>
          <w:lang w:val="es-CO"/>
        </w:rPr>
        <w:t>distinto</w:t>
      </w:r>
      <w:r w:rsidR="00C41CC6" w:rsidRPr="00C96099">
        <w:rPr>
          <w:rFonts w:ascii="Arial" w:hAnsi="Arial" w:cs="Arial"/>
          <w:i/>
          <w:sz w:val="22"/>
          <w:szCs w:val="22"/>
          <w:lang w:val="es-CO"/>
        </w:rPr>
        <w:t xml:space="preserve"> al que </w:t>
      </w:r>
      <w:r w:rsidR="0082678D" w:rsidRPr="00C96099">
        <w:rPr>
          <w:rFonts w:ascii="Arial" w:hAnsi="Arial" w:cs="Arial"/>
          <w:i/>
          <w:sz w:val="22"/>
          <w:szCs w:val="22"/>
          <w:lang w:val="es-CO"/>
        </w:rPr>
        <w:t xml:space="preserve">orden </w:t>
      </w:r>
      <w:r w:rsidR="00C41CC6" w:rsidRPr="00C96099">
        <w:rPr>
          <w:rFonts w:ascii="Arial" w:hAnsi="Arial" w:cs="Arial"/>
          <w:i/>
          <w:sz w:val="22"/>
          <w:szCs w:val="22"/>
          <w:lang w:val="es-CO"/>
        </w:rPr>
        <w:lastRenderedPageBreak/>
        <w:t xml:space="preserve">el Acuerdo PSAA14-10281 y por ende, no se tuvo en cuenta que la nueva disposición prevé que la calificación máxima es de 42 puntos y no de 40 como </w:t>
      </w:r>
      <w:r w:rsidR="002D3F53" w:rsidRPr="00C96099">
        <w:rPr>
          <w:rFonts w:ascii="Arial" w:hAnsi="Arial" w:cs="Arial"/>
          <w:i/>
          <w:sz w:val="22"/>
          <w:szCs w:val="22"/>
          <w:lang w:val="es-CO"/>
        </w:rPr>
        <w:t>ocurría</w:t>
      </w:r>
      <w:r w:rsidR="00C41CC6" w:rsidRPr="00C96099">
        <w:rPr>
          <w:rFonts w:ascii="Arial" w:hAnsi="Arial" w:cs="Arial"/>
          <w:i/>
          <w:sz w:val="22"/>
          <w:szCs w:val="22"/>
          <w:lang w:val="es-CO"/>
        </w:rPr>
        <w:t xml:space="preserve"> anteriormente.</w:t>
      </w:r>
      <w:r w:rsidR="002D3F53" w:rsidRPr="00C96099">
        <w:rPr>
          <w:rFonts w:ascii="Arial" w:hAnsi="Arial" w:cs="Arial"/>
          <w:i/>
          <w:sz w:val="22"/>
          <w:szCs w:val="22"/>
          <w:lang w:val="es-CO"/>
        </w:rPr>
        <w:t xml:space="preserve"> </w:t>
      </w:r>
    </w:p>
    <w:p w:rsidR="0082678D" w:rsidRPr="00C96099" w:rsidRDefault="0082678D" w:rsidP="00D34307">
      <w:pPr>
        <w:keepNext/>
        <w:spacing w:line="240" w:lineRule="exact"/>
        <w:jc w:val="both"/>
        <w:outlineLvl w:val="2"/>
        <w:rPr>
          <w:rFonts w:ascii="Arial" w:hAnsi="Arial" w:cs="Arial"/>
          <w:i/>
          <w:sz w:val="22"/>
          <w:szCs w:val="22"/>
          <w:lang w:val="es-CO"/>
        </w:rPr>
      </w:pPr>
    </w:p>
    <w:p w:rsidR="00D34307" w:rsidRPr="00C96099" w:rsidRDefault="002D3F53" w:rsidP="00D34307">
      <w:pPr>
        <w:keepNext/>
        <w:spacing w:line="240" w:lineRule="exact"/>
        <w:jc w:val="both"/>
        <w:outlineLvl w:val="2"/>
        <w:rPr>
          <w:rFonts w:ascii="Arial" w:hAnsi="Arial" w:cs="Arial"/>
          <w:sz w:val="22"/>
          <w:szCs w:val="22"/>
          <w:lang w:val="es-CO"/>
        </w:rPr>
      </w:pPr>
      <w:r w:rsidRPr="00C96099">
        <w:rPr>
          <w:rFonts w:ascii="Arial" w:hAnsi="Arial" w:cs="Arial"/>
          <w:i/>
          <w:sz w:val="22"/>
          <w:szCs w:val="22"/>
          <w:lang w:val="es-CO"/>
        </w:rPr>
        <w:t>L</w:t>
      </w:r>
      <w:r w:rsidR="00D34307" w:rsidRPr="00C96099">
        <w:rPr>
          <w:rFonts w:ascii="Arial" w:hAnsi="Arial" w:cs="Arial"/>
          <w:i/>
          <w:sz w:val="22"/>
          <w:szCs w:val="22"/>
          <w:lang w:val="es-CO"/>
        </w:rPr>
        <w:t xml:space="preserve">uego de revisar los procesos que fueron objeto de evaluación, </w:t>
      </w:r>
      <w:r w:rsidRPr="00C96099">
        <w:rPr>
          <w:rFonts w:ascii="Arial" w:hAnsi="Arial" w:cs="Arial"/>
          <w:i/>
          <w:sz w:val="22"/>
          <w:szCs w:val="22"/>
          <w:lang w:val="es-CO"/>
        </w:rPr>
        <w:t xml:space="preserve">se pudo determinar que algunos de ellos, </w:t>
      </w:r>
      <w:r w:rsidR="002603C1" w:rsidRPr="00C96099">
        <w:rPr>
          <w:rFonts w:ascii="Arial" w:hAnsi="Arial" w:cs="Arial"/>
          <w:i/>
          <w:sz w:val="22"/>
          <w:szCs w:val="22"/>
          <w:lang w:val="es-CO"/>
        </w:rPr>
        <w:t>tenían asignado un puntaje</w:t>
      </w:r>
      <w:r w:rsidRPr="00C96099">
        <w:rPr>
          <w:rFonts w:ascii="Arial" w:hAnsi="Arial" w:cs="Arial"/>
          <w:i/>
          <w:sz w:val="22"/>
          <w:szCs w:val="22"/>
          <w:lang w:val="es-CO"/>
        </w:rPr>
        <w:t xml:space="preserve"> inferior al que </w:t>
      </w:r>
      <w:r w:rsidR="0082678D" w:rsidRPr="00C96099">
        <w:rPr>
          <w:rFonts w:ascii="Arial" w:hAnsi="Arial" w:cs="Arial"/>
          <w:i/>
          <w:sz w:val="22"/>
          <w:szCs w:val="22"/>
          <w:lang w:val="es-CO"/>
        </w:rPr>
        <w:t>correspondía</w:t>
      </w:r>
      <w:r w:rsidRPr="00C96099">
        <w:rPr>
          <w:rFonts w:ascii="Arial" w:hAnsi="Arial" w:cs="Arial"/>
          <w:i/>
          <w:sz w:val="22"/>
          <w:szCs w:val="22"/>
          <w:lang w:val="es-CO"/>
        </w:rPr>
        <w:t xml:space="preserve">, por lo </w:t>
      </w:r>
      <w:r w:rsidR="0082678D" w:rsidRPr="00C96099">
        <w:rPr>
          <w:rFonts w:ascii="Arial" w:hAnsi="Arial" w:cs="Arial"/>
          <w:i/>
          <w:sz w:val="22"/>
          <w:szCs w:val="22"/>
          <w:lang w:val="es-CO"/>
        </w:rPr>
        <w:t xml:space="preserve">anterior, </w:t>
      </w:r>
      <w:r w:rsidRPr="00C96099">
        <w:rPr>
          <w:rFonts w:ascii="Arial" w:hAnsi="Arial" w:cs="Arial"/>
          <w:i/>
          <w:sz w:val="22"/>
          <w:szCs w:val="22"/>
          <w:lang w:val="es-CO"/>
        </w:rPr>
        <w:t xml:space="preserve">se procedió a </w:t>
      </w:r>
      <w:r w:rsidR="00D34307" w:rsidRPr="00C96099">
        <w:rPr>
          <w:rFonts w:ascii="Arial" w:hAnsi="Arial" w:cs="Arial"/>
          <w:i/>
          <w:sz w:val="22"/>
          <w:szCs w:val="22"/>
          <w:lang w:val="es-CO"/>
        </w:rPr>
        <w:t>realizar el ajuste a las calificaciones en las que habría lugar a hacerlo, así:”</w:t>
      </w:r>
    </w:p>
    <w:p w:rsidR="00D34307" w:rsidRPr="00C96099" w:rsidRDefault="00D34307" w:rsidP="00D34307">
      <w:pPr>
        <w:keepNext/>
        <w:spacing w:line="240" w:lineRule="exact"/>
        <w:jc w:val="both"/>
        <w:outlineLvl w:val="2"/>
        <w:rPr>
          <w:rFonts w:ascii="Arial" w:hAnsi="Arial" w:cs="Arial"/>
          <w:sz w:val="22"/>
          <w:szCs w:val="22"/>
          <w:lang w:val="es-CO"/>
        </w:rPr>
      </w:pPr>
    </w:p>
    <w:tbl>
      <w:tblPr>
        <w:tblStyle w:val="Tablaconcuadrcula"/>
        <w:tblW w:w="5000" w:type="pct"/>
        <w:tblLook w:val="04A0" w:firstRow="1" w:lastRow="0" w:firstColumn="1" w:lastColumn="0" w:noHBand="0" w:noVBand="1"/>
      </w:tblPr>
      <w:tblGrid>
        <w:gridCol w:w="1555"/>
        <w:gridCol w:w="2410"/>
        <w:gridCol w:w="3401"/>
        <w:gridCol w:w="1462"/>
      </w:tblGrid>
      <w:tr w:rsidR="00D34307" w:rsidRPr="00C96099" w:rsidTr="00762DD0">
        <w:tc>
          <w:tcPr>
            <w:tcW w:w="881" w:type="pct"/>
          </w:tcPr>
          <w:p w:rsidR="00D34307" w:rsidRPr="00C96099" w:rsidRDefault="00D34307" w:rsidP="00DF4291">
            <w:pPr>
              <w:keepNext/>
              <w:spacing w:line="240" w:lineRule="exact"/>
              <w:jc w:val="center"/>
              <w:outlineLvl w:val="2"/>
              <w:rPr>
                <w:rFonts w:ascii="Arial" w:hAnsi="Arial" w:cs="Arial"/>
                <w:sz w:val="18"/>
                <w:szCs w:val="18"/>
              </w:rPr>
            </w:pPr>
            <w:r w:rsidRPr="00C96099">
              <w:rPr>
                <w:rFonts w:ascii="Arial" w:hAnsi="Arial" w:cs="Arial"/>
                <w:sz w:val="18"/>
                <w:szCs w:val="18"/>
              </w:rPr>
              <w:t>FUNCIONARIO</w:t>
            </w:r>
          </w:p>
        </w:tc>
        <w:tc>
          <w:tcPr>
            <w:tcW w:w="1365" w:type="pct"/>
          </w:tcPr>
          <w:p w:rsidR="00D34307" w:rsidRPr="00C96099" w:rsidRDefault="00D34307" w:rsidP="00DF4291">
            <w:pPr>
              <w:keepNext/>
              <w:spacing w:line="240" w:lineRule="exact"/>
              <w:jc w:val="center"/>
              <w:outlineLvl w:val="2"/>
              <w:rPr>
                <w:rFonts w:ascii="Arial" w:hAnsi="Arial" w:cs="Arial"/>
                <w:sz w:val="18"/>
                <w:szCs w:val="18"/>
              </w:rPr>
            </w:pPr>
            <w:r w:rsidRPr="00C96099">
              <w:rPr>
                <w:rFonts w:ascii="Arial" w:hAnsi="Arial" w:cs="Arial"/>
                <w:sz w:val="18"/>
                <w:szCs w:val="18"/>
              </w:rPr>
              <w:t>JUZGADO</w:t>
            </w:r>
          </w:p>
        </w:tc>
        <w:tc>
          <w:tcPr>
            <w:tcW w:w="1926" w:type="pct"/>
          </w:tcPr>
          <w:p w:rsidR="00D34307" w:rsidRPr="00C96099" w:rsidRDefault="00D34307" w:rsidP="00DF4291">
            <w:pPr>
              <w:keepNext/>
              <w:spacing w:line="240" w:lineRule="exact"/>
              <w:jc w:val="center"/>
              <w:outlineLvl w:val="2"/>
              <w:rPr>
                <w:rFonts w:ascii="Arial" w:hAnsi="Arial" w:cs="Arial"/>
                <w:sz w:val="18"/>
                <w:szCs w:val="18"/>
              </w:rPr>
            </w:pPr>
            <w:r w:rsidRPr="00C96099">
              <w:rPr>
                <w:rFonts w:ascii="Arial" w:hAnsi="Arial" w:cs="Arial"/>
                <w:sz w:val="18"/>
                <w:szCs w:val="18"/>
              </w:rPr>
              <w:t>NUMERO DE PROCESO</w:t>
            </w:r>
          </w:p>
        </w:tc>
        <w:tc>
          <w:tcPr>
            <w:tcW w:w="828" w:type="pct"/>
          </w:tcPr>
          <w:p w:rsidR="00D34307" w:rsidRPr="00C96099" w:rsidRDefault="00D34307" w:rsidP="00DF4291">
            <w:pPr>
              <w:keepNext/>
              <w:spacing w:line="240" w:lineRule="exact"/>
              <w:jc w:val="center"/>
              <w:outlineLvl w:val="2"/>
              <w:rPr>
                <w:rFonts w:ascii="Arial" w:hAnsi="Arial" w:cs="Arial"/>
                <w:sz w:val="18"/>
                <w:szCs w:val="18"/>
              </w:rPr>
            </w:pPr>
            <w:r w:rsidRPr="00C96099">
              <w:rPr>
                <w:rFonts w:ascii="Arial" w:hAnsi="Arial" w:cs="Arial"/>
                <w:sz w:val="18"/>
                <w:szCs w:val="18"/>
              </w:rPr>
              <w:t>PUNTAJE</w:t>
            </w:r>
          </w:p>
        </w:tc>
      </w:tr>
      <w:tr w:rsidR="00D34307" w:rsidRPr="00C96099" w:rsidTr="00762DD0">
        <w:tc>
          <w:tcPr>
            <w:tcW w:w="881" w:type="pct"/>
            <w:vMerge w:val="restart"/>
          </w:tcPr>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0A548C" w:rsidP="00DF4291">
            <w:pPr>
              <w:keepNext/>
              <w:spacing w:line="240" w:lineRule="exact"/>
              <w:jc w:val="both"/>
              <w:outlineLvl w:val="2"/>
              <w:rPr>
                <w:rFonts w:ascii="Arial" w:hAnsi="Arial" w:cs="Arial"/>
                <w:sz w:val="18"/>
                <w:szCs w:val="18"/>
              </w:rPr>
            </w:pPr>
            <w:r w:rsidRPr="00C96099">
              <w:rPr>
                <w:rFonts w:ascii="Arial" w:hAnsi="Arial" w:cs="Arial"/>
                <w:sz w:val="18"/>
                <w:szCs w:val="18"/>
              </w:rPr>
              <w:t>BRIYIT ROCIO ACOSTA JARA</w:t>
            </w:r>
          </w:p>
        </w:tc>
        <w:tc>
          <w:tcPr>
            <w:tcW w:w="1365" w:type="pct"/>
            <w:vMerge w:val="restart"/>
          </w:tcPr>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D34307" w:rsidP="00DF4291">
            <w:pPr>
              <w:keepNext/>
              <w:spacing w:line="240" w:lineRule="exact"/>
              <w:jc w:val="both"/>
              <w:outlineLvl w:val="2"/>
              <w:rPr>
                <w:rFonts w:ascii="Arial" w:hAnsi="Arial" w:cs="Arial"/>
                <w:sz w:val="18"/>
                <w:szCs w:val="18"/>
              </w:rPr>
            </w:pPr>
          </w:p>
          <w:p w:rsidR="00D34307" w:rsidRPr="00C96099" w:rsidRDefault="00AC0283" w:rsidP="00AC0283">
            <w:pPr>
              <w:keepNext/>
              <w:spacing w:line="240" w:lineRule="exact"/>
              <w:jc w:val="both"/>
              <w:outlineLvl w:val="2"/>
              <w:rPr>
                <w:rFonts w:ascii="Arial" w:hAnsi="Arial" w:cs="Arial"/>
                <w:sz w:val="18"/>
                <w:szCs w:val="18"/>
              </w:rPr>
            </w:pPr>
            <w:r w:rsidRPr="00C96099">
              <w:rPr>
                <w:rFonts w:ascii="Arial" w:hAnsi="Arial" w:cs="Arial"/>
                <w:sz w:val="18"/>
                <w:szCs w:val="18"/>
              </w:rPr>
              <w:t>CIVIL DEL CIRCUITO DE GRANADA</w:t>
            </w:r>
          </w:p>
        </w:tc>
        <w:tc>
          <w:tcPr>
            <w:tcW w:w="1926" w:type="pct"/>
          </w:tcPr>
          <w:p w:rsidR="00D34307" w:rsidRPr="00C96099" w:rsidRDefault="00762DD0" w:rsidP="00DF4291">
            <w:pPr>
              <w:keepNext/>
              <w:spacing w:line="240" w:lineRule="exact"/>
              <w:jc w:val="both"/>
              <w:outlineLvl w:val="2"/>
              <w:rPr>
                <w:rFonts w:ascii="Arial" w:hAnsi="Arial" w:cs="Arial"/>
                <w:sz w:val="18"/>
                <w:szCs w:val="18"/>
              </w:rPr>
            </w:pPr>
            <w:r w:rsidRPr="00C96099">
              <w:rPr>
                <w:rFonts w:ascii="Arial" w:hAnsi="Arial" w:cs="Arial"/>
                <w:sz w:val="18"/>
                <w:szCs w:val="18"/>
              </w:rPr>
              <w:t>503133103001-2011-00163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30</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762DD0">
            <w:pPr>
              <w:rPr>
                <w:rFonts w:ascii="Arial" w:hAnsi="Arial" w:cs="Arial"/>
                <w:sz w:val="18"/>
                <w:szCs w:val="18"/>
              </w:rPr>
            </w:pPr>
            <w:r w:rsidRPr="00C96099">
              <w:rPr>
                <w:rFonts w:ascii="Arial" w:hAnsi="Arial" w:cs="Arial"/>
                <w:sz w:val="18"/>
                <w:szCs w:val="18"/>
              </w:rPr>
              <w:t>503133103001-2010-00118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31</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503133103001-2012-00083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35</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503133103001-2015-00033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36</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503133103001-2013-00227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34</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503133103001-2015-00157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36</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503133103001-2015 00098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34</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503133103001-2013 00253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35</w:t>
            </w:r>
          </w:p>
        </w:tc>
      </w:tr>
      <w:tr w:rsidR="00D34307" w:rsidRPr="00C96099" w:rsidTr="00762DD0">
        <w:tc>
          <w:tcPr>
            <w:tcW w:w="881"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365" w:type="pct"/>
            <w:vMerge/>
          </w:tcPr>
          <w:p w:rsidR="00D34307" w:rsidRPr="00C96099" w:rsidRDefault="00D34307" w:rsidP="00DF4291">
            <w:pPr>
              <w:keepNext/>
              <w:spacing w:line="240" w:lineRule="exact"/>
              <w:jc w:val="both"/>
              <w:outlineLvl w:val="2"/>
              <w:rPr>
                <w:rFonts w:ascii="Arial" w:hAnsi="Arial" w:cs="Arial"/>
                <w:sz w:val="18"/>
                <w:szCs w:val="18"/>
              </w:rPr>
            </w:pPr>
          </w:p>
        </w:tc>
        <w:tc>
          <w:tcPr>
            <w:tcW w:w="1926" w:type="pct"/>
          </w:tcPr>
          <w:p w:rsidR="00D34307" w:rsidRPr="00C96099" w:rsidRDefault="00762DD0" w:rsidP="00DF4291">
            <w:pPr>
              <w:rPr>
                <w:rFonts w:ascii="Arial" w:hAnsi="Arial" w:cs="Arial"/>
                <w:sz w:val="18"/>
                <w:szCs w:val="18"/>
              </w:rPr>
            </w:pPr>
            <w:r w:rsidRPr="00C96099">
              <w:rPr>
                <w:rFonts w:ascii="Arial" w:hAnsi="Arial" w:cs="Arial"/>
                <w:sz w:val="18"/>
                <w:szCs w:val="18"/>
              </w:rPr>
              <w:t>503133103001-2013 00072 00</w:t>
            </w:r>
          </w:p>
        </w:tc>
        <w:tc>
          <w:tcPr>
            <w:tcW w:w="828" w:type="pct"/>
          </w:tcPr>
          <w:p w:rsidR="00D34307" w:rsidRPr="00C96099" w:rsidRDefault="00762DD0" w:rsidP="00762DD0">
            <w:pPr>
              <w:keepNext/>
              <w:spacing w:line="240" w:lineRule="exact"/>
              <w:jc w:val="center"/>
              <w:outlineLvl w:val="2"/>
              <w:rPr>
                <w:rFonts w:ascii="Arial" w:hAnsi="Arial" w:cs="Arial"/>
                <w:sz w:val="18"/>
                <w:szCs w:val="18"/>
              </w:rPr>
            </w:pPr>
            <w:r w:rsidRPr="00C96099">
              <w:rPr>
                <w:rFonts w:ascii="Arial" w:hAnsi="Arial" w:cs="Arial"/>
                <w:sz w:val="18"/>
                <w:szCs w:val="18"/>
              </w:rPr>
              <w:t>32</w:t>
            </w:r>
          </w:p>
        </w:tc>
      </w:tr>
    </w:tbl>
    <w:p w:rsidR="00D34307" w:rsidRPr="00C96099" w:rsidRDefault="00D34307" w:rsidP="00D34307">
      <w:pPr>
        <w:jc w:val="both"/>
        <w:rPr>
          <w:rFonts w:ascii="Arial" w:hAnsi="Arial" w:cs="Arial"/>
          <w:b/>
          <w:sz w:val="22"/>
          <w:szCs w:val="22"/>
          <w:lang w:val="es-CO"/>
        </w:rPr>
      </w:pPr>
    </w:p>
    <w:p w:rsidR="00D34307" w:rsidRPr="00C96099" w:rsidRDefault="00D34307" w:rsidP="00D34307">
      <w:pPr>
        <w:keepNext/>
        <w:spacing w:line="240" w:lineRule="exact"/>
        <w:jc w:val="both"/>
        <w:outlineLvl w:val="2"/>
        <w:rPr>
          <w:rFonts w:ascii="Arial" w:hAnsi="Arial" w:cs="Arial"/>
          <w:sz w:val="22"/>
          <w:szCs w:val="22"/>
          <w:lang w:val="es-CO"/>
        </w:rPr>
      </w:pPr>
      <w:r w:rsidRPr="00C96099">
        <w:rPr>
          <w:rFonts w:ascii="Arial" w:hAnsi="Arial" w:cs="Arial"/>
          <w:sz w:val="22"/>
          <w:szCs w:val="22"/>
          <w:lang w:val="es-CO"/>
        </w:rPr>
        <w:t xml:space="preserve">De lo expuesto en el cuadro anterior, se puede establecer que la Sala Plena del Tribunal Superior de Villavicencio, modificó el informe del puntaje del factor calidad de la Calificación Integral de Servicios del año 2015 de </w:t>
      </w:r>
      <w:r w:rsidR="00C41CC6" w:rsidRPr="00C96099">
        <w:rPr>
          <w:rFonts w:ascii="Arial" w:hAnsi="Arial" w:cs="Arial"/>
          <w:sz w:val="22"/>
          <w:szCs w:val="22"/>
          <w:lang w:val="es-CO"/>
        </w:rPr>
        <w:t xml:space="preserve">9 </w:t>
      </w:r>
      <w:r w:rsidRPr="00C96099">
        <w:rPr>
          <w:rFonts w:ascii="Arial" w:hAnsi="Arial" w:cs="Arial"/>
          <w:sz w:val="22"/>
          <w:szCs w:val="22"/>
          <w:lang w:val="es-CO"/>
        </w:rPr>
        <w:t>expedientes evaluados a</w:t>
      </w:r>
      <w:r w:rsidR="00C41CC6" w:rsidRPr="00C96099">
        <w:rPr>
          <w:rFonts w:ascii="Arial" w:hAnsi="Arial" w:cs="Arial"/>
          <w:sz w:val="22"/>
          <w:szCs w:val="22"/>
          <w:lang w:val="es-CO"/>
        </w:rPr>
        <w:t xml:space="preserve"> </w:t>
      </w:r>
      <w:r w:rsidRPr="00C96099">
        <w:rPr>
          <w:rFonts w:ascii="Arial" w:hAnsi="Arial" w:cs="Arial"/>
          <w:sz w:val="22"/>
          <w:szCs w:val="22"/>
          <w:lang w:val="es-CO"/>
        </w:rPr>
        <w:t>l</w:t>
      </w:r>
      <w:r w:rsidR="00C41CC6" w:rsidRPr="00C96099">
        <w:rPr>
          <w:rFonts w:ascii="Arial" w:hAnsi="Arial" w:cs="Arial"/>
          <w:sz w:val="22"/>
          <w:szCs w:val="22"/>
          <w:lang w:val="es-CO"/>
        </w:rPr>
        <w:t>a</w:t>
      </w:r>
      <w:r w:rsidRPr="00C96099">
        <w:rPr>
          <w:rFonts w:ascii="Arial" w:hAnsi="Arial" w:cs="Arial"/>
          <w:sz w:val="22"/>
          <w:szCs w:val="22"/>
          <w:lang w:val="es-CO"/>
        </w:rPr>
        <w:t xml:space="preserve"> </w:t>
      </w:r>
      <w:r w:rsidR="000A548C" w:rsidRPr="00C96099">
        <w:rPr>
          <w:rFonts w:ascii="Arial" w:hAnsi="Arial" w:cs="Arial"/>
          <w:sz w:val="22"/>
          <w:szCs w:val="22"/>
          <w:lang w:val="es-CO"/>
        </w:rPr>
        <w:t>Juez Civil del Circuito de Granada</w:t>
      </w:r>
      <w:r w:rsidRPr="00C96099">
        <w:rPr>
          <w:rFonts w:ascii="Arial" w:hAnsi="Arial" w:cs="Arial"/>
          <w:sz w:val="22"/>
          <w:szCs w:val="22"/>
          <w:lang w:val="es-CO"/>
        </w:rPr>
        <w:t xml:space="preserve">, </w:t>
      </w:r>
      <w:proofErr w:type="spellStart"/>
      <w:r w:rsidR="00C96099" w:rsidRPr="00C96099">
        <w:rPr>
          <w:rFonts w:ascii="Arial" w:hAnsi="Arial" w:cs="Arial"/>
          <w:sz w:val="22"/>
          <w:szCs w:val="22"/>
          <w:lang w:val="es-CO"/>
        </w:rPr>
        <w:t>Briyit</w:t>
      </w:r>
      <w:proofErr w:type="spellEnd"/>
      <w:r w:rsidR="00C96099" w:rsidRPr="00C96099">
        <w:rPr>
          <w:rFonts w:ascii="Arial" w:hAnsi="Arial" w:cs="Arial"/>
          <w:sz w:val="22"/>
          <w:szCs w:val="22"/>
          <w:lang w:val="es-CO"/>
        </w:rPr>
        <w:t xml:space="preserve"> Rocio Acosta Jara</w:t>
      </w:r>
      <w:r w:rsidR="00C41CC6" w:rsidRPr="00C96099">
        <w:rPr>
          <w:rFonts w:ascii="Arial" w:hAnsi="Arial" w:cs="Arial"/>
          <w:sz w:val="22"/>
          <w:szCs w:val="22"/>
          <w:lang w:val="es-CO"/>
        </w:rPr>
        <w:t>,</w:t>
      </w:r>
      <w:r w:rsidRPr="00C96099">
        <w:rPr>
          <w:rFonts w:ascii="Arial" w:hAnsi="Arial" w:cs="Arial"/>
          <w:sz w:val="22"/>
          <w:szCs w:val="22"/>
          <w:lang w:val="es-CO"/>
        </w:rPr>
        <w:t xml:space="preserve"> </w:t>
      </w:r>
      <w:r w:rsidR="00C41CC6" w:rsidRPr="00C96099">
        <w:rPr>
          <w:rFonts w:ascii="Arial" w:hAnsi="Arial" w:cs="Arial"/>
          <w:sz w:val="22"/>
          <w:szCs w:val="22"/>
          <w:lang w:val="es-CO"/>
        </w:rPr>
        <w:t xml:space="preserve">puesto que el Proceso No. </w:t>
      </w:r>
      <w:r w:rsidR="00C41CC6" w:rsidRPr="00C96099">
        <w:rPr>
          <w:rFonts w:ascii="Arial" w:hAnsi="Arial" w:cs="Arial"/>
          <w:sz w:val="22"/>
          <w:szCs w:val="22"/>
        </w:rPr>
        <w:t xml:space="preserve">503133103001-2010 00122 00, finiquitó en el año 2014, razón por la cual no se elaborará de nuevo la calificación en el formato que dispone el Acuerdo PSAA 14-10281, lo que conlleva a que el </w:t>
      </w:r>
      <w:r w:rsidR="00C41CC6" w:rsidRPr="00C96099">
        <w:rPr>
          <w:rFonts w:ascii="Arial" w:hAnsi="Arial" w:cs="Arial"/>
          <w:sz w:val="22"/>
          <w:szCs w:val="22"/>
          <w:lang w:val="es-CO"/>
        </w:rPr>
        <w:t>puntaje</w:t>
      </w:r>
      <w:r w:rsidRPr="00C96099">
        <w:rPr>
          <w:rFonts w:ascii="Arial" w:hAnsi="Arial" w:cs="Arial"/>
          <w:sz w:val="22"/>
          <w:szCs w:val="22"/>
          <w:lang w:val="es-CO"/>
        </w:rPr>
        <w:t xml:space="preserve"> total de este factor de 3</w:t>
      </w:r>
      <w:r w:rsidR="00C41CC6" w:rsidRPr="00C96099">
        <w:rPr>
          <w:rFonts w:ascii="Arial" w:hAnsi="Arial" w:cs="Arial"/>
          <w:sz w:val="22"/>
          <w:szCs w:val="22"/>
          <w:lang w:val="es-CO"/>
        </w:rPr>
        <w:t>1</w:t>
      </w:r>
      <w:r w:rsidRPr="00C96099">
        <w:rPr>
          <w:rFonts w:ascii="Arial" w:hAnsi="Arial" w:cs="Arial"/>
          <w:sz w:val="22"/>
          <w:szCs w:val="22"/>
          <w:lang w:val="es-CO"/>
        </w:rPr>
        <w:t xml:space="preserve"> </w:t>
      </w:r>
      <w:r w:rsidR="00C41CC6" w:rsidRPr="00C96099">
        <w:rPr>
          <w:rFonts w:ascii="Arial" w:hAnsi="Arial" w:cs="Arial"/>
          <w:sz w:val="22"/>
          <w:szCs w:val="22"/>
          <w:lang w:val="es-CO"/>
        </w:rPr>
        <w:t xml:space="preserve">pase a </w:t>
      </w:r>
      <w:r w:rsidR="00CB7D78" w:rsidRPr="00C96099">
        <w:rPr>
          <w:rFonts w:ascii="Arial" w:hAnsi="Arial" w:cs="Arial"/>
          <w:sz w:val="22"/>
          <w:szCs w:val="22"/>
          <w:lang w:val="es-CO"/>
        </w:rPr>
        <w:t>33.</w:t>
      </w:r>
      <w:r w:rsidR="005D1B21">
        <w:rPr>
          <w:rFonts w:ascii="Arial" w:hAnsi="Arial" w:cs="Arial"/>
          <w:sz w:val="22"/>
          <w:szCs w:val="22"/>
          <w:lang w:val="es-CO"/>
        </w:rPr>
        <w:t>5</w:t>
      </w:r>
      <w:r w:rsidR="00CB7D78" w:rsidRPr="00C96099">
        <w:rPr>
          <w:rFonts w:ascii="Arial" w:hAnsi="Arial" w:cs="Arial"/>
          <w:sz w:val="22"/>
          <w:szCs w:val="22"/>
          <w:lang w:val="es-CO"/>
        </w:rPr>
        <w:t xml:space="preserve"> </w:t>
      </w:r>
      <w:r w:rsidRPr="00C96099">
        <w:rPr>
          <w:rFonts w:ascii="Arial" w:hAnsi="Arial" w:cs="Arial"/>
          <w:sz w:val="22"/>
          <w:szCs w:val="22"/>
          <w:lang w:val="es-CO"/>
        </w:rPr>
        <w:t xml:space="preserve">puntos y conforme a ello así habrá de resolverse.  </w:t>
      </w:r>
    </w:p>
    <w:p w:rsidR="00D34307" w:rsidRDefault="00D34307" w:rsidP="00D34307">
      <w:pPr>
        <w:jc w:val="both"/>
        <w:rPr>
          <w:rFonts w:ascii="Arial" w:hAnsi="Arial" w:cs="Arial"/>
          <w:sz w:val="22"/>
          <w:szCs w:val="22"/>
          <w:lang w:val="es-CO"/>
        </w:rPr>
      </w:pPr>
    </w:p>
    <w:p w:rsidR="001A0279" w:rsidRPr="00C96099" w:rsidRDefault="001A0279" w:rsidP="00D34307">
      <w:pPr>
        <w:jc w:val="both"/>
        <w:rPr>
          <w:rFonts w:ascii="Arial" w:hAnsi="Arial" w:cs="Arial"/>
          <w:sz w:val="22"/>
          <w:szCs w:val="22"/>
          <w:lang w:val="es-CO"/>
        </w:rPr>
      </w:pPr>
    </w:p>
    <w:p w:rsidR="00D34307" w:rsidRPr="00C96099" w:rsidRDefault="00D34307" w:rsidP="00D34307">
      <w:pPr>
        <w:pStyle w:val="Prrafodelista"/>
        <w:numPr>
          <w:ilvl w:val="1"/>
          <w:numId w:val="2"/>
        </w:numPr>
        <w:tabs>
          <w:tab w:val="left" w:pos="993"/>
        </w:tabs>
        <w:jc w:val="both"/>
        <w:rPr>
          <w:rFonts w:ascii="Arial" w:hAnsi="Arial" w:cs="Arial"/>
          <w:b/>
          <w:sz w:val="22"/>
          <w:szCs w:val="22"/>
          <w:lang w:val="es-CO"/>
        </w:rPr>
      </w:pPr>
      <w:r w:rsidRPr="00C96099">
        <w:rPr>
          <w:rFonts w:ascii="Arial" w:hAnsi="Arial" w:cs="Arial"/>
          <w:b/>
          <w:sz w:val="22"/>
          <w:szCs w:val="22"/>
          <w:lang w:val="es-CO"/>
        </w:rPr>
        <w:t>Factor Eficiencia o Rendimiento:</w:t>
      </w:r>
    </w:p>
    <w:p w:rsidR="00D34307" w:rsidRPr="00C96099" w:rsidRDefault="00D34307" w:rsidP="00D34307">
      <w:pPr>
        <w:jc w:val="both"/>
        <w:rPr>
          <w:rFonts w:ascii="Arial" w:hAnsi="Arial" w:cs="Arial"/>
          <w:b/>
          <w:sz w:val="22"/>
          <w:szCs w:val="22"/>
          <w:lang w:val="es-CO"/>
        </w:rPr>
      </w:pPr>
    </w:p>
    <w:p w:rsidR="008F6B84" w:rsidRDefault="00D34307" w:rsidP="00D34307">
      <w:pPr>
        <w:jc w:val="both"/>
        <w:rPr>
          <w:rFonts w:ascii="Arial" w:hAnsi="Arial" w:cs="Arial"/>
          <w:sz w:val="22"/>
          <w:szCs w:val="22"/>
          <w:lang w:val="es-CO"/>
        </w:rPr>
      </w:pPr>
      <w:r w:rsidRPr="00C96099">
        <w:rPr>
          <w:rFonts w:ascii="Arial" w:hAnsi="Arial" w:cs="Arial"/>
          <w:sz w:val="22"/>
          <w:szCs w:val="22"/>
          <w:lang w:val="es-CO"/>
        </w:rPr>
        <w:t xml:space="preserve">Una vez analizado los argumentos presentados por </w:t>
      </w:r>
      <w:r w:rsidR="00CB7D78" w:rsidRPr="00C96099">
        <w:rPr>
          <w:rFonts w:ascii="Arial" w:hAnsi="Arial" w:cs="Arial"/>
          <w:sz w:val="22"/>
          <w:szCs w:val="22"/>
          <w:lang w:val="es-CO"/>
        </w:rPr>
        <w:t xml:space="preserve">la servidora judicial </w:t>
      </w:r>
      <w:proofErr w:type="spellStart"/>
      <w:r w:rsidR="00C96099" w:rsidRPr="00C96099">
        <w:rPr>
          <w:rFonts w:ascii="Arial" w:hAnsi="Arial" w:cs="Arial"/>
          <w:sz w:val="22"/>
          <w:szCs w:val="22"/>
          <w:lang w:val="es-CO"/>
        </w:rPr>
        <w:t>Briyit</w:t>
      </w:r>
      <w:proofErr w:type="spellEnd"/>
      <w:r w:rsidR="00C96099" w:rsidRPr="00C96099">
        <w:rPr>
          <w:rFonts w:ascii="Arial" w:hAnsi="Arial" w:cs="Arial"/>
          <w:sz w:val="22"/>
          <w:szCs w:val="22"/>
          <w:lang w:val="es-CO"/>
        </w:rPr>
        <w:t xml:space="preserve"> Rocio Acosta Jara</w:t>
      </w:r>
      <w:r w:rsidR="008F6B84">
        <w:rPr>
          <w:rFonts w:ascii="Arial" w:hAnsi="Arial" w:cs="Arial"/>
          <w:sz w:val="22"/>
          <w:szCs w:val="22"/>
          <w:lang w:val="es-CO"/>
        </w:rPr>
        <w:t xml:space="preserve"> y verificado el SIERJU, el cual fue contrastado con el archivo plano que remite la UDAE para el periodo que nos ocupa</w:t>
      </w:r>
      <w:r w:rsidR="00F66E96">
        <w:rPr>
          <w:rFonts w:ascii="Arial" w:hAnsi="Arial" w:cs="Arial"/>
          <w:sz w:val="22"/>
          <w:szCs w:val="22"/>
          <w:lang w:val="es-CO"/>
        </w:rPr>
        <w:t xml:space="preserve"> y</w:t>
      </w:r>
      <w:r w:rsidR="008F6B84">
        <w:rPr>
          <w:rFonts w:ascii="Arial" w:hAnsi="Arial" w:cs="Arial"/>
          <w:sz w:val="22"/>
          <w:szCs w:val="22"/>
          <w:lang w:val="es-CO"/>
        </w:rPr>
        <w:t xml:space="preserve"> se tiene que efectivamente al momento de ingresar los datos estadísticos</w:t>
      </w:r>
      <w:r w:rsidR="0086729F">
        <w:rPr>
          <w:rFonts w:ascii="Arial" w:hAnsi="Arial" w:cs="Arial"/>
          <w:sz w:val="22"/>
          <w:szCs w:val="22"/>
          <w:lang w:val="es-CO"/>
        </w:rPr>
        <w:t xml:space="preserve">, dichos </w:t>
      </w:r>
      <w:r w:rsidR="00F66E96">
        <w:rPr>
          <w:rFonts w:ascii="Arial" w:hAnsi="Arial" w:cs="Arial"/>
          <w:sz w:val="22"/>
          <w:szCs w:val="22"/>
          <w:lang w:val="es-CO"/>
        </w:rPr>
        <w:t>valores varían</w:t>
      </w:r>
      <w:r w:rsidR="0086729F">
        <w:rPr>
          <w:rFonts w:ascii="Arial" w:hAnsi="Arial" w:cs="Arial"/>
          <w:sz w:val="22"/>
          <w:szCs w:val="22"/>
          <w:lang w:val="es-CO"/>
        </w:rPr>
        <w:t xml:space="preserve"> entre </w:t>
      </w:r>
      <w:r w:rsidR="00D3440D">
        <w:rPr>
          <w:rFonts w:ascii="Arial" w:hAnsi="Arial" w:cs="Arial"/>
          <w:sz w:val="22"/>
          <w:szCs w:val="22"/>
          <w:lang w:val="es-CO"/>
        </w:rPr>
        <w:t>uno y otro cuadro</w:t>
      </w:r>
      <w:r w:rsidR="008F6B84">
        <w:rPr>
          <w:rFonts w:ascii="Arial" w:hAnsi="Arial" w:cs="Arial"/>
          <w:sz w:val="22"/>
          <w:szCs w:val="22"/>
          <w:lang w:val="es-CO"/>
        </w:rPr>
        <w:t>, por tal motivo</w:t>
      </w:r>
      <w:r w:rsidR="0086729F">
        <w:rPr>
          <w:rFonts w:ascii="Arial" w:hAnsi="Arial" w:cs="Arial"/>
          <w:sz w:val="22"/>
          <w:szCs w:val="22"/>
          <w:lang w:val="es-CO"/>
        </w:rPr>
        <w:t xml:space="preserve"> este Consejo Seccional</w:t>
      </w:r>
      <w:r w:rsidR="008F6B84">
        <w:rPr>
          <w:rFonts w:ascii="Arial" w:hAnsi="Arial" w:cs="Arial"/>
          <w:sz w:val="22"/>
          <w:szCs w:val="22"/>
          <w:lang w:val="es-CO"/>
        </w:rPr>
        <w:t xml:space="preserve">, </w:t>
      </w:r>
      <w:r w:rsidR="0086729F">
        <w:rPr>
          <w:rFonts w:ascii="Arial" w:hAnsi="Arial" w:cs="Arial"/>
          <w:sz w:val="22"/>
          <w:szCs w:val="22"/>
          <w:lang w:val="es-CO"/>
        </w:rPr>
        <w:t xml:space="preserve">procede a </w:t>
      </w:r>
      <w:r w:rsidR="008F6B84">
        <w:rPr>
          <w:rFonts w:ascii="Arial" w:hAnsi="Arial" w:cs="Arial"/>
          <w:sz w:val="22"/>
          <w:szCs w:val="22"/>
          <w:lang w:val="es-CO"/>
        </w:rPr>
        <w:t xml:space="preserve">efectuar </w:t>
      </w:r>
      <w:r w:rsidR="0086729F">
        <w:rPr>
          <w:rFonts w:ascii="Arial" w:hAnsi="Arial" w:cs="Arial"/>
          <w:sz w:val="22"/>
          <w:szCs w:val="22"/>
          <w:lang w:val="es-CO"/>
        </w:rPr>
        <w:t xml:space="preserve">los ajuste correspondientes a la evaluación del factor rendimiento del año 2015. </w:t>
      </w:r>
    </w:p>
    <w:p w:rsidR="00F66E96" w:rsidRDefault="00F66E96" w:rsidP="00D34307">
      <w:pPr>
        <w:jc w:val="both"/>
        <w:rPr>
          <w:rFonts w:ascii="Arial" w:hAnsi="Arial" w:cs="Arial"/>
          <w:sz w:val="22"/>
          <w:szCs w:val="22"/>
          <w:lang w:val="es-CO"/>
        </w:rPr>
      </w:pPr>
    </w:p>
    <w:tbl>
      <w:tblPr>
        <w:tblStyle w:val="Tablaconcuadrcula1"/>
        <w:tblW w:w="0" w:type="auto"/>
        <w:tblInd w:w="-5" w:type="dxa"/>
        <w:tblLook w:val="04A0" w:firstRow="1" w:lastRow="0" w:firstColumn="1" w:lastColumn="0" w:noHBand="0" w:noVBand="1"/>
      </w:tblPr>
      <w:tblGrid>
        <w:gridCol w:w="3119"/>
        <w:gridCol w:w="5714"/>
      </w:tblGrid>
      <w:tr w:rsidR="00D34307" w:rsidRPr="00C96099" w:rsidTr="00DF4291">
        <w:tc>
          <w:tcPr>
            <w:tcW w:w="8833" w:type="dxa"/>
            <w:gridSpan w:val="2"/>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center"/>
              <w:rPr>
                <w:rFonts w:ascii="Arial" w:eastAsia="Arial" w:hAnsi="Arial" w:cs="Arial"/>
                <w:b/>
                <w:color w:val="000000"/>
                <w:sz w:val="18"/>
                <w:szCs w:val="18"/>
              </w:rPr>
            </w:pPr>
            <w:r w:rsidRPr="00C96099">
              <w:rPr>
                <w:rFonts w:ascii="Arial" w:eastAsia="Arial" w:hAnsi="Arial" w:cs="Arial"/>
                <w:b/>
                <w:color w:val="000000"/>
                <w:sz w:val="18"/>
                <w:szCs w:val="18"/>
              </w:rPr>
              <w:t>DATOS GENERALES</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Periodo a evaluar</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01 de enero de 2015 al 31 de diciembre de 2015  (242 días) </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Fecha inicial periodo</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01 de abril de 2015</w:t>
            </w:r>
          </w:p>
        </w:tc>
      </w:tr>
      <w:tr w:rsidR="00D34307" w:rsidRPr="00C96099" w:rsidTr="00DF4291">
        <w:tc>
          <w:tcPr>
            <w:tcW w:w="3119"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Fecha final periodo</w:t>
            </w:r>
          </w:p>
        </w:tc>
        <w:tc>
          <w:tcPr>
            <w:tcW w:w="5714"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31 de diciembre de 2015 </w:t>
            </w:r>
          </w:p>
        </w:tc>
      </w:tr>
    </w:tbl>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p>
    <w:tbl>
      <w:tblPr>
        <w:tblStyle w:val="Tablaconcuadrcula1"/>
        <w:tblpPr w:leftFromText="141" w:rightFromText="141" w:vertAnchor="text" w:horzAnchor="margin" w:tblpXSpec="right" w:tblpY="97"/>
        <w:tblW w:w="0" w:type="auto"/>
        <w:tblLook w:val="04A0" w:firstRow="1" w:lastRow="0" w:firstColumn="1" w:lastColumn="0" w:noHBand="0" w:noVBand="1"/>
      </w:tblPr>
      <w:tblGrid>
        <w:gridCol w:w="2835"/>
        <w:gridCol w:w="4957"/>
      </w:tblGrid>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Periodo a evaluar</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 xml:space="preserve">01 de </w:t>
            </w:r>
            <w:r w:rsidR="00963A12">
              <w:rPr>
                <w:rFonts w:ascii="Arial" w:eastAsia="Arial" w:hAnsi="Arial" w:cs="Arial"/>
                <w:color w:val="000000"/>
                <w:sz w:val="18"/>
                <w:szCs w:val="18"/>
              </w:rPr>
              <w:t>enero</w:t>
            </w:r>
            <w:r w:rsidRPr="00C96099">
              <w:rPr>
                <w:rFonts w:ascii="Arial" w:eastAsia="Arial" w:hAnsi="Arial" w:cs="Arial"/>
                <w:color w:val="000000"/>
                <w:sz w:val="18"/>
                <w:szCs w:val="18"/>
              </w:rPr>
              <w:t xml:space="preserve"> de 2015 al 31 de diciembre de 2015</w:t>
            </w:r>
          </w:p>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(Literal e) – Art. 6 Acuerdo PSAA14-10281 de 2014)</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laborables</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963A12" w:rsidP="00963A12">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242</w:t>
            </w:r>
            <w:r w:rsidR="00D34307" w:rsidRPr="00C96099">
              <w:rPr>
                <w:rFonts w:ascii="Arial" w:eastAsia="Arial" w:hAnsi="Arial" w:cs="Arial"/>
                <w:color w:val="000000"/>
                <w:sz w:val="18"/>
                <w:szCs w:val="18"/>
              </w:rPr>
              <w:t xml:space="preserve"> días </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hábiles no laborados</w:t>
            </w:r>
          </w:p>
        </w:tc>
        <w:tc>
          <w:tcPr>
            <w:tcW w:w="4957" w:type="dxa"/>
            <w:tcBorders>
              <w:top w:val="single" w:sz="4" w:space="0" w:color="auto"/>
              <w:left w:val="single" w:sz="4" w:space="0" w:color="auto"/>
              <w:bottom w:val="single" w:sz="4" w:space="0" w:color="auto"/>
              <w:right w:val="single" w:sz="4" w:space="0" w:color="auto"/>
            </w:tcBorders>
            <w:hideMark/>
          </w:tcPr>
          <w:p w:rsidR="00963A12" w:rsidRPr="00C96099" w:rsidRDefault="00963A12" w:rsidP="00963A12">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14</w:t>
            </w:r>
            <w:r w:rsidR="00D34307" w:rsidRPr="00C96099">
              <w:rPr>
                <w:rFonts w:ascii="Arial" w:eastAsia="Arial" w:hAnsi="Arial" w:cs="Arial"/>
                <w:color w:val="000000"/>
                <w:sz w:val="18"/>
                <w:szCs w:val="18"/>
              </w:rPr>
              <w:t xml:space="preserve">  (correspondientes a </w:t>
            </w:r>
            <w:r>
              <w:rPr>
                <w:rFonts w:ascii="Arial" w:eastAsia="Arial" w:hAnsi="Arial" w:cs="Arial"/>
                <w:color w:val="000000"/>
                <w:sz w:val="18"/>
                <w:szCs w:val="18"/>
              </w:rPr>
              <w:t>vacaciones)</w:t>
            </w:r>
          </w:p>
        </w:tc>
      </w:tr>
      <w:tr w:rsidR="00D34307" w:rsidRPr="00C96099" w:rsidTr="00DF4291">
        <w:tc>
          <w:tcPr>
            <w:tcW w:w="2835" w:type="dxa"/>
            <w:tcBorders>
              <w:top w:val="single" w:sz="4" w:space="0" w:color="auto"/>
              <w:left w:val="single" w:sz="4" w:space="0" w:color="auto"/>
              <w:bottom w:val="single" w:sz="4" w:space="0" w:color="auto"/>
              <w:right w:val="single" w:sz="4" w:space="0" w:color="auto"/>
            </w:tcBorders>
            <w:hideMark/>
          </w:tcPr>
          <w:p w:rsidR="00D34307" w:rsidRPr="00C96099" w:rsidRDefault="00D34307" w:rsidP="00DF4291">
            <w:pPr>
              <w:spacing w:after="9" w:line="235" w:lineRule="auto"/>
              <w:jc w:val="both"/>
              <w:rPr>
                <w:rFonts w:ascii="Arial" w:eastAsia="Arial" w:hAnsi="Arial" w:cs="Arial"/>
                <w:color w:val="000000"/>
                <w:sz w:val="18"/>
                <w:szCs w:val="18"/>
              </w:rPr>
            </w:pPr>
            <w:r w:rsidRPr="00C96099">
              <w:rPr>
                <w:rFonts w:ascii="Arial" w:eastAsia="Arial" w:hAnsi="Arial" w:cs="Arial"/>
                <w:color w:val="000000"/>
                <w:sz w:val="18"/>
                <w:szCs w:val="18"/>
              </w:rPr>
              <w:t>Días laborados</w:t>
            </w:r>
          </w:p>
        </w:tc>
        <w:tc>
          <w:tcPr>
            <w:tcW w:w="4957" w:type="dxa"/>
            <w:tcBorders>
              <w:top w:val="single" w:sz="4" w:space="0" w:color="auto"/>
              <w:left w:val="single" w:sz="4" w:space="0" w:color="auto"/>
              <w:bottom w:val="single" w:sz="4" w:space="0" w:color="auto"/>
              <w:right w:val="single" w:sz="4" w:space="0" w:color="auto"/>
            </w:tcBorders>
            <w:hideMark/>
          </w:tcPr>
          <w:p w:rsidR="00D34307" w:rsidRPr="00C96099" w:rsidRDefault="00963A12" w:rsidP="00DF4291">
            <w:pPr>
              <w:spacing w:after="9" w:line="235" w:lineRule="auto"/>
              <w:jc w:val="both"/>
              <w:rPr>
                <w:rFonts w:ascii="Arial" w:eastAsia="Arial" w:hAnsi="Arial" w:cs="Arial"/>
                <w:color w:val="000000"/>
                <w:sz w:val="18"/>
                <w:szCs w:val="18"/>
              </w:rPr>
            </w:pPr>
            <w:r>
              <w:rPr>
                <w:rFonts w:ascii="Arial" w:eastAsia="Arial" w:hAnsi="Arial" w:cs="Arial"/>
                <w:color w:val="000000"/>
                <w:sz w:val="18"/>
                <w:szCs w:val="18"/>
              </w:rPr>
              <w:t>228</w:t>
            </w:r>
          </w:p>
        </w:tc>
      </w:tr>
    </w:tbl>
    <w:p w:rsidR="00D34307" w:rsidRPr="00C96099"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 xml:space="preserve">Entonces: </w:t>
      </w:r>
    </w:p>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 xml:space="preserve"> </w:t>
      </w:r>
    </w:p>
    <w:p w:rsidR="00D34307" w:rsidRPr="00C96099" w:rsidRDefault="00D34307"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spacing w:after="9" w:line="235" w:lineRule="auto"/>
        <w:ind w:left="-5" w:hanging="10"/>
        <w:jc w:val="both"/>
        <w:rPr>
          <w:rFonts w:ascii="Arial" w:eastAsia="Arial" w:hAnsi="Arial" w:cs="Arial"/>
          <w:color w:val="000000"/>
          <w:sz w:val="18"/>
          <w:szCs w:val="18"/>
        </w:rPr>
      </w:pPr>
    </w:p>
    <w:tbl>
      <w:tblPr>
        <w:tblStyle w:val="Tablaconcuadrcula1"/>
        <w:tblpPr w:leftFromText="141" w:rightFromText="141" w:vertAnchor="text" w:horzAnchor="page" w:tblpX="2740" w:tblpY="149"/>
        <w:tblW w:w="0" w:type="auto"/>
        <w:tblLook w:val="04A0" w:firstRow="1" w:lastRow="0" w:firstColumn="1" w:lastColumn="0" w:noHBand="0" w:noVBand="1"/>
      </w:tblPr>
      <w:tblGrid>
        <w:gridCol w:w="1980"/>
        <w:gridCol w:w="992"/>
      </w:tblGrid>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Carga</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20"/>
              </w:rPr>
            </w:pPr>
            <w:r>
              <w:rPr>
                <w:rFonts w:ascii="Arial" w:eastAsia="Arial" w:hAnsi="Arial" w:cs="Arial"/>
                <w:color w:val="000000"/>
                <w:sz w:val="18"/>
                <w:szCs w:val="20"/>
              </w:rPr>
              <w:t>974</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 xml:space="preserve">Carga despacho - cd  </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20"/>
              </w:rPr>
            </w:pPr>
            <w:r>
              <w:rPr>
                <w:rFonts w:ascii="Arial" w:eastAsia="Arial" w:hAnsi="Arial" w:cs="Arial"/>
                <w:color w:val="000000"/>
                <w:sz w:val="18"/>
                <w:szCs w:val="20"/>
              </w:rPr>
              <w:t>918</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Egreso</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20"/>
              </w:rPr>
            </w:pPr>
            <w:r>
              <w:rPr>
                <w:rFonts w:ascii="Arial" w:eastAsia="Arial" w:hAnsi="Arial" w:cs="Arial"/>
                <w:color w:val="000000"/>
                <w:sz w:val="18"/>
                <w:szCs w:val="20"/>
              </w:rPr>
              <w:t>534</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Conciliaciones</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20"/>
              </w:rPr>
            </w:pPr>
            <w:r w:rsidRPr="00C96099">
              <w:rPr>
                <w:rFonts w:ascii="Arial" w:eastAsia="Arial" w:hAnsi="Arial" w:cs="Arial"/>
                <w:color w:val="000000"/>
                <w:sz w:val="18"/>
                <w:szCs w:val="20"/>
              </w:rPr>
              <w:t>1</w:t>
            </w:r>
            <w:r>
              <w:rPr>
                <w:rFonts w:ascii="Arial" w:eastAsia="Arial" w:hAnsi="Arial" w:cs="Arial"/>
                <w:color w:val="000000"/>
                <w:sz w:val="18"/>
                <w:szCs w:val="20"/>
              </w:rPr>
              <w:t>3</w:t>
            </w:r>
          </w:p>
        </w:tc>
      </w:tr>
      <w:tr w:rsidR="00A509D1" w:rsidRPr="00C96099" w:rsidTr="00A509D1">
        <w:tc>
          <w:tcPr>
            <w:tcW w:w="1980"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18"/>
              </w:rPr>
            </w:pPr>
            <w:r w:rsidRPr="00C96099">
              <w:rPr>
                <w:rFonts w:ascii="Arial" w:eastAsia="Arial" w:hAnsi="Arial" w:cs="Arial"/>
                <w:color w:val="000000"/>
                <w:sz w:val="18"/>
                <w:szCs w:val="18"/>
              </w:rPr>
              <w:t>Total egreso</w:t>
            </w:r>
          </w:p>
        </w:tc>
        <w:tc>
          <w:tcPr>
            <w:tcW w:w="992" w:type="dxa"/>
            <w:tcBorders>
              <w:top w:val="single" w:sz="4" w:space="0" w:color="auto"/>
              <w:left w:val="single" w:sz="4" w:space="0" w:color="auto"/>
              <w:bottom w:val="single" w:sz="4" w:space="0" w:color="auto"/>
              <w:right w:val="single" w:sz="4" w:space="0" w:color="auto"/>
            </w:tcBorders>
            <w:hideMark/>
          </w:tcPr>
          <w:p w:rsidR="00A509D1" w:rsidRPr="00C96099" w:rsidRDefault="00A509D1" w:rsidP="00A509D1">
            <w:pPr>
              <w:jc w:val="both"/>
              <w:rPr>
                <w:rFonts w:ascii="Arial" w:eastAsia="Arial" w:hAnsi="Arial" w:cs="Arial"/>
                <w:color w:val="000000"/>
                <w:sz w:val="18"/>
                <w:szCs w:val="20"/>
              </w:rPr>
            </w:pPr>
            <w:r>
              <w:rPr>
                <w:rFonts w:ascii="Arial" w:eastAsia="Arial" w:hAnsi="Arial" w:cs="Arial"/>
                <w:color w:val="000000"/>
                <w:sz w:val="18"/>
                <w:szCs w:val="20"/>
              </w:rPr>
              <w:t>547</w:t>
            </w:r>
          </w:p>
        </w:tc>
      </w:tr>
    </w:tbl>
    <w:p w:rsidR="00D34307" w:rsidRDefault="00D34307" w:rsidP="00D34307">
      <w:pPr>
        <w:spacing w:after="9" w:line="235" w:lineRule="auto"/>
        <w:ind w:left="-5" w:hanging="10"/>
        <w:jc w:val="both"/>
        <w:rPr>
          <w:rFonts w:ascii="Arial" w:eastAsia="Arial" w:hAnsi="Arial" w:cs="Arial"/>
          <w:color w:val="000000"/>
          <w:sz w:val="18"/>
          <w:szCs w:val="18"/>
        </w:rPr>
      </w:pPr>
      <w:r w:rsidRPr="00C96099">
        <w:rPr>
          <w:rFonts w:ascii="Arial" w:eastAsia="Arial" w:hAnsi="Arial" w:cs="Arial"/>
          <w:color w:val="000000"/>
          <w:sz w:val="18"/>
          <w:szCs w:val="18"/>
        </w:rPr>
        <w:tab/>
        <w:t xml:space="preserve"> </w:t>
      </w:r>
      <w:r w:rsidRPr="00C96099">
        <w:rPr>
          <w:rFonts w:ascii="Arial" w:eastAsia="Arial" w:hAnsi="Arial" w:cs="Arial"/>
          <w:color w:val="000000"/>
          <w:sz w:val="18"/>
          <w:szCs w:val="18"/>
        </w:rPr>
        <w:tab/>
      </w:r>
    </w:p>
    <w:p w:rsidR="00FE35AA" w:rsidRPr="00C96099" w:rsidRDefault="00FE35AA" w:rsidP="00D34307">
      <w:pPr>
        <w:spacing w:after="9" w:line="235" w:lineRule="auto"/>
        <w:ind w:left="-5" w:hanging="10"/>
        <w:jc w:val="both"/>
        <w:rPr>
          <w:rFonts w:ascii="Arial" w:eastAsia="Arial" w:hAnsi="Arial" w:cs="Arial"/>
          <w:color w:val="000000"/>
          <w:sz w:val="18"/>
          <w:szCs w:val="18"/>
        </w:rPr>
      </w:pP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p>
    <w:p w:rsidR="00D34307" w:rsidRPr="00C96099" w:rsidRDefault="00D34307" w:rsidP="00D34307">
      <w:pPr>
        <w:tabs>
          <w:tab w:val="left" w:pos="708"/>
          <w:tab w:val="center" w:pos="4414"/>
        </w:tabs>
        <w:spacing w:after="9" w:line="235" w:lineRule="auto"/>
        <w:ind w:left="-5" w:hanging="10"/>
        <w:jc w:val="both"/>
        <w:rPr>
          <w:rFonts w:ascii="Arial" w:eastAsia="Arial" w:hAnsi="Arial" w:cs="Arial"/>
          <w:color w:val="000000"/>
          <w:sz w:val="22"/>
          <w:szCs w:val="22"/>
        </w:rPr>
      </w:pPr>
    </w:p>
    <w:p w:rsidR="00A509D1" w:rsidRPr="00C96099" w:rsidRDefault="00A509D1" w:rsidP="00FC3734">
      <w:pPr>
        <w:tabs>
          <w:tab w:val="left" w:pos="708"/>
          <w:tab w:val="center" w:pos="4414"/>
        </w:tabs>
        <w:spacing w:after="9" w:line="235" w:lineRule="auto"/>
        <w:jc w:val="both"/>
        <w:rPr>
          <w:rFonts w:ascii="Arial" w:eastAsia="Arial" w:hAnsi="Arial" w:cs="Arial"/>
          <w:color w:val="000000"/>
          <w:sz w:val="22"/>
          <w:szCs w:val="22"/>
        </w:rPr>
      </w:pPr>
    </w:p>
    <w:p w:rsidR="00D34307" w:rsidRDefault="00D34307" w:rsidP="00A509D1">
      <w:pPr>
        <w:tabs>
          <w:tab w:val="left" w:pos="708"/>
          <w:tab w:val="center" w:pos="4414"/>
        </w:tabs>
        <w:spacing w:after="9" w:line="235" w:lineRule="auto"/>
        <w:ind w:left="-5" w:hanging="10"/>
        <w:jc w:val="both"/>
        <w:rPr>
          <w:rFonts w:ascii="Arial" w:eastAsia="Arial" w:hAnsi="Arial" w:cs="Arial"/>
          <w:i/>
          <w:color w:val="000000"/>
          <w:sz w:val="22"/>
          <w:szCs w:val="22"/>
        </w:rPr>
      </w:pPr>
      <w:r w:rsidRPr="00C96099">
        <w:rPr>
          <w:rFonts w:ascii="Arial" w:eastAsia="Arial" w:hAnsi="Arial" w:cs="Arial"/>
          <w:color w:val="000000"/>
          <w:sz w:val="22"/>
          <w:szCs w:val="22"/>
        </w:rPr>
        <w:tab/>
        <w:t xml:space="preserve"> En el literal c) del artículo 39 del A</w:t>
      </w:r>
      <w:r w:rsidR="001A0279">
        <w:rPr>
          <w:rFonts w:ascii="Arial" w:eastAsia="Arial" w:hAnsi="Arial" w:cs="Arial"/>
          <w:color w:val="000000"/>
          <w:sz w:val="22"/>
          <w:szCs w:val="22"/>
        </w:rPr>
        <w:t xml:space="preserve">cuerdo PSAA14-10281 de 2014 se </w:t>
      </w:r>
      <w:r w:rsidRPr="00C96099">
        <w:rPr>
          <w:rFonts w:ascii="Arial" w:eastAsia="Arial" w:hAnsi="Arial" w:cs="Arial"/>
          <w:color w:val="000000"/>
          <w:sz w:val="22"/>
          <w:szCs w:val="22"/>
        </w:rPr>
        <w:t xml:space="preserve">fija el guarismo para determinar el cálculo de la calificación del sub factor correspondiente a la respuesta efectiva a la demanda de justicia, teniendo en cuenta que la carga del periodo que refleja ese despacho, fue inferior a la capacidad máxima de respuesta, motivo por el cual la calificación se establecerá proporcionalmente sobre un total de 35 puntos, correspondiendo aplicar la siguiente fórmula: </w:t>
      </w:r>
      <w:r w:rsidRPr="00C96099">
        <w:rPr>
          <w:rFonts w:ascii="Arial" w:eastAsia="Arial" w:hAnsi="Arial" w:cs="Arial"/>
          <w:i/>
          <w:color w:val="000000"/>
          <w:sz w:val="22"/>
          <w:szCs w:val="22"/>
        </w:rPr>
        <w:t>Calificación Subfactor = (Egreso/Ca</w:t>
      </w:r>
      <w:r w:rsidR="001A0279">
        <w:rPr>
          <w:rFonts w:ascii="Arial" w:eastAsia="Arial" w:hAnsi="Arial" w:cs="Arial"/>
          <w:i/>
          <w:color w:val="000000"/>
          <w:sz w:val="22"/>
          <w:szCs w:val="22"/>
        </w:rPr>
        <w:t xml:space="preserve">rga del Despacho) X 35, </w:t>
      </w:r>
      <w:r w:rsidRPr="00C96099">
        <w:rPr>
          <w:rFonts w:ascii="Arial" w:eastAsia="Arial" w:hAnsi="Arial" w:cs="Arial"/>
          <w:color w:val="000000"/>
          <w:sz w:val="22"/>
          <w:szCs w:val="22"/>
        </w:rPr>
        <w:t>así</w:t>
      </w:r>
      <w:r w:rsidRPr="00C96099">
        <w:rPr>
          <w:rFonts w:ascii="Arial" w:eastAsia="Arial" w:hAnsi="Arial" w:cs="Arial"/>
          <w:i/>
          <w:color w:val="000000"/>
          <w:sz w:val="22"/>
          <w:szCs w:val="22"/>
        </w:rPr>
        <w:t xml:space="preserve">: </w:t>
      </w:r>
    </w:p>
    <w:p w:rsidR="00FE35AA" w:rsidRDefault="00FE35AA" w:rsidP="00A509D1">
      <w:pPr>
        <w:tabs>
          <w:tab w:val="left" w:pos="708"/>
          <w:tab w:val="center" w:pos="4414"/>
        </w:tabs>
        <w:spacing w:after="9" w:line="235" w:lineRule="auto"/>
        <w:ind w:left="-5" w:hanging="10"/>
        <w:jc w:val="both"/>
        <w:rPr>
          <w:rFonts w:ascii="Arial" w:eastAsia="Arial" w:hAnsi="Arial" w:cs="Arial"/>
          <w:i/>
          <w:color w:val="000000"/>
          <w:sz w:val="22"/>
          <w:szCs w:val="22"/>
        </w:rPr>
      </w:pPr>
    </w:p>
    <w:p w:rsidR="00FE35AA" w:rsidRDefault="00FE35AA" w:rsidP="00A509D1">
      <w:pPr>
        <w:tabs>
          <w:tab w:val="left" w:pos="708"/>
          <w:tab w:val="center" w:pos="4414"/>
        </w:tabs>
        <w:spacing w:after="9" w:line="235" w:lineRule="auto"/>
        <w:ind w:left="-5" w:hanging="10"/>
        <w:jc w:val="both"/>
        <w:rPr>
          <w:rFonts w:ascii="Arial" w:eastAsia="Arial" w:hAnsi="Arial" w:cs="Arial"/>
          <w:i/>
          <w:color w:val="000000"/>
          <w:sz w:val="22"/>
          <w:szCs w:val="22"/>
        </w:rPr>
      </w:pPr>
    </w:p>
    <w:p w:rsidR="00FC3734" w:rsidRDefault="00FC3734" w:rsidP="00A509D1">
      <w:pPr>
        <w:tabs>
          <w:tab w:val="left" w:pos="708"/>
          <w:tab w:val="center" w:pos="4414"/>
        </w:tabs>
        <w:spacing w:after="9" w:line="235" w:lineRule="auto"/>
        <w:ind w:left="-5" w:hanging="10"/>
        <w:jc w:val="both"/>
        <w:rPr>
          <w:rFonts w:ascii="Arial" w:eastAsia="Arial" w:hAnsi="Arial" w:cs="Arial"/>
          <w:i/>
          <w:color w:val="000000"/>
          <w:sz w:val="22"/>
          <w:szCs w:val="22"/>
        </w:rPr>
      </w:pPr>
      <w:bookmarkStart w:id="0" w:name="_GoBack"/>
      <w:bookmarkEnd w:id="0"/>
    </w:p>
    <w:p w:rsidR="00D34307" w:rsidRPr="00C96099" w:rsidRDefault="00D34307" w:rsidP="00D34307">
      <w:pPr>
        <w:numPr>
          <w:ilvl w:val="0"/>
          <w:numId w:val="3"/>
        </w:numPr>
        <w:spacing w:after="9" w:line="235" w:lineRule="auto"/>
        <w:ind w:right="-15"/>
        <w:contextualSpacing/>
        <w:jc w:val="both"/>
        <w:rPr>
          <w:rFonts w:ascii="Arial" w:eastAsia="Arial" w:hAnsi="Arial" w:cs="Arial"/>
          <w:color w:val="000000"/>
          <w:sz w:val="22"/>
          <w:szCs w:val="22"/>
        </w:rPr>
      </w:pPr>
      <w:proofErr w:type="spellStart"/>
      <w:r w:rsidRPr="00C96099">
        <w:rPr>
          <w:rFonts w:ascii="Arial" w:eastAsia="Arial" w:hAnsi="Arial" w:cs="Arial"/>
          <w:b/>
          <w:i/>
          <w:color w:val="000000"/>
          <w:sz w:val="22"/>
          <w:szCs w:val="22"/>
        </w:rPr>
        <w:t>Subfactor</w:t>
      </w:r>
      <w:proofErr w:type="spellEnd"/>
      <w:r w:rsidRPr="00C96099">
        <w:rPr>
          <w:rFonts w:ascii="Arial" w:eastAsia="Arial" w:hAnsi="Arial" w:cs="Arial"/>
          <w:b/>
          <w:i/>
          <w:color w:val="000000"/>
          <w:sz w:val="22"/>
          <w:szCs w:val="22"/>
        </w:rPr>
        <w:t xml:space="preserve"> de respuesta efectiva a la demanda de justicia - Literal A). Art. 34 </w:t>
      </w:r>
    </w:p>
    <w:p w:rsidR="00D34307" w:rsidRPr="00C96099" w:rsidRDefault="00D34307" w:rsidP="00D34307">
      <w:pPr>
        <w:spacing w:line="235" w:lineRule="auto"/>
        <w:ind w:left="345" w:right="-15"/>
        <w:contextualSpacing/>
        <w:jc w:val="both"/>
        <w:rPr>
          <w:rFonts w:ascii="Arial" w:eastAsia="Arial" w:hAnsi="Arial" w:cs="Arial"/>
          <w:i/>
          <w:color w:val="000000"/>
          <w:sz w:val="22"/>
          <w:szCs w:val="22"/>
        </w:rPr>
      </w:pPr>
      <w:r w:rsidRPr="00C96099">
        <w:rPr>
          <w:rFonts w:ascii="Arial" w:eastAsia="Arial" w:hAnsi="Arial" w:cs="Arial"/>
          <w:i/>
          <w:color w:val="000000"/>
          <w:sz w:val="22"/>
          <w:szCs w:val="22"/>
        </w:rPr>
        <w:t xml:space="preserve">Formula: = (Egreso/Capacidad del Despacho)*35    </w:t>
      </w:r>
    </w:p>
    <w:p w:rsidR="00D34307" w:rsidRPr="00C96099" w:rsidRDefault="00D34307" w:rsidP="00D34307">
      <w:pPr>
        <w:spacing w:line="235" w:lineRule="auto"/>
        <w:ind w:left="345" w:right="-15"/>
        <w:contextualSpacing/>
        <w:jc w:val="both"/>
        <w:rPr>
          <w:rFonts w:ascii="Arial" w:eastAsia="Arial" w:hAnsi="Arial" w:cs="Arial"/>
          <w:color w:val="000000"/>
          <w:sz w:val="22"/>
          <w:szCs w:val="22"/>
        </w:rPr>
      </w:pPr>
      <w:r w:rsidRPr="00C96099">
        <w:rPr>
          <w:rFonts w:ascii="Arial" w:eastAsia="Arial" w:hAnsi="Arial" w:cs="Arial"/>
          <w:color w:val="000000"/>
          <w:sz w:val="22"/>
          <w:szCs w:val="22"/>
        </w:rPr>
        <w:t xml:space="preserve">               = (54</w:t>
      </w:r>
      <w:r w:rsidR="00FE35AA">
        <w:rPr>
          <w:rFonts w:ascii="Arial" w:eastAsia="Arial" w:hAnsi="Arial" w:cs="Arial"/>
          <w:color w:val="000000"/>
          <w:sz w:val="22"/>
          <w:szCs w:val="22"/>
        </w:rPr>
        <w:t>7/918</w:t>
      </w:r>
      <w:r w:rsidRPr="00C96099">
        <w:rPr>
          <w:rFonts w:ascii="Arial" w:eastAsia="Arial" w:hAnsi="Arial" w:cs="Arial"/>
          <w:color w:val="000000"/>
          <w:sz w:val="22"/>
          <w:szCs w:val="22"/>
        </w:rPr>
        <w:t xml:space="preserve">)*35 </w:t>
      </w:r>
    </w:p>
    <w:p w:rsidR="00D34307" w:rsidRPr="00C96099" w:rsidRDefault="00D34307" w:rsidP="00D34307">
      <w:pPr>
        <w:spacing w:line="235" w:lineRule="auto"/>
        <w:ind w:left="345" w:right="-15"/>
        <w:contextualSpacing/>
        <w:jc w:val="both"/>
        <w:rPr>
          <w:rFonts w:ascii="Arial" w:eastAsia="Arial" w:hAnsi="Arial" w:cs="Arial"/>
          <w:color w:val="000000"/>
          <w:sz w:val="22"/>
          <w:szCs w:val="22"/>
        </w:rPr>
      </w:pPr>
      <w:r w:rsidRPr="00C96099">
        <w:rPr>
          <w:rFonts w:ascii="Arial" w:eastAsia="Arial" w:hAnsi="Arial" w:cs="Arial"/>
          <w:color w:val="000000"/>
          <w:sz w:val="22"/>
          <w:szCs w:val="22"/>
        </w:rPr>
        <w:t xml:space="preserve">Resultado: = </w:t>
      </w:r>
      <w:r w:rsidR="00FE35AA">
        <w:rPr>
          <w:rFonts w:ascii="Arial" w:eastAsia="Arial" w:hAnsi="Arial" w:cs="Arial"/>
          <w:color w:val="000000"/>
          <w:sz w:val="22"/>
          <w:szCs w:val="22"/>
        </w:rPr>
        <w:t>20,86</w:t>
      </w:r>
    </w:p>
    <w:p w:rsidR="00D34307" w:rsidRPr="00C96099" w:rsidRDefault="00D34307" w:rsidP="00D34307">
      <w:pPr>
        <w:spacing w:line="235" w:lineRule="auto"/>
        <w:ind w:left="-5" w:right="-15" w:hanging="10"/>
        <w:jc w:val="both"/>
        <w:rPr>
          <w:rFonts w:ascii="Arial" w:eastAsia="Arial" w:hAnsi="Arial" w:cs="Arial"/>
          <w:color w:val="000000"/>
          <w:sz w:val="22"/>
          <w:szCs w:val="22"/>
        </w:rPr>
      </w:pPr>
    </w:p>
    <w:p w:rsidR="00D34307" w:rsidRPr="00C96099" w:rsidRDefault="00D34307" w:rsidP="00D34307">
      <w:pPr>
        <w:numPr>
          <w:ilvl w:val="0"/>
          <w:numId w:val="3"/>
        </w:numPr>
        <w:spacing w:after="9" w:line="235" w:lineRule="auto"/>
        <w:ind w:right="-15"/>
        <w:contextualSpacing/>
        <w:jc w:val="both"/>
        <w:rPr>
          <w:rFonts w:ascii="Arial" w:eastAsia="Arial" w:hAnsi="Arial" w:cs="Arial"/>
          <w:b/>
          <w:i/>
          <w:color w:val="000000"/>
          <w:sz w:val="22"/>
          <w:szCs w:val="22"/>
        </w:rPr>
      </w:pPr>
      <w:r w:rsidRPr="00C96099">
        <w:rPr>
          <w:rFonts w:ascii="Arial" w:eastAsia="Arial" w:hAnsi="Arial" w:cs="Arial"/>
          <w:b/>
          <w:i/>
          <w:color w:val="000000"/>
          <w:sz w:val="22"/>
          <w:szCs w:val="22"/>
        </w:rPr>
        <w:t>Subfactor atención de audiencias programadas - - Literal B). Art. 34</w:t>
      </w:r>
    </w:p>
    <w:p w:rsidR="00D34307" w:rsidRPr="00C96099" w:rsidRDefault="00D34307" w:rsidP="00D34307">
      <w:pPr>
        <w:spacing w:after="9" w:line="235" w:lineRule="auto"/>
        <w:ind w:left="345"/>
        <w:contextualSpacing/>
        <w:jc w:val="both"/>
        <w:rPr>
          <w:rFonts w:ascii="Arial" w:eastAsia="Arial" w:hAnsi="Arial" w:cs="Arial"/>
          <w:color w:val="000000"/>
          <w:sz w:val="22"/>
          <w:szCs w:val="22"/>
        </w:rPr>
      </w:pPr>
      <w:r w:rsidRPr="00C96099">
        <w:rPr>
          <w:rFonts w:ascii="Arial" w:eastAsia="Arial" w:hAnsi="Arial" w:cs="Arial"/>
          <w:color w:val="000000"/>
          <w:sz w:val="22"/>
          <w:szCs w:val="22"/>
        </w:rPr>
        <w:t xml:space="preserve">Atención de audiencias programadas = 5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contextualSpacing/>
        <w:jc w:val="both"/>
        <w:rPr>
          <w:rFonts w:ascii="Arial" w:eastAsia="Arial" w:hAnsi="Arial" w:cs="Arial"/>
          <w:color w:val="000000"/>
          <w:sz w:val="22"/>
          <w:szCs w:val="22"/>
        </w:rPr>
      </w:pPr>
      <w:r w:rsidRPr="00C96099">
        <w:rPr>
          <w:rFonts w:ascii="Arial" w:eastAsia="Arial" w:hAnsi="Arial" w:cs="Arial"/>
          <w:color w:val="000000"/>
          <w:sz w:val="22"/>
          <w:szCs w:val="22"/>
        </w:rPr>
        <w:t>En resumen, se tiene como resultado de la aplicación de la formula anteriormente descrita, p</w:t>
      </w:r>
      <w:r w:rsidR="001A0279">
        <w:rPr>
          <w:rFonts w:ascii="Arial" w:eastAsia="Arial" w:hAnsi="Arial" w:cs="Arial"/>
          <w:color w:val="000000"/>
          <w:sz w:val="22"/>
          <w:szCs w:val="22"/>
        </w:rPr>
        <w:t xml:space="preserve">roveniente de la sumatoria del </w:t>
      </w:r>
      <w:proofErr w:type="spellStart"/>
      <w:r w:rsidRPr="00C96099">
        <w:rPr>
          <w:rFonts w:ascii="Arial" w:eastAsia="Arial" w:hAnsi="Arial" w:cs="Arial"/>
          <w:color w:val="000000"/>
          <w:sz w:val="22"/>
          <w:szCs w:val="22"/>
        </w:rPr>
        <w:t>subfactor</w:t>
      </w:r>
      <w:proofErr w:type="spellEnd"/>
      <w:r w:rsidRPr="00C96099">
        <w:rPr>
          <w:rFonts w:ascii="Arial" w:eastAsia="Arial" w:hAnsi="Arial" w:cs="Arial"/>
          <w:color w:val="000000"/>
          <w:sz w:val="22"/>
          <w:szCs w:val="22"/>
        </w:rPr>
        <w:t xml:space="preserve"> de respuesta efectiva a la dema</w:t>
      </w:r>
      <w:r w:rsidR="001A0279">
        <w:rPr>
          <w:rFonts w:ascii="Arial" w:eastAsia="Arial" w:hAnsi="Arial" w:cs="Arial"/>
          <w:color w:val="000000"/>
          <w:sz w:val="22"/>
          <w:szCs w:val="22"/>
        </w:rPr>
        <w:t xml:space="preserve">nda de justicia y del </w:t>
      </w:r>
      <w:proofErr w:type="spellStart"/>
      <w:r w:rsidR="001A0279">
        <w:rPr>
          <w:rFonts w:ascii="Arial" w:eastAsia="Arial" w:hAnsi="Arial" w:cs="Arial"/>
          <w:color w:val="000000"/>
          <w:sz w:val="22"/>
          <w:szCs w:val="22"/>
        </w:rPr>
        <w:t>subfactor</w:t>
      </w:r>
      <w:proofErr w:type="spellEnd"/>
      <w:r w:rsidRPr="00C96099">
        <w:rPr>
          <w:rFonts w:ascii="Arial" w:eastAsia="Arial" w:hAnsi="Arial" w:cs="Arial"/>
          <w:color w:val="000000"/>
          <w:sz w:val="22"/>
          <w:szCs w:val="22"/>
        </w:rPr>
        <w:t xml:space="preserve"> atención de audiencias programadas, un total de </w:t>
      </w:r>
      <w:r w:rsidR="00FE35AA">
        <w:rPr>
          <w:rFonts w:ascii="Arial" w:eastAsia="Arial" w:hAnsi="Arial" w:cs="Arial"/>
          <w:color w:val="000000"/>
          <w:sz w:val="22"/>
          <w:szCs w:val="22"/>
        </w:rPr>
        <w:t>25,86</w:t>
      </w:r>
      <w:r w:rsidR="001A0279">
        <w:rPr>
          <w:rFonts w:ascii="Arial" w:eastAsia="Arial" w:hAnsi="Arial" w:cs="Arial"/>
          <w:color w:val="000000"/>
          <w:sz w:val="22"/>
          <w:szCs w:val="22"/>
        </w:rPr>
        <w:t xml:space="preserve"> puntos de rendimiento y</w:t>
      </w:r>
      <w:r w:rsidRPr="00C96099">
        <w:rPr>
          <w:rFonts w:ascii="Arial" w:eastAsia="Arial" w:hAnsi="Arial" w:cs="Arial"/>
          <w:color w:val="000000"/>
          <w:sz w:val="22"/>
          <w:szCs w:val="22"/>
        </w:rPr>
        <w:t xml:space="preserve"> habrá de procederse a la integración final.  </w:t>
      </w:r>
    </w:p>
    <w:p w:rsidR="00D34307" w:rsidRPr="00C96099" w:rsidRDefault="00D34307" w:rsidP="00D34307">
      <w:pPr>
        <w:spacing w:after="9" w:line="235" w:lineRule="auto"/>
        <w:contextualSpacing/>
        <w:jc w:val="both"/>
        <w:rPr>
          <w:rFonts w:ascii="Arial" w:eastAsia="Arial" w:hAnsi="Arial" w:cs="Arial"/>
          <w:color w:val="000000"/>
          <w:sz w:val="22"/>
          <w:szCs w:val="22"/>
        </w:rPr>
      </w:pPr>
    </w:p>
    <w:p w:rsidR="00D34307" w:rsidRPr="00C96099" w:rsidRDefault="00D34307" w:rsidP="00D34307">
      <w:pPr>
        <w:spacing w:after="9" w:line="235" w:lineRule="auto"/>
        <w:contextualSpacing/>
        <w:jc w:val="both"/>
        <w:rPr>
          <w:rFonts w:ascii="Arial" w:eastAsia="Arial" w:hAnsi="Arial" w:cs="Arial"/>
          <w:color w:val="000000"/>
          <w:sz w:val="22"/>
          <w:szCs w:val="22"/>
        </w:rPr>
      </w:pPr>
    </w:p>
    <w:p w:rsidR="00D34307" w:rsidRPr="00C96099" w:rsidRDefault="00D34307" w:rsidP="00D34307">
      <w:pPr>
        <w:pStyle w:val="Prrafodelista"/>
        <w:numPr>
          <w:ilvl w:val="1"/>
          <w:numId w:val="2"/>
        </w:numPr>
        <w:spacing w:after="9" w:line="235" w:lineRule="auto"/>
        <w:jc w:val="both"/>
        <w:rPr>
          <w:rFonts w:ascii="Arial" w:eastAsia="Arial" w:hAnsi="Arial" w:cs="Arial"/>
          <w:b/>
          <w:i/>
          <w:color w:val="000000"/>
          <w:sz w:val="22"/>
          <w:szCs w:val="22"/>
        </w:rPr>
      </w:pPr>
      <w:r w:rsidRPr="00C96099">
        <w:rPr>
          <w:rFonts w:ascii="Arial" w:eastAsia="Arial" w:hAnsi="Arial" w:cs="Arial"/>
          <w:b/>
          <w:i/>
          <w:color w:val="000000"/>
          <w:sz w:val="22"/>
          <w:szCs w:val="22"/>
        </w:rPr>
        <w:t>Integración final de la calificación de servicios</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EB09C3">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Teniendo en cuenta el resultado de la redefinición de cada uno de los factores de la calificación integral del periodo del año 2015, del recurso que aquí se desata, se entra a consolidar la nueva calificación que debe corresponder, así</w:t>
      </w:r>
    </w:p>
    <w:p w:rsidR="00D34307" w:rsidRPr="00C96099" w:rsidRDefault="00D34307" w:rsidP="00D34307">
      <w:pPr>
        <w:spacing w:after="8" w:line="276" w:lineRule="auto"/>
        <w:jc w:val="both"/>
        <w:rPr>
          <w:rFonts w:ascii="Arial" w:eastAsia="Arial" w:hAnsi="Arial" w:cs="Arial"/>
          <w:color w:val="000000"/>
          <w:sz w:val="22"/>
          <w:szCs w:val="22"/>
        </w:rPr>
      </w:pPr>
    </w:p>
    <w:tbl>
      <w:tblPr>
        <w:tblStyle w:val="TableGrid"/>
        <w:tblW w:w="5021"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1"/>
        <w:gridCol w:w="1480"/>
      </w:tblGrid>
      <w:tr w:rsidR="00D34307" w:rsidRPr="00C96099" w:rsidTr="00DF4291">
        <w:trPr>
          <w:trHeight w:val="249"/>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calidad  </w:t>
            </w:r>
            <w:r w:rsidRPr="00C96099">
              <w:rPr>
                <w:rFonts w:ascii="Arial" w:eastAsia="Arial" w:hAnsi="Arial" w:cs="Arial"/>
                <w:color w:val="000000"/>
                <w:sz w:val="20"/>
                <w:szCs w:val="22"/>
              </w:rPr>
              <w:tab/>
              <w:t xml:space="preserve"> </w:t>
            </w:r>
            <w:r w:rsidRPr="00C96099">
              <w:rPr>
                <w:rFonts w:ascii="Arial" w:eastAsia="Arial" w:hAnsi="Arial" w:cs="Arial"/>
                <w:color w:val="000000"/>
                <w:sz w:val="20"/>
                <w:szCs w:val="22"/>
              </w:rPr>
              <w:tab/>
              <w:t xml:space="preserve"> </w:t>
            </w:r>
          </w:p>
        </w:tc>
        <w:tc>
          <w:tcPr>
            <w:tcW w:w="1480" w:type="dxa"/>
            <w:hideMark/>
          </w:tcPr>
          <w:p w:rsidR="00D34307" w:rsidRPr="00C96099" w:rsidRDefault="00D34307" w:rsidP="005D1B21">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3</w:t>
            </w:r>
            <w:r w:rsidR="00EB09C3" w:rsidRPr="00C96099">
              <w:rPr>
                <w:rFonts w:ascii="Arial" w:eastAsia="Arial" w:hAnsi="Arial" w:cs="Arial"/>
                <w:color w:val="000000"/>
                <w:sz w:val="20"/>
                <w:szCs w:val="22"/>
              </w:rPr>
              <w:t>3</w:t>
            </w:r>
            <w:r w:rsidRPr="00C96099">
              <w:rPr>
                <w:rFonts w:ascii="Arial" w:eastAsia="Arial" w:hAnsi="Arial" w:cs="Arial"/>
                <w:color w:val="000000"/>
                <w:sz w:val="20"/>
                <w:szCs w:val="22"/>
              </w:rPr>
              <w:t>,</w:t>
            </w:r>
            <w:r w:rsidR="005D1B21">
              <w:rPr>
                <w:rFonts w:ascii="Arial" w:eastAsia="Arial" w:hAnsi="Arial" w:cs="Arial"/>
                <w:color w:val="000000"/>
                <w:sz w:val="20"/>
                <w:szCs w:val="22"/>
              </w:rPr>
              <w:t>5</w:t>
            </w:r>
          </w:p>
        </w:tc>
      </w:tr>
      <w:tr w:rsidR="00D34307" w:rsidRPr="00C96099" w:rsidTr="00DF4291">
        <w:trPr>
          <w:trHeight w:val="252"/>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eficiencia o rendimiento </w:t>
            </w:r>
          </w:p>
        </w:tc>
        <w:tc>
          <w:tcPr>
            <w:tcW w:w="1480" w:type="dxa"/>
            <w:hideMark/>
          </w:tcPr>
          <w:p w:rsidR="00D34307" w:rsidRPr="00C96099" w:rsidRDefault="005D1B21" w:rsidP="00DF4291">
            <w:pPr>
              <w:spacing w:line="276" w:lineRule="auto"/>
              <w:jc w:val="center"/>
              <w:rPr>
                <w:rFonts w:ascii="Arial" w:eastAsia="Arial" w:hAnsi="Arial" w:cs="Arial"/>
                <w:color w:val="000000"/>
                <w:sz w:val="20"/>
                <w:szCs w:val="22"/>
              </w:rPr>
            </w:pPr>
            <w:r>
              <w:rPr>
                <w:rFonts w:ascii="Arial" w:eastAsia="Arial" w:hAnsi="Arial" w:cs="Arial"/>
                <w:color w:val="000000"/>
                <w:sz w:val="20"/>
                <w:szCs w:val="22"/>
              </w:rPr>
              <w:t>25,86</w:t>
            </w:r>
          </w:p>
        </w:tc>
      </w:tr>
      <w:tr w:rsidR="00D34307" w:rsidRPr="00C96099" w:rsidTr="00DF4291">
        <w:trPr>
          <w:trHeight w:val="253"/>
        </w:trPr>
        <w:tc>
          <w:tcPr>
            <w:tcW w:w="3541" w:type="dxa"/>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organización del trabajo </w:t>
            </w:r>
          </w:p>
        </w:tc>
        <w:tc>
          <w:tcPr>
            <w:tcW w:w="1480" w:type="dxa"/>
            <w:hideMark/>
          </w:tcPr>
          <w:p w:rsidR="00D34307" w:rsidRPr="00C96099" w:rsidRDefault="00D34307" w:rsidP="00DF4291">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16</w:t>
            </w:r>
          </w:p>
        </w:tc>
      </w:tr>
      <w:tr w:rsidR="00D34307" w:rsidRPr="00C96099" w:rsidTr="00DF4291">
        <w:trPr>
          <w:trHeight w:val="253"/>
        </w:trPr>
        <w:tc>
          <w:tcPr>
            <w:tcW w:w="3541" w:type="dxa"/>
            <w:tcBorders>
              <w:bottom w:val="single" w:sz="12" w:space="0" w:color="auto"/>
            </w:tcBorders>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Factor publicaciones  </w:t>
            </w:r>
            <w:r w:rsidRPr="00C96099">
              <w:rPr>
                <w:rFonts w:ascii="Arial" w:eastAsia="Arial" w:hAnsi="Arial" w:cs="Arial"/>
                <w:color w:val="000000"/>
                <w:sz w:val="20"/>
                <w:szCs w:val="22"/>
              </w:rPr>
              <w:tab/>
              <w:t xml:space="preserve"> </w:t>
            </w:r>
          </w:p>
        </w:tc>
        <w:tc>
          <w:tcPr>
            <w:tcW w:w="1480" w:type="dxa"/>
            <w:tcBorders>
              <w:bottom w:val="single" w:sz="12" w:space="0" w:color="auto"/>
            </w:tcBorders>
            <w:hideMark/>
          </w:tcPr>
          <w:p w:rsidR="00D34307" w:rsidRPr="00C96099" w:rsidRDefault="00D34307" w:rsidP="00DF4291">
            <w:pPr>
              <w:spacing w:line="276" w:lineRule="auto"/>
              <w:jc w:val="center"/>
              <w:rPr>
                <w:rFonts w:ascii="Arial" w:eastAsia="Arial" w:hAnsi="Arial" w:cs="Arial"/>
                <w:color w:val="000000"/>
                <w:sz w:val="20"/>
                <w:szCs w:val="22"/>
              </w:rPr>
            </w:pPr>
            <w:r w:rsidRPr="00C96099">
              <w:rPr>
                <w:rFonts w:ascii="Arial" w:eastAsia="Arial" w:hAnsi="Arial" w:cs="Arial"/>
                <w:color w:val="000000"/>
                <w:sz w:val="20"/>
                <w:szCs w:val="22"/>
              </w:rPr>
              <w:t>00</w:t>
            </w:r>
          </w:p>
        </w:tc>
      </w:tr>
      <w:tr w:rsidR="00D34307" w:rsidRPr="00C96099" w:rsidTr="00DF4291">
        <w:trPr>
          <w:trHeight w:val="249"/>
        </w:trPr>
        <w:tc>
          <w:tcPr>
            <w:tcW w:w="3541" w:type="dxa"/>
            <w:tcBorders>
              <w:top w:val="single" w:sz="12" w:space="0" w:color="auto"/>
              <w:bottom w:val="single" w:sz="12" w:space="0" w:color="auto"/>
            </w:tcBorders>
            <w:shd w:val="clear" w:color="auto" w:fill="F2F2F2" w:themeFill="background1" w:themeFillShade="F2"/>
            <w:hideMark/>
          </w:tcPr>
          <w:p w:rsidR="00D34307" w:rsidRPr="00C96099" w:rsidRDefault="00D34307" w:rsidP="00DF4291">
            <w:pPr>
              <w:spacing w:line="276" w:lineRule="auto"/>
              <w:jc w:val="both"/>
              <w:rPr>
                <w:rFonts w:ascii="Arial" w:eastAsia="Arial" w:hAnsi="Arial" w:cs="Arial"/>
                <w:color w:val="000000"/>
                <w:sz w:val="20"/>
                <w:szCs w:val="22"/>
              </w:rPr>
            </w:pPr>
            <w:r w:rsidRPr="00C96099">
              <w:rPr>
                <w:rFonts w:ascii="Arial" w:eastAsia="Arial" w:hAnsi="Arial" w:cs="Arial"/>
                <w:color w:val="000000"/>
                <w:sz w:val="20"/>
                <w:szCs w:val="22"/>
              </w:rPr>
              <w:t xml:space="preserve">Total  </w:t>
            </w:r>
            <w:r w:rsidRPr="00C96099">
              <w:rPr>
                <w:rFonts w:ascii="Arial" w:eastAsia="Arial" w:hAnsi="Arial" w:cs="Arial"/>
                <w:color w:val="000000"/>
                <w:sz w:val="20"/>
                <w:szCs w:val="22"/>
              </w:rPr>
              <w:tab/>
              <w:t xml:space="preserve"> </w:t>
            </w:r>
            <w:r w:rsidRPr="00C96099">
              <w:rPr>
                <w:rFonts w:ascii="Arial" w:eastAsia="Arial" w:hAnsi="Arial" w:cs="Arial"/>
                <w:color w:val="000000"/>
                <w:sz w:val="20"/>
                <w:szCs w:val="22"/>
              </w:rPr>
              <w:tab/>
              <w:t xml:space="preserve"> </w:t>
            </w:r>
          </w:p>
        </w:tc>
        <w:tc>
          <w:tcPr>
            <w:tcW w:w="1480" w:type="dxa"/>
            <w:tcBorders>
              <w:top w:val="single" w:sz="12" w:space="0" w:color="auto"/>
              <w:bottom w:val="single" w:sz="12" w:space="0" w:color="auto"/>
            </w:tcBorders>
            <w:shd w:val="clear" w:color="auto" w:fill="F2F2F2" w:themeFill="background1" w:themeFillShade="F2"/>
            <w:hideMark/>
          </w:tcPr>
          <w:p w:rsidR="00D34307" w:rsidRPr="00C96099" w:rsidRDefault="005D1B21" w:rsidP="00DF4291">
            <w:pPr>
              <w:spacing w:line="276" w:lineRule="auto"/>
              <w:jc w:val="center"/>
              <w:rPr>
                <w:rFonts w:ascii="Arial" w:eastAsia="Arial" w:hAnsi="Arial" w:cs="Arial"/>
                <w:color w:val="000000"/>
                <w:sz w:val="20"/>
                <w:szCs w:val="22"/>
              </w:rPr>
            </w:pPr>
            <w:r>
              <w:rPr>
                <w:rFonts w:ascii="Arial" w:eastAsia="Arial" w:hAnsi="Arial" w:cs="Arial"/>
                <w:color w:val="000000"/>
                <w:sz w:val="20"/>
                <w:szCs w:val="22"/>
              </w:rPr>
              <w:t>75,36</w:t>
            </w:r>
            <w:r w:rsidR="00D34307" w:rsidRPr="00C96099">
              <w:rPr>
                <w:rFonts w:ascii="Arial" w:eastAsia="Arial" w:hAnsi="Arial" w:cs="Arial"/>
                <w:color w:val="000000"/>
                <w:sz w:val="20"/>
                <w:szCs w:val="22"/>
              </w:rPr>
              <w:t xml:space="preserve"> Puntos</w:t>
            </w:r>
          </w:p>
        </w:tc>
      </w:tr>
    </w:tbl>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En virtud de lo anterior y teniendo en cuenta lo indicado en el artículo 22 del Acuerdo PSAA14-10281 de 2014, el resultado de la calificación integral de servicios se dará siempre en números enteros y la aproximación sólo se hará sobre el resultado final, motivo por el cual la cal</w:t>
      </w:r>
      <w:r w:rsidR="00EB09C3" w:rsidRPr="00C96099">
        <w:rPr>
          <w:rFonts w:ascii="Arial" w:eastAsia="Arial" w:hAnsi="Arial" w:cs="Arial"/>
          <w:color w:val="000000"/>
          <w:sz w:val="22"/>
          <w:szCs w:val="22"/>
        </w:rPr>
        <w:t>ificación integral de servicios</w:t>
      </w:r>
      <w:r w:rsidRPr="00C96099">
        <w:rPr>
          <w:rFonts w:ascii="Arial" w:eastAsia="Arial" w:hAnsi="Arial" w:cs="Arial"/>
          <w:color w:val="000000"/>
          <w:sz w:val="22"/>
          <w:szCs w:val="22"/>
        </w:rPr>
        <w:t xml:space="preserve"> de </w:t>
      </w:r>
      <w:proofErr w:type="spellStart"/>
      <w:r w:rsidR="00AF0242" w:rsidRPr="00C96099">
        <w:rPr>
          <w:rFonts w:ascii="Arial" w:eastAsia="Arial" w:hAnsi="Arial" w:cs="Arial"/>
          <w:color w:val="000000"/>
          <w:sz w:val="22"/>
          <w:szCs w:val="22"/>
        </w:rPr>
        <w:t>Briyit</w:t>
      </w:r>
      <w:proofErr w:type="spellEnd"/>
      <w:r w:rsidR="00AF0242" w:rsidRPr="00C96099">
        <w:rPr>
          <w:rFonts w:ascii="Arial" w:eastAsia="Arial" w:hAnsi="Arial" w:cs="Arial"/>
          <w:color w:val="000000"/>
          <w:sz w:val="22"/>
          <w:szCs w:val="22"/>
        </w:rPr>
        <w:t xml:space="preserve"> Rocio Acosta Jara</w:t>
      </w:r>
      <w:r w:rsidRPr="00C96099">
        <w:rPr>
          <w:rFonts w:ascii="Arial" w:eastAsia="Arial" w:hAnsi="Arial" w:cs="Arial"/>
          <w:color w:val="000000"/>
          <w:sz w:val="22"/>
          <w:szCs w:val="22"/>
        </w:rPr>
        <w:t xml:space="preserve">, </w:t>
      </w:r>
      <w:r w:rsidR="000A548C" w:rsidRPr="00C96099">
        <w:rPr>
          <w:rFonts w:ascii="Arial" w:eastAsia="Arial" w:hAnsi="Arial" w:cs="Arial"/>
          <w:color w:val="000000"/>
          <w:sz w:val="22"/>
          <w:szCs w:val="22"/>
        </w:rPr>
        <w:t>Juez Civil del Circuito de Granada</w:t>
      </w:r>
      <w:r w:rsidRPr="00C96099">
        <w:rPr>
          <w:rFonts w:ascii="Arial" w:eastAsia="Arial" w:hAnsi="Arial" w:cs="Arial"/>
          <w:color w:val="000000"/>
          <w:sz w:val="22"/>
          <w:szCs w:val="22"/>
        </w:rPr>
        <w:t xml:space="preserve">, será de </w:t>
      </w:r>
      <w:r w:rsidR="00AF0242">
        <w:rPr>
          <w:rFonts w:ascii="Arial" w:eastAsia="Arial" w:hAnsi="Arial" w:cs="Arial"/>
          <w:color w:val="000000"/>
          <w:sz w:val="22"/>
          <w:szCs w:val="22"/>
        </w:rPr>
        <w:t xml:space="preserve">setenta y cinco </w:t>
      </w:r>
      <w:r w:rsidRPr="00C96099">
        <w:rPr>
          <w:rFonts w:ascii="Arial" w:eastAsia="Arial" w:hAnsi="Arial" w:cs="Arial"/>
          <w:color w:val="000000"/>
          <w:sz w:val="22"/>
          <w:szCs w:val="22"/>
        </w:rPr>
        <w:t>(</w:t>
      </w:r>
      <w:r w:rsidR="00AF0242">
        <w:rPr>
          <w:rFonts w:ascii="Arial" w:eastAsia="Arial" w:hAnsi="Arial" w:cs="Arial"/>
          <w:color w:val="000000"/>
          <w:sz w:val="22"/>
          <w:szCs w:val="22"/>
        </w:rPr>
        <w:t>75</w:t>
      </w:r>
      <w:r w:rsidRPr="00C96099">
        <w:rPr>
          <w:rFonts w:ascii="Arial" w:eastAsia="Arial" w:hAnsi="Arial" w:cs="Arial"/>
          <w:color w:val="000000"/>
          <w:sz w:val="22"/>
          <w:szCs w:val="22"/>
        </w:rPr>
        <w:t xml:space="preserve">) puntos, correspondientes al periodo del primero (1) enero al treinta y uno de diciembre (31) de dos mil quince (2015).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Así las cosas, queda conjurada la desigualdad generada de manera sobreviniente con ocasión </w:t>
      </w:r>
      <w:r w:rsidR="00AF0242">
        <w:rPr>
          <w:rFonts w:ascii="Arial" w:eastAsia="Arial" w:hAnsi="Arial" w:cs="Arial"/>
          <w:color w:val="000000"/>
          <w:sz w:val="22"/>
          <w:szCs w:val="22"/>
        </w:rPr>
        <w:t xml:space="preserve">al formato que utilizo el superior funcional al momento de evaluar el factor calidad, </w:t>
      </w:r>
      <w:r w:rsidR="001A0279">
        <w:rPr>
          <w:rFonts w:ascii="Arial" w:eastAsia="Arial" w:hAnsi="Arial" w:cs="Arial"/>
          <w:color w:val="000000"/>
          <w:sz w:val="22"/>
          <w:szCs w:val="22"/>
        </w:rPr>
        <w:t>así</w:t>
      </w:r>
      <w:r w:rsidR="00AF0242">
        <w:rPr>
          <w:rFonts w:ascii="Arial" w:eastAsia="Arial" w:hAnsi="Arial" w:cs="Arial"/>
          <w:color w:val="000000"/>
          <w:sz w:val="22"/>
          <w:szCs w:val="22"/>
        </w:rPr>
        <w:t xml:space="preserve"> como la diferencia de valores entre el archivo de estadística de SIERJU y el archivo plano que remitió la Unidad de Desarrollo Estadistico, </w:t>
      </w:r>
      <w:r w:rsidRPr="00C96099">
        <w:rPr>
          <w:rFonts w:ascii="Arial" w:eastAsia="Arial" w:hAnsi="Arial" w:cs="Arial"/>
          <w:color w:val="000000"/>
          <w:sz w:val="22"/>
          <w:szCs w:val="22"/>
        </w:rPr>
        <w:t xml:space="preserve">respecto de ese </w:t>
      </w:r>
      <w:r w:rsidR="001A0279">
        <w:rPr>
          <w:rFonts w:ascii="Arial" w:eastAsia="Arial" w:hAnsi="Arial" w:cs="Arial"/>
          <w:color w:val="000000"/>
          <w:sz w:val="22"/>
          <w:szCs w:val="22"/>
        </w:rPr>
        <w:t>D</w:t>
      </w:r>
      <w:r w:rsidRPr="00C96099">
        <w:rPr>
          <w:rFonts w:ascii="Arial" w:eastAsia="Arial" w:hAnsi="Arial" w:cs="Arial"/>
          <w:color w:val="000000"/>
          <w:sz w:val="22"/>
          <w:szCs w:val="22"/>
        </w:rPr>
        <w:t xml:space="preserve">espacho </w:t>
      </w:r>
      <w:r w:rsidR="001A0279">
        <w:rPr>
          <w:rFonts w:ascii="Arial" w:eastAsia="Arial" w:hAnsi="Arial" w:cs="Arial"/>
          <w:color w:val="000000"/>
          <w:sz w:val="22"/>
          <w:szCs w:val="22"/>
        </w:rPr>
        <w:t>J</w:t>
      </w:r>
      <w:r w:rsidRPr="00C96099">
        <w:rPr>
          <w:rFonts w:ascii="Arial" w:eastAsia="Arial" w:hAnsi="Arial" w:cs="Arial"/>
          <w:color w:val="000000"/>
          <w:sz w:val="22"/>
          <w:szCs w:val="22"/>
        </w:rPr>
        <w:t>udicial que afectó negativamente la calificación del recurrente y que con el nuevo cómputo queda superada la situación que produj</w:t>
      </w:r>
      <w:r w:rsidR="001A0279">
        <w:rPr>
          <w:rFonts w:ascii="Arial" w:eastAsia="Arial" w:hAnsi="Arial" w:cs="Arial"/>
          <w:color w:val="000000"/>
          <w:sz w:val="22"/>
          <w:szCs w:val="22"/>
        </w:rPr>
        <w:t xml:space="preserve">o esta circunstancia externa. </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En mérito de lo expuesto, este Consejo Seccional de la Judicatura del Meta, </w:t>
      </w:r>
    </w:p>
    <w:p w:rsidR="00D34307" w:rsidRPr="00C96099" w:rsidRDefault="00D34307" w:rsidP="00D34307">
      <w:pPr>
        <w:jc w:val="both"/>
        <w:rPr>
          <w:rFonts w:ascii="Arial" w:eastAsia="Arial" w:hAnsi="Arial" w:cs="Arial"/>
          <w:color w:val="000000"/>
          <w:sz w:val="22"/>
          <w:szCs w:val="22"/>
        </w:rPr>
      </w:pPr>
    </w:p>
    <w:p w:rsidR="00EB09C3" w:rsidRPr="00C96099" w:rsidRDefault="00EB09C3" w:rsidP="00D34307">
      <w:pPr>
        <w:jc w:val="both"/>
        <w:rPr>
          <w:rFonts w:ascii="Arial" w:eastAsia="Arial" w:hAnsi="Arial" w:cs="Arial"/>
          <w:color w:val="000000"/>
          <w:sz w:val="22"/>
          <w:szCs w:val="22"/>
        </w:rPr>
      </w:pPr>
    </w:p>
    <w:p w:rsidR="00D34307" w:rsidRPr="00C96099" w:rsidRDefault="00D34307" w:rsidP="00D34307">
      <w:pPr>
        <w:ind w:left="10" w:right="-15" w:hanging="10"/>
        <w:jc w:val="center"/>
        <w:rPr>
          <w:rFonts w:ascii="Arial" w:eastAsia="Arial" w:hAnsi="Arial" w:cs="Arial"/>
          <w:color w:val="000000"/>
          <w:sz w:val="22"/>
          <w:szCs w:val="22"/>
        </w:rPr>
      </w:pPr>
      <w:r w:rsidRPr="00C96099">
        <w:rPr>
          <w:rFonts w:ascii="Arial" w:eastAsia="Arial" w:hAnsi="Arial" w:cs="Arial"/>
          <w:b/>
          <w:color w:val="000000"/>
          <w:sz w:val="22"/>
          <w:szCs w:val="22"/>
        </w:rPr>
        <w:t>RESUELVE</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ARTÍCULO 1°.-</w:t>
      </w:r>
      <w:r w:rsidRPr="00C96099">
        <w:rPr>
          <w:rFonts w:ascii="Arial" w:eastAsia="Arial" w:hAnsi="Arial" w:cs="Arial"/>
          <w:color w:val="000000"/>
          <w:sz w:val="22"/>
          <w:szCs w:val="22"/>
        </w:rPr>
        <w:t xml:space="preserve"> Reponer la decisión contenida en el Acto Administrativo del 28 de febr</w:t>
      </w:r>
      <w:r w:rsidR="00FC3734">
        <w:rPr>
          <w:rFonts w:ascii="Arial" w:eastAsia="Arial" w:hAnsi="Arial" w:cs="Arial"/>
          <w:color w:val="000000"/>
          <w:sz w:val="22"/>
          <w:szCs w:val="22"/>
        </w:rPr>
        <w:t>ero de 2017, por medio del cual</w:t>
      </w:r>
      <w:r w:rsidRPr="00C96099">
        <w:rPr>
          <w:rFonts w:ascii="Arial" w:eastAsia="Arial" w:hAnsi="Arial" w:cs="Arial"/>
          <w:color w:val="000000"/>
          <w:sz w:val="22"/>
          <w:szCs w:val="22"/>
        </w:rPr>
        <w:t xml:space="preserve"> el Consejo Seccional de la Judicatura del Meta realizó la calificación Integral de servicios del periodo 2015 de </w:t>
      </w:r>
      <w:r w:rsidR="000A548C" w:rsidRPr="00C96099">
        <w:rPr>
          <w:rFonts w:ascii="Arial" w:eastAsia="Arial" w:hAnsi="Arial" w:cs="Arial"/>
          <w:color w:val="000000"/>
          <w:sz w:val="22"/>
          <w:szCs w:val="22"/>
        </w:rPr>
        <w:t>BRIYIT ROCIO ACOSTA JARA</w:t>
      </w:r>
      <w:r w:rsidRPr="00C96099">
        <w:rPr>
          <w:rFonts w:ascii="Arial" w:eastAsia="Arial" w:hAnsi="Arial" w:cs="Arial"/>
          <w:color w:val="000000"/>
          <w:sz w:val="22"/>
          <w:szCs w:val="22"/>
        </w:rPr>
        <w:t xml:space="preserve">, identificado </w:t>
      </w:r>
      <w:r w:rsidR="00955B5C">
        <w:rPr>
          <w:rFonts w:ascii="Arial" w:eastAsia="Arial" w:hAnsi="Arial" w:cs="Arial"/>
          <w:color w:val="000000"/>
          <w:sz w:val="22"/>
          <w:szCs w:val="22"/>
        </w:rPr>
        <w:t>con la cédula de ciudadanía 39.728.479</w:t>
      </w:r>
      <w:r w:rsidRPr="00C96099">
        <w:rPr>
          <w:rFonts w:ascii="Arial" w:eastAsia="Arial" w:hAnsi="Arial" w:cs="Arial"/>
          <w:color w:val="000000"/>
          <w:sz w:val="22"/>
          <w:szCs w:val="22"/>
        </w:rPr>
        <w:t xml:space="preserve">, en calidad de </w:t>
      </w:r>
      <w:r w:rsidR="000A548C" w:rsidRPr="00C96099">
        <w:rPr>
          <w:rFonts w:ascii="Arial" w:eastAsia="Arial" w:hAnsi="Arial" w:cs="Arial"/>
          <w:color w:val="000000"/>
          <w:sz w:val="22"/>
          <w:szCs w:val="22"/>
        </w:rPr>
        <w:t>Juez Civil del Circuito de Granada</w:t>
      </w:r>
      <w:r w:rsidR="00EB09C3" w:rsidRPr="00C96099">
        <w:rPr>
          <w:rFonts w:ascii="Arial" w:eastAsia="Arial" w:hAnsi="Arial" w:cs="Arial"/>
          <w:color w:val="000000"/>
          <w:sz w:val="22"/>
          <w:szCs w:val="22"/>
        </w:rPr>
        <w:t>,</w:t>
      </w:r>
      <w:r w:rsidRPr="00C96099">
        <w:rPr>
          <w:rFonts w:ascii="Arial" w:eastAsia="Arial" w:hAnsi="Arial" w:cs="Arial"/>
          <w:color w:val="000000"/>
          <w:sz w:val="22"/>
          <w:szCs w:val="22"/>
        </w:rPr>
        <w:t xml:space="preserve"> conforme lo expuesto en la parte motiva. </w:t>
      </w: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tabs>
          <w:tab w:val="left" w:pos="-720"/>
        </w:tabs>
        <w:suppressAutoHyphens/>
        <w:spacing w:after="9" w:line="235" w:lineRule="auto"/>
        <w:ind w:left="-5" w:hanging="10"/>
        <w:jc w:val="both"/>
        <w:rPr>
          <w:rFonts w:ascii="Arial" w:eastAsia="Arial" w:hAnsi="Arial" w:cs="Arial"/>
          <w:color w:val="000000"/>
          <w:spacing w:val="-3"/>
          <w:sz w:val="22"/>
          <w:szCs w:val="22"/>
        </w:rPr>
      </w:pPr>
      <w:r w:rsidRPr="00C96099">
        <w:rPr>
          <w:rFonts w:ascii="Arial" w:eastAsia="Arial" w:hAnsi="Arial" w:cs="Arial"/>
          <w:b/>
          <w:color w:val="000000"/>
          <w:sz w:val="22"/>
          <w:szCs w:val="22"/>
        </w:rPr>
        <w:t xml:space="preserve">ARTÍCULO 2°.- </w:t>
      </w:r>
      <w:r w:rsidRPr="00C96099">
        <w:rPr>
          <w:rFonts w:ascii="Arial" w:eastAsia="Arial" w:hAnsi="Arial" w:cs="Arial"/>
          <w:color w:val="000000"/>
          <w:sz w:val="22"/>
          <w:szCs w:val="22"/>
        </w:rPr>
        <w:t xml:space="preserve">Establecer </w:t>
      </w:r>
      <w:r w:rsidRPr="00C96099">
        <w:rPr>
          <w:rFonts w:ascii="Arial" w:eastAsia="Arial" w:hAnsi="Arial" w:cs="Arial"/>
          <w:color w:val="000000"/>
          <w:spacing w:val="-3"/>
          <w:sz w:val="22"/>
          <w:szCs w:val="22"/>
        </w:rPr>
        <w:t xml:space="preserve">la Calificación Integral de Servicios correspondiente al periodo del año 2015 del </w:t>
      </w:r>
      <w:r w:rsidR="000A548C" w:rsidRPr="00C96099">
        <w:rPr>
          <w:rFonts w:ascii="Arial" w:eastAsia="Arial" w:hAnsi="Arial" w:cs="Arial"/>
          <w:color w:val="000000"/>
          <w:sz w:val="22"/>
          <w:szCs w:val="22"/>
        </w:rPr>
        <w:t>Juez Civil del Circuito de Granada</w:t>
      </w:r>
      <w:r w:rsidRPr="00C96099">
        <w:rPr>
          <w:rFonts w:ascii="Arial" w:eastAsia="Arial" w:hAnsi="Arial" w:cs="Arial"/>
          <w:color w:val="000000"/>
          <w:sz w:val="22"/>
          <w:szCs w:val="22"/>
        </w:rPr>
        <w:t xml:space="preserve">, </w:t>
      </w:r>
      <w:r w:rsidR="000A548C" w:rsidRPr="00C96099">
        <w:rPr>
          <w:rFonts w:ascii="Arial" w:eastAsia="Arial" w:hAnsi="Arial" w:cs="Arial"/>
          <w:color w:val="000000"/>
          <w:sz w:val="22"/>
          <w:szCs w:val="22"/>
        </w:rPr>
        <w:t>BRIYIT ROCIO ACOSTA JARA</w:t>
      </w:r>
      <w:r w:rsidRPr="00C96099">
        <w:rPr>
          <w:rFonts w:ascii="Arial" w:eastAsia="Arial" w:hAnsi="Arial" w:cs="Arial"/>
          <w:color w:val="000000"/>
          <w:sz w:val="22"/>
          <w:szCs w:val="22"/>
        </w:rPr>
        <w:t xml:space="preserve">, así: </w:t>
      </w:r>
      <w:r w:rsidRPr="00C96099">
        <w:rPr>
          <w:rFonts w:ascii="Arial" w:eastAsia="Arial" w:hAnsi="Arial" w:cs="Arial"/>
          <w:color w:val="000000"/>
          <w:spacing w:val="-3"/>
          <w:sz w:val="22"/>
          <w:szCs w:val="22"/>
        </w:rPr>
        <w:t xml:space="preserve">Factor Eficiencia o Rendimiento </w:t>
      </w:r>
      <w:r w:rsidR="00955B5C">
        <w:rPr>
          <w:rFonts w:ascii="Arial" w:eastAsia="Arial" w:hAnsi="Arial" w:cs="Arial"/>
          <w:b/>
          <w:color w:val="000000"/>
          <w:spacing w:val="-3"/>
          <w:sz w:val="22"/>
          <w:szCs w:val="22"/>
        </w:rPr>
        <w:t>25.86</w:t>
      </w:r>
      <w:r w:rsidRPr="00C96099">
        <w:rPr>
          <w:rFonts w:ascii="Arial" w:eastAsia="Arial" w:hAnsi="Arial" w:cs="Arial"/>
          <w:color w:val="000000"/>
          <w:spacing w:val="-3"/>
          <w:sz w:val="22"/>
          <w:szCs w:val="22"/>
        </w:rPr>
        <w:t xml:space="preserve"> puntos; Factor Calidad </w:t>
      </w:r>
      <w:r w:rsidRPr="00C96099">
        <w:rPr>
          <w:rFonts w:ascii="Arial" w:eastAsia="Arial" w:hAnsi="Arial" w:cs="Arial"/>
          <w:b/>
          <w:color w:val="000000"/>
          <w:spacing w:val="-3"/>
          <w:sz w:val="22"/>
          <w:szCs w:val="22"/>
        </w:rPr>
        <w:t>3</w:t>
      </w:r>
      <w:r w:rsidR="00EB09C3" w:rsidRPr="00C96099">
        <w:rPr>
          <w:rFonts w:ascii="Arial" w:eastAsia="Arial" w:hAnsi="Arial" w:cs="Arial"/>
          <w:b/>
          <w:color w:val="000000"/>
          <w:spacing w:val="-3"/>
          <w:sz w:val="22"/>
          <w:szCs w:val="22"/>
        </w:rPr>
        <w:t>3</w:t>
      </w:r>
      <w:r w:rsidRPr="00C96099">
        <w:rPr>
          <w:rFonts w:ascii="Arial" w:eastAsia="Arial" w:hAnsi="Arial" w:cs="Arial"/>
          <w:b/>
          <w:color w:val="000000"/>
          <w:spacing w:val="-3"/>
          <w:sz w:val="22"/>
          <w:szCs w:val="22"/>
        </w:rPr>
        <w:t>.</w:t>
      </w:r>
      <w:r w:rsidR="00955B5C">
        <w:rPr>
          <w:rFonts w:ascii="Arial" w:eastAsia="Arial" w:hAnsi="Arial" w:cs="Arial"/>
          <w:b/>
          <w:color w:val="000000"/>
          <w:spacing w:val="-3"/>
          <w:sz w:val="22"/>
          <w:szCs w:val="22"/>
        </w:rPr>
        <w:t>5</w:t>
      </w:r>
      <w:r w:rsidRPr="00C96099">
        <w:rPr>
          <w:rFonts w:ascii="Arial" w:eastAsia="Arial" w:hAnsi="Arial" w:cs="Arial"/>
          <w:color w:val="000000"/>
          <w:spacing w:val="-3"/>
          <w:sz w:val="22"/>
          <w:szCs w:val="22"/>
        </w:rPr>
        <w:t xml:space="preserve"> puntos; Factor Organización del Trabajo </w:t>
      </w:r>
      <w:r w:rsidRPr="00C96099">
        <w:rPr>
          <w:rFonts w:ascii="Arial" w:eastAsia="Arial" w:hAnsi="Arial" w:cs="Arial"/>
          <w:b/>
          <w:color w:val="000000"/>
          <w:spacing w:val="-3"/>
          <w:sz w:val="22"/>
          <w:szCs w:val="22"/>
        </w:rPr>
        <w:t>16</w:t>
      </w:r>
      <w:r w:rsidRPr="00C96099">
        <w:rPr>
          <w:rFonts w:ascii="Arial" w:eastAsia="Arial" w:hAnsi="Arial" w:cs="Arial"/>
          <w:color w:val="000000"/>
          <w:spacing w:val="-3"/>
          <w:sz w:val="22"/>
          <w:szCs w:val="22"/>
        </w:rPr>
        <w:t xml:space="preserve"> puntos y Factor Publicaciones </w:t>
      </w:r>
      <w:r w:rsidRPr="00C96099">
        <w:rPr>
          <w:rFonts w:ascii="Arial" w:eastAsia="Arial" w:hAnsi="Arial" w:cs="Arial"/>
          <w:b/>
          <w:color w:val="000000"/>
          <w:spacing w:val="-3"/>
          <w:sz w:val="22"/>
          <w:szCs w:val="22"/>
        </w:rPr>
        <w:t>00</w:t>
      </w:r>
      <w:r w:rsidRPr="00C96099">
        <w:rPr>
          <w:rFonts w:ascii="Arial" w:eastAsia="Arial" w:hAnsi="Arial" w:cs="Arial"/>
          <w:color w:val="000000"/>
          <w:spacing w:val="-3"/>
          <w:sz w:val="22"/>
          <w:szCs w:val="22"/>
        </w:rPr>
        <w:t xml:space="preserve"> puntos, por tal motivo, una vez integrada la calificación da como resultado </w:t>
      </w:r>
      <w:r w:rsidR="00955B5C">
        <w:rPr>
          <w:rFonts w:ascii="Arial" w:eastAsia="Arial" w:hAnsi="Arial" w:cs="Arial"/>
          <w:color w:val="000000"/>
          <w:spacing w:val="-3"/>
          <w:sz w:val="22"/>
          <w:szCs w:val="22"/>
        </w:rPr>
        <w:t>75</w:t>
      </w:r>
      <w:r w:rsidRPr="00C96099">
        <w:rPr>
          <w:rFonts w:ascii="Arial" w:eastAsia="Arial" w:hAnsi="Arial" w:cs="Arial"/>
          <w:color w:val="000000"/>
          <w:spacing w:val="-3"/>
          <w:sz w:val="22"/>
          <w:szCs w:val="22"/>
        </w:rPr>
        <w:t xml:space="preserve"> puntos, ubicada como satisfactoria en el nivel </w:t>
      </w:r>
      <w:r w:rsidR="00CD4400">
        <w:rPr>
          <w:rFonts w:ascii="Arial" w:eastAsia="Arial" w:hAnsi="Arial" w:cs="Arial"/>
          <w:color w:val="000000"/>
          <w:spacing w:val="-3"/>
          <w:sz w:val="22"/>
          <w:szCs w:val="22"/>
        </w:rPr>
        <w:t>bueno</w:t>
      </w:r>
      <w:r w:rsidRPr="00C96099">
        <w:rPr>
          <w:rFonts w:ascii="Arial" w:eastAsia="Arial" w:hAnsi="Arial" w:cs="Arial"/>
          <w:color w:val="000000"/>
          <w:spacing w:val="-3"/>
          <w:sz w:val="22"/>
          <w:szCs w:val="22"/>
        </w:rPr>
        <w:t xml:space="preserve">, según lo expuesto.   </w:t>
      </w:r>
    </w:p>
    <w:p w:rsidR="00D34307" w:rsidRPr="00C96099" w:rsidRDefault="00D34307" w:rsidP="00D34307">
      <w:pPr>
        <w:spacing w:after="9" w:line="235" w:lineRule="auto"/>
        <w:ind w:left="-5" w:hanging="10"/>
        <w:jc w:val="both"/>
        <w:rPr>
          <w:rFonts w:ascii="Arial" w:eastAsia="Arial" w:hAnsi="Arial" w:cs="Arial"/>
          <w:b/>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ARTÍCULO 3°.- </w:t>
      </w:r>
      <w:r w:rsidRPr="00C96099">
        <w:rPr>
          <w:rFonts w:ascii="Arial" w:eastAsia="Arial" w:hAnsi="Arial" w:cs="Arial"/>
          <w:color w:val="000000"/>
          <w:sz w:val="22"/>
          <w:szCs w:val="22"/>
        </w:rPr>
        <w:t>Contra la presente Resolución no procede ningún recurso y en consecuencia, queda agotada la instancia en sede administrativa.</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ARTICULO 4º.- </w:t>
      </w:r>
      <w:r w:rsidRPr="00C96099">
        <w:rPr>
          <w:rFonts w:ascii="Arial" w:eastAsia="Arial" w:hAnsi="Arial" w:cs="Arial"/>
          <w:color w:val="000000"/>
          <w:sz w:val="22"/>
          <w:szCs w:val="22"/>
        </w:rPr>
        <w:t xml:space="preserve">Notificar personalmente el contenido de la presente decisión a </w:t>
      </w:r>
      <w:r w:rsidR="000A548C" w:rsidRPr="00C96099">
        <w:rPr>
          <w:rFonts w:ascii="Arial" w:eastAsia="Arial" w:hAnsi="Arial" w:cs="Arial"/>
          <w:color w:val="000000"/>
          <w:sz w:val="22"/>
          <w:szCs w:val="22"/>
        </w:rPr>
        <w:t>BRIYIT ROCIO ACOSTA JARA</w:t>
      </w:r>
      <w:r w:rsidRPr="00C96099">
        <w:rPr>
          <w:rFonts w:ascii="Arial" w:eastAsia="Arial" w:hAnsi="Arial" w:cs="Arial"/>
          <w:color w:val="000000"/>
          <w:sz w:val="22"/>
          <w:szCs w:val="22"/>
        </w:rPr>
        <w:t xml:space="preserve">, </w:t>
      </w:r>
      <w:r w:rsidR="000A548C" w:rsidRPr="00C96099">
        <w:rPr>
          <w:rFonts w:ascii="Arial" w:eastAsia="Arial" w:hAnsi="Arial" w:cs="Arial"/>
          <w:color w:val="000000"/>
          <w:sz w:val="22"/>
          <w:szCs w:val="22"/>
        </w:rPr>
        <w:t>Juez Civil del Circuito de Granada</w:t>
      </w:r>
      <w:r w:rsidR="00FC3734">
        <w:rPr>
          <w:rFonts w:ascii="Arial" w:eastAsia="Arial" w:hAnsi="Arial" w:cs="Arial"/>
          <w:color w:val="000000"/>
          <w:sz w:val="22"/>
          <w:szCs w:val="22"/>
        </w:rPr>
        <w:t xml:space="preserve">, </w:t>
      </w:r>
      <w:r w:rsidRPr="00C96099">
        <w:rPr>
          <w:rFonts w:ascii="Arial" w:eastAsia="Arial" w:hAnsi="Arial" w:cs="Arial"/>
          <w:color w:val="000000"/>
          <w:sz w:val="22"/>
          <w:szCs w:val="22"/>
        </w:rPr>
        <w:t>en los términos previstos en el Código de Procedimiento Administrativo y de lo Contencioso Administrativo.</w:t>
      </w:r>
    </w:p>
    <w:p w:rsidR="00D34307" w:rsidRPr="00C96099" w:rsidRDefault="00D34307" w:rsidP="00D34307">
      <w:pPr>
        <w:spacing w:after="9" w:line="235" w:lineRule="auto"/>
        <w:ind w:left="-5" w:hanging="10"/>
        <w:jc w:val="both"/>
        <w:rPr>
          <w:rFonts w:ascii="Arial" w:eastAsia="Arial" w:hAnsi="Arial" w:cs="Arial"/>
          <w:color w:val="000000"/>
          <w:sz w:val="22"/>
          <w:szCs w:val="22"/>
        </w:rPr>
      </w:pPr>
    </w:p>
    <w:p w:rsidR="00D34307" w:rsidRPr="00C96099" w:rsidRDefault="00D34307" w:rsidP="00D34307">
      <w:pPr>
        <w:spacing w:before="100" w:beforeAutospacing="1" w:after="100" w:afterAutospacing="1" w:line="235" w:lineRule="auto"/>
        <w:ind w:left="-5" w:hanging="10"/>
        <w:contextualSpacing/>
        <w:jc w:val="both"/>
        <w:rPr>
          <w:rFonts w:ascii="Arial" w:eastAsia="Arial" w:hAnsi="Arial" w:cs="Arial"/>
          <w:color w:val="000000"/>
          <w:sz w:val="22"/>
          <w:szCs w:val="22"/>
        </w:rPr>
      </w:pPr>
      <w:r w:rsidRPr="00C96099">
        <w:rPr>
          <w:rFonts w:ascii="Arial" w:eastAsia="Arial" w:hAnsi="Arial" w:cs="Arial"/>
          <w:b/>
          <w:color w:val="000000"/>
          <w:sz w:val="22"/>
          <w:szCs w:val="22"/>
        </w:rPr>
        <w:t xml:space="preserve">ARTÍCULO 5°.- </w:t>
      </w:r>
      <w:r w:rsidRPr="00C96099">
        <w:rPr>
          <w:rFonts w:ascii="Arial" w:eastAsia="Arial" w:hAnsi="Arial" w:cs="Arial"/>
          <w:color w:val="000000"/>
          <w:sz w:val="22"/>
          <w:szCs w:val="22"/>
        </w:rPr>
        <w:t>La</w:t>
      </w:r>
      <w:r w:rsidRPr="00C96099">
        <w:rPr>
          <w:rFonts w:ascii="Arial" w:eastAsia="Arial" w:hAnsi="Arial" w:cs="Arial"/>
          <w:b/>
          <w:color w:val="000000"/>
          <w:sz w:val="22"/>
          <w:szCs w:val="22"/>
        </w:rPr>
        <w:t xml:space="preserve"> </w:t>
      </w:r>
      <w:r w:rsidRPr="00C96099">
        <w:rPr>
          <w:rFonts w:ascii="Arial" w:eastAsia="Arial" w:hAnsi="Arial" w:cs="Arial"/>
          <w:color w:val="000000"/>
          <w:sz w:val="22"/>
          <w:szCs w:val="22"/>
        </w:rPr>
        <w:t>presente Resolución rige a partir de la fecha de su expedición.</w:t>
      </w:r>
    </w:p>
    <w:p w:rsidR="00D34307" w:rsidRDefault="00D34307" w:rsidP="00D34307">
      <w:pPr>
        <w:jc w:val="both"/>
        <w:rPr>
          <w:rFonts w:ascii="Arial" w:eastAsia="Arial" w:hAnsi="Arial" w:cs="Arial"/>
          <w:color w:val="000000"/>
          <w:sz w:val="22"/>
          <w:szCs w:val="22"/>
        </w:rPr>
      </w:pPr>
    </w:p>
    <w:p w:rsidR="00FC3734" w:rsidRPr="00C96099" w:rsidRDefault="00FC3734" w:rsidP="00D34307">
      <w:pPr>
        <w:jc w:val="both"/>
        <w:rPr>
          <w:rFonts w:ascii="Arial" w:eastAsia="Arial" w:hAnsi="Arial" w:cs="Arial"/>
          <w:color w:val="000000"/>
          <w:sz w:val="22"/>
          <w:szCs w:val="22"/>
        </w:rPr>
      </w:pPr>
    </w:p>
    <w:p w:rsidR="00D34307" w:rsidRPr="00C96099" w:rsidRDefault="00D34307" w:rsidP="00D34307">
      <w:pPr>
        <w:ind w:left="10" w:right="-15" w:hanging="10"/>
        <w:jc w:val="center"/>
        <w:rPr>
          <w:rFonts w:ascii="Arial" w:eastAsia="Arial" w:hAnsi="Arial" w:cs="Arial"/>
          <w:color w:val="000000"/>
          <w:sz w:val="22"/>
          <w:szCs w:val="22"/>
        </w:rPr>
      </w:pPr>
      <w:r w:rsidRPr="00C96099">
        <w:rPr>
          <w:rFonts w:ascii="Arial" w:eastAsia="Arial" w:hAnsi="Arial" w:cs="Arial"/>
          <w:b/>
          <w:color w:val="000000"/>
          <w:sz w:val="22"/>
          <w:szCs w:val="22"/>
        </w:rPr>
        <w:t>NOTIFÍQUESE, COMUNÍQUESE, Y CÚMPLASE</w:t>
      </w: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Dada en Villavicencio - Meta, a los </w:t>
      </w:r>
      <w:r w:rsidR="00955B5C">
        <w:rPr>
          <w:rFonts w:ascii="Arial" w:eastAsia="Arial" w:hAnsi="Arial" w:cs="Arial"/>
          <w:color w:val="000000"/>
          <w:sz w:val="22"/>
          <w:szCs w:val="22"/>
        </w:rPr>
        <w:t xml:space="preserve">treinta </w:t>
      </w:r>
      <w:r w:rsidRPr="00C96099">
        <w:rPr>
          <w:rFonts w:ascii="Arial" w:eastAsia="Arial" w:hAnsi="Arial" w:cs="Arial"/>
          <w:color w:val="000000"/>
          <w:sz w:val="22"/>
          <w:szCs w:val="22"/>
        </w:rPr>
        <w:t>(</w:t>
      </w:r>
      <w:r w:rsidR="00955B5C">
        <w:rPr>
          <w:rFonts w:ascii="Arial" w:eastAsia="Arial" w:hAnsi="Arial" w:cs="Arial"/>
          <w:color w:val="000000"/>
          <w:sz w:val="22"/>
          <w:szCs w:val="22"/>
        </w:rPr>
        <w:t>30</w:t>
      </w:r>
      <w:r w:rsidRPr="00C96099">
        <w:rPr>
          <w:rFonts w:ascii="Arial" w:eastAsia="Arial" w:hAnsi="Arial" w:cs="Arial"/>
          <w:color w:val="000000"/>
          <w:sz w:val="22"/>
          <w:szCs w:val="22"/>
        </w:rPr>
        <w:t xml:space="preserve">) días del mes de </w:t>
      </w:r>
      <w:r w:rsidR="00955B5C">
        <w:rPr>
          <w:rFonts w:ascii="Arial" w:eastAsia="Arial" w:hAnsi="Arial" w:cs="Arial"/>
          <w:color w:val="000000"/>
          <w:sz w:val="22"/>
          <w:szCs w:val="22"/>
        </w:rPr>
        <w:t>octubre</w:t>
      </w:r>
      <w:r w:rsidRPr="00C96099">
        <w:rPr>
          <w:rFonts w:ascii="Arial" w:eastAsia="Arial" w:hAnsi="Arial" w:cs="Arial"/>
          <w:color w:val="000000"/>
          <w:sz w:val="22"/>
          <w:szCs w:val="22"/>
        </w:rPr>
        <w:t xml:space="preserve"> de dos mil diecisiete (2017). </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jc w:val="both"/>
        <w:rPr>
          <w:rFonts w:ascii="Arial" w:eastAsia="Arial" w:hAnsi="Arial" w:cs="Arial"/>
          <w:color w:val="000000"/>
          <w:sz w:val="22"/>
          <w:szCs w:val="22"/>
        </w:rPr>
      </w:pPr>
      <w:r w:rsidRPr="00C96099">
        <w:rPr>
          <w:rFonts w:ascii="Arial" w:eastAsia="Arial" w:hAnsi="Arial" w:cs="Arial"/>
          <w:color w:val="000000"/>
          <w:sz w:val="22"/>
          <w:szCs w:val="22"/>
        </w:rPr>
        <w:t xml:space="preserve"> </w:t>
      </w: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jc w:val="both"/>
        <w:rPr>
          <w:rFonts w:ascii="Arial" w:eastAsia="Arial" w:hAnsi="Arial" w:cs="Arial"/>
          <w:color w:val="000000"/>
          <w:sz w:val="22"/>
          <w:szCs w:val="22"/>
        </w:rPr>
      </w:pPr>
    </w:p>
    <w:p w:rsidR="00D34307" w:rsidRPr="00C96099" w:rsidRDefault="00D34307" w:rsidP="00D34307">
      <w:pPr>
        <w:ind w:left="-5" w:right="-15" w:hanging="10"/>
        <w:jc w:val="both"/>
        <w:rPr>
          <w:rFonts w:ascii="Arial" w:eastAsia="Arial" w:hAnsi="Arial" w:cs="Arial"/>
          <w:color w:val="000000"/>
          <w:sz w:val="22"/>
          <w:szCs w:val="22"/>
        </w:rPr>
      </w:pPr>
      <w:r w:rsidRPr="00C96099">
        <w:rPr>
          <w:rFonts w:ascii="Arial" w:eastAsia="Arial" w:hAnsi="Arial" w:cs="Arial"/>
          <w:b/>
          <w:color w:val="000000"/>
          <w:sz w:val="22"/>
          <w:szCs w:val="22"/>
        </w:rPr>
        <w:tab/>
        <w:t xml:space="preserve">ROMELIO ELIAS DAZA MOLINA </w:t>
      </w:r>
    </w:p>
    <w:p w:rsidR="00D34307" w:rsidRPr="00C96099" w:rsidRDefault="00D34307" w:rsidP="00D34307">
      <w:pPr>
        <w:spacing w:after="9" w:line="235" w:lineRule="auto"/>
        <w:ind w:left="-5" w:hanging="10"/>
        <w:jc w:val="both"/>
        <w:rPr>
          <w:rFonts w:ascii="Arial" w:eastAsia="Arial" w:hAnsi="Arial" w:cs="Arial"/>
          <w:color w:val="000000"/>
          <w:sz w:val="22"/>
          <w:szCs w:val="22"/>
        </w:rPr>
      </w:pPr>
      <w:r w:rsidRPr="00C96099">
        <w:rPr>
          <w:rFonts w:ascii="Arial" w:eastAsia="Arial" w:hAnsi="Arial" w:cs="Arial"/>
          <w:color w:val="000000"/>
          <w:sz w:val="22"/>
          <w:szCs w:val="22"/>
        </w:rPr>
        <w:t xml:space="preserve">Presidente </w:t>
      </w:r>
    </w:p>
    <w:p w:rsidR="00D34307" w:rsidRPr="00C96099" w:rsidRDefault="00D34307" w:rsidP="00D34307">
      <w:pPr>
        <w:jc w:val="both"/>
        <w:rPr>
          <w:rFonts w:ascii="Arial" w:eastAsia="Arial" w:hAnsi="Arial" w:cs="Arial"/>
          <w:color w:val="000000"/>
          <w:sz w:val="22"/>
          <w:szCs w:val="22"/>
        </w:rPr>
      </w:pPr>
    </w:p>
    <w:p w:rsidR="00D34307" w:rsidRPr="00D13BDB" w:rsidRDefault="00D34307" w:rsidP="00D34307">
      <w:pPr>
        <w:jc w:val="both"/>
        <w:rPr>
          <w:rFonts w:ascii="Arial" w:eastAsia="Arial" w:hAnsi="Arial" w:cs="Arial"/>
          <w:color w:val="000000"/>
          <w:sz w:val="22"/>
          <w:szCs w:val="22"/>
        </w:rPr>
      </w:pPr>
      <w:r w:rsidRPr="00C96099">
        <w:rPr>
          <w:rFonts w:ascii="Arial" w:eastAsia="Arial" w:hAnsi="Arial" w:cs="Arial"/>
          <w:color w:val="000000"/>
          <w:sz w:val="14"/>
          <w:szCs w:val="22"/>
        </w:rPr>
        <w:t>REDM/CEBC/GARC</w:t>
      </w:r>
    </w:p>
    <w:p w:rsidR="00532D70" w:rsidRDefault="00532D70"/>
    <w:sectPr w:rsidR="00532D70" w:rsidSect="00D34307">
      <w:headerReference w:type="default" r:id="rId7"/>
      <w:footerReference w:type="default" r:id="rId8"/>
      <w:headerReference w:type="first" r:id="rId9"/>
      <w:footerReference w:type="first" r:id="rId10"/>
      <w:pgSz w:w="12240" w:h="18720" w:code="14"/>
      <w:pgMar w:top="1701" w:right="1701" w:bottom="1701" w:left="1701" w:header="709" w:footer="127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AE" w:rsidRDefault="00EE13AE">
      <w:r>
        <w:separator/>
      </w:r>
    </w:p>
  </w:endnote>
  <w:endnote w:type="continuationSeparator" w:id="0">
    <w:p w:rsidR="00EE13AE" w:rsidRDefault="00E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DB" w:rsidRPr="00D05403" w:rsidRDefault="00D34307" w:rsidP="00D13BDB">
    <w:pPr>
      <w:pStyle w:val="Piedepgina"/>
      <w:jc w:val="both"/>
      <w:rPr>
        <w:rFonts w:ascii="Berylium" w:hAnsi="Berylium" w:cs="Arial"/>
        <w:iCs/>
        <w:sz w:val="22"/>
        <w:szCs w:val="22"/>
      </w:rPr>
    </w:pPr>
    <w:r>
      <w:rPr>
        <w:rFonts w:ascii="Berylium" w:hAnsi="Berylium" w:cs="Arial"/>
        <w:iCs/>
        <w:noProof/>
        <w:sz w:val="22"/>
        <w:szCs w:val="22"/>
      </w:rPr>
      <w:drawing>
        <wp:anchor distT="0" distB="0" distL="114300" distR="114300" simplePos="0" relativeHeight="251660288" behindDoc="1" locked="0" layoutInCell="1" allowOverlap="1" wp14:anchorId="2E8231FB" wp14:editId="53C43137">
          <wp:simplePos x="0" y="0"/>
          <wp:positionH relativeFrom="column">
            <wp:posOffset>4787265</wp:posOffset>
          </wp:positionH>
          <wp:positionV relativeFrom="paragraph">
            <wp:posOffset>13970</wp:posOffset>
          </wp:positionV>
          <wp:extent cx="1438275" cy="781050"/>
          <wp:effectExtent l="19050" t="0" r="9525" b="0"/>
          <wp:wrapThrough wrapText="bothSides">
            <wp:wrapPolygon edited="0">
              <wp:start x="-286" y="0"/>
              <wp:lineTo x="-286" y="21073"/>
              <wp:lineTo x="21743" y="21073"/>
              <wp:lineTo x="21743" y="0"/>
              <wp:lineTo x="-286" y="0"/>
            </wp:wrapPolygon>
          </wp:wrapThrough>
          <wp:docPr id="30" name="Imagen 2"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srcRect/>
                  <a:stretch>
                    <a:fillRect/>
                  </a:stretch>
                </pic:blipFill>
                <pic:spPr bwMode="auto">
                  <a:xfrm>
                    <a:off x="0" y="0"/>
                    <a:ext cx="1438275" cy="781050"/>
                  </a:xfrm>
                  <a:prstGeom prst="rect">
                    <a:avLst/>
                  </a:prstGeom>
                  <a:noFill/>
                  <a:ln w="9525">
                    <a:noFill/>
                    <a:miter lim="800000"/>
                    <a:headEnd/>
                    <a:tailEnd/>
                  </a:ln>
                </pic:spPr>
              </pic:pic>
            </a:graphicData>
          </a:graphic>
        </wp:anchor>
      </w:drawing>
    </w:r>
    <w:r w:rsidRPr="00D05403">
      <w:rPr>
        <w:rFonts w:ascii="Berylium" w:hAnsi="Berylium" w:cs="Arial"/>
        <w:iCs/>
        <w:sz w:val="22"/>
        <w:szCs w:val="22"/>
      </w:rPr>
      <w:t>Carrera 29 No. 33B-79  Palacio de</w:t>
    </w:r>
    <w:r>
      <w:rPr>
        <w:rFonts w:ascii="Berylium" w:hAnsi="Berylium" w:cs="Arial"/>
        <w:iCs/>
        <w:sz w:val="22"/>
        <w:szCs w:val="22"/>
      </w:rPr>
      <w:t xml:space="preserve"> Justicia, Torre B, Oficina  514       </w:t>
    </w:r>
  </w:p>
  <w:p w:rsidR="00D13BDB" w:rsidRPr="000A7D4C" w:rsidRDefault="00D34307" w:rsidP="00D13BDB">
    <w:pPr>
      <w:pStyle w:val="Piedepgina"/>
      <w:jc w:val="both"/>
      <w:rPr>
        <w:rFonts w:ascii="Berylium" w:hAnsi="Berylium" w:cs="Arial"/>
        <w:iCs/>
        <w:sz w:val="22"/>
        <w:szCs w:val="22"/>
      </w:rPr>
    </w:pPr>
    <w:r w:rsidRPr="00D05403">
      <w:rPr>
        <w:rFonts w:ascii="Berylium" w:hAnsi="Berylium" w:cs="Arial"/>
        <w:iCs/>
        <w:sz w:val="22"/>
        <w:szCs w:val="22"/>
      </w:rPr>
      <w:t>Tel (8) -662</w:t>
    </w:r>
    <w:r>
      <w:rPr>
        <w:rFonts w:ascii="Berylium" w:hAnsi="Berylium" w:cs="Arial"/>
        <w:iCs/>
        <w:sz w:val="22"/>
        <w:szCs w:val="22"/>
      </w:rPr>
      <w:t xml:space="preserve">2899 fax-(8) 6629503 </w:t>
    </w:r>
    <w:r w:rsidRPr="00D05403">
      <w:rPr>
        <w:rFonts w:ascii="Berylium" w:hAnsi="Berylium" w:cs="Arial"/>
        <w:iCs/>
        <w:sz w:val="22"/>
        <w:szCs w:val="22"/>
      </w:rPr>
      <w:t xml:space="preserve">E mail: </w:t>
    </w:r>
    <w:hyperlink r:id="rId2" w:history="1">
      <w:r w:rsidRPr="00D05403">
        <w:rPr>
          <w:rStyle w:val="Hipervnculo"/>
          <w:rFonts w:ascii="Berylium" w:hAnsi="Berylium" w:cs="Arial"/>
          <w:iCs/>
          <w:sz w:val="22"/>
          <w:szCs w:val="22"/>
        </w:rPr>
        <w:t>psa</w:t>
      </w:r>
      <w:r>
        <w:rPr>
          <w:rStyle w:val="Hipervnculo"/>
          <w:rFonts w:ascii="Berylium" w:hAnsi="Berylium" w:cs="Arial"/>
          <w:iCs/>
          <w:sz w:val="22"/>
          <w:szCs w:val="22"/>
        </w:rPr>
        <w:t>meta</w:t>
      </w:r>
      <w:r w:rsidRPr="00D05403">
        <w:rPr>
          <w:rStyle w:val="Hipervnculo"/>
          <w:rFonts w:ascii="Berylium" w:hAnsi="Berylium" w:cs="Arial"/>
          <w:iCs/>
          <w:sz w:val="22"/>
          <w:szCs w:val="22"/>
        </w:rPr>
        <w:t>@cendoj.ramajudicial.gov.co</w:t>
      </w:r>
    </w:hyperlink>
    <w:r w:rsidRPr="00D05403">
      <w:rPr>
        <w:rFonts w:ascii="Berylium" w:hAnsi="Berylium"/>
        <w:iCs/>
      </w:rPr>
      <w:t xml:space="preserve"> </w:t>
    </w:r>
    <w:r>
      <w:rPr>
        <w:rFonts w:ascii="Berylium" w:hAnsi="Berylium"/>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D34307" w:rsidP="00304738">
    <w:pPr>
      <w:pStyle w:val="Piedepgina"/>
      <w:rPr>
        <w:rFonts w:ascii="Berylum" w:hAnsi="Berylum"/>
        <w:bCs/>
        <w:iCs/>
        <w:sz w:val="22"/>
        <w:szCs w:val="22"/>
      </w:rPr>
    </w:pPr>
    <w:r>
      <w:rPr>
        <w:noProof/>
      </w:rPr>
      <w:drawing>
        <wp:anchor distT="0" distB="0" distL="114300" distR="114300" simplePos="0" relativeHeight="251659264" behindDoc="0" locked="0" layoutInCell="1" allowOverlap="1" wp14:anchorId="6B469CD2" wp14:editId="0EFB17FB">
          <wp:simplePos x="0" y="0"/>
          <wp:positionH relativeFrom="column">
            <wp:posOffset>5047710</wp:posOffset>
          </wp:positionH>
          <wp:positionV relativeFrom="paragraph">
            <wp:posOffset>-86483</wp:posOffset>
          </wp:positionV>
          <wp:extent cx="1419367" cy="667385"/>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721" cy="6699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um" w:hAnsi="Berylum"/>
        <w:bCs/>
        <w:iCs/>
        <w:sz w:val="22"/>
        <w:szCs w:val="22"/>
      </w:rPr>
      <w:t>Carrera 29 No. 33B – 79 Palacio de Justicia, Torre B Tel: (8) 6622899 Fax. (8) 6629503</w:t>
    </w:r>
  </w:p>
  <w:p w:rsidR="00DD6596" w:rsidRPr="00FB30A0" w:rsidRDefault="00FC3734" w:rsidP="00304738">
    <w:pPr>
      <w:pStyle w:val="Piedepgina"/>
      <w:rPr>
        <w:rFonts w:ascii="Berylum" w:hAnsi="Berylum"/>
        <w:bCs/>
        <w:iCs/>
        <w:sz w:val="22"/>
        <w:szCs w:val="22"/>
      </w:rPr>
    </w:pPr>
    <w:hyperlink r:id="rId2" w:history="1">
      <w:r w:rsidR="00D34307">
        <w:rPr>
          <w:rStyle w:val="Hipervnculo"/>
          <w:rFonts w:ascii="Berylum" w:hAnsi="Berylum"/>
          <w:bCs/>
          <w:iCs/>
          <w:sz w:val="22"/>
          <w:szCs w:val="22"/>
        </w:rPr>
        <w:t>www.ramajudicial.gov.co</w:t>
      </w:r>
    </w:hyperlink>
    <w:r w:rsidR="00D34307">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AE" w:rsidRDefault="00EE13AE">
      <w:r>
        <w:separator/>
      </w:r>
    </w:p>
  </w:footnote>
  <w:footnote w:type="continuationSeparator" w:id="0">
    <w:p w:rsidR="00EE13AE" w:rsidRDefault="00EE1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D34307" w:rsidP="00000461">
    <w:pPr>
      <w:jc w:val="both"/>
      <w:rPr>
        <w:rFonts w:ascii="Berylium" w:hAnsi="Berylium"/>
        <w:bCs/>
        <w:iCs/>
        <w:sz w:val="22"/>
        <w:szCs w:val="22"/>
      </w:rPr>
    </w:pPr>
    <w:r w:rsidRPr="004D0E7C">
      <w:rPr>
        <w:rFonts w:ascii="Berylium" w:hAnsi="Berylium"/>
        <w:bCs/>
        <w:iCs/>
        <w:sz w:val="22"/>
        <w:szCs w:val="22"/>
      </w:rPr>
      <w:t xml:space="preserve">Resolución Hoja No. </w:t>
    </w:r>
    <w:r w:rsidRPr="004D0E7C">
      <w:rPr>
        <w:rFonts w:ascii="Berylium" w:hAnsi="Berylium"/>
        <w:bCs/>
        <w:iCs/>
        <w:sz w:val="22"/>
        <w:szCs w:val="22"/>
      </w:rPr>
      <w:fldChar w:fldCharType="begin"/>
    </w:r>
    <w:r w:rsidRPr="004D0E7C">
      <w:rPr>
        <w:rFonts w:ascii="Berylium" w:hAnsi="Berylium"/>
        <w:bCs/>
        <w:iCs/>
        <w:sz w:val="22"/>
        <w:szCs w:val="22"/>
      </w:rPr>
      <w:instrText xml:space="preserve"> PAGE </w:instrText>
    </w:r>
    <w:r w:rsidRPr="004D0E7C">
      <w:rPr>
        <w:rFonts w:ascii="Berylium" w:hAnsi="Berylium"/>
        <w:bCs/>
        <w:iCs/>
        <w:sz w:val="22"/>
        <w:szCs w:val="22"/>
      </w:rPr>
      <w:fldChar w:fldCharType="separate"/>
    </w:r>
    <w:r w:rsidR="00FC3734">
      <w:rPr>
        <w:rFonts w:ascii="Berylium" w:hAnsi="Berylium"/>
        <w:bCs/>
        <w:iCs/>
        <w:noProof/>
        <w:sz w:val="22"/>
        <w:szCs w:val="22"/>
      </w:rPr>
      <w:t>5</w:t>
    </w:r>
    <w:r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DB" w:rsidRPr="008B5ADA" w:rsidRDefault="00D34307" w:rsidP="00D13BDB">
    <w:pPr>
      <w:pStyle w:val="Encabezado"/>
      <w:jc w:val="center"/>
      <w:rPr>
        <w:rFonts w:ascii="Berylium" w:hAnsi="Berylium"/>
        <w:bCs/>
        <w:iCs/>
        <w:sz w:val="22"/>
        <w:szCs w:val="22"/>
      </w:rPr>
    </w:pPr>
    <w:r>
      <w:rPr>
        <w:rFonts w:ascii="Berylium" w:hAnsi="Berylium"/>
        <w:bCs/>
        <w:iCs/>
        <w:noProof/>
        <w:sz w:val="22"/>
        <w:szCs w:val="22"/>
      </w:rPr>
      <w:drawing>
        <wp:anchor distT="0" distB="0" distL="114300" distR="114300" simplePos="0" relativeHeight="251661312" behindDoc="1" locked="0" layoutInCell="1" allowOverlap="1" wp14:anchorId="28A0EC50" wp14:editId="40969107">
          <wp:simplePos x="0" y="0"/>
          <wp:positionH relativeFrom="column">
            <wp:posOffset>-684530</wp:posOffset>
          </wp:positionH>
          <wp:positionV relativeFrom="paragraph">
            <wp:posOffset>-286385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D13BDB" w:rsidRDefault="00D34307" w:rsidP="00D13BDB">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del Meta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53B7"/>
    <w:multiLevelType w:val="hybridMultilevel"/>
    <w:tmpl w:val="78F276BA"/>
    <w:lvl w:ilvl="0" w:tplc="C1961E0E">
      <w:start w:val="593"/>
      <w:numFmt w:val="bullet"/>
      <w:lvlText w:val="-"/>
      <w:lvlJc w:val="left"/>
      <w:pPr>
        <w:ind w:left="345" w:hanging="360"/>
      </w:pPr>
      <w:rPr>
        <w:rFonts w:ascii="Arial" w:eastAsia="Arial" w:hAnsi="Arial" w:cs="Arial" w:hint="default"/>
        <w:b/>
        <w:i/>
      </w:rPr>
    </w:lvl>
    <w:lvl w:ilvl="1" w:tplc="0C0A0003">
      <w:start w:val="1"/>
      <w:numFmt w:val="bullet"/>
      <w:lvlText w:val="o"/>
      <w:lvlJc w:val="left"/>
      <w:pPr>
        <w:ind w:left="1065" w:hanging="360"/>
      </w:pPr>
      <w:rPr>
        <w:rFonts w:ascii="Courier New" w:hAnsi="Courier New" w:cs="Courier New" w:hint="default"/>
      </w:rPr>
    </w:lvl>
    <w:lvl w:ilvl="2" w:tplc="0C0A0005">
      <w:start w:val="1"/>
      <w:numFmt w:val="bullet"/>
      <w:lvlText w:val=""/>
      <w:lvlJc w:val="left"/>
      <w:pPr>
        <w:ind w:left="1785" w:hanging="360"/>
      </w:pPr>
      <w:rPr>
        <w:rFonts w:ascii="Wingdings" w:hAnsi="Wingdings" w:hint="default"/>
      </w:rPr>
    </w:lvl>
    <w:lvl w:ilvl="3" w:tplc="0C0A0001">
      <w:start w:val="1"/>
      <w:numFmt w:val="bullet"/>
      <w:lvlText w:val=""/>
      <w:lvlJc w:val="left"/>
      <w:pPr>
        <w:ind w:left="2505" w:hanging="360"/>
      </w:pPr>
      <w:rPr>
        <w:rFonts w:ascii="Symbol" w:hAnsi="Symbol" w:hint="default"/>
      </w:rPr>
    </w:lvl>
    <w:lvl w:ilvl="4" w:tplc="0C0A0003">
      <w:start w:val="1"/>
      <w:numFmt w:val="bullet"/>
      <w:lvlText w:val="o"/>
      <w:lvlJc w:val="left"/>
      <w:pPr>
        <w:ind w:left="3225" w:hanging="360"/>
      </w:pPr>
      <w:rPr>
        <w:rFonts w:ascii="Courier New" w:hAnsi="Courier New" w:cs="Courier New" w:hint="default"/>
      </w:rPr>
    </w:lvl>
    <w:lvl w:ilvl="5" w:tplc="0C0A0005">
      <w:start w:val="1"/>
      <w:numFmt w:val="bullet"/>
      <w:lvlText w:val=""/>
      <w:lvlJc w:val="left"/>
      <w:pPr>
        <w:ind w:left="3945" w:hanging="360"/>
      </w:pPr>
      <w:rPr>
        <w:rFonts w:ascii="Wingdings" w:hAnsi="Wingdings" w:hint="default"/>
      </w:rPr>
    </w:lvl>
    <w:lvl w:ilvl="6" w:tplc="0C0A0001">
      <w:start w:val="1"/>
      <w:numFmt w:val="bullet"/>
      <w:lvlText w:val=""/>
      <w:lvlJc w:val="left"/>
      <w:pPr>
        <w:ind w:left="4665" w:hanging="360"/>
      </w:pPr>
      <w:rPr>
        <w:rFonts w:ascii="Symbol" w:hAnsi="Symbol" w:hint="default"/>
      </w:rPr>
    </w:lvl>
    <w:lvl w:ilvl="7" w:tplc="0C0A0003">
      <w:start w:val="1"/>
      <w:numFmt w:val="bullet"/>
      <w:lvlText w:val="o"/>
      <w:lvlJc w:val="left"/>
      <w:pPr>
        <w:ind w:left="5385" w:hanging="360"/>
      </w:pPr>
      <w:rPr>
        <w:rFonts w:ascii="Courier New" w:hAnsi="Courier New" w:cs="Courier New" w:hint="default"/>
      </w:rPr>
    </w:lvl>
    <w:lvl w:ilvl="8" w:tplc="0C0A0005">
      <w:start w:val="1"/>
      <w:numFmt w:val="bullet"/>
      <w:lvlText w:val=""/>
      <w:lvlJc w:val="left"/>
      <w:pPr>
        <w:ind w:left="6105" w:hanging="360"/>
      </w:pPr>
      <w:rPr>
        <w:rFonts w:ascii="Wingdings" w:hAnsi="Wingdings" w:hint="default"/>
      </w:rPr>
    </w:lvl>
  </w:abstractNum>
  <w:abstractNum w:abstractNumId="1">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2">
    <w:nsid w:val="5AE37EA7"/>
    <w:multiLevelType w:val="hybridMultilevel"/>
    <w:tmpl w:val="F2F8AA70"/>
    <w:lvl w:ilvl="0" w:tplc="09F4209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07"/>
    <w:rsid w:val="000A548C"/>
    <w:rsid w:val="001A0279"/>
    <w:rsid w:val="00241F34"/>
    <w:rsid w:val="0024397B"/>
    <w:rsid w:val="002538AE"/>
    <w:rsid w:val="002603C1"/>
    <w:rsid w:val="002D3F53"/>
    <w:rsid w:val="003928F9"/>
    <w:rsid w:val="003F74A2"/>
    <w:rsid w:val="004A1C16"/>
    <w:rsid w:val="00532D70"/>
    <w:rsid w:val="005B4DA8"/>
    <w:rsid w:val="005D1B21"/>
    <w:rsid w:val="00601AFB"/>
    <w:rsid w:val="00685108"/>
    <w:rsid w:val="006A009E"/>
    <w:rsid w:val="006B5674"/>
    <w:rsid w:val="007132E9"/>
    <w:rsid w:val="00762DD0"/>
    <w:rsid w:val="0082678D"/>
    <w:rsid w:val="00841138"/>
    <w:rsid w:val="0086729F"/>
    <w:rsid w:val="008F6B84"/>
    <w:rsid w:val="00955B5C"/>
    <w:rsid w:val="00963A12"/>
    <w:rsid w:val="00A12E9A"/>
    <w:rsid w:val="00A509D1"/>
    <w:rsid w:val="00AC0283"/>
    <w:rsid w:val="00AF0242"/>
    <w:rsid w:val="00C41CC6"/>
    <w:rsid w:val="00C96099"/>
    <w:rsid w:val="00CB7D78"/>
    <w:rsid w:val="00CD4400"/>
    <w:rsid w:val="00D34307"/>
    <w:rsid w:val="00D3440D"/>
    <w:rsid w:val="00D47477"/>
    <w:rsid w:val="00EB09C3"/>
    <w:rsid w:val="00EE13AE"/>
    <w:rsid w:val="00F33CF5"/>
    <w:rsid w:val="00F66E96"/>
    <w:rsid w:val="00FA1183"/>
    <w:rsid w:val="00FC3734"/>
    <w:rsid w:val="00FE3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0054496-5F35-4914-9D21-DFA519D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0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D34307"/>
    <w:pPr>
      <w:tabs>
        <w:tab w:val="center" w:pos="4252"/>
        <w:tab w:val="right" w:pos="8504"/>
      </w:tabs>
    </w:pPr>
  </w:style>
  <w:style w:type="character" w:customStyle="1" w:styleId="EncabezadoCar">
    <w:name w:val="Encabezado Car"/>
    <w:aliases w:val="Header Bold Car,h Car,TENDER Car,*Header Car,*Header1 Car,*Header2 Car,*Header3 Car Car,*Header3 Car1"/>
    <w:basedOn w:val="Fuentedeprrafopredeter"/>
    <w:link w:val="Encabezado"/>
    <w:rsid w:val="00D34307"/>
    <w:rPr>
      <w:rFonts w:ascii="Times New Roman" w:eastAsia="Times New Roman" w:hAnsi="Times New Roman" w:cs="Times New Roman"/>
      <w:sz w:val="24"/>
      <w:szCs w:val="24"/>
      <w:lang w:eastAsia="es-ES"/>
    </w:rPr>
  </w:style>
  <w:style w:type="paragraph" w:styleId="Piedepgina">
    <w:name w:val="footer"/>
    <w:aliases w:val=" Car8,Car8"/>
    <w:basedOn w:val="Normal"/>
    <w:link w:val="PiedepginaCar"/>
    <w:uiPriority w:val="99"/>
    <w:rsid w:val="00D34307"/>
    <w:pPr>
      <w:tabs>
        <w:tab w:val="center" w:pos="4252"/>
        <w:tab w:val="right" w:pos="8504"/>
      </w:tabs>
    </w:pPr>
  </w:style>
  <w:style w:type="character" w:customStyle="1" w:styleId="PiedepginaCar">
    <w:name w:val="Pie de página Car"/>
    <w:aliases w:val=" Car8 Car,Car8 Car"/>
    <w:basedOn w:val="Fuentedeprrafopredeter"/>
    <w:link w:val="Piedepgina"/>
    <w:uiPriority w:val="99"/>
    <w:rsid w:val="00D34307"/>
    <w:rPr>
      <w:rFonts w:ascii="Times New Roman" w:eastAsia="Times New Roman" w:hAnsi="Times New Roman" w:cs="Times New Roman"/>
      <w:sz w:val="24"/>
      <w:szCs w:val="24"/>
      <w:lang w:eastAsia="es-ES"/>
    </w:rPr>
  </w:style>
  <w:style w:type="character" w:styleId="Hipervnculo">
    <w:name w:val="Hyperlink"/>
    <w:unhideWhenUsed/>
    <w:rsid w:val="00D34307"/>
    <w:rPr>
      <w:color w:val="0000FF"/>
      <w:u w:val="single"/>
    </w:rPr>
  </w:style>
  <w:style w:type="paragraph" w:customStyle="1" w:styleId="Default">
    <w:name w:val="Default"/>
    <w:rsid w:val="00D34307"/>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Prrafodelista">
    <w:name w:val="List Paragraph"/>
    <w:basedOn w:val="Normal"/>
    <w:uiPriority w:val="34"/>
    <w:qFormat/>
    <w:rsid w:val="00D34307"/>
    <w:pPr>
      <w:ind w:left="708"/>
    </w:pPr>
  </w:style>
  <w:style w:type="table" w:styleId="Tablaconcuadrcula">
    <w:name w:val="Table Grid"/>
    <w:basedOn w:val="Tablanormal"/>
    <w:rsid w:val="00D34307"/>
    <w:pPr>
      <w:spacing w:after="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D34307"/>
    <w:pPr>
      <w:spacing w:after="0" w:line="240" w:lineRule="auto"/>
    </w:pPr>
    <w:rPr>
      <w:rFonts w:ascii="Calibri" w:eastAsia="Times New Roman" w:hAnsi="Calibri"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3430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sameta@gmail."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5</Pages>
  <Words>1993</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GINETH ANDREA RODRIGUEZ CRIOLLO</dc:creator>
  <cp:keywords/>
  <dc:description/>
  <cp:lastModifiedBy>GINETH ANDREA RODRIGUEZ CRIOLLO</cp:lastModifiedBy>
  <cp:revision>16</cp:revision>
  <dcterms:created xsi:type="dcterms:W3CDTF">2017-07-31T22:10:00Z</dcterms:created>
  <dcterms:modified xsi:type="dcterms:W3CDTF">2017-10-30T13:30:00Z</dcterms:modified>
</cp:coreProperties>
</file>