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551B02">
        <w:rPr>
          <w:rFonts w:ascii="Arial" w:hAnsi="Arial" w:cs="Arial"/>
          <w:sz w:val="22"/>
          <w:szCs w:val="22"/>
          <w:lang w:val="es-CO"/>
        </w:rPr>
        <w:t>CSJMER19-70</w:t>
      </w:r>
    </w:p>
    <w:p w:rsidR="00967602" w:rsidRPr="008F1A87" w:rsidRDefault="00551B0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19 de marzo de 2019</w:t>
      </w:r>
    </w:p>
    <w:p w:rsidR="00DE05C2" w:rsidRDefault="00DE05C2" w:rsidP="00DE05C2">
      <w:pPr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:rsidR="00DE05C2" w:rsidRPr="00A45B03" w:rsidRDefault="00DE05C2" w:rsidP="00DE05C2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8F1A87">
        <w:rPr>
          <w:rFonts w:ascii="Arial" w:hAnsi="Arial" w:cs="Arial"/>
          <w:i/>
          <w:sz w:val="22"/>
          <w:szCs w:val="22"/>
          <w:lang w:val="es-CO"/>
        </w:rPr>
        <w:t>“</w:t>
      </w:r>
      <w:r>
        <w:rPr>
          <w:rFonts w:ascii="Arial" w:hAnsi="Arial" w:cs="Arial"/>
          <w:bCs/>
          <w:iCs/>
          <w:sz w:val="22"/>
          <w:szCs w:val="22"/>
        </w:rPr>
        <w:t xml:space="preserve">Por la cual se </w:t>
      </w:r>
      <w:bookmarkStart w:id="0" w:name="_GoBack"/>
      <w:r w:rsidRPr="00A45B03">
        <w:rPr>
          <w:rFonts w:ascii="Arial" w:hAnsi="Arial" w:cs="Arial"/>
          <w:bCs/>
          <w:iCs/>
          <w:sz w:val="22"/>
          <w:szCs w:val="22"/>
        </w:rPr>
        <w:t xml:space="preserve">confiere al Director Seccional de la Administración Judicial de la Rama Judicial de Villavicencio una autorización para </w:t>
      </w:r>
      <w:r>
        <w:rPr>
          <w:rFonts w:ascii="Arial" w:hAnsi="Arial" w:cs="Arial"/>
          <w:bCs/>
          <w:iCs/>
          <w:sz w:val="22"/>
          <w:szCs w:val="22"/>
        </w:rPr>
        <w:t xml:space="preserve">adelantar una orden de compra a </w:t>
      </w:r>
      <w:bookmarkEnd w:id="0"/>
      <w:r>
        <w:rPr>
          <w:rFonts w:ascii="Arial" w:hAnsi="Arial" w:cs="Arial"/>
          <w:bCs/>
          <w:iCs/>
          <w:sz w:val="22"/>
          <w:szCs w:val="22"/>
        </w:rPr>
        <w:t>través de la tienda virtual del Estado</w:t>
      </w:r>
      <w:r w:rsidRPr="00A45B03">
        <w:rPr>
          <w:rFonts w:ascii="Arial" w:hAnsi="Arial" w:cs="Arial"/>
          <w:bCs/>
          <w:iCs/>
          <w:sz w:val="22"/>
          <w:szCs w:val="22"/>
        </w:rPr>
        <w:t>”</w:t>
      </w:r>
    </w:p>
    <w:p w:rsidR="00DE05C2" w:rsidRPr="00A45B03" w:rsidRDefault="00DE05C2" w:rsidP="00DE05C2">
      <w:pPr>
        <w:tabs>
          <w:tab w:val="left" w:pos="3972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:rsidR="00DE05C2" w:rsidRDefault="00DE05C2" w:rsidP="00DE05C2">
      <w:pPr>
        <w:jc w:val="both"/>
        <w:rPr>
          <w:rFonts w:ascii="Arial" w:hAnsi="Arial" w:cs="Arial"/>
          <w:iCs/>
          <w:sz w:val="22"/>
          <w:szCs w:val="22"/>
          <w:lang w:val="x-none" w:eastAsia="x-none"/>
        </w:rPr>
      </w:pP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El Consejo Seccional de la Judicatura del Meta, en ejercicio de las atribuciones legales y reglamentarias y en especial las conferidas por el Artículo Cuarto del Acuerdo 163 de 1996 en concordancia con el Acuerdo PSAA</w:t>
      </w:r>
      <w:r>
        <w:rPr>
          <w:rFonts w:ascii="Arial" w:hAnsi="Arial" w:cs="Arial"/>
          <w:iCs/>
          <w:sz w:val="22"/>
          <w:szCs w:val="22"/>
          <w:lang w:val="es-CO" w:eastAsia="x-none"/>
        </w:rPr>
        <w:t>0</w:t>
      </w: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5-3072 de 20</w:t>
      </w:r>
      <w:r>
        <w:rPr>
          <w:rFonts w:ascii="Arial" w:hAnsi="Arial" w:cs="Arial"/>
          <w:iCs/>
          <w:sz w:val="22"/>
          <w:szCs w:val="22"/>
          <w:lang w:val="es-CO" w:eastAsia="x-none"/>
        </w:rPr>
        <w:t>0</w:t>
      </w: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5 y el artículo 3° del Acuerdo 10561 de 2016 emitido por el Consejo Superior de la Judicatura y,</w:t>
      </w:r>
    </w:p>
    <w:p w:rsidR="00DE05C2" w:rsidRDefault="00DE05C2" w:rsidP="00DE05C2">
      <w:pPr>
        <w:pStyle w:val="Textoindependiente"/>
        <w:jc w:val="both"/>
        <w:rPr>
          <w:rFonts w:ascii="Arial" w:hAnsi="Arial" w:cs="Arial"/>
          <w:i w:val="0"/>
          <w:szCs w:val="22"/>
        </w:rPr>
      </w:pPr>
    </w:p>
    <w:p w:rsidR="00DE05C2" w:rsidRPr="00A45B03" w:rsidRDefault="00DE05C2" w:rsidP="00DE05C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45B03">
        <w:rPr>
          <w:rFonts w:ascii="Arial" w:hAnsi="Arial" w:cs="Arial"/>
          <w:b/>
          <w:bCs/>
          <w:iCs/>
          <w:sz w:val="22"/>
          <w:szCs w:val="22"/>
        </w:rPr>
        <w:t>CONSIDERANDO:</w:t>
      </w:r>
    </w:p>
    <w:p w:rsidR="00DE05C2" w:rsidRDefault="00DE05C2" w:rsidP="00DE05C2">
      <w:pPr>
        <w:pStyle w:val="Textoindependiente2"/>
        <w:rPr>
          <w:rFonts w:ascii="Arial" w:hAnsi="Arial" w:cs="Arial"/>
          <w:i w:val="0"/>
          <w:szCs w:val="22"/>
        </w:rPr>
      </w:pPr>
    </w:p>
    <w:p w:rsidR="00DE05C2" w:rsidRPr="009A6F86" w:rsidRDefault="00DE05C2" w:rsidP="00DE05C2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A6F86">
        <w:rPr>
          <w:rFonts w:ascii="Arial" w:hAnsi="Arial" w:cs="Arial"/>
          <w:sz w:val="22"/>
          <w:szCs w:val="22"/>
        </w:rPr>
        <w:t>Mediante</w:t>
      </w:r>
      <w:r>
        <w:rPr>
          <w:rFonts w:ascii="Arial" w:hAnsi="Arial" w:cs="Arial"/>
          <w:sz w:val="22"/>
          <w:szCs w:val="22"/>
        </w:rPr>
        <w:t xml:space="preserve"> O</w:t>
      </w:r>
      <w:r w:rsidRPr="009A6F86">
        <w:rPr>
          <w:rFonts w:ascii="Arial" w:hAnsi="Arial" w:cs="Arial"/>
          <w:sz w:val="22"/>
          <w:szCs w:val="22"/>
        </w:rPr>
        <w:t xml:space="preserve">ficio </w:t>
      </w:r>
      <w:r w:rsidRPr="00A608F6">
        <w:rPr>
          <w:rFonts w:ascii="Arial" w:hAnsi="Arial" w:cs="Arial"/>
          <w:sz w:val="22"/>
          <w:szCs w:val="22"/>
        </w:rPr>
        <w:t>DESAJV</w:t>
      </w:r>
      <w:r>
        <w:rPr>
          <w:rFonts w:ascii="Arial" w:hAnsi="Arial" w:cs="Arial"/>
          <w:sz w:val="22"/>
          <w:szCs w:val="22"/>
        </w:rPr>
        <w:t>IO</w:t>
      </w:r>
      <w:r w:rsidRPr="00A608F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Pr="00A608F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733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A6F86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 xml:space="preserve">12 de marzo </w:t>
      </w:r>
      <w:r w:rsidRPr="00A608F6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</w:t>
      </w:r>
      <w:r w:rsidRPr="009A6F86">
        <w:rPr>
          <w:rFonts w:ascii="Arial" w:hAnsi="Arial" w:cs="Arial"/>
          <w:sz w:val="22"/>
          <w:szCs w:val="22"/>
        </w:rPr>
        <w:t xml:space="preserve">el Director Seccional de Administración Judicial de la Rama Judicial de Villavicencio, </w:t>
      </w:r>
      <w:r w:rsidRPr="009A6F86">
        <w:rPr>
          <w:rFonts w:ascii="Arial" w:hAnsi="Arial" w:cs="Arial"/>
          <w:bCs/>
          <w:sz w:val="22"/>
          <w:szCs w:val="22"/>
        </w:rPr>
        <w:t xml:space="preserve">solicita autorización para </w:t>
      </w:r>
      <w:r>
        <w:rPr>
          <w:rFonts w:ascii="Arial" w:hAnsi="Arial" w:cs="Arial"/>
          <w:bCs/>
          <w:sz w:val="22"/>
          <w:szCs w:val="22"/>
        </w:rPr>
        <w:t>realizar una orden de compra por la modalidad de Acuerdo Macro de Precios a través de la Tienda Virtual del Estado Colombiano, cuya finalidad es la adquisición de consumibles de impresión marca OKI DATA,</w:t>
      </w:r>
      <w:r w:rsidRPr="00DF568C">
        <w:rPr>
          <w:rFonts w:ascii="Arial" w:hAnsi="Arial" w:cs="Arial"/>
          <w:sz w:val="22"/>
          <w:szCs w:val="22"/>
        </w:rPr>
        <w:t xml:space="preserve"> con destino a las Corporaciones, Despachos y Dependencias adscritas al Distrito Judicial de Villavicencio, por valor de</w:t>
      </w:r>
      <w:r>
        <w:rPr>
          <w:rFonts w:ascii="Arial" w:hAnsi="Arial" w:cs="Arial"/>
          <w:sz w:val="22"/>
          <w:szCs w:val="22"/>
        </w:rPr>
        <w:t xml:space="preserve"> CIENTO VEINTINUEVE MILLONES CUATROCIENTOS CINCO MIL CIENTO OCHENTA Y DOS PESOS</w:t>
      </w:r>
      <w:r w:rsidRPr="00DF5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568C">
        <w:rPr>
          <w:rFonts w:ascii="Arial" w:hAnsi="Arial" w:cs="Arial"/>
          <w:sz w:val="22"/>
          <w:szCs w:val="22"/>
        </w:rPr>
        <w:t>($</w:t>
      </w:r>
      <w:r>
        <w:rPr>
          <w:rFonts w:ascii="Arial" w:hAnsi="Arial" w:cs="Arial"/>
          <w:sz w:val="22"/>
          <w:szCs w:val="22"/>
        </w:rPr>
        <w:t>129’405.182</w:t>
      </w:r>
      <w:r w:rsidRPr="00DF568C">
        <w:rPr>
          <w:rFonts w:ascii="Arial" w:hAnsi="Arial" w:cs="Arial"/>
          <w:sz w:val="22"/>
          <w:szCs w:val="22"/>
        </w:rPr>
        <w:t>),</w:t>
      </w:r>
      <w:r w:rsidRPr="00DF568C">
        <w:rPr>
          <w:rFonts w:ascii="Arial" w:hAnsi="Arial" w:cs="Arial"/>
          <w:b/>
          <w:sz w:val="22"/>
          <w:szCs w:val="22"/>
        </w:rPr>
        <w:t xml:space="preserve"> </w:t>
      </w:r>
      <w:r w:rsidRPr="00DF568C">
        <w:rPr>
          <w:rFonts w:ascii="Arial" w:hAnsi="Arial" w:cs="Arial"/>
          <w:sz w:val="22"/>
          <w:szCs w:val="22"/>
        </w:rPr>
        <w:t>incluido impuestos</w:t>
      </w:r>
      <w:r>
        <w:rPr>
          <w:rFonts w:ascii="Arial" w:hAnsi="Arial" w:cs="Arial"/>
          <w:bCs/>
          <w:sz w:val="22"/>
          <w:szCs w:val="22"/>
        </w:rPr>
        <w:t>.</w:t>
      </w:r>
    </w:p>
    <w:p w:rsidR="00DE05C2" w:rsidRPr="00AA52C8" w:rsidRDefault="00DE05C2" w:rsidP="00DE05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05C2" w:rsidRPr="00DF568C" w:rsidRDefault="00DE05C2" w:rsidP="00DE05C2">
      <w:pPr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El proceso de contrata</w:t>
      </w:r>
      <w:r w:rsidRPr="00DF568C">
        <w:rPr>
          <w:rFonts w:ascii="Arial" w:hAnsi="Arial" w:cs="Arial"/>
          <w:sz w:val="22"/>
          <w:szCs w:val="22"/>
          <w:lang w:eastAsia="es-CO"/>
        </w:rPr>
        <w:t xml:space="preserve">ción, cuenta con </w:t>
      </w:r>
      <w:r>
        <w:rPr>
          <w:rFonts w:ascii="Arial" w:hAnsi="Arial" w:cs="Arial"/>
          <w:sz w:val="22"/>
          <w:szCs w:val="22"/>
          <w:lang w:eastAsia="es-CO"/>
        </w:rPr>
        <w:t>la siguiente afectación</w:t>
      </w:r>
      <w:r w:rsidRPr="00DF568C">
        <w:rPr>
          <w:rFonts w:ascii="Arial" w:hAnsi="Arial" w:cs="Arial"/>
          <w:sz w:val="22"/>
          <w:szCs w:val="22"/>
          <w:lang w:eastAsia="es-CO"/>
        </w:rPr>
        <w:t xml:space="preserve"> Presupuestal:</w:t>
      </w:r>
    </w:p>
    <w:p w:rsidR="00DE05C2" w:rsidRPr="00DF568C" w:rsidRDefault="00DE05C2" w:rsidP="00DE05C2">
      <w:pPr>
        <w:rPr>
          <w:rFonts w:ascii="Arial" w:hAnsi="Arial" w:cs="Arial"/>
          <w:sz w:val="20"/>
          <w:szCs w:val="20"/>
          <w:lang w:eastAsia="es-C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2455"/>
        <w:gridCol w:w="2228"/>
      </w:tblGrid>
      <w:tr w:rsidR="00DE05C2" w:rsidRPr="00640DDC" w:rsidTr="001A474E">
        <w:trPr>
          <w:trHeight w:val="287"/>
        </w:trPr>
        <w:tc>
          <w:tcPr>
            <w:tcW w:w="4605" w:type="dxa"/>
            <w:vMerge w:val="restart"/>
            <w:shd w:val="clear" w:color="auto" w:fill="D9D9D9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332">
              <w:rPr>
                <w:rFonts w:ascii="Arial" w:hAnsi="Arial" w:cs="Arial"/>
                <w:b/>
                <w:sz w:val="20"/>
                <w:szCs w:val="20"/>
              </w:rPr>
              <w:t>UNIDAD EJECUTORA</w:t>
            </w:r>
          </w:p>
        </w:tc>
        <w:tc>
          <w:tcPr>
            <w:tcW w:w="46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332">
              <w:rPr>
                <w:rFonts w:ascii="Arial" w:hAnsi="Arial" w:cs="Arial"/>
                <w:b/>
                <w:sz w:val="20"/>
                <w:szCs w:val="20"/>
              </w:rPr>
              <w:t>VIGENCIA AÑO 2017</w:t>
            </w:r>
          </w:p>
        </w:tc>
      </w:tr>
      <w:tr w:rsidR="00DE05C2" w:rsidRPr="00640DDC" w:rsidTr="001A474E">
        <w:trPr>
          <w:trHeight w:val="243"/>
        </w:trPr>
        <w:tc>
          <w:tcPr>
            <w:tcW w:w="4605" w:type="dxa"/>
            <w:vMerge/>
            <w:shd w:val="clear" w:color="auto" w:fill="auto"/>
          </w:tcPr>
          <w:p w:rsidR="00DE05C2" w:rsidRPr="00E95332" w:rsidRDefault="00DE05C2" w:rsidP="001A474E">
            <w:pPr>
              <w:widowControl w:val="0"/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D9D9D9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332">
              <w:rPr>
                <w:rFonts w:ascii="Arial" w:hAnsi="Arial" w:cs="Arial"/>
                <w:b/>
                <w:sz w:val="20"/>
                <w:szCs w:val="20"/>
              </w:rPr>
              <w:t>No. CDP</w:t>
            </w:r>
          </w:p>
        </w:tc>
        <w:tc>
          <w:tcPr>
            <w:tcW w:w="2228" w:type="dxa"/>
            <w:shd w:val="clear" w:color="auto" w:fill="D9D9D9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332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DE05C2" w:rsidRPr="00640DDC" w:rsidTr="001A474E">
        <w:trPr>
          <w:trHeight w:val="67"/>
        </w:trPr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DE05C2" w:rsidRPr="00E95332" w:rsidRDefault="00DE05C2" w:rsidP="001A4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332">
              <w:rPr>
                <w:rFonts w:ascii="Arial" w:hAnsi="Arial" w:cs="Arial"/>
                <w:sz w:val="20"/>
                <w:szCs w:val="20"/>
              </w:rPr>
              <w:t>27-01-0</w:t>
            </w:r>
            <w:r>
              <w:rPr>
                <w:rFonts w:ascii="Arial" w:hAnsi="Arial" w:cs="Arial"/>
                <w:sz w:val="20"/>
                <w:szCs w:val="20"/>
              </w:rPr>
              <w:t>8 Tribunales y Juzgados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8019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C2" w:rsidRPr="00E95332" w:rsidRDefault="00DE05C2" w:rsidP="001A474E">
            <w:pPr>
              <w:widowControl w:val="0"/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54B">
              <w:rPr>
                <w:rFonts w:ascii="Arial" w:hAnsi="Arial" w:cs="Arial"/>
                <w:sz w:val="20"/>
                <w:szCs w:val="20"/>
              </w:rPr>
              <w:t>$129’405.182</w:t>
            </w:r>
          </w:p>
        </w:tc>
      </w:tr>
    </w:tbl>
    <w:p w:rsidR="00DE05C2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</w:p>
    <w:p w:rsidR="00DE05C2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  <w:r w:rsidRPr="00FB4037">
        <w:rPr>
          <w:rFonts w:ascii="Arial" w:hAnsi="Arial" w:cs="Arial"/>
          <w:sz w:val="22"/>
          <w:szCs w:val="22"/>
        </w:rPr>
        <w:t>Este Consejo Seccional re</w:t>
      </w:r>
      <w:r>
        <w:rPr>
          <w:rFonts w:ascii="Arial" w:hAnsi="Arial" w:cs="Arial"/>
          <w:sz w:val="22"/>
          <w:szCs w:val="22"/>
        </w:rPr>
        <w:t xml:space="preserve">visó la documentación allegada, considerándose necesario </w:t>
      </w:r>
      <w:r w:rsidRPr="00FB4037">
        <w:rPr>
          <w:rFonts w:ascii="Arial" w:hAnsi="Arial" w:cs="Arial"/>
          <w:sz w:val="22"/>
          <w:szCs w:val="22"/>
        </w:rPr>
        <w:t>expedir la autorización respectiva, de conformidad con las facultades asignadas en el Artículo 3º del Acuerdo PSAA16-10561, por cuanto la cuantí</w:t>
      </w:r>
      <w:r>
        <w:rPr>
          <w:rFonts w:ascii="Arial" w:hAnsi="Arial" w:cs="Arial"/>
          <w:sz w:val="22"/>
          <w:szCs w:val="22"/>
        </w:rPr>
        <w:t>a del proceso de contratación</w:t>
      </w:r>
      <w:r w:rsidRPr="00FB4037">
        <w:rPr>
          <w:rFonts w:ascii="Arial" w:hAnsi="Arial" w:cs="Arial"/>
          <w:sz w:val="22"/>
          <w:szCs w:val="22"/>
        </w:rPr>
        <w:t xml:space="preserve">, se encuentra dentro del rango comprendido entre los 100 y </w:t>
      </w:r>
      <w:r>
        <w:rPr>
          <w:rFonts w:ascii="Arial" w:hAnsi="Arial" w:cs="Arial"/>
          <w:sz w:val="22"/>
          <w:szCs w:val="22"/>
        </w:rPr>
        <w:t>3000</w:t>
      </w:r>
      <w:r w:rsidRPr="00FB4037">
        <w:rPr>
          <w:rFonts w:ascii="Arial" w:hAnsi="Arial" w:cs="Arial"/>
          <w:sz w:val="22"/>
          <w:szCs w:val="22"/>
        </w:rPr>
        <w:t xml:space="preserve"> salarios mínimos mensuales legales vigentes, atendiendo las condiciones manifestadas, las cuales constituyen un factor de necesidad para </w:t>
      </w:r>
      <w:r>
        <w:rPr>
          <w:rFonts w:ascii="Arial" w:hAnsi="Arial" w:cs="Arial"/>
          <w:sz w:val="22"/>
          <w:szCs w:val="22"/>
        </w:rPr>
        <w:t xml:space="preserve">adquirir los </w:t>
      </w:r>
      <w:r>
        <w:rPr>
          <w:rFonts w:ascii="Arial" w:hAnsi="Arial" w:cs="Arial"/>
          <w:bCs/>
          <w:sz w:val="22"/>
          <w:szCs w:val="22"/>
        </w:rPr>
        <w:t>consumibles de impresión marca OKI DATA</w:t>
      </w:r>
      <w:r w:rsidRPr="00FB40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</w:t>
      </w:r>
      <w:r w:rsidRPr="00FB4037">
        <w:rPr>
          <w:rFonts w:ascii="Arial" w:hAnsi="Arial" w:cs="Arial"/>
          <w:sz w:val="22"/>
          <w:szCs w:val="22"/>
        </w:rPr>
        <w:t>los despachos judiciales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5C2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</w:p>
    <w:p w:rsidR="00DE05C2" w:rsidRPr="003971F3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  <w:r w:rsidRPr="003971F3">
        <w:rPr>
          <w:rFonts w:ascii="Arial" w:hAnsi="Arial" w:cs="Arial"/>
          <w:sz w:val="22"/>
          <w:szCs w:val="22"/>
        </w:rPr>
        <w:t>Con la finalidad de garantizar el cumplimiento al Plan Sectorial de Desarrollo de la Rama Judicial 2015-2018 conforme a los  Principios correspondientes al relativo a la eficiencia 1.3.7 y al Objetivo específico 1 que hace relación a fortalecimiento de la eficiencia y eficacia de la gestión judicial, se considera procedente conceder la autorización previa al Director Seccional de Administración Judicial de Villavicencio para que adelante el proceso</w:t>
      </w:r>
      <w:r>
        <w:rPr>
          <w:rFonts w:ascii="Arial" w:hAnsi="Arial" w:cs="Arial"/>
          <w:sz w:val="22"/>
          <w:szCs w:val="22"/>
        </w:rPr>
        <w:t xml:space="preserve"> contractual que aquí nos ocupa, </w:t>
      </w:r>
      <w:r w:rsidRPr="003971F3">
        <w:rPr>
          <w:rFonts w:ascii="Arial" w:hAnsi="Arial" w:cs="Arial"/>
          <w:sz w:val="22"/>
          <w:szCs w:val="22"/>
        </w:rPr>
        <w:t>a través de la Tienda Virtual del Estado Colombiano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5C2" w:rsidRPr="003971F3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</w:p>
    <w:p w:rsidR="00DE05C2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  <w:r w:rsidRPr="003971F3">
        <w:rPr>
          <w:rFonts w:ascii="Arial" w:hAnsi="Arial" w:cs="Arial"/>
          <w:sz w:val="22"/>
          <w:szCs w:val="22"/>
        </w:rPr>
        <w:t>En mérito de lo expuesto, este Consejo Seccional de la Judicatura del Meta.</w:t>
      </w:r>
    </w:p>
    <w:p w:rsidR="00DE05C2" w:rsidRDefault="00DE05C2" w:rsidP="00DE05C2">
      <w:pPr>
        <w:pStyle w:val="Textoindependiente31"/>
        <w:widowControl w:val="0"/>
        <w:spacing w:line="240" w:lineRule="exact"/>
        <w:rPr>
          <w:rFonts w:ascii="Arial" w:hAnsi="Arial" w:cs="Arial"/>
          <w:sz w:val="22"/>
          <w:szCs w:val="22"/>
        </w:rPr>
      </w:pPr>
    </w:p>
    <w:p w:rsidR="00DE05C2" w:rsidRPr="001F4BCB" w:rsidRDefault="00DE05C2" w:rsidP="00DE05C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F4BCB">
        <w:rPr>
          <w:rFonts w:ascii="Arial" w:hAnsi="Arial" w:cs="Arial"/>
          <w:b/>
          <w:bCs/>
          <w:iCs/>
          <w:sz w:val="22"/>
          <w:szCs w:val="22"/>
        </w:rPr>
        <w:t>RESUELVE:</w:t>
      </w:r>
    </w:p>
    <w:p w:rsidR="00DE05C2" w:rsidRPr="001976FA" w:rsidRDefault="00DE05C2" w:rsidP="00DE05C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DE05C2" w:rsidRDefault="00DE05C2" w:rsidP="00DE05C2">
      <w:pPr>
        <w:spacing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1976FA">
        <w:rPr>
          <w:rFonts w:ascii="Arial" w:hAnsi="Arial" w:cs="Arial"/>
          <w:b/>
          <w:bCs/>
          <w:sz w:val="22"/>
          <w:szCs w:val="22"/>
        </w:rPr>
        <w:lastRenderedPageBreak/>
        <w:t xml:space="preserve">ARTÍCULO 1°: </w:t>
      </w:r>
      <w:r w:rsidRPr="001976FA">
        <w:rPr>
          <w:rFonts w:ascii="Arial" w:hAnsi="Arial" w:cs="Arial"/>
          <w:bCs/>
          <w:sz w:val="22"/>
          <w:szCs w:val="22"/>
        </w:rPr>
        <w:t xml:space="preserve">Conceder autorización previa al Director Seccional de Administración Judicial de Villavicencio para </w:t>
      </w:r>
      <w:r>
        <w:rPr>
          <w:rFonts w:ascii="Arial" w:hAnsi="Arial" w:cs="Arial"/>
          <w:bCs/>
          <w:sz w:val="22"/>
          <w:szCs w:val="22"/>
        </w:rPr>
        <w:t>realizar una orden de compra por la modalidad de Acuerdo Macro de Precios, a través de la Tienda Virtual del Estado Colombiano, cuya finalidad es la adquisición de consumibles de impresión marca OKI DATA,</w:t>
      </w:r>
      <w:r w:rsidRPr="00DF568C">
        <w:rPr>
          <w:rFonts w:ascii="Arial" w:hAnsi="Arial" w:cs="Arial"/>
          <w:sz w:val="22"/>
          <w:szCs w:val="22"/>
        </w:rPr>
        <w:t xml:space="preserve"> con destino a las Corporaciones, Despachos y Dependencias adscritas al Distrito Judicial de Villavicencio, por valor de </w:t>
      </w:r>
      <w:r w:rsidRPr="000A3D9E">
        <w:rPr>
          <w:rFonts w:ascii="Arial" w:hAnsi="Arial" w:cs="Arial"/>
          <w:sz w:val="22"/>
          <w:szCs w:val="22"/>
        </w:rPr>
        <w:t>CIENTO VEINTINUEVE MILLONES CUATROCIENTOS CINCO MIL CIENTO OCHENTA Y DOS PESOS  ($129’405.182), incluido impuestos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DE05C2" w:rsidRDefault="00DE05C2" w:rsidP="00DE05C2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DE05C2" w:rsidRDefault="00DE05C2" w:rsidP="00DE05C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2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 xml:space="preserve">°: </w:t>
      </w:r>
      <w:r w:rsidRPr="00DA3FE6">
        <w:rPr>
          <w:rFonts w:ascii="Arial" w:hAnsi="Arial" w:cs="Arial"/>
          <w:sz w:val="22"/>
          <w:szCs w:val="22"/>
        </w:rPr>
        <w:t xml:space="preserve">Alcance de la Autorización. La autorización de que trata el artículo </w:t>
      </w:r>
      <w:r>
        <w:rPr>
          <w:rFonts w:ascii="Arial" w:hAnsi="Arial" w:cs="Arial"/>
          <w:sz w:val="22"/>
          <w:szCs w:val="22"/>
        </w:rPr>
        <w:t>primero</w:t>
      </w:r>
      <w:r w:rsidRPr="00DA3FE6">
        <w:rPr>
          <w:rFonts w:ascii="Arial" w:hAnsi="Arial" w:cs="Arial"/>
          <w:sz w:val="22"/>
          <w:szCs w:val="22"/>
        </w:rPr>
        <w:t xml:space="preserve"> del presente acuerdo, se expide en los términos del numeral 3º de los artículos 85 y </w:t>
      </w:r>
      <w:r>
        <w:rPr>
          <w:rFonts w:ascii="Arial" w:hAnsi="Arial" w:cs="Arial"/>
          <w:sz w:val="22"/>
          <w:szCs w:val="22"/>
        </w:rPr>
        <w:t>103</w:t>
      </w:r>
      <w:r w:rsidRPr="00DA3FE6">
        <w:rPr>
          <w:rFonts w:ascii="Arial" w:hAnsi="Arial" w:cs="Arial"/>
          <w:sz w:val="22"/>
          <w:szCs w:val="22"/>
        </w:rPr>
        <w:t xml:space="preserve"> de la Ley 270 de 1996, por tanto, la Dirección </w:t>
      </w:r>
      <w:r>
        <w:rPr>
          <w:rFonts w:ascii="Arial" w:hAnsi="Arial" w:cs="Arial"/>
          <w:sz w:val="22"/>
          <w:szCs w:val="22"/>
        </w:rPr>
        <w:t>Seccional</w:t>
      </w:r>
      <w:r w:rsidRPr="00DA3FE6">
        <w:rPr>
          <w:rFonts w:ascii="Arial" w:hAnsi="Arial" w:cs="Arial"/>
          <w:sz w:val="22"/>
          <w:szCs w:val="22"/>
        </w:rPr>
        <w:t xml:space="preserve"> de Administración Judicial, como representante legal y órgano operativo y ejecutor de la Rama Judicial, se hace responsable de la contratación que se celebre en cumplimiento de la presente autorización. Una vez perfeccionado el correspondiente contrato, el Director </w:t>
      </w:r>
      <w:r>
        <w:rPr>
          <w:rFonts w:ascii="Arial" w:hAnsi="Arial" w:cs="Arial"/>
          <w:sz w:val="22"/>
          <w:szCs w:val="22"/>
        </w:rPr>
        <w:t>Seccional</w:t>
      </w:r>
      <w:r w:rsidRPr="00DA3FE6">
        <w:rPr>
          <w:rFonts w:ascii="Arial" w:hAnsi="Arial" w:cs="Arial"/>
          <w:sz w:val="22"/>
          <w:szCs w:val="22"/>
        </w:rPr>
        <w:t xml:space="preserve"> informará de ello a la Unidad de Auditoría del Consejo S</w:t>
      </w:r>
      <w:r>
        <w:rPr>
          <w:rFonts w:ascii="Arial" w:hAnsi="Arial" w:cs="Arial"/>
          <w:sz w:val="22"/>
          <w:szCs w:val="22"/>
        </w:rPr>
        <w:t>eccional</w:t>
      </w:r>
      <w:r w:rsidRPr="00DA3FE6">
        <w:rPr>
          <w:rFonts w:ascii="Arial" w:hAnsi="Arial" w:cs="Arial"/>
          <w:sz w:val="22"/>
          <w:szCs w:val="22"/>
        </w:rPr>
        <w:t xml:space="preserve"> de la Judicatura, para efectos de su control y seguimiento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E05C2" w:rsidRDefault="00DE05C2" w:rsidP="00DE05C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E05C2" w:rsidRDefault="00DE05C2" w:rsidP="00DE05C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3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5090B">
        <w:rPr>
          <w:rFonts w:ascii="Arial" w:hAnsi="Arial" w:cs="Arial"/>
          <w:bCs/>
          <w:iCs/>
          <w:sz w:val="22"/>
          <w:szCs w:val="22"/>
        </w:rPr>
        <w:t>El Director Seccional de Administración Judicial de la Rama Judicial de Villavicencio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5090B">
        <w:rPr>
          <w:rFonts w:ascii="Arial" w:hAnsi="Arial" w:cs="Arial"/>
          <w:bCs/>
          <w:iCs/>
          <w:sz w:val="22"/>
          <w:szCs w:val="22"/>
        </w:rPr>
        <w:t>presentará al Consejo Seccional, en forma oportuna, un informe sobre la ejecución del contrato y cualquier modificación si la hubiere, en condiciones de tiempo, modo y lugar y el resultado final de la contratación de que trata la presente Resolución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1F4BCB">
        <w:rPr>
          <w:rFonts w:ascii="Arial" w:hAnsi="Arial" w:cs="Arial"/>
          <w:iCs/>
          <w:sz w:val="22"/>
          <w:szCs w:val="22"/>
        </w:rPr>
        <w:t>de conformidad con el Artículo 7º del Acuerdo Núm</w:t>
      </w:r>
      <w:r>
        <w:rPr>
          <w:rFonts w:ascii="Arial" w:hAnsi="Arial" w:cs="Arial"/>
          <w:iCs/>
          <w:sz w:val="22"/>
          <w:szCs w:val="22"/>
        </w:rPr>
        <w:t xml:space="preserve">ero </w:t>
      </w:r>
      <w:r w:rsidRPr="001F4BCB">
        <w:rPr>
          <w:rFonts w:ascii="Arial" w:hAnsi="Arial" w:cs="Arial"/>
          <w:iCs/>
          <w:sz w:val="22"/>
          <w:szCs w:val="22"/>
        </w:rPr>
        <w:t>163 de 1996.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DE05C2" w:rsidRDefault="00DE05C2" w:rsidP="00DE05C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E05C2" w:rsidRDefault="00DE05C2" w:rsidP="00DE05C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ARTÍCULO 4</w:t>
      </w:r>
      <w:r w:rsidRPr="00244F7A">
        <w:rPr>
          <w:rFonts w:ascii="Arial" w:hAnsi="Arial" w:cs="Arial"/>
          <w:b/>
          <w:bCs/>
          <w:iCs/>
          <w:sz w:val="22"/>
          <w:szCs w:val="22"/>
        </w:rPr>
        <w:t>°: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F4BCB">
        <w:rPr>
          <w:rFonts w:ascii="Arial" w:hAnsi="Arial" w:cs="Arial"/>
          <w:bCs/>
          <w:iCs/>
          <w:sz w:val="22"/>
          <w:szCs w:val="22"/>
        </w:rPr>
        <w:t xml:space="preserve">Envíese copia de </w:t>
      </w:r>
      <w:r w:rsidRPr="001F4BCB">
        <w:rPr>
          <w:rFonts w:ascii="Arial" w:hAnsi="Arial" w:cs="Arial"/>
          <w:iCs/>
          <w:sz w:val="22"/>
          <w:szCs w:val="22"/>
        </w:rPr>
        <w:t>esta Resolución a la Oficina Seccional de Auditoría, para la actuación que le señala el inciso segundo del Artículo Tercero del Acuerdo Num</w:t>
      </w:r>
      <w:r>
        <w:rPr>
          <w:rFonts w:ascii="Arial" w:hAnsi="Arial" w:cs="Arial"/>
          <w:iCs/>
          <w:sz w:val="22"/>
          <w:szCs w:val="22"/>
        </w:rPr>
        <w:t xml:space="preserve">eral </w:t>
      </w:r>
      <w:r w:rsidRPr="001F4BCB">
        <w:rPr>
          <w:rFonts w:ascii="Arial" w:hAnsi="Arial" w:cs="Arial"/>
          <w:iCs/>
          <w:sz w:val="22"/>
          <w:szCs w:val="22"/>
        </w:rPr>
        <w:t>163 de 1996.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DE05C2" w:rsidRPr="0080512A" w:rsidRDefault="00DE05C2" w:rsidP="00DE05C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E05C2" w:rsidRDefault="00DE05C2" w:rsidP="00DE05C2">
      <w:pPr>
        <w:jc w:val="both"/>
        <w:rPr>
          <w:rFonts w:ascii="Arial" w:hAnsi="Arial" w:cs="Arial"/>
          <w:iCs/>
          <w:sz w:val="22"/>
          <w:szCs w:val="22"/>
        </w:rPr>
      </w:pPr>
      <w:r w:rsidRPr="0080512A">
        <w:rPr>
          <w:rFonts w:ascii="Arial" w:hAnsi="Arial" w:cs="Arial"/>
          <w:b/>
          <w:bCs/>
          <w:i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 w:rsidRPr="0080512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0512A">
        <w:rPr>
          <w:rFonts w:ascii="Arial" w:hAnsi="Arial" w:cs="Arial"/>
          <w:iCs/>
          <w:sz w:val="22"/>
          <w:szCs w:val="22"/>
        </w:rPr>
        <w:t>La presente Resolución rige a partir de la fecha de su expedición</w:t>
      </w:r>
      <w:r>
        <w:rPr>
          <w:rFonts w:ascii="Arial" w:hAnsi="Arial" w:cs="Arial"/>
          <w:iCs/>
          <w:sz w:val="22"/>
          <w:szCs w:val="22"/>
        </w:rPr>
        <w:t xml:space="preserve">, dada en Villavicencio </w:t>
      </w:r>
      <w:r w:rsidRPr="00841217">
        <w:rPr>
          <w:rFonts w:ascii="Arial" w:hAnsi="Arial" w:cs="Arial"/>
          <w:iCs/>
          <w:sz w:val="22"/>
          <w:szCs w:val="22"/>
        </w:rPr>
        <w:t xml:space="preserve">a los </w:t>
      </w:r>
      <w:r>
        <w:rPr>
          <w:rFonts w:ascii="Arial" w:hAnsi="Arial" w:cs="Arial"/>
          <w:iCs/>
          <w:sz w:val="22"/>
          <w:szCs w:val="22"/>
        </w:rPr>
        <w:t>diecinueve (19</w:t>
      </w:r>
      <w:r w:rsidRPr="00841217">
        <w:rPr>
          <w:rFonts w:ascii="Arial" w:hAnsi="Arial" w:cs="Arial"/>
          <w:iCs/>
          <w:sz w:val="22"/>
          <w:szCs w:val="22"/>
        </w:rPr>
        <w:t xml:space="preserve">) días del mes </w:t>
      </w:r>
      <w:r>
        <w:rPr>
          <w:rFonts w:ascii="Arial" w:hAnsi="Arial" w:cs="Arial"/>
          <w:iCs/>
          <w:sz w:val="22"/>
          <w:szCs w:val="22"/>
        </w:rPr>
        <w:t xml:space="preserve">marzo </w:t>
      </w:r>
      <w:r w:rsidRPr="00841217">
        <w:rPr>
          <w:rFonts w:ascii="Arial" w:hAnsi="Arial" w:cs="Arial"/>
          <w:iCs/>
          <w:sz w:val="22"/>
          <w:szCs w:val="22"/>
        </w:rPr>
        <w:t>de dos mil dieci</w:t>
      </w:r>
      <w:r>
        <w:rPr>
          <w:rFonts w:ascii="Arial" w:hAnsi="Arial" w:cs="Arial"/>
          <w:iCs/>
          <w:sz w:val="22"/>
          <w:szCs w:val="22"/>
        </w:rPr>
        <w:t>nueve (2019</w:t>
      </w:r>
      <w:r w:rsidRPr="00841217">
        <w:rPr>
          <w:rFonts w:ascii="Arial" w:hAnsi="Arial" w:cs="Arial"/>
          <w:iCs/>
          <w:sz w:val="22"/>
          <w:szCs w:val="22"/>
        </w:rPr>
        <w:t xml:space="preserve">). </w:t>
      </w:r>
    </w:p>
    <w:p w:rsidR="00DE05C2" w:rsidRDefault="00DE05C2" w:rsidP="00DE05C2">
      <w:pPr>
        <w:jc w:val="both"/>
        <w:rPr>
          <w:rFonts w:ascii="Arial" w:hAnsi="Arial" w:cs="Arial"/>
          <w:iCs/>
          <w:sz w:val="22"/>
          <w:szCs w:val="22"/>
        </w:rPr>
      </w:pPr>
    </w:p>
    <w:p w:rsidR="00DE05C2" w:rsidRPr="00841217" w:rsidRDefault="00DE05C2" w:rsidP="00DE05C2">
      <w:pPr>
        <w:jc w:val="center"/>
        <w:rPr>
          <w:rFonts w:ascii="Arial" w:hAnsi="Arial" w:cs="Arial"/>
          <w:b/>
          <w:sz w:val="22"/>
          <w:szCs w:val="22"/>
        </w:rPr>
      </w:pPr>
      <w:r w:rsidRPr="00841217">
        <w:rPr>
          <w:rFonts w:ascii="Arial" w:hAnsi="Arial" w:cs="Arial"/>
          <w:b/>
          <w:sz w:val="22"/>
          <w:szCs w:val="22"/>
        </w:rPr>
        <w:t>COMUNÍQUESE  Y CÚMPLASE</w:t>
      </w:r>
    </w:p>
    <w:p w:rsidR="00DE05C2" w:rsidRDefault="00DE05C2" w:rsidP="00DE05C2">
      <w:pPr>
        <w:rPr>
          <w:rFonts w:ascii="Arial" w:hAnsi="Arial" w:cs="Arial"/>
          <w:b/>
          <w:sz w:val="22"/>
          <w:szCs w:val="22"/>
          <w:lang w:val="es-CO"/>
        </w:rPr>
      </w:pPr>
    </w:p>
    <w:p w:rsidR="00DE05C2" w:rsidRDefault="00DE05C2" w:rsidP="00DE05C2">
      <w:pPr>
        <w:rPr>
          <w:rFonts w:ascii="Arial" w:hAnsi="Arial" w:cs="Arial"/>
          <w:b/>
          <w:sz w:val="22"/>
          <w:szCs w:val="22"/>
          <w:lang w:val="es-CO"/>
        </w:rPr>
      </w:pPr>
    </w:p>
    <w:p w:rsidR="00DE05C2" w:rsidRDefault="00DE05C2" w:rsidP="00DE05C2">
      <w:pPr>
        <w:rPr>
          <w:rFonts w:ascii="Arial" w:hAnsi="Arial" w:cs="Arial"/>
          <w:b/>
          <w:sz w:val="22"/>
          <w:szCs w:val="22"/>
          <w:lang w:val="es-CO"/>
        </w:rPr>
      </w:pPr>
    </w:p>
    <w:p w:rsidR="00DE05C2" w:rsidRDefault="00DE05C2" w:rsidP="00DE05C2">
      <w:pPr>
        <w:rPr>
          <w:rFonts w:ascii="Arial" w:hAnsi="Arial" w:cs="Arial"/>
          <w:b/>
          <w:sz w:val="22"/>
          <w:szCs w:val="22"/>
          <w:lang w:val="es-CO"/>
        </w:rPr>
      </w:pPr>
    </w:p>
    <w:p w:rsidR="00DE05C2" w:rsidRDefault="00DE05C2" w:rsidP="00DE05C2">
      <w:pPr>
        <w:rPr>
          <w:rFonts w:ascii="Arial" w:hAnsi="Arial" w:cs="Arial"/>
          <w:b/>
          <w:sz w:val="22"/>
          <w:szCs w:val="22"/>
          <w:lang w:val="es-CO"/>
        </w:rPr>
      </w:pPr>
    </w:p>
    <w:p w:rsidR="00DE05C2" w:rsidRPr="0080512A" w:rsidRDefault="00DE05C2" w:rsidP="00DE05C2">
      <w:pPr>
        <w:rPr>
          <w:rFonts w:ascii="Arial" w:hAnsi="Arial" w:cs="Arial"/>
          <w:cap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ROMELIO ELÍAS DAZA MOLINA </w:t>
      </w:r>
    </w:p>
    <w:p w:rsidR="00DE05C2" w:rsidRDefault="00DE05C2" w:rsidP="00DE05C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512A">
        <w:rPr>
          <w:rFonts w:ascii="Arial" w:hAnsi="Arial" w:cs="Arial"/>
          <w:sz w:val="22"/>
          <w:szCs w:val="22"/>
          <w:lang w:val="es-CO"/>
        </w:rPr>
        <w:t>Presidente</w:t>
      </w:r>
    </w:p>
    <w:p w:rsidR="00DE05C2" w:rsidRDefault="00DE05C2" w:rsidP="00DE05C2">
      <w:pPr>
        <w:jc w:val="both"/>
        <w:rPr>
          <w:rFonts w:ascii="Arial" w:hAnsi="Arial" w:cs="Arial"/>
          <w:sz w:val="16"/>
          <w:szCs w:val="22"/>
          <w:lang w:val="es-CO"/>
        </w:rPr>
      </w:pPr>
    </w:p>
    <w:p w:rsidR="00DE05C2" w:rsidRPr="001D74C8" w:rsidRDefault="00DE05C2" w:rsidP="00DE05C2">
      <w:pPr>
        <w:jc w:val="both"/>
        <w:rPr>
          <w:rFonts w:ascii="Arial" w:hAnsi="Arial" w:cs="Arial"/>
          <w:sz w:val="16"/>
          <w:szCs w:val="22"/>
          <w:lang w:val="es-CO"/>
        </w:rPr>
      </w:pPr>
      <w:r w:rsidRPr="001D74C8">
        <w:rPr>
          <w:rFonts w:ascii="Arial" w:hAnsi="Arial" w:cs="Arial"/>
          <w:sz w:val="16"/>
          <w:szCs w:val="22"/>
          <w:lang w:val="es-CO"/>
        </w:rPr>
        <w:t>REDM/CEBC</w:t>
      </w:r>
    </w:p>
    <w:p w:rsidR="00DE05C2" w:rsidRPr="00402C4E" w:rsidRDefault="00DE05C2" w:rsidP="00DE05C2">
      <w:r w:rsidRPr="001D74C8">
        <w:rPr>
          <w:rFonts w:ascii="Arial" w:hAnsi="Arial" w:cs="Arial"/>
          <w:iCs/>
          <w:sz w:val="16"/>
          <w:szCs w:val="22"/>
        </w:rPr>
        <w:t>EXTCSJME1</w:t>
      </w:r>
      <w:r>
        <w:rPr>
          <w:rFonts w:ascii="Arial" w:hAnsi="Arial" w:cs="Arial"/>
          <w:iCs/>
          <w:sz w:val="16"/>
          <w:szCs w:val="22"/>
        </w:rPr>
        <w:t>9-360</w:t>
      </w:r>
      <w:r w:rsidRPr="001D74C8">
        <w:rPr>
          <w:rFonts w:ascii="Arial" w:hAnsi="Arial" w:cs="Arial"/>
          <w:iCs/>
          <w:sz w:val="16"/>
          <w:szCs w:val="22"/>
        </w:rPr>
        <w:t xml:space="preserve"> / </w:t>
      </w:r>
      <w:r>
        <w:rPr>
          <w:rFonts w:ascii="Arial" w:hAnsi="Arial" w:cs="Arial"/>
          <w:iCs/>
          <w:sz w:val="16"/>
          <w:szCs w:val="22"/>
        </w:rPr>
        <w:t>MARZO 14 DE 2019</w:t>
      </w:r>
    </w:p>
    <w:p w:rsidR="00DE05C2" w:rsidRPr="001F4BCB" w:rsidRDefault="00DE05C2" w:rsidP="00DE05C2">
      <w:pPr>
        <w:pStyle w:val="Textoindependiente2"/>
        <w:rPr>
          <w:rFonts w:ascii="Arial" w:hAnsi="Arial" w:cs="Arial"/>
          <w:bCs/>
          <w:i w:val="0"/>
          <w:iCs w:val="0"/>
          <w:szCs w:val="22"/>
        </w:rPr>
      </w:pPr>
    </w:p>
    <w:p w:rsidR="00DE05C2" w:rsidRPr="008F1A87" w:rsidRDefault="00DE05C2" w:rsidP="00DE05C2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DE05C2" w:rsidRPr="00D827F9" w:rsidRDefault="00DE05C2" w:rsidP="00DE05C2"/>
    <w:p w:rsidR="00234742" w:rsidRPr="00234742" w:rsidRDefault="00234742" w:rsidP="00234742">
      <w:pPr>
        <w:rPr>
          <w:rFonts w:ascii="Arial" w:hAnsi="Arial" w:cs="Arial"/>
          <w:sz w:val="16"/>
          <w:szCs w:val="16"/>
          <w:lang w:val="es-CO"/>
        </w:rPr>
      </w:pPr>
    </w:p>
    <w:p w:rsidR="00234742" w:rsidRPr="00234742" w:rsidRDefault="00234742" w:rsidP="00234742">
      <w:pPr>
        <w:rPr>
          <w:rFonts w:ascii="Arial" w:hAnsi="Arial" w:cs="Arial"/>
          <w:sz w:val="16"/>
          <w:szCs w:val="16"/>
          <w:lang w:val="es-CO"/>
        </w:rPr>
      </w:pPr>
    </w:p>
    <w:p w:rsidR="00234742" w:rsidRDefault="00234742" w:rsidP="00234742">
      <w:pPr>
        <w:rPr>
          <w:rFonts w:ascii="Arial" w:hAnsi="Arial" w:cs="Arial"/>
          <w:sz w:val="16"/>
          <w:szCs w:val="16"/>
          <w:lang w:val="es-CO"/>
        </w:rPr>
      </w:pPr>
    </w:p>
    <w:p w:rsidR="00234742" w:rsidRDefault="00234742" w:rsidP="00234742">
      <w:pPr>
        <w:rPr>
          <w:rFonts w:ascii="Arial" w:hAnsi="Arial" w:cs="Arial"/>
          <w:sz w:val="16"/>
          <w:szCs w:val="16"/>
          <w:lang w:val="es-CO"/>
        </w:rPr>
      </w:pPr>
    </w:p>
    <w:p w:rsidR="00254F44" w:rsidRPr="00234742" w:rsidRDefault="00234742" w:rsidP="00234742">
      <w:pPr>
        <w:tabs>
          <w:tab w:val="left" w:pos="3278"/>
        </w:tabs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ab/>
      </w:r>
    </w:p>
    <w:sectPr w:rsidR="00254F44" w:rsidRPr="00234742" w:rsidSect="005222A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20163" w:code="5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D5" w:rsidRDefault="00452CD5">
      <w:r>
        <w:separator/>
      </w:r>
    </w:p>
  </w:endnote>
  <w:endnote w:type="continuationSeparator" w:id="0">
    <w:p w:rsidR="00452CD5" w:rsidRDefault="004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452CD5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376A53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452CD5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D5" w:rsidRDefault="00452CD5">
      <w:r>
        <w:separator/>
      </w:r>
    </w:p>
  </w:footnote>
  <w:footnote w:type="continuationSeparator" w:id="0">
    <w:p w:rsidR="00452CD5" w:rsidRDefault="0045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376A53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376A53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A474E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117"/>
    <w:rsid w:val="00304738"/>
    <w:rsid w:val="00341A26"/>
    <w:rsid w:val="00354655"/>
    <w:rsid w:val="00356985"/>
    <w:rsid w:val="00356B95"/>
    <w:rsid w:val="00376A53"/>
    <w:rsid w:val="003A415E"/>
    <w:rsid w:val="00452CD5"/>
    <w:rsid w:val="00460271"/>
    <w:rsid w:val="00467320"/>
    <w:rsid w:val="0048348F"/>
    <w:rsid w:val="004D0E7C"/>
    <w:rsid w:val="004F3C29"/>
    <w:rsid w:val="005222A8"/>
    <w:rsid w:val="00531DC9"/>
    <w:rsid w:val="00550113"/>
    <w:rsid w:val="00551B02"/>
    <w:rsid w:val="0056705B"/>
    <w:rsid w:val="005B6E33"/>
    <w:rsid w:val="005C0C36"/>
    <w:rsid w:val="005D76B2"/>
    <w:rsid w:val="005E0745"/>
    <w:rsid w:val="00605C20"/>
    <w:rsid w:val="00643641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B3227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3CD6"/>
    <w:rsid w:val="00A546D7"/>
    <w:rsid w:val="00A93FE3"/>
    <w:rsid w:val="00AB055F"/>
    <w:rsid w:val="00AB6437"/>
    <w:rsid w:val="00AD504C"/>
    <w:rsid w:val="00B12D28"/>
    <w:rsid w:val="00B512A7"/>
    <w:rsid w:val="00B6455C"/>
    <w:rsid w:val="00BC54A6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70F12"/>
    <w:rsid w:val="00DD6596"/>
    <w:rsid w:val="00DE05C2"/>
    <w:rsid w:val="00E00EB7"/>
    <w:rsid w:val="00E44620"/>
    <w:rsid w:val="00E47C0A"/>
    <w:rsid w:val="00E53E57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E36E3EE-1614-4A8A-B732-C494B12B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DE05C2"/>
    <w:pPr>
      <w:jc w:val="center"/>
    </w:pPr>
    <w:rPr>
      <w:rFonts w:ascii="Century Gothic" w:hAnsi="Century Gothic"/>
      <w:i/>
      <w:iCs/>
      <w:sz w:val="22"/>
      <w:lang w:val="x-none" w:eastAsia="x-none"/>
    </w:rPr>
  </w:style>
  <w:style w:type="character" w:customStyle="1" w:styleId="TextoindependienteCar">
    <w:name w:val="Texto independiente Car"/>
    <w:link w:val="Textoindependiente"/>
    <w:rsid w:val="00DE05C2"/>
    <w:rPr>
      <w:rFonts w:ascii="Century Gothic" w:hAnsi="Century Gothic"/>
      <w:i/>
      <w:iCs/>
      <w:sz w:val="22"/>
      <w:szCs w:val="24"/>
      <w:lang w:val="x-none" w:eastAsia="x-none"/>
    </w:rPr>
  </w:style>
  <w:style w:type="paragraph" w:styleId="Textoindependiente2">
    <w:name w:val="Body Text 2"/>
    <w:basedOn w:val="Normal"/>
    <w:link w:val="Textoindependiente2Car"/>
    <w:rsid w:val="00DE05C2"/>
    <w:pPr>
      <w:jc w:val="both"/>
    </w:pPr>
    <w:rPr>
      <w:rFonts w:ascii="Century Gothic" w:hAnsi="Century Gothic" w:cs="Tahoma"/>
      <w:i/>
      <w:iCs/>
      <w:sz w:val="22"/>
    </w:rPr>
  </w:style>
  <w:style w:type="character" w:customStyle="1" w:styleId="Textoindependiente2Car">
    <w:name w:val="Texto independiente 2 Car"/>
    <w:link w:val="Textoindependiente2"/>
    <w:rsid w:val="00DE05C2"/>
    <w:rPr>
      <w:rFonts w:ascii="Century Gothic" w:hAnsi="Century Gothic" w:cs="Tahoma"/>
      <w:i/>
      <w:iCs/>
      <w:sz w:val="22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DE05C2"/>
    <w:pPr>
      <w:suppressAutoHyphens/>
      <w:jc w:val="both"/>
    </w:pPr>
    <w:rPr>
      <w:color w:val="00000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4655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2019-05-15T16:20:00Z</dcterms:created>
  <dcterms:modified xsi:type="dcterms:W3CDTF">2019-05-15T16:20:00Z</dcterms:modified>
</cp:coreProperties>
</file>