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bookmarkStart w:id="0" w:name="_GoBack"/>
      <w:bookmarkEnd w:id="0"/>
    </w:p>
    <w:p w:rsidR="005E0745" w:rsidRPr="008F1A87" w:rsidRDefault="005E0745" w:rsidP="005E0745">
      <w:pPr>
        <w:jc w:val="center"/>
        <w:rPr>
          <w:rFonts w:ascii="Arial" w:hAnsi="Arial" w:cs="Arial"/>
          <w:lang w:val="es-CO"/>
        </w:rPr>
      </w:pPr>
    </w:p>
    <w:p w:rsidR="005E0745" w:rsidRPr="008F1A87" w:rsidRDefault="005E0745" w:rsidP="005E0745">
      <w:pPr>
        <w:jc w:val="center"/>
        <w:rPr>
          <w:rFonts w:ascii="Arial" w:hAnsi="Arial" w:cs="Arial"/>
          <w:sz w:val="22"/>
          <w:szCs w:val="22"/>
          <w:lang w:val="es-CO"/>
        </w:rPr>
      </w:pPr>
      <w:r w:rsidRPr="008F1A87">
        <w:rPr>
          <w:rFonts w:ascii="Arial" w:hAnsi="Arial" w:cs="Arial"/>
          <w:sz w:val="22"/>
          <w:szCs w:val="22"/>
          <w:lang w:val="es-CO"/>
        </w:rPr>
        <w:t xml:space="preserve">RESOLUCION No. </w:t>
      </w:r>
      <w:r w:rsidR="00FB40F2">
        <w:rPr>
          <w:rFonts w:ascii="Arial" w:hAnsi="Arial" w:cs="Arial"/>
          <w:sz w:val="22"/>
          <w:szCs w:val="22"/>
          <w:lang w:val="es-CO"/>
        </w:rPr>
        <w:t>CSJMER19-39</w:t>
      </w:r>
    </w:p>
    <w:p w:rsidR="00967602" w:rsidRPr="008F1A87" w:rsidRDefault="00FB40F2" w:rsidP="005E0745">
      <w:pPr>
        <w:jc w:val="center"/>
        <w:rPr>
          <w:rFonts w:ascii="Arial" w:hAnsi="Arial" w:cs="Arial"/>
          <w:sz w:val="22"/>
          <w:szCs w:val="22"/>
          <w:lang w:val="es-CO"/>
        </w:rPr>
      </w:pPr>
      <w:r>
        <w:rPr>
          <w:rFonts w:ascii="Arial" w:hAnsi="Arial" w:cs="Arial"/>
          <w:sz w:val="22"/>
          <w:szCs w:val="22"/>
          <w:lang w:val="es-CO"/>
        </w:rPr>
        <w:t>11 de febrero de 2019</w:t>
      </w:r>
    </w:p>
    <w:p w:rsidR="005D76B2" w:rsidRDefault="005D76B2" w:rsidP="005E0745">
      <w:pPr>
        <w:jc w:val="center"/>
        <w:rPr>
          <w:rFonts w:ascii="Arial" w:hAnsi="Arial" w:cs="Arial"/>
          <w:sz w:val="22"/>
          <w:szCs w:val="22"/>
          <w:lang w:val="es-CO"/>
        </w:rPr>
      </w:pPr>
    </w:p>
    <w:p w:rsidR="00287A26" w:rsidRPr="00287A26" w:rsidRDefault="00287A26" w:rsidP="00287A26">
      <w:pPr>
        <w:jc w:val="center"/>
        <w:rPr>
          <w:rFonts w:ascii="Arial" w:hAnsi="Arial" w:cs="Arial"/>
          <w:i/>
          <w:color w:val="000000"/>
          <w:sz w:val="22"/>
          <w:szCs w:val="22"/>
          <w:lang w:val="es-CO"/>
        </w:rPr>
      </w:pPr>
      <w:r w:rsidRPr="00287A26">
        <w:rPr>
          <w:rFonts w:ascii="Arial" w:hAnsi="Arial" w:cs="Arial"/>
          <w:i/>
          <w:color w:val="000000"/>
          <w:sz w:val="22"/>
          <w:szCs w:val="22"/>
          <w:lang w:val="es-CO"/>
        </w:rPr>
        <w:t xml:space="preserve"> “Por medio de la cual se resuelve el recurso de reposición contra el factor eficiencia o rendimiento de la calificación integral de servicios del periodo 2017 de la Juez Noveno Administrativo del Circuito de Villavicencio”</w:t>
      </w:r>
    </w:p>
    <w:p w:rsidR="00287A26" w:rsidRPr="00287A26" w:rsidRDefault="00287A26" w:rsidP="00287A26">
      <w:pPr>
        <w:jc w:val="center"/>
        <w:rPr>
          <w:rFonts w:ascii="Arial" w:hAnsi="Arial" w:cs="Arial"/>
          <w:color w:val="000000"/>
          <w:sz w:val="22"/>
          <w:szCs w:val="22"/>
          <w:highlight w:val="yellow"/>
          <w:lang w:val="es-CO"/>
        </w:rPr>
      </w:pPr>
    </w:p>
    <w:p w:rsidR="00287A26" w:rsidRPr="00287A26" w:rsidRDefault="00287A26" w:rsidP="00287A26">
      <w:pPr>
        <w:jc w:val="center"/>
        <w:rPr>
          <w:rFonts w:ascii="Arial" w:hAnsi="Arial" w:cs="Arial"/>
          <w:b/>
          <w:color w:val="000000"/>
          <w:sz w:val="22"/>
          <w:szCs w:val="22"/>
          <w:lang w:val="es-CO"/>
        </w:rPr>
      </w:pPr>
      <w:r w:rsidRPr="00287A26">
        <w:rPr>
          <w:rFonts w:ascii="Arial" w:hAnsi="Arial" w:cs="Arial"/>
          <w:b/>
          <w:color w:val="000000"/>
          <w:sz w:val="22"/>
          <w:szCs w:val="22"/>
          <w:lang w:val="es-CO"/>
        </w:rPr>
        <w:t>EL CONSEJO SECCIONAL DE LA JUDICATURA DEL META</w:t>
      </w:r>
    </w:p>
    <w:p w:rsidR="00287A26" w:rsidRPr="00287A26" w:rsidRDefault="00287A26" w:rsidP="00287A26">
      <w:pPr>
        <w:rPr>
          <w:rFonts w:ascii="Arial" w:hAnsi="Arial" w:cs="Arial"/>
          <w:color w:val="000000"/>
          <w:sz w:val="22"/>
          <w:szCs w:val="22"/>
          <w:lang w:val="es-CO"/>
        </w:rPr>
      </w:pPr>
    </w:p>
    <w:p w:rsidR="00287A26" w:rsidRPr="00287A26" w:rsidRDefault="00287A26" w:rsidP="00287A26">
      <w:pPr>
        <w:jc w:val="both"/>
        <w:rPr>
          <w:rFonts w:ascii="Arial" w:hAnsi="Arial" w:cs="Arial"/>
          <w:color w:val="000000"/>
          <w:sz w:val="22"/>
          <w:szCs w:val="22"/>
          <w:lang w:val="es-CO"/>
        </w:rPr>
      </w:pPr>
      <w:r w:rsidRPr="00287A26">
        <w:rPr>
          <w:rFonts w:ascii="Arial" w:hAnsi="Arial" w:cs="Arial"/>
          <w:color w:val="000000"/>
          <w:sz w:val="22"/>
          <w:szCs w:val="22"/>
          <w:lang w:val="es-CO"/>
        </w:rPr>
        <w:t>En ejercicio de sus facultades constitucionales, legales y reglamentarias, en especial de las conferidas en el artículo 101 de la Ley 270 de 1996 y las del Acuerdo PSAA16-10618 de 7 de diciembre de 2016, proferido por el Consejo Superior de la Judicatura y con fundamento en los directrices que para tal efecto ha desarrollado la Corte Constitucional, se procede a resolver el recurso de reposición interpuesto contra la calificación integral de servicios del periodo 2017, interpuesto por parte de Gladys Teresa Herrera Monsalve, Juez Noveno Administrativo del Circuito de Villavicencio, la cual fue notificada el 6 de noviembre de 2018. Para adoptar la decisión se deben tener en cuenta los siguientes:</w:t>
      </w:r>
    </w:p>
    <w:p w:rsidR="00287A26" w:rsidRPr="00287A26" w:rsidRDefault="00287A26" w:rsidP="00287A26">
      <w:pPr>
        <w:rPr>
          <w:rFonts w:ascii="Arial" w:hAnsi="Arial" w:cs="Arial"/>
          <w:b/>
          <w:color w:val="000000"/>
          <w:sz w:val="22"/>
          <w:szCs w:val="22"/>
          <w:lang w:val="es-CO"/>
        </w:rPr>
      </w:pPr>
    </w:p>
    <w:p w:rsidR="00287A26" w:rsidRPr="00287A26" w:rsidRDefault="00287A26" w:rsidP="00287A26">
      <w:pPr>
        <w:rPr>
          <w:rFonts w:ascii="Arial" w:hAnsi="Arial" w:cs="Arial"/>
          <w:b/>
          <w:color w:val="000000"/>
          <w:sz w:val="22"/>
          <w:szCs w:val="22"/>
          <w:lang w:val="es-CO"/>
        </w:rPr>
      </w:pPr>
    </w:p>
    <w:p w:rsidR="00287A26" w:rsidRPr="00287A26" w:rsidRDefault="00287A26" w:rsidP="00287A26">
      <w:pPr>
        <w:pStyle w:val="Prrafodelista"/>
        <w:numPr>
          <w:ilvl w:val="0"/>
          <w:numId w:val="1"/>
        </w:numPr>
        <w:tabs>
          <w:tab w:val="left" w:pos="3686"/>
        </w:tabs>
        <w:rPr>
          <w:rFonts w:ascii="Arial" w:hAnsi="Arial" w:cs="Arial"/>
          <w:b/>
          <w:color w:val="000000"/>
          <w:sz w:val="22"/>
          <w:szCs w:val="22"/>
          <w:lang w:val="es-CO"/>
        </w:rPr>
      </w:pPr>
      <w:r w:rsidRPr="00287A26">
        <w:rPr>
          <w:rFonts w:ascii="Arial" w:hAnsi="Arial" w:cs="Arial"/>
          <w:b/>
          <w:color w:val="000000"/>
          <w:sz w:val="22"/>
          <w:szCs w:val="22"/>
          <w:lang w:val="es-CO"/>
        </w:rPr>
        <w:t>ANTECEDENTES</w:t>
      </w:r>
    </w:p>
    <w:p w:rsidR="00287A26" w:rsidRPr="00287A26" w:rsidRDefault="00287A26" w:rsidP="00287A26">
      <w:pPr>
        <w:rPr>
          <w:rFonts w:ascii="Arial" w:hAnsi="Arial" w:cs="Arial"/>
          <w:b/>
          <w:color w:val="000000"/>
          <w:sz w:val="22"/>
          <w:szCs w:val="22"/>
          <w:lang w:val="es-CO"/>
        </w:rPr>
      </w:pPr>
    </w:p>
    <w:p w:rsidR="00287A26" w:rsidRPr="00287A26" w:rsidRDefault="00287A26" w:rsidP="00287A26">
      <w:pPr>
        <w:pStyle w:val="Prrafodelista"/>
        <w:numPr>
          <w:ilvl w:val="1"/>
          <w:numId w:val="1"/>
        </w:numPr>
        <w:jc w:val="both"/>
        <w:rPr>
          <w:rFonts w:ascii="Arial" w:hAnsi="Arial" w:cs="Arial"/>
          <w:color w:val="000000"/>
          <w:sz w:val="22"/>
          <w:szCs w:val="22"/>
          <w:lang w:val="es-CO"/>
        </w:rPr>
      </w:pPr>
      <w:r w:rsidRPr="00287A26">
        <w:rPr>
          <w:rFonts w:ascii="Arial" w:hAnsi="Arial" w:cs="Arial"/>
          <w:b/>
          <w:color w:val="000000"/>
          <w:sz w:val="22"/>
          <w:szCs w:val="22"/>
          <w:lang w:val="es-CO"/>
        </w:rPr>
        <w:t>Sobre el recurso:</w:t>
      </w:r>
    </w:p>
    <w:p w:rsidR="00287A26" w:rsidRPr="00287A26" w:rsidRDefault="00287A26" w:rsidP="00287A26">
      <w:pPr>
        <w:jc w:val="both"/>
        <w:rPr>
          <w:rFonts w:ascii="Arial" w:hAnsi="Arial" w:cs="Arial"/>
          <w:color w:val="000000"/>
          <w:sz w:val="22"/>
          <w:szCs w:val="22"/>
          <w:lang w:val="es-CO"/>
        </w:rPr>
      </w:pPr>
    </w:p>
    <w:p w:rsidR="00287A26" w:rsidRPr="00287A26" w:rsidRDefault="00287A26" w:rsidP="00287A26">
      <w:pPr>
        <w:jc w:val="both"/>
        <w:rPr>
          <w:rFonts w:ascii="Arial" w:hAnsi="Arial" w:cs="Arial"/>
          <w:color w:val="000000"/>
          <w:sz w:val="22"/>
          <w:szCs w:val="22"/>
          <w:lang w:val="es-CO"/>
        </w:rPr>
      </w:pPr>
      <w:r w:rsidRPr="00287A26">
        <w:rPr>
          <w:rFonts w:ascii="Arial" w:hAnsi="Arial" w:cs="Arial"/>
          <w:color w:val="000000"/>
          <w:sz w:val="22"/>
          <w:szCs w:val="22"/>
          <w:lang w:val="es-CO"/>
        </w:rPr>
        <w:t>Mediante Acto Administrativo de 31 de octubre de 2018, se decidió la calificación Integral de servicios de Gladys Teresa Herrera Monsalve, en su calidad de Juez Noveno Administrativo del Circuito de Villavicencio, cuyo resultado fue notificado 6 de noviembre de 2018, con un puntaje correspondiente a OCHENTA Y SIETE (87) puntos.</w:t>
      </w:r>
    </w:p>
    <w:p w:rsidR="00287A26" w:rsidRPr="00287A26" w:rsidRDefault="00287A26" w:rsidP="00287A26">
      <w:pPr>
        <w:jc w:val="both"/>
        <w:rPr>
          <w:rFonts w:ascii="Arial" w:hAnsi="Arial" w:cs="Arial"/>
          <w:color w:val="000000"/>
          <w:sz w:val="22"/>
          <w:szCs w:val="22"/>
          <w:lang w:val="es-CO"/>
        </w:rPr>
      </w:pPr>
    </w:p>
    <w:p w:rsidR="00287A26" w:rsidRPr="00287A26" w:rsidRDefault="00287A26" w:rsidP="00287A26">
      <w:pPr>
        <w:jc w:val="both"/>
        <w:rPr>
          <w:rFonts w:ascii="Arial" w:hAnsi="Arial" w:cs="Arial"/>
          <w:color w:val="000000"/>
          <w:sz w:val="22"/>
          <w:szCs w:val="22"/>
          <w:lang w:val="es-CO"/>
        </w:rPr>
      </w:pPr>
      <w:r w:rsidRPr="00287A26">
        <w:rPr>
          <w:rFonts w:ascii="Arial" w:hAnsi="Arial" w:cs="Arial"/>
          <w:color w:val="000000"/>
          <w:sz w:val="22"/>
          <w:szCs w:val="22"/>
          <w:lang w:val="es-CO"/>
        </w:rPr>
        <w:t>Esta decisión fue objeto de recurso de reposición y en subsidio de apelaciòn, por parte de la calificada, el cual fue presentado dentro del término legal establecido, sustentando su inconformidad en lo siguiente:</w:t>
      </w:r>
    </w:p>
    <w:p w:rsidR="00287A26" w:rsidRPr="00287A26" w:rsidRDefault="00287A26" w:rsidP="00287A26">
      <w:pPr>
        <w:jc w:val="both"/>
        <w:rPr>
          <w:rFonts w:ascii="Arial" w:hAnsi="Arial" w:cs="Arial"/>
          <w:color w:val="000000"/>
          <w:sz w:val="22"/>
          <w:szCs w:val="22"/>
          <w:lang w:val="es-CO"/>
        </w:rPr>
      </w:pPr>
    </w:p>
    <w:p w:rsidR="00287A26" w:rsidRPr="00287A26" w:rsidRDefault="00287A26" w:rsidP="00287A26">
      <w:pPr>
        <w:jc w:val="both"/>
        <w:rPr>
          <w:rFonts w:ascii="Arial" w:hAnsi="Arial" w:cs="Arial"/>
          <w:b/>
          <w:color w:val="000000"/>
          <w:sz w:val="22"/>
          <w:szCs w:val="22"/>
          <w:lang w:val="es-CO"/>
        </w:rPr>
      </w:pPr>
    </w:p>
    <w:p w:rsidR="00287A26" w:rsidRPr="00287A26" w:rsidRDefault="00287A26" w:rsidP="00287A26">
      <w:pPr>
        <w:pStyle w:val="Prrafodelista"/>
        <w:numPr>
          <w:ilvl w:val="1"/>
          <w:numId w:val="1"/>
        </w:numPr>
        <w:jc w:val="both"/>
        <w:rPr>
          <w:rFonts w:ascii="Arial" w:hAnsi="Arial" w:cs="Arial"/>
          <w:b/>
          <w:color w:val="000000"/>
          <w:sz w:val="22"/>
          <w:szCs w:val="22"/>
          <w:lang w:val="es-CO"/>
        </w:rPr>
      </w:pPr>
      <w:r w:rsidRPr="00287A26">
        <w:rPr>
          <w:rFonts w:ascii="Arial" w:hAnsi="Arial" w:cs="Arial"/>
          <w:b/>
          <w:color w:val="000000"/>
          <w:sz w:val="22"/>
          <w:szCs w:val="22"/>
          <w:lang w:val="es-CO"/>
        </w:rPr>
        <w:t>Fundamentos del Recurso:</w:t>
      </w: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r w:rsidRPr="00287A26">
        <w:rPr>
          <w:rFonts w:ascii="Arial" w:hAnsi="Arial" w:cs="Arial"/>
          <w:color w:val="000000"/>
          <w:sz w:val="22"/>
          <w:szCs w:val="22"/>
          <w:lang w:val="es-CO"/>
        </w:rPr>
        <w:t xml:space="preserve">Respecto del factor </w:t>
      </w:r>
      <w:r w:rsidRPr="00287A26">
        <w:rPr>
          <w:rFonts w:ascii="Arial" w:hAnsi="Arial" w:cs="Arial"/>
          <w:b/>
          <w:color w:val="000000"/>
          <w:sz w:val="22"/>
          <w:szCs w:val="22"/>
          <w:lang w:val="es-CO"/>
        </w:rPr>
        <w:t>EFICIENCIA O RENDIMIENTO</w:t>
      </w:r>
      <w:r w:rsidRPr="00287A26">
        <w:rPr>
          <w:rFonts w:ascii="Arial" w:hAnsi="Arial" w:cs="Arial"/>
          <w:color w:val="000000"/>
          <w:sz w:val="22"/>
          <w:szCs w:val="22"/>
          <w:lang w:val="es-CO"/>
        </w:rPr>
        <w:t>,</w:t>
      </w:r>
      <w:r w:rsidRPr="00287A26">
        <w:rPr>
          <w:rFonts w:ascii="Arial" w:hAnsi="Arial" w:cs="Arial"/>
          <w:b/>
          <w:color w:val="000000"/>
          <w:sz w:val="22"/>
          <w:szCs w:val="22"/>
          <w:lang w:val="es-CO"/>
        </w:rPr>
        <w:t xml:space="preserve"> </w:t>
      </w:r>
      <w:r w:rsidRPr="00287A26">
        <w:rPr>
          <w:rFonts w:ascii="Arial" w:hAnsi="Arial" w:cs="Arial"/>
          <w:color w:val="000000"/>
          <w:sz w:val="22"/>
          <w:szCs w:val="22"/>
          <w:lang w:val="es-CO"/>
        </w:rPr>
        <w:t>señala su inconformidad con fundamento en la violación del derecho a la igualdad, en lo relativo a la capacidad máxima de respuesta de los Juzgados Administrativos – Sin Secciones, señalada en el artículo 2 del Acuerdo PCSJA16-10635 de 31 de enero de 2018, que no previó la capacidad máxima de respuesta de los Juzgados en el sistema escrito y con modelo de gestión mixto, teniendo cuenta que su Despacho a cargo durante el periodo de calificación, tuvo esta doble condición.</w:t>
      </w: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r w:rsidRPr="00287A26">
        <w:rPr>
          <w:rFonts w:ascii="Arial" w:hAnsi="Arial" w:cs="Arial"/>
          <w:color w:val="000000"/>
          <w:sz w:val="22"/>
          <w:szCs w:val="22"/>
          <w:lang w:val="es-CO"/>
        </w:rPr>
        <w:t>Lo anterior, desconoce lo previsto en el inciso 2 del artículo 87 del Acuerdo PSAA16-10618 de 7 de diciembre de 2016, por lo que en el acto administrativo impugnado para determinar el factor eficiencia o rendimiento, se tuvo en cuenta la capacidad máxima de respuesta establecida para los Juzgados Administrativos – Sin Sección en oralidad, lo que no aviene con la realidad fáctica del Juzgado Noveno Administrativo de Villavicencio, que durante el periodo 2017, tuvo la doble condición, puesto que hasta 2017 fue mixto y a partir de esa fecha, de conformidad con el Acuerdo CSJMEA17-883 de 14 de julio de 2017, pasó a ser exclusivamente del sistema escritural.</w:t>
      </w: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r w:rsidRPr="00287A26">
        <w:rPr>
          <w:rFonts w:ascii="Arial" w:hAnsi="Arial" w:cs="Arial"/>
          <w:color w:val="000000"/>
          <w:sz w:val="22"/>
          <w:szCs w:val="22"/>
          <w:lang w:val="es-CO"/>
        </w:rPr>
        <w:t>Aunado a que los procesos escriturales de conocimiento de ese Despacho Judicial, durante el periodo calificado corresponden a los procesos que venían siendo conocidos por los Juzgados de Descongestión, siendo este el residuo del sistema escritural, lo que implica que desde cuando se cambió al conocimiento exclusivo de estos procesos, nunca se han tenido procesos línea para decisión de fondo.</w:t>
      </w: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r w:rsidRPr="00287A26">
        <w:rPr>
          <w:rFonts w:ascii="Arial" w:hAnsi="Arial" w:cs="Arial"/>
          <w:color w:val="000000"/>
          <w:sz w:val="22"/>
          <w:szCs w:val="22"/>
          <w:lang w:val="es-CO"/>
        </w:rPr>
        <w:t xml:space="preserve">Por lo que la servidora recurrente, solicita que ante la no reglamentación de la capacidad máxima de respuesta para los Juzgados Administrativos – Sin Secciones en sistema escritural, se tenga en cuenta para la determinación de la capacidad máxima de respuesta </w:t>
      </w:r>
      <w:r w:rsidRPr="00287A26">
        <w:rPr>
          <w:rFonts w:ascii="Arial" w:hAnsi="Arial" w:cs="Arial"/>
          <w:color w:val="000000"/>
          <w:sz w:val="22"/>
          <w:szCs w:val="22"/>
          <w:lang w:val="es-CO"/>
        </w:rPr>
        <w:lastRenderedPageBreak/>
        <w:t>y dadas las especiales condiciones de los procesos para decidir, se aplique la prevista para los Juzgados Administrativos de Sección Primera, dadas las similitudes en el tipo de procesos que se conoce, esto es, procesos residuales en relación con los tramitados por los demás Despachos.</w:t>
      </w: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r w:rsidRPr="00287A26">
        <w:rPr>
          <w:rFonts w:ascii="Arial" w:hAnsi="Arial" w:cs="Arial"/>
          <w:color w:val="000000"/>
          <w:sz w:val="22"/>
          <w:szCs w:val="22"/>
          <w:lang w:val="es-CO"/>
        </w:rPr>
        <w:t>Esta solicitud la eleva, atendiendo a que los Juzgados de Sección Primera de Bogotá, conocen los asuntos residuales, es decir, de aquellos cuya competencia no le fue asignada a los demás Juzgados Administrativos y tal como fue concebido en el Acuerdo PSAA06-3345 de 2006, cuya estructura fue reglamentada por el Decreto 2288 de 1989.</w:t>
      </w: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p>
    <w:p w:rsidR="00287A26" w:rsidRPr="00287A26" w:rsidRDefault="00287A26" w:rsidP="00287A26">
      <w:pPr>
        <w:pStyle w:val="Prrafodelista"/>
        <w:tabs>
          <w:tab w:val="left" w:pos="284"/>
        </w:tabs>
        <w:ind w:left="0"/>
        <w:jc w:val="both"/>
        <w:rPr>
          <w:rFonts w:ascii="Arial" w:hAnsi="Arial" w:cs="Arial"/>
          <w:color w:val="000000"/>
          <w:sz w:val="22"/>
          <w:szCs w:val="22"/>
          <w:lang w:val="es-CO"/>
        </w:rPr>
      </w:pPr>
      <w:r w:rsidRPr="00287A26">
        <w:rPr>
          <w:rFonts w:ascii="Arial" w:hAnsi="Arial" w:cs="Arial"/>
          <w:color w:val="000000"/>
          <w:sz w:val="22"/>
          <w:szCs w:val="22"/>
          <w:lang w:val="es-CO"/>
        </w:rPr>
        <w:t>Y concluye el sustento de su recurso, solicitando que se modifique la calificación otorgada al Factor Eficiencia, aplicando el principio de igualdad, traducido en la inaplicación de la capacidad máxima de respuesta reglada para los Juzgados Administrativos – Sin secciones del sistema oral (855) y en su defecto se aplique aquella prevista para los Juzgados Administrativos de Sección Primera (286), en razón a que los procesos conocidos en el periodo calificado fueron residuales, en la medida que no se tuvo conocimiento de procesos en línea, por tratarse de aquellos asuntos escriturales complejos que quedaron de los programas de descongestión, luego de la entrada en vigencia del sistema oral.</w:t>
      </w:r>
    </w:p>
    <w:p w:rsidR="00287A26" w:rsidRPr="00287A26" w:rsidRDefault="00287A26" w:rsidP="00287A26">
      <w:pPr>
        <w:pStyle w:val="Prrafodelista"/>
        <w:tabs>
          <w:tab w:val="left" w:pos="2010"/>
        </w:tabs>
        <w:rPr>
          <w:rFonts w:ascii="Arial" w:hAnsi="Arial" w:cs="Arial"/>
          <w:color w:val="000000"/>
          <w:sz w:val="22"/>
          <w:szCs w:val="22"/>
          <w:lang w:val="es-CO"/>
        </w:rPr>
      </w:pPr>
    </w:p>
    <w:p w:rsidR="00287A26" w:rsidRPr="00287A26" w:rsidRDefault="00287A26" w:rsidP="00287A26">
      <w:pPr>
        <w:pStyle w:val="Prrafodelista"/>
        <w:tabs>
          <w:tab w:val="left" w:pos="2010"/>
        </w:tabs>
        <w:rPr>
          <w:rFonts w:ascii="Arial" w:hAnsi="Arial" w:cs="Arial"/>
          <w:color w:val="000000"/>
          <w:sz w:val="22"/>
          <w:szCs w:val="22"/>
          <w:lang w:val="es-CO"/>
        </w:rPr>
      </w:pPr>
    </w:p>
    <w:p w:rsidR="00287A26" w:rsidRPr="00287A26" w:rsidRDefault="00287A26" w:rsidP="00287A26">
      <w:pPr>
        <w:pStyle w:val="Prrafodelista"/>
        <w:tabs>
          <w:tab w:val="left" w:pos="2010"/>
        </w:tabs>
        <w:rPr>
          <w:rFonts w:ascii="Arial" w:hAnsi="Arial" w:cs="Arial"/>
          <w:b/>
          <w:color w:val="000000"/>
          <w:sz w:val="20"/>
          <w:szCs w:val="20"/>
          <w:lang w:val="es-CO"/>
        </w:rPr>
      </w:pPr>
      <w:r w:rsidRPr="00287A26">
        <w:rPr>
          <w:rFonts w:ascii="Arial" w:hAnsi="Arial" w:cs="Arial"/>
          <w:b/>
          <w:color w:val="000000"/>
          <w:sz w:val="20"/>
          <w:szCs w:val="20"/>
          <w:lang w:val="es-CO"/>
        </w:rPr>
        <w:t>EN ORDEN A RESOLVER SE CONSIDERA</w:t>
      </w:r>
    </w:p>
    <w:p w:rsidR="00287A26" w:rsidRPr="00287A26" w:rsidRDefault="00287A26" w:rsidP="00287A26">
      <w:pPr>
        <w:pStyle w:val="Prrafodelista"/>
        <w:tabs>
          <w:tab w:val="left" w:pos="284"/>
        </w:tabs>
        <w:ind w:left="1080"/>
        <w:rPr>
          <w:rFonts w:ascii="Arial" w:hAnsi="Arial" w:cs="Arial"/>
          <w:b/>
          <w:color w:val="000000"/>
          <w:sz w:val="20"/>
          <w:szCs w:val="20"/>
          <w:lang w:val="es-CO"/>
        </w:rPr>
      </w:pPr>
    </w:p>
    <w:p w:rsidR="00287A26" w:rsidRPr="00287A26" w:rsidRDefault="00287A26" w:rsidP="00287A26">
      <w:pPr>
        <w:tabs>
          <w:tab w:val="left" w:pos="284"/>
        </w:tabs>
        <w:jc w:val="both"/>
        <w:rPr>
          <w:rFonts w:ascii="Arial" w:hAnsi="Arial" w:cs="Arial"/>
          <w:color w:val="000000"/>
          <w:sz w:val="20"/>
          <w:szCs w:val="20"/>
          <w:lang w:val="es-CO"/>
        </w:rPr>
      </w:pPr>
    </w:p>
    <w:p w:rsidR="00287A26" w:rsidRPr="00287A26" w:rsidRDefault="00287A26" w:rsidP="00287A26">
      <w:pPr>
        <w:pStyle w:val="Default"/>
        <w:numPr>
          <w:ilvl w:val="1"/>
          <w:numId w:val="1"/>
        </w:numPr>
        <w:rPr>
          <w:b/>
          <w:bCs/>
          <w:sz w:val="22"/>
          <w:szCs w:val="22"/>
        </w:rPr>
      </w:pPr>
      <w:r w:rsidRPr="00287A26">
        <w:rPr>
          <w:b/>
          <w:bCs/>
          <w:sz w:val="22"/>
          <w:szCs w:val="22"/>
        </w:rPr>
        <w:t xml:space="preserve">Marco Normativo </w:t>
      </w:r>
    </w:p>
    <w:p w:rsidR="00287A26" w:rsidRPr="00287A26" w:rsidRDefault="00287A26" w:rsidP="00287A26">
      <w:pPr>
        <w:pStyle w:val="Default"/>
        <w:jc w:val="both"/>
        <w:rPr>
          <w:sz w:val="16"/>
          <w:szCs w:val="16"/>
        </w:rPr>
      </w:pPr>
    </w:p>
    <w:p w:rsidR="00287A26" w:rsidRPr="00287A26" w:rsidRDefault="00287A26" w:rsidP="00287A26">
      <w:pPr>
        <w:pStyle w:val="Default"/>
        <w:jc w:val="both"/>
        <w:rPr>
          <w:sz w:val="16"/>
          <w:szCs w:val="16"/>
        </w:rPr>
      </w:pPr>
    </w:p>
    <w:p w:rsidR="00287A26" w:rsidRPr="00287A26" w:rsidRDefault="00287A26" w:rsidP="00287A26">
      <w:pPr>
        <w:pStyle w:val="Default"/>
        <w:jc w:val="both"/>
        <w:rPr>
          <w:sz w:val="22"/>
          <w:szCs w:val="22"/>
        </w:rPr>
      </w:pPr>
      <w:r w:rsidRPr="00287A26">
        <w:rPr>
          <w:sz w:val="22"/>
          <w:szCs w:val="22"/>
        </w:rPr>
        <w:t xml:space="preserve">La Ley 270 de 1996 en su artículo 170 establece que la evaluación de servicios de los servidores judiciales debe hacerse de conformidad con el reglamento que expida el Consejo Superior de la Judicatura, deberá ser motivada y resultante de un control permanente del desempeño del funcionario o empleado, dicha calificación comprenderá los Factores Calidad, Eficiencia o Rendimiento, Organización del Trabajo y Publicaciones. </w:t>
      </w:r>
    </w:p>
    <w:p w:rsidR="00287A26" w:rsidRPr="00287A26" w:rsidRDefault="00287A26" w:rsidP="00287A26">
      <w:pPr>
        <w:jc w:val="both"/>
        <w:rPr>
          <w:rFonts w:ascii="Arial" w:hAnsi="Arial" w:cs="Arial"/>
          <w:color w:val="000000"/>
          <w:sz w:val="22"/>
          <w:szCs w:val="22"/>
        </w:rPr>
      </w:pPr>
    </w:p>
    <w:p w:rsidR="00287A26" w:rsidRPr="00287A26" w:rsidRDefault="00287A26" w:rsidP="00287A26">
      <w:pPr>
        <w:jc w:val="both"/>
        <w:rPr>
          <w:rFonts w:ascii="Arial" w:hAnsi="Arial" w:cs="Arial"/>
          <w:color w:val="000000"/>
          <w:sz w:val="22"/>
          <w:szCs w:val="22"/>
        </w:rPr>
      </w:pPr>
    </w:p>
    <w:p w:rsidR="00287A26" w:rsidRPr="00287A26" w:rsidRDefault="00287A26" w:rsidP="00287A26">
      <w:pPr>
        <w:jc w:val="both"/>
        <w:rPr>
          <w:rFonts w:ascii="Arial" w:hAnsi="Arial" w:cs="Arial"/>
          <w:color w:val="000000"/>
          <w:sz w:val="22"/>
          <w:szCs w:val="22"/>
        </w:rPr>
      </w:pPr>
      <w:r w:rsidRPr="00287A26">
        <w:rPr>
          <w:rFonts w:ascii="Arial" w:hAnsi="Arial" w:cs="Arial"/>
          <w:bCs/>
          <w:color w:val="000000"/>
          <w:sz w:val="22"/>
          <w:szCs w:val="22"/>
        </w:rPr>
        <w:t>El Conse</w:t>
      </w:r>
      <w:r w:rsidRPr="00287A26">
        <w:rPr>
          <w:rFonts w:ascii="Arial" w:hAnsi="Arial" w:cs="Arial"/>
          <w:color w:val="000000"/>
          <w:sz w:val="22"/>
          <w:szCs w:val="22"/>
        </w:rPr>
        <w:t xml:space="preserve">jo Superior de la Judicatura mediante </w:t>
      </w:r>
      <w:r w:rsidRPr="00287A26">
        <w:rPr>
          <w:rFonts w:ascii="Arial" w:hAnsi="Arial" w:cs="Arial"/>
          <w:bCs/>
          <w:color w:val="000000"/>
          <w:sz w:val="22"/>
          <w:szCs w:val="22"/>
        </w:rPr>
        <w:t>Acuerdo PSAA16-10618 de 7 de diciembre de 2016</w:t>
      </w:r>
      <w:r w:rsidRPr="00287A26">
        <w:rPr>
          <w:rFonts w:ascii="Arial" w:hAnsi="Arial" w:cs="Arial"/>
          <w:b/>
          <w:bCs/>
          <w:color w:val="000000"/>
          <w:sz w:val="22"/>
          <w:szCs w:val="22"/>
        </w:rPr>
        <w:t xml:space="preserve">, </w:t>
      </w:r>
      <w:r w:rsidRPr="00287A26">
        <w:rPr>
          <w:rFonts w:ascii="Arial" w:hAnsi="Arial" w:cs="Arial"/>
          <w:color w:val="000000"/>
          <w:sz w:val="22"/>
          <w:szCs w:val="22"/>
        </w:rPr>
        <w:t xml:space="preserve">reglamentó la Calificación Integral de Servicios de los funcionarios y empleados de la Rama Judicial, fijando parámetros y directrices generales con el objetivo de verificar que los servidores mantengan en el desempeño de sus funciones, los niveles de idoneidad, calidad y eficiencia que justifiquen la permanencia en el cargo, cuya aplicabilidad se establece para calificar el periodo del año 2017, para lo cual en el artículo 22 del Acuerdo en mención, se observan los puntajes máximos para cada factor, así: Calidad: hasta 42 puntos; Eficiencia o rendimiento: hasta 45 puntos; Organización del trabajo: hasta 12 puntos; Publicaciones: hasta 1 puntos. </w:t>
      </w:r>
    </w:p>
    <w:p w:rsidR="00287A26" w:rsidRPr="00287A26" w:rsidRDefault="00287A26" w:rsidP="00287A26">
      <w:pPr>
        <w:pStyle w:val="Default"/>
        <w:ind w:left="2124"/>
        <w:jc w:val="both"/>
        <w:rPr>
          <w:sz w:val="22"/>
          <w:szCs w:val="22"/>
        </w:rPr>
      </w:pPr>
    </w:p>
    <w:p w:rsidR="00287A26" w:rsidRPr="00287A26" w:rsidRDefault="00287A26" w:rsidP="00287A26">
      <w:pPr>
        <w:pStyle w:val="Default"/>
        <w:jc w:val="both"/>
        <w:rPr>
          <w:sz w:val="22"/>
          <w:szCs w:val="22"/>
        </w:rPr>
      </w:pPr>
      <w:r w:rsidRPr="00287A26">
        <w:rPr>
          <w:sz w:val="22"/>
          <w:szCs w:val="22"/>
        </w:rPr>
        <w:t xml:space="preserve">El Acuerdo </w:t>
      </w:r>
      <w:r w:rsidRPr="00287A26">
        <w:rPr>
          <w:bCs/>
          <w:sz w:val="22"/>
          <w:szCs w:val="22"/>
        </w:rPr>
        <w:t xml:space="preserve">PSAA16-10618 </w:t>
      </w:r>
      <w:r w:rsidRPr="00287A26">
        <w:rPr>
          <w:sz w:val="22"/>
          <w:szCs w:val="22"/>
        </w:rPr>
        <w:t>en su artículo 27 contempla la procedencia de los recursos en sede administrativa contra la calificación integral de servicios, conforme lo previsto en el Código de Procedimiento Administrativo y de lo Contencioso Administrativo.</w:t>
      </w:r>
    </w:p>
    <w:p w:rsidR="00287A26" w:rsidRPr="00287A26" w:rsidRDefault="00287A26" w:rsidP="00287A26">
      <w:pPr>
        <w:ind w:left="708" w:right="760"/>
        <w:jc w:val="both"/>
        <w:rPr>
          <w:rFonts w:ascii="Arial" w:hAnsi="Arial" w:cs="Arial"/>
          <w:bCs/>
          <w:iCs/>
          <w:color w:val="000000"/>
          <w:sz w:val="2"/>
          <w:szCs w:val="2"/>
        </w:rPr>
      </w:pPr>
    </w:p>
    <w:p w:rsidR="00287A26" w:rsidRPr="00287A26" w:rsidRDefault="00287A26" w:rsidP="00287A26">
      <w:pPr>
        <w:ind w:left="708" w:right="760"/>
        <w:jc w:val="both"/>
        <w:rPr>
          <w:rFonts w:ascii="Arial" w:hAnsi="Arial" w:cs="Arial"/>
          <w:bCs/>
          <w:iCs/>
          <w:color w:val="000000"/>
          <w:sz w:val="2"/>
          <w:szCs w:val="2"/>
        </w:rPr>
      </w:pPr>
    </w:p>
    <w:p w:rsidR="00287A26" w:rsidRPr="00287A26" w:rsidRDefault="00287A26" w:rsidP="00287A26">
      <w:pPr>
        <w:ind w:left="708" w:right="760"/>
        <w:jc w:val="both"/>
        <w:rPr>
          <w:rFonts w:ascii="Arial" w:hAnsi="Arial" w:cs="Arial"/>
          <w:bCs/>
          <w:iCs/>
          <w:color w:val="000000"/>
          <w:sz w:val="2"/>
          <w:szCs w:val="2"/>
        </w:rPr>
      </w:pPr>
    </w:p>
    <w:p w:rsidR="00287A26" w:rsidRPr="00287A26" w:rsidRDefault="00287A26" w:rsidP="00287A26">
      <w:pPr>
        <w:ind w:left="708" w:right="760"/>
        <w:jc w:val="both"/>
        <w:rPr>
          <w:rFonts w:ascii="Arial" w:hAnsi="Arial" w:cs="Arial"/>
          <w:bCs/>
          <w:iCs/>
          <w:color w:val="000000"/>
          <w:sz w:val="2"/>
          <w:szCs w:val="2"/>
        </w:rPr>
      </w:pPr>
    </w:p>
    <w:p w:rsidR="00287A26" w:rsidRPr="00287A26" w:rsidRDefault="00287A26" w:rsidP="00287A26">
      <w:pPr>
        <w:rPr>
          <w:rFonts w:ascii="Arial" w:hAnsi="Arial" w:cs="Arial"/>
          <w:color w:val="000000"/>
          <w:sz w:val="16"/>
          <w:szCs w:val="16"/>
          <w:lang w:val="es-CO"/>
        </w:rPr>
      </w:pPr>
    </w:p>
    <w:p w:rsidR="00287A26" w:rsidRPr="00287A26" w:rsidRDefault="00287A26" w:rsidP="00287A26">
      <w:pPr>
        <w:rPr>
          <w:rFonts w:ascii="Arial" w:hAnsi="Arial" w:cs="Arial"/>
          <w:color w:val="000000"/>
          <w:sz w:val="16"/>
          <w:szCs w:val="16"/>
          <w:lang w:val="es-CO"/>
        </w:rPr>
      </w:pPr>
    </w:p>
    <w:p w:rsidR="00287A26" w:rsidRPr="00287A26" w:rsidRDefault="00287A26" w:rsidP="00287A26">
      <w:pPr>
        <w:pStyle w:val="Prrafodelista"/>
        <w:keepNext/>
        <w:numPr>
          <w:ilvl w:val="1"/>
          <w:numId w:val="1"/>
        </w:numPr>
        <w:tabs>
          <w:tab w:val="left" w:pos="851"/>
        </w:tabs>
        <w:spacing w:line="240" w:lineRule="exact"/>
        <w:ind w:left="0" w:firstLine="0"/>
        <w:jc w:val="both"/>
        <w:outlineLvl w:val="2"/>
        <w:rPr>
          <w:rFonts w:ascii="Arial" w:hAnsi="Arial" w:cs="Arial"/>
          <w:b/>
          <w:color w:val="000000"/>
          <w:sz w:val="22"/>
          <w:szCs w:val="22"/>
          <w:lang w:val="es-CO"/>
        </w:rPr>
      </w:pPr>
      <w:r w:rsidRPr="00287A26">
        <w:rPr>
          <w:rFonts w:ascii="Arial" w:hAnsi="Arial" w:cs="Arial"/>
          <w:b/>
          <w:color w:val="000000"/>
          <w:sz w:val="22"/>
          <w:szCs w:val="22"/>
          <w:lang w:val="es-CO"/>
        </w:rPr>
        <w:t>Competencia:</w:t>
      </w:r>
    </w:p>
    <w:p w:rsidR="00287A26" w:rsidRPr="00287A26" w:rsidRDefault="00287A26" w:rsidP="00287A26">
      <w:pPr>
        <w:keepNext/>
        <w:spacing w:line="240" w:lineRule="exact"/>
        <w:jc w:val="both"/>
        <w:outlineLvl w:val="2"/>
        <w:rPr>
          <w:rFonts w:ascii="Arial" w:hAnsi="Arial" w:cs="Arial"/>
          <w:b/>
          <w:color w:val="000000"/>
          <w:sz w:val="22"/>
          <w:szCs w:val="22"/>
          <w:lang w:val="es-CO"/>
        </w:rPr>
      </w:pPr>
    </w:p>
    <w:p w:rsidR="00287A26" w:rsidRPr="00287A26" w:rsidRDefault="00287A26" w:rsidP="00287A26">
      <w:pPr>
        <w:keepNext/>
        <w:spacing w:line="240" w:lineRule="exact"/>
        <w:jc w:val="both"/>
        <w:outlineLvl w:val="2"/>
        <w:rPr>
          <w:rFonts w:ascii="Arial" w:hAnsi="Arial" w:cs="Arial"/>
          <w:color w:val="000000"/>
          <w:sz w:val="22"/>
          <w:szCs w:val="22"/>
          <w:lang w:val="es-CO"/>
        </w:rPr>
      </w:pPr>
      <w:r w:rsidRPr="00287A26">
        <w:rPr>
          <w:rFonts w:ascii="Arial" w:hAnsi="Arial" w:cs="Arial"/>
          <w:color w:val="000000"/>
          <w:sz w:val="22"/>
          <w:szCs w:val="22"/>
          <w:lang w:val="es-CO"/>
        </w:rPr>
        <w:t xml:space="preserve">Este Consejo Seccional es competente para resolver el recurso de reposición, interpuesto por Gladys Teresa Herrera Monsalve, en su calidad de Juez Noveno Administrativo del Circuito de Villavicencio, por haber consolidado la respectiva calificación de servicios del periodo 2017 de conformidad con el Acuerdo PSAA16-10618 de 2016, expedido por el Consejo Superior de la Judicatura. </w:t>
      </w:r>
    </w:p>
    <w:p w:rsidR="00287A26" w:rsidRPr="00287A26" w:rsidRDefault="00287A26" w:rsidP="00287A26">
      <w:pPr>
        <w:keepNext/>
        <w:spacing w:line="240" w:lineRule="exact"/>
        <w:jc w:val="both"/>
        <w:outlineLvl w:val="2"/>
        <w:rPr>
          <w:rFonts w:ascii="Arial" w:hAnsi="Arial" w:cs="Arial"/>
          <w:color w:val="000000"/>
          <w:sz w:val="22"/>
          <w:szCs w:val="22"/>
          <w:lang w:val="es-CO"/>
        </w:rPr>
      </w:pPr>
    </w:p>
    <w:p w:rsidR="00287A26" w:rsidRPr="00287A26" w:rsidRDefault="00287A26" w:rsidP="00287A26">
      <w:pPr>
        <w:keepNext/>
        <w:spacing w:line="240" w:lineRule="exact"/>
        <w:jc w:val="both"/>
        <w:outlineLvl w:val="2"/>
        <w:rPr>
          <w:rFonts w:ascii="Arial" w:hAnsi="Arial" w:cs="Arial"/>
          <w:color w:val="000000"/>
          <w:sz w:val="22"/>
          <w:szCs w:val="22"/>
          <w:lang w:val="es-CO"/>
        </w:rPr>
      </w:pPr>
    </w:p>
    <w:p w:rsidR="00287A26" w:rsidRPr="00287A26" w:rsidRDefault="00287A26" w:rsidP="00287A26">
      <w:pPr>
        <w:pStyle w:val="Prrafodelista"/>
        <w:keepNext/>
        <w:numPr>
          <w:ilvl w:val="1"/>
          <w:numId w:val="1"/>
        </w:numPr>
        <w:spacing w:line="240" w:lineRule="exact"/>
        <w:ind w:left="0" w:firstLine="0"/>
        <w:jc w:val="both"/>
        <w:outlineLvl w:val="2"/>
        <w:rPr>
          <w:rFonts w:ascii="Arial" w:hAnsi="Arial" w:cs="Arial"/>
          <w:b/>
          <w:color w:val="000000"/>
          <w:sz w:val="22"/>
          <w:szCs w:val="22"/>
          <w:lang w:val="es-CO"/>
        </w:rPr>
      </w:pPr>
      <w:r w:rsidRPr="00287A26">
        <w:rPr>
          <w:rFonts w:ascii="Arial" w:hAnsi="Arial" w:cs="Arial"/>
          <w:b/>
          <w:color w:val="000000"/>
          <w:sz w:val="22"/>
          <w:szCs w:val="22"/>
          <w:lang w:val="es-CO"/>
        </w:rPr>
        <w:t>Oportunidad procesal:</w:t>
      </w:r>
    </w:p>
    <w:p w:rsidR="00287A26" w:rsidRPr="00287A26" w:rsidRDefault="00287A26" w:rsidP="00287A26">
      <w:pPr>
        <w:keepNext/>
        <w:spacing w:line="240" w:lineRule="exact"/>
        <w:jc w:val="both"/>
        <w:outlineLvl w:val="2"/>
        <w:rPr>
          <w:rFonts w:ascii="Arial" w:hAnsi="Arial" w:cs="Arial"/>
          <w:b/>
          <w:color w:val="000000"/>
          <w:sz w:val="22"/>
          <w:szCs w:val="22"/>
          <w:lang w:val="es-CO"/>
        </w:rPr>
      </w:pPr>
    </w:p>
    <w:p w:rsidR="00287A26" w:rsidRPr="00287A26" w:rsidRDefault="00287A26" w:rsidP="00287A26">
      <w:pPr>
        <w:pStyle w:val="Default"/>
        <w:jc w:val="both"/>
        <w:rPr>
          <w:sz w:val="22"/>
          <w:szCs w:val="22"/>
        </w:rPr>
      </w:pPr>
      <w:r w:rsidRPr="00287A26">
        <w:rPr>
          <w:sz w:val="22"/>
          <w:szCs w:val="22"/>
        </w:rPr>
        <w:t>El recurso de reposición fue presentado oportunamente, según lo establece el artículo 76</w:t>
      </w:r>
      <w:r w:rsidRPr="00287A26">
        <w:t xml:space="preserve"> </w:t>
      </w:r>
      <w:r w:rsidRPr="00287A26">
        <w:rPr>
          <w:sz w:val="22"/>
          <w:szCs w:val="22"/>
        </w:rPr>
        <w:t xml:space="preserve">de la Ley 1437 de 2011, dispone: "(...) Los recursos de reposición y apelación deberán interponerse por escrito en la diligencia de notificación personal, o dentro de los diez (10) días siguientes a ella, o a la notificación por aviso, o al vencimiento del termino de </w:t>
      </w:r>
      <w:r w:rsidRPr="00287A26">
        <w:rPr>
          <w:sz w:val="22"/>
          <w:szCs w:val="22"/>
        </w:rPr>
        <w:lastRenderedPageBreak/>
        <w:t>publicación, según el caso (…)", motivo por el cual este Consejo Seccional procede a resolverlo dentro del término señalado en el artículo 79 del Código de Procedimiento Administrativo y de lo Contencioso Administrativo.</w:t>
      </w:r>
    </w:p>
    <w:p w:rsidR="00287A26" w:rsidRPr="00287A26" w:rsidRDefault="00287A26" w:rsidP="00287A26">
      <w:pPr>
        <w:pStyle w:val="Default"/>
        <w:jc w:val="both"/>
        <w:rPr>
          <w:sz w:val="22"/>
          <w:szCs w:val="22"/>
        </w:rPr>
      </w:pPr>
    </w:p>
    <w:p w:rsidR="00287A26" w:rsidRPr="00287A26" w:rsidRDefault="00287A26" w:rsidP="00287A26">
      <w:pPr>
        <w:keepNext/>
        <w:spacing w:line="240" w:lineRule="exact"/>
        <w:jc w:val="both"/>
        <w:outlineLvl w:val="2"/>
        <w:rPr>
          <w:rFonts w:ascii="Arial" w:hAnsi="Arial" w:cs="Arial"/>
          <w:color w:val="000000"/>
          <w:sz w:val="22"/>
          <w:szCs w:val="22"/>
          <w:lang w:val="es-CO"/>
        </w:rPr>
      </w:pPr>
    </w:p>
    <w:p w:rsidR="00287A26" w:rsidRPr="00287A26" w:rsidRDefault="00287A26" w:rsidP="00287A26">
      <w:pPr>
        <w:pStyle w:val="Prrafodelista"/>
        <w:keepNext/>
        <w:numPr>
          <w:ilvl w:val="0"/>
          <w:numId w:val="1"/>
        </w:numPr>
        <w:tabs>
          <w:tab w:val="left" w:pos="567"/>
        </w:tabs>
        <w:spacing w:line="240" w:lineRule="exact"/>
        <w:jc w:val="center"/>
        <w:outlineLvl w:val="2"/>
        <w:rPr>
          <w:rFonts w:ascii="Arial" w:hAnsi="Arial" w:cs="Arial"/>
          <w:b/>
          <w:color w:val="000000"/>
          <w:sz w:val="22"/>
          <w:szCs w:val="22"/>
          <w:lang w:val="es-CO"/>
        </w:rPr>
      </w:pPr>
      <w:r w:rsidRPr="00287A26">
        <w:rPr>
          <w:rFonts w:ascii="Arial" w:hAnsi="Arial" w:cs="Arial"/>
          <w:b/>
          <w:color w:val="000000"/>
          <w:sz w:val="22"/>
          <w:szCs w:val="22"/>
          <w:lang w:val="es-CO"/>
        </w:rPr>
        <w:t>CONSIDERACIONES DEL CASO ESPECÍFICO</w:t>
      </w:r>
    </w:p>
    <w:p w:rsidR="00287A26" w:rsidRPr="00287A26" w:rsidRDefault="00287A26" w:rsidP="00287A26">
      <w:pPr>
        <w:keepNext/>
        <w:spacing w:line="240" w:lineRule="exact"/>
        <w:jc w:val="both"/>
        <w:outlineLvl w:val="2"/>
        <w:rPr>
          <w:rFonts w:ascii="Arial" w:hAnsi="Arial" w:cs="Arial"/>
          <w:color w:val="000000"/>
          <w:sz w:val="22"/>
          <w:szCs w:val="22"/>
          <w:lang w:val="es-CO"/>
        </w:rPr>
      </w:pPr>
    </w:p>
    <w:p w:rsidR="00287A26" w:rsidRPr="00287A26" w:rsidRDefault="00287A26" w:rsidP="00287A26">
      <w:pPr>
        <w:keepNext/>
        <w:spacing w:line="240" w:lineRule="exact"/>
        <w:jc w:val="both"/>
        <w:outlineLvl w:val="2"/>
        <w:rPr>
          <w:rFonts w:ascii="Arial" w:hAnsi="Arial" w:cs="Arial"/>
          <w:color w:val="000000"/>
          <w:sz w:val="22"/>
          <w:szCs w:val="22"/>
          <w:lang w:val="es-CO"/>
        </w:rPr>
      </w:pPr>
      <w:r w:rsidRPr="00287A26">
        <w:rPr>
          <w:rFonts w:ascii="Arial" w:hAnsi="Arial" w:cs="Arial"/>
          <w:color w:val="000000"/>
          <w:sz w:val="22"/>
          <w:szCs w:val="22"/>
        </w:rPr>
        <w:t xml:space="preserve">Con el fin de resolver el recurso de reposición interpuesto por </w:t>
      </w:r>
      <w:r w:rsidRPr="00287A26">
        <w:rPr>
          <w:rFonts w:ascii="Arial" w:hAnsi="Arial" w:cs="Arial"/>
          <w:color w:val="000000"/>
          <w:sz w:val="22"/>
          <w:szCs w:val="22"/>
          <w:lang w:val="es-CO"/>
        </w:rPr>
        <w:t>Gladys Teresa Herrera Monsalve, en su calidad de Juez Noveno Administrativo del Circuito de Villavicencio</w:t>
      </w:r>
      <w:r w:rsidRPr="00287A26">
        <w:rPr>
          <w:rFonts w:ascii="Arial" w:hAnsi="Arial" w:cs="Arial"/>
          <w:color w:val="000000"/>
          <w:sz w:val="22"/>
          <w:szCs w:val="22"/>
        </w:rPr>
        <w:t>, se tendrá en cuenta que el componente de Eficiencia o Rendimiento, será resuelto por este Consejo Seccional, en virtud de lo contemplado en el Acuerdo</w:t>
      </w:r>
      <w:r w:rsidRPr="00287A26">
        <w:rPr>
          <w:rFonts w:ascii="Arial" w:hAnsi="Arial" w:cs="Arial"/>
          <w:color w:val="000000"/>
          <w:sz w:val="22"/>
          <w:szCs w:val="22"/>
          <w:lang w:val="es-CO"/>
        </w:rPr>
        <w:t xml:space="preserve"> PSAA16-10618 de 2016.</w:t>
      </w:r>
    </w:p>
    <w:p w:rsidR="00287A26" w:rsidRPr="00287A26" w:rsidRDefault="00287A26" w:rsidP="00287A26">
      <w:pPr>
        <w:keepNext/>
        <w:spacing w:line="240" w:lineRule="exact"/>
        <w:jc w:val="both"/>
        <w:outlineLvl w:val="2"/>
        <w:rPr>
          <w:rFonts w:ascii="Arial" w:hAnsi="Arial" w:cs="Arial"/>
          <w:color w:val="000000"/>
          <w:sz w:val="22"/>
          <w:szCs w:val="22"/>
          <w:lang w:val="es-CO"/>
        </w:rPr>
      </w:pPr>
    </w:p>
    <w:p w:rsidR="00287A26" w:rsidRPr="00287A26" w:rsidRDefault="00287A26" w:rsidP="00287A26">
      <w:pPr>
        <w:jc w:val="both"/>
        <w:rPr>
          <w:rFonts w:ascii="Arial" w:hAnsi="Arial" w:cs="Arial"/>
          <w:color w:val="000000"/>
          <w:sz w:val="22"/>
          <w:szCs w:val="22"/>
          <w:lang w:val="es-CO"/>
        </w:rPr>
      </w:pPr>
    </w:p>
    <w:p w:rsidR="00287A26" w:rsidRPr="00287A26" w:rsidRDefault="00287A26" w:rsidP="00287A26">
      <w:pPr>
        <w:pStyle w:val="Prrafodelista"/>
        <w:numPr>
          <w:ilvl w:val="1"/>
          <w:numId w:val="2"/>
        </w:numPr>
        <w:tabs>
          <w:tab w:val="left" w:pos="993"/>
        </w:tabs>
        <w:jc w:val="both"/>
        <w:rPr>
          <w:rFonts w:ascii="Arial" w:hAnsi="Arial" w:cs="Arial"/>
          <w:b/>
          <w:color w:val="000000"/>
          <w:sz w:val="22"/>
          <w:szCs w:val="22"/>
          <w:lang w:val="es-CO"/>
        </w:rPr>
      </w:pPr>
      <w:r w:rsidRPr="00287A26">
        <w:rPr>
          <w:rFonts w:ascii="Arial" w:hAnsi="Arial" w:cs="Arial"/>
          <w:b/>
          <w:color w:val="000000"/>
          <w:sz w:val="22"/>
          <w:szCs w:val="22"/>
          <w:lang w:val="es-CO"/>
        </w:rPr>
        <w:t>Factor Eficiencia o Rendimiento:</w:t>
      </w:r>
    </w:p>
    <w:p w:rsidR="00287A26" w:rsidRPr="00287A26" w:rsidRDefault="00287A26" w:rsidP="00287A26">
      <w:pPr>
        <w:jc w:val="both"/>
        <w:rPr>
          <w:rFonts w:ascii="Arial" w:hAnsi="Arial" w:cs="Arial"/>
          <w:color w:val="000000"/>
          <w:sz w:val="22"/>
          <w:szCs w:val="22"/>
          <w:lang w:val="es-CO"/>
        </w:rPr>
      </w:pPr>
    </w:p>
    <w:p w:rsidR="00287A26" w:rsidRPr="00287A26" w:rsidRDefault="00287A26" w:rsidP="00287A26">
      <w:pPr>
        <w:jc w:val="both"/>
        <w:rPr>
          <w:rFonts w:ascii="Arial" w:hAnsi="Arial" w:cs="Arial"/>
          <w:color w:val="000000"/>
          <w:sz w:val="22"/>
          <w:lang w:val="es-CO"/>
        </w:rPr>
      </w:pPr>
      <w:r w:rsidRPr="00287A26">
        <w:rPr>
          <w:rFonts w:ascii="Arial" w:hAnsi="Arial" w:cs="Arial"/>
          <w:color w:val="000000"/>
          <w:sz w:val="22"/>
          <w:lang w:val="es-CO"/>
        </w:rPr>
        <w:t>Esta Corporación considera que, a menos que el ordenamiento jurídico lo permita, desde el punto de vista del administrado, el recurso es un medio de defensa que obliga a la Administración a revisar los fundamentos fácticos y de Derecho que sirvieron para tomar su decisión, con el fin de que, si es procedente, aclare, modifique o revoque la misma.</w:t>
      </w:r>
    </w:p>
    <w:p w:rsidR="00287A26" w:rsidRPr="00287A26" w:rsidRDefault="00287A26" w:rsidP="00287A26">
      <w:pPr>
        <w:jc w:val="both"/>
        <w:rPr>
          <w:rFonts w:ascii="Arial" w:hAnsi="Arial" w:cs="Arial"/>
          <w:b/>
          <w:color w:val="000000"/>
          <w:sz w:val="22"/>
          <w:szCs w:val="22"/>
          <w:lang w:val="es-CO"/>
        </w:rPr>
      </w:pPr>
    </w:p>
    <w:p w:rsidR="00287A26" w:rsidRPr="00287A26" w:rsidRDefault="00287A26" w:rsidP="00287A26">
      <w:pPr>
        <w:jc w:val="both"/>
        <w:rPr>
          <w:rFonts w:ascii="Arial" w:hAnsi="Arial" w:cs="Arial"/>
          <w:color w:val="000000"/>
          <w:sz w:val="22"/>
          <w:szCs w:val="22"/>
          <w:lang w:val="es-CO"/>
        </w:rPr>
      </w:pPr>
      <w:r w:rsidRPr="00287A26">
        <w:rPr>
          <w:rFonts w:ascii="Arial" w:hAnsi="Arial" w:cs="Arial"/>
          <w:color w:val="000000"/>
          <w:sz w:val="22"/>
          <w:szCs w:val="22"/>
          <w:lang w:val="es-CO"/>
        </w:rPr>
        <w:t xml:space="preserve">Por lo tanto, para esta corporación no le asiste asidero a las pretensiones de la funcionaria en tanto que una vez analizado los argumentos presentados por la misma y verificada la información reportada en el sistema SIERJU, los resultados de carga y egreso en los sistemas escritural y oral del despacho no permiten efectuar el cálculo de rendimiento sobre la capacidad máxima de respuesta  sino por la carga laboral del Despacho. </w:t>
      </w:r>
    </w:p>
    <w:p w:rsidR="00287A26" w:rsidRPr="00287A26" w:rsidRDefault="00287A26" w:rsidP="00287A26">
      <w:pPr>
        <w:jc w:val="both"/>
        <w:rPr>
          <w:rFonts w:ascii="Arial" w:hAnsi="Arial" w:cs="Arial"/>
          <w:color w:val="000000"/>
          <w:sz w:val="22"/>
          <w:szCs w:val="22"/>
          <w:lang w:val="es-CO"/>
        </w:rPr>
      </w:pPr>
    </w:p>
    <w:p w:rsidR="00287A26" w:rsidRPr="00287A26" w:rsidRDefault="00287A26" w:rsidP="00287A26">
      <w:pPr>
        <w:jc w:val="both"/>
        <w:rPr>
          <w:rFonts w:ascii="Arial" w:eastAsia="Arial" w:hAnsi="Arial" w:cs="Arial"/>
          <w:color w:val="000000"/>
          <w:sz w:val="22"/>
          <w:szCs w:val="22"/>
        </w:rPr>
      </w:pPr>
      <w:r w:rsidRPr="00287A26">
        <w:rPr>
          <w:rFonts w:ascii="Arial" w:eastAsia="Arial" w:hAnsi="Arial" w:cs="Arial"/>
          <w:color w:val="000000"/>
          <w:sz w:val="22"/>
          <w:szCs w:val="22"/>
        </w:rPr>
        <w:t xml:space="preserve">Ahora bien, el Acuerdo PCSJA16-10635 de 31 de enero de 2018 solo establece capacidad máxima  de respuesta para los Juzgados Administrativos sin secciones, así como para los despachos de secciones, que van desde la primera hasta la cuarta, pero a su vez, en el Acuerdo PSAA16-10618 de 2016, se encuentra diseñado un procedimiento especial para aquellos estrados judiciales administrativos que operan con modelo de gestión mixto, motivo por el cual este Consejo Seccional de la Judicatura en aras de garantizar el debido proceso en el caso de la funcionaria recurrente, procede a la aplicación del artículo 92 del Acuerdo </w:t>
      </w:r>
      <w:r w:rsidRPr="00287A26">
        <w:rPr>
          <w:rFonts w:ascii="Arial" w:hAnsi="Arial" w:cs="Arial"/>
          <w:color w:val="000000"/>
          <w:sz w:val="22"/>
          <w:szCs w:val="22"/>
          <w:lang w:val="es-CO"/>
        </w:rPr>
        <w:t xml:space="preserve">PSAA16-10618 de 2016, el cual es remisorio al artículo 104 y 35 al 41 ibídem,  con el fin de ajustar y consolidar el factor rendimiento del periodo 2017 de la funcionaria, la cual pertenece al sistema mixto. </w:t>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hAnsi="Arial" w:cs="Arial"/>
          <w:color w:val="000000"/>
          <w:sz w:val="22"/>
          <w:szCs w:val="22"/>
          <w:lang w:val="es-CO"/>
        </w:rPr>
      </w:pPr>
      <w:r w:rsidRPr="00287A26">
        <w:rPr>
          <w:rFonts w:ascii="Arial" w:hAnsi="Arial" w:cs="Arial"/>
          <w:color w:val="000000"/>
          <w:sz w:val="22"/>
          <w:szCs w:val="22"/>
          <w:lang w:val="es-CO"/>
        </w:rPr>
        <w:t xml:space="preserve">Por lo tanto, tenemos que para el sistema escritural el factor rendimiento se debe consolidar con los procesos administrativos escriturales más el módulo de acciones constitucionales sobre 45 puntos, respecto de la respuesta efectiva a la demanda de justicia, conforme el inciso segundo </w:t>
      </w:r>
      <w:r w:rsidRPr="00287A26">
        <w:rPr>
          <w:rFonts w:ascii="Arial" w:eastAsia="Arial" w:hAnsi="Arial" w:cs="Arial"/>
          <w:color w:val="000000"/>
          <w:sz w:val="22"/>
          <w:szCs w:val="22"/>
        </w:rPr>
        <w:t xml:space="preserve">artículo 92 del Acuerdo </w:t>
      </w:r>
      <w:r w:rsidRPr="00287A26">
        <w:rPr>
          <w:rFonts w:ascii="Arial" w:hAnsi="Arial" w:cs="Arial"/>
          <w:color w:val="000000"/>
          <w:sz w:val="22"/>
          <w:szCs w:val="22"/>
          <w:lang w:val="es-CO"/>
        </w:rPr>
        <w:t xml:space="preserve">PSAA16-10618 de 2016. </w:t>
      </w:r>
    </w:p>
    <w:p w:rsidR="00287A26" w:rsidRPr="00287A26" w:rsidRDefault="00287A26" w:rsidP="00287A26">
      <w:pPr>
        <w:jc w:val="both"/>
        <w:rPr>
          <w:rFonts w:ascii="Arial" w:hAnsi="Arial" w:cs="Arial"/>
          <w:color w:val="000000"/>
          <w:sz w:val="22"/>
          <w:szCs w:val="22"/>
          <w:lang w:val="es-CO"/>
        </w:rPr>
      </w:pPr>
    </w:p>
    <w:p w:rsidR="00287A26" w:rsidRPr="00287A26" w:rsidRDefault="00287A26" w:rsidP="00287A26">
      <w:pPr>
        <w:jc w:val="both"/>
        <w:rPr>
          <w:rFonts w:ascii="Arial" w:eastAsia="Arial" w:hAnsi="Arial" w:cs="Arial"/>
          <w:color w:val="000000"/>
          <w:sz w:val="22"/>
          <w:szCs w:val="22"/>
        </w:rPr>
      </w:pPr>
      <w:r w:rsidRPr="00287A26">
        <w:rPr>
          <w:rFonts w:ascii="Arial" w:hAnsi="Arial" w:cs="Arial"/>
          <w:color w:val="000000"/>
          <w:sz w:val="22"/>
          <w:szCs w:val="22"/>
          <w:lang w:val="es-CO"/>
        </w:rPr>
        <w:t xml:space="preserve">En concordancia con </w:t>
      </w:r>
      <w:r w:rsidRPr="00287A26">
        <w:rPr>
          <w:rFonts w:ascii="Arial" w:eastAsia="Arial" w:hAnsi="Arial" w:cs="Arial"/>
          <w:color w:val="000000"/>
          <w:sz w:val="22"/>
          <w:szCs w:val="22"/>
        </w:rPr>
        <w:t xml:space="preserve">el literal c) del artículo 39 ibídem, el cual fija las situaciones  para determinar el cálculo de la calificación del sub factor correspondiente a la respuesta efectiva a la demanda de justicia, en consecuencia,  la carga del periodo que refleja el </w:t>
      </w:r>
      <w:r w:rsidRPr="00287A26">
        <w:rPr>
          <w:rFonts w:ascii="Arial" w:hAnsi="Arial" w:cs="Arial"/>
          <w:color w:val="000000"/>
          <w:sz w:val="22"/>
          <w:szCs w:val="22"/>
          <w:lang w:val="es-CO"/>
        </w:rPr>
        <w:t>Juzgado Noveno Administrativo del Circuito de Villavicencio</w:t>
      </w:r>
      <w:r w:rsidRPr="00287A26">
        <w:rPr>
          <w:rFonts w:ascii="Arial" w:eastAsia="Arial" w:hAnsi="Arial" w:cs="Arial"/>
          <w:color w:val="000000"/>
          <w:sz w:val="22"/>
          <w:szCs w:val="22"/>
        </w:rPr>
        <w:t xml:space="preserve">, fue inferior a la capacidad máxima de respuesta, motivo por el cual la calificación se establecerá proporcionalmente con la siguiente fórmula: </w:t>
      </w:r>
      <w:r w:rsidRPr="00287A26">
        <w:rPr>
          <w:rFonts w:ascii="Arial" w:eastAsia="Arial" w:hAnsi="Arial" w:cs="Arial"/>
          <w:i/>
          <w:color w:val="000000"/>
          <w:sz w:val="22"/>
          <w:szCs w:val="22"/>
        </w:rPr>
        <w:t xml:space="preserve">Calificación Subfactor = (Egreso/Carga del Despacho) X 45, </w:t>
      </w:r>
      <w:r w:rsidRPr="00287A26">
        <w:rPr>
          <w:rFonts w:ascii="Arial" w:eastAsia="Arial" w:hAnsi="Arial" w:cs="Arial"/>
          <w:color w:val="000000"/>
          <w:sz w:val="22"/>
          <w:szCs w:val="22"/>
        </w:rPr>
        <w:t>cuyo resultado es de 30,06 puntos</w:t>
      </w:r>
      <w:r w:rsidRPr="00287A26">
        <w:rPr>
          <w:rFonts w:ascii="Arial" w:eastAsia="Arial" w:hAnsi="Arial" w:cs="Arial"/>
          <w:i/>
          <w:color w:val="000000"/>
          <w:sz w:val="22"/>
          <w:szCs w:val="22"/>
        </w:rPr>
        <w:t xml:space="preserve">, </w:t>
      </w:r>
      <w:r w:rsidRPr="00287A26">
        <w:rPr>
          <w:rFonts w:ascii="Arial" w:eastAsia="Arial" w:hAnsi="Arial" w:cs="Arial"/>
          <w:color w:val="000000"/>
          <w:sz w:val="22"/>
          <w:szCs w:val="22"/>
        </w:rPr>
        <w:t>así</w:t>
      </w:r>
      <w:r w:rsidRPr="00287A26">
        <w:rPr>
          <w:rFonts w:ascii="Arial" w:eastAsia="Arial" w:hAnsi="Arial" w:cs="Arial"/>
          <w:i/>
          <w:color w:val="000000"/>
          <w:sz w:val="22"/>
          <w:szCs w:val="22"/>
        </w:rPr>
        <w:t xml:space="preserve">: </w:t>
      </w:r>
    </w:p>
    <w:p w:rsidR="00287A26" w:rsidRPr="00287A26" w:rsidRDefault="00287A26" w:rsidP="00287A26">
      <w:pPr>
        <w:tabs>
          <w:tab w:val="left" w:pos="708"/>
          <w:tab w:val="center" w:pos="4414"/>
        </w:tabs>
        <w:spacing w:after="9" w:line="235" w:lineRule="auto"/>
        <w:ind w:left="-5" w:hanging="10"/>
        <w:jc w:val="both"/>
        <w:rPr>
          <w:rFonts w:ascii="Arial" w:eastAsia="Arial" w:hAnsi="Arial" w:cs="Arial"/>
          <w:i/>
          <w:color w:val="000000"/>
          <w:sz w:val="22"/>
          <w:szCs w:val="22"/>
        </w:rPr>
      </w:pPr>
    </w:p>
    <w:p w:rsidR="00287A26" w:rsidRPr="00287A26" w:rsidRDefault="005433B8" w:rsidP="00287A26">
      <w:pPr>
        <w:jc w:val="center"/>
        <w:rPr>
          <w:rFonts w:ascii="Arial" w:eastAsia="Arial" w:hAnsi="Arial" w:cs="Arial"/>
          <w:color w:val="000000"/>
          <w:sz w:val="22"/>
          <w:szCs w:val="22"/>
        </w:rPr>
      </w:pPr>
      <w:r>
        <w:rPr>
          <w:rFonts w:ascii="Arial" w:hAnsi="Arial" w:cs="Arial"/>
          <w:noProof/>
          <w:color w:val="000000"/>
          <w:lang w:val="es-CO" w:eastAsia="es-CO"/>
        </w:rPr>
        <w:lastRenderedPageBreak/>
        <w:drawing>
          <wp:inline distT="0" distB="0" distL="0" distR="0">
            <wp:extent cx="5524500" cy="2390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r="1379" b="2542"/>
                    <a:stretch>
                      <a:fillRect/>
                    </a:stretch>
                  </pic:blipFill>
                  <pic:spPr bwMode="auto">
                    <a:xfrm>
                      <a:off x="0" y="0"/>
                      <a:ext cx="5524500" cy="2390775"/>
                    </a:xfrm>
                    <a:prstGeom prst="rect">
                      <a:avLst/>
                    </a:prstGeom>
                    <a:noFill/>
                    <a:ln>
                      <a:noFill/>
                    </a:ln>
                  </pic:spPr>
                </pic:pic>
              </a:graphicData>
            </a:graphic>
          </wp:inline>
        </w:drawing>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eastAsia="Arial" w:hAnsi="Arial" w:cs="Arial"/>
          <w:i/>
          <w:color w:val="000000"/>
          <w:sz w:val="22"/>
          <w:szCs w:val="22"/>
        </w:rPr>
      </w:pPr>
      <w:r w:rsidRPr="00287A26">
        <w:rPr>
          <w:rFonts w:ascii="Arial" w:eastAsia="Arial" w:hAnsi="Arial" w:cs="Arial"/>
          <w:color w:val="000000"/>
          <w:sz w:val="22"/>
          <w:szCs w:val="22"/>
        </w:rPr>
        <w:t>En relación con el sistema de gestión oral, los subfactores de respuesta efectiva a la demanda de justicia se calcularán sobre 40 puntos y el de atención de audiencias programadas sobre 5 puntos, motivo por el cual la tramitación corresponde a la aplicación del parágrafo del artículo 90 del Acuerdo PSAA16-10618 de 2016, toda vez que los egresos superan la carga del despacho, razón por la cual el resultado para cada subafactor, en el caso concreto de la funcionaria, corresponde a 45 puntos, segregados conforme el cuadro que se expone, así</w:t>
      </w:r>
      <w:r w:rsidRPr="00287A26">
        <w:rPr>
          <w:rFonts w:ascii="Arial" w:eastAsia="Arial" w:hAnsi="Arial" w:cs="Arial"/>
          <w:i/>
          <w:color w:val="000000"/>
          <w:sz w:val="22"/>
          <w:szCs w:val="22"/>
        </w:rPr>
        <w:t xml:space="preserve">: </w:t>
      </w:r>
    </w:p>
    <w:p w:rsidR="00287A26" w:rsidRPr="00287A26" w:rsidRDefault="00287A26" w:rsidP="00287A26">
      <w:pPr>
        <w:jc w:val="both"/>
        <w:rPr>
          <w:rFonts w:ascii="Arial" w:eastAsia="Arial" w:hAnsi="Arial" w:cs="Arial"/>
          <w:color w:val="000000"/>
          <w:sz w:val="22"/>
          <w:szCs w:val="22"/>
        </w:rPr>
      </w:pPr>
    </w:p>
    <w:p w:rsidR="00287A26" w:rsidRPr="00287A26" w:rsidRDefault="005433B8" w:rsidP="00287A26">
      <w:pPr>
        <w:jc w:val="center"/>
        <w:rPr>
          <w:rFonts w:ascii="Arial" w:eastAsia="Arial" w:hAnsi="Arial" w:cs="Arial"/>
          <w:color w:val="000000"/>
          <w:sz w:val="22"/>
          <w:szCs w:val="22"/>
        </w:rPr>
      </w:pPr>
      <w:r>
        <w:rPr>
          <w:rFonts w:ascii="Arial" w:hAnsi="Arial" w:cs="Arial"/>
          <w:noProof/>
          <w:color w:val="000000"/>
          <w:lang w:val="es-CO" w:eastAsia="es-CO"/>
        </w:rPr>
        <w:drawing>
          <wp:inline distT="0" distB="0" distL="0" distR="0">
            <wp:extent cx="5476875" cy="2228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2228850"/>
                    </a:xfrm>
                    <a:prstGeom prst="rect">
                      <a:avLst/>
                    </a:prstGeom>
                    <a:noFill/>
                    <a:ln>
                      <a:noFill/>
                    </a:ln>
                  </pic:spPr>
                </pic:pic>
              </a:graphicData>
            </a:graphic>
          </wp:inline>
        </w:drawing>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spacing w:after="9" w:line="235" w:lineRule="auto"/>
        <w:contextualSpacing/>
        <w:jc w:val="both"/>
        <w:rPr>
          <w:rFonts w:ascii="Arial" w:eastAsia="Arial" w:hAnsi="Arial" w:cs="Arial"/>
          <w:color w:val="000000"/>
          <w:sz w:val="22"/>
          <w:szCs w:val="22"/>
        </w:rPr>
      </w:pPr>
      <w:r w:rsidRPr="00287A26">
        <w:rPr>
          <w:rFonts w:ascii="Arial" w:eastAsia="Arial" w:hAnsi="Arial" w:cs="Arial"/>
          <w:color w:val="000000"/>
          <w:sz w:val="22"/>
          <w:szCs w:val="22"/>
        </w:rPr>
        <w:t xml:space="preserve">En resumen, se tiene como resultado de la aplicación de los procedimientos diseñados para los juzgados administrativos con modelo de gestión mixto, un promedio de 37,53 puntos de rendimiento y habrá de procederse a la integración final.  </w:t>
      </w:r>
    </w:p>
    <w:p w:rsidR="00287A26" w:rsidRPr="00287A26" w:rsidRDefault="00287A26" w:rsidP="00287A26">
      <w:pPr>
        <w:jc w:val="both"/>
        <w:rPr>
          <w:rFonts w:ascii="Arial" w:eastAsia="Arial" w:hAnsi="Arial" w:cs="Arial"/>
          <w:color w:val="000000"/>
          <w:sz w:val="22"/>
          <w:szCs w:val="22"/>
        </w:rPr>
      </w:pPr>
    </w:p>
    <w:p w:rsidR="00287A26" w:rsidRPr="00287A26" w:rsidRDefault="005433B8" w:rsidP="00287A26">
      <w:pPr>
        <w:jc w:val="center"/>
        <w:rPr>
          <w:rFonts w:ascii="Arial" w:eastAsia="Arial" w:hAnsi="Arial" w:cs="Arial"/>
          <w:color w:val="000000"/>
          <w:sz w:val="22"/>
          <w:szCs w:val="22"/>
        </w:rPr>
      </w:pPr>
      <w:r>
        <w:rPr>
          <w:rFonts w:ascii="Arial" w:hAnsi="Arial" w:cs="Arial"/>
          <w:noProof/>
          <w:color w:val="000000"/>
          <w:lang w:val="es-CO" w:eastAsia="es-CO"/>
        </w:rPr>
        <w:drawing>
          <wp:inline distT="0" distB="0" distL="0" distR="0">
            <wp:extent cx="4000500" cy="590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t="9369" b="9856"/>
                    <a:stretch>
                      <a:fillRect/>
                    </a:stretch>
                  </pic:blipFill>
                  <pic:spPr bwMode="auto">
                    <a:xfrm>
                      <a:off x="0" y="0"/>
                      <a:ext cx="4000500" cy="590550"/>
                    </a:xfrm>
                    <a:prstGeom prst="rect">
                      <a:avLst/>
                    </a:prstGeom>
                    <a:noFill/>
                    <a:ln>
                      <a:noFill/>
                    </a:ln>
                  </pic:spPr>
                </pic:pic>
              </a:graphicData>
            </a:graphic>
          </wp:inline>
        </w:drawing>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spacing w:after="9" w:line="235" w:lineRule="auto"/>
        <w:ind w:left="-5" w:hanging="10"/>
        <w:jc w:val="both"/>
        <w:rPr>
          <w:rFonts w:ascii="Arial" w:eastAsia="Arial" w:hAnsi="Arial" w:cs="Arial"/>
          <w:color w:val="000000"/>
          <w:sz w:val="22"/>
          <w:szCs w:val="22"/>
        </w:rPr>
      </w:pPr>
      <w:r w:rsidRPr="00287A26">
        <w:rPr>
          <w:rFonts w:ascii="Arial" w:eastAsia="Arial" w:hAnsi="Arial" w:cs="Arial"/>
          <w:color w:val="000000"/>
          <w:sz w:val="22"/>
          <w:szCs w:val="22"/>
        </w:rPr>
        <w:t>Teniendo en cuenta el resultado de la redefinición del factor de la calificación integral del periodo del año 2017, del recurso que aquí se desata, se entra a consolidar la nueva calificación que debe corresponder, así</w:t>
      </w:r>
    </w:p>
    <w:p w:rsidR="00287A26" w:rsidRPr="00287A26" w:rsidRDefault="00287A26" w:rsidP="00287A26">
      <w:pPr>
        <w:spacing w:after="8" w:line="276" w:lineRule="auto"/>
        <w:jc w:val="both"/>
        <w:rPr>
          <w:rFonts w:ascii="Arial" w:eastAsia="Arial" w:hAnsi="Arial" w:cs="Arial"/>
          <w:color w:val="000000"/>
          <w:sz w:val="22"/>
          <w:szCs w:val="22"/>
        </w:rPr>
      </w:pPr>
    </w:p>
    <w:tbl>
      <w:tblPr>
        <w:tblW w:w="5021"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3541"/>
        <w:gridCol w:w="1480"/>
      </w:tblGrid>
      <w:tr w:rsidR="00287A26" w:rsidRPr="00835802" w:rsidTr="00276A9F">
        <w:trPr>
          <w:trHeight w:val="249"/>
        </w:trPr>
        <w:tc>
          <w:tcPr>
            <w:tcW w:w="3541" w:type="dxa"/>
            <w:shd w:val="clear" w:color="auto" w:fill="auto"/>
            <w:hideMark/>
          </w:tcPr>
          <w:p w:rsidR="00287A26" w:rsidRPr="00276A9F" w:rsidRDefault="00287A26" w:rsidP="00276A9F">
            <w:pPr>
              <w:spacing w:line="276" w:lineRule="auto"/>
              <w:jc w:val="both"/>
              <w:rPr>
                <w:rFonts w:ascii="Arial" w:eastAsia="Arial" w:hAnsi="Arial" w:cs="Arial"/>
                <w:color w:val="000000"/>
                <w:sz w:val="20"/>
                <w:szCs w:val="22"/>
              </w:rPr>
            </w:pPr>
            <w:r w:rsidRPr="00276A9F">
              <w:rPr>
                <w:rFonts w:ascii="Arial" w:eastAsia="Arial" w:hAnsi="Arial" w:cs="Arial"/>
                <w:color w:val="000000"/>
                <w:sz w:val="20"/>
                <w:szCs w:val="22"/>
              </w:rPr>
              <w:t xml:space="preserve">Factor calidad  </w:t>
            </w:r>
            <w:r w:rsidRPr="00276A9F">
              <w:rPr>
                <w:rFonts w:ascii="Arial" w:eastAsia="Arial" w:hAnsi="Arial" w:cs="Arial"/>
                <w:color w:val="000000"/>
                <w:sz w:val="20"/>
                <w:szCs w:val="22"/>
              </w:rPr>
              <w:tab/>
              <w:t xml:space="preserve"> </w:t>
            </w:r>
            <w:r w:rsidRPr="00276A9F">
              <w:rPr>
                <w:rFonts w:ascii="Arial" w:eastAsia="Arial" w:hAnsi="Arial" w:cs="Arial"/>
                <w:color w:val="000000"/>
                <w:sz w:val="20"/>
                <w:szCs w:val="22"/>
              </w:rPr>
              <w:tab/>
              <w:t xml:space="preserve"> </w:t>
            </w:r>
          </w:p>
        </w:tc>
        <w:tc>
          <w:tcPr>
            <w:tcW w:w="1480" w:type="dxa"/>
            <w:shd w:val="clear" w:color="auto" w:fill="auto"/>
            <w:hideMark/>
          </w:tcPr>
          <w:p w:rsidR="00287A26" w:rsidRPr="00276A9F" w:rsidRDefault="00287A26" w:rsidP="00276A9F">
            <w:pPr>
              <w:spacing w:line="276" w:lineRule="auto"/>
              <w:rPr>
                <w:rFonts w:ascii="Arial" w:eastAsia="Arial" w:hAnsi="Arial" w:cs="Arial"/>
                <w:color w:val="000000"/>
                <w:sz w:val="20"/>
                <w:szCs w:val="22"/>
              </w:rPr>
            </w:pPr>
            <w:r w:rsidRPr="00276A9F">
              <w:rPr>
                <w:rFonts w:ascii="Arial" w:eastAsia="Arial" w:hAnsi="Arial" w:cs="Arial"/>
                <w:color w:val="000000"/>
                <w:sz w:val="20"/>
                <w:szCs w:val="22"/>
              </w:rPr>
              <w:t xml:space="preserve">         40</w:t>
            </w:r>
          </w:p>
        </w:tc>
      </w:tr>
      <w:tr w:rsidR="00287A26" w:rsidRPr="00835802" w:rsidTr="00276A9F">
        <w:trPr>
          <w:trHeight w:val="252"/>
        </w:trPr>
        <w:tc>
          <w:tcPr>
            <w:tcW w:w="3541" w:type="dxa"/>
            <w:shd w:val="clear" w:color="auto" w:fill="auto"/>
            <w:hideMark/>
          </w:tcPr>
          <w:p w:rsidR="00287A26" w:rsidRPr="00276A9F" w:rsidRDefault="00287A26" w:rsidP="00276A9F">
            <w:pPr>
              <w:spacing w:line="276" w:lineRule="auto"/>
              <w:jc w:val="both"/>
              <w:rPr>
                <w:rFonts w:ascii="Arial" w:eastAsia="Arial" w:hAnsi="Arial" w:cs="Arial"/>
                <w:color w:val="000000"/>
                <w:sz w:val="20"/>
                <w:szCs w:val="22"/>
              </w:rPr>
            </w:pPr>
            <w:r w:rsidRPr="00276A9F">
              <w:rPr>
                <w:rFonts w:ascii="Arial" w:eastAsia="Arial" w:hAnsi="Arial" w:cs="Arial"/>
                <w:color w:val="000000"/>
                <w:sz w:val="20"/>
                <w:szCs w:val="22"/>
              </w:rPr>
              <w:t xml:space="preserve">Factor eficiencia o rendimiento </w:t>
            </w:r>
          </w:p>
        </w:tc>
        <w:tc>
          <w:tcPr>
            <w:tcW w:w="1480" w:type="dxa"/>
            <w:shd w:val="clear" w:color="auto" w:fill="auto"/>
            <w:hideMark/>
          </w:tcPr>
          <w:p w:rsidR="00287A26" w:rsidRPr="00276A9F" w:rsidRDefault="00287A26" w:rsidP="00276A9F">
            <w:pPr>
              <w:spacing w:line="276" w:lineRule="auto"/>
              <w:jc w:val="center"/>
              <w:rPr>
                <w:rFonts w:ascii="Arial" w:eastAsia="Arial" w:hAnsi="Arial" w:cs="Arial"/>
                <w:color w:val="000000"/>
                <w:sz w:val="20"/>
                <w:szCs w:val="22"/>
              </w:rPr>
            </w:pPr>
            <w:r w:rsidRPr="00276A9F">
              <w:rPr>
                <w:rFonts w:ascii="Arial" w:eastAsia="Arial" w:hAnsi="Arial" w:cs="Arial"/>
                <w:color w:val="000000"/>
                <w:sz w:val="20"/>
                <w:szCs w:val="22"/>
              </w:rPr>
              <w:t>37,53</w:t>
            </w:r>
          </w:p>
        </w:tc>
      </w:tr>
      <w:tr w:rsidR="00287A26" w:rsidRPr="00835802" w:rsidTr="00276A9F">
        <w:trPr>
          <w:trHeight w:val="253"/>
        </w:trPr>
        <w:tc>
          <w:tcPr>
            <w:tcW w:w="3541" w:type="dxa"/>
            <w:shd w:val="clear" w:color="auto" w:fill="auto"/>
            <w:hideMark/>
          </w:tcPr>
          <w:p w:rsidR="00287A26" w:rsidRPr="00276A9F" w:rsidRDefault="00287A26" w:rsidP="00276A9F">
            <w:pPr>
              <w:spacing w:line="276" w:lineRule="auto"/>
              <w:jc w:val="both"/>
              <w:rPr>
                <w:rFonts w:ascii="Arial" w:eastAsia="Arial" w:hAnsi="Arial" w:cs="Arial"/>
                <w:color w:val="000000"/>
                <w:sz w:val="20"/>
                <w:szCs w:val="22"/>
              </w:rPr>
            </w:pPr>
            <w:r w:rsidRPr="00276A9F">
              <w:rPr>
                <w:rFonts w:ascii="Arial" w:eastAsia="Arial" w:hAnsi="Arial" w:cs="Arial"/>
                <w:color w:val="000000"/>
                <w:sz w:val="20"/>
                <w:szCs w:val="22"/>
              </w:rPr>
              <w:t xml:space="preserve">Factor organización del trabajo </w:t>
            </w:r>
          </w:p>
        </w:tc>
        <w:tc>
          <w:tcPr>
            <w:tcW w:w="1480" w:type="dxa"/>
            <w:shd w:val="clear" w:color="auto" w:fill="auto"/>
            <w:hideMark/>
          </w:tcPr>
          <w:p w:rsidR="00287A26" w:rsidRPr="00276A9F" w:rsidRDefault="00287A26" w:rsidP="00276A9F">
            <w:pPr>
              <w:spacing w:line="276" w:lineRule="auto"/>
              <w:rPr>
                <w:rFonts w:ascii="Arial" w:eastAsia="Arial" w:hAnsi="Arial" w:cs="Arial"/>
                <w:color w:val="000000"/>
                <w:sz w:val="20"/>
                <w:szCs w:val="22"/>
              </w:rPr>
            </w:pPr>
            <w:r w:rsidRPr="00276A9F">
              <w:rPr>
                <w:rFonts w:ascii="Arial" w:eastAsia="Arial" w:hAnsi="Arial" w:cs="Arial"/>
                <w:color w:val="000000"/>
                <w:sz w:val="20"/>
                <w:szCs w:val="22"/>
              </w:rPr>
              <w:t xml:space="preserve">        12</w:t>
            </w:r>
          </w:p>
        </w:tc>
      </w:tr>
      <w:tr w:rsidR="00287A26" w:rsidRPr="00835802" w:rsidTr="00276A9F">
        <w:trPr>
          <w:trHeight w:val="253"/>
        </w:trPr>
        <w:tc>
          <w:tcPr>
            <w:tcW w:w="3541" w:type="dxa"/>
            <w:tcBorders>
              <w:bottom w:val="single" w:sz="12" w:space="0" w:color="auto"/>
            </w:tcBorders>
            <w:shd w:val="clear" w:color="auto" w:fill="auto"/>
            <w:hideMark/>
          </w:tcPr>
          <w:p w:rsidR="00287A26" w:rsidRPr="00276A9F" w:rsidRDefault="00287A26" w:rsidP="00276A9F">
            <w:pPr>
              <w:spacing w:line="276" w:lineRule="auto"/>
              <w:jc w:val="both"/>
              <w:rPr>
                <w:rFonts w:ascii="Arial" w:eastAsia="Arial" w:hAnsi="Arial" w:cs="Arial"/>
                <w:color w:val="000000"/>
                <w:sz w:val="20"/>
                <w:szCs w:val="22"/>
              </w:rPr>
            </w:pPr>
            <w:r w:rsidRPr="00276A9F">
              <w:rPr>
                <w:rFonts w:ascii="Arial" w:eastAsia="Arial" w:hAnsi="Arial" w:cs="Arial"/>
                <w:color w:val="000000"/>
                <w:sz w:val="20"/>
                <w:szCs w:val="22"/>
              </w:rPr>
              <w:t xml:space="preserve">Factor publicaciones  </w:t>
            </w:r>
            <w:r w:rsidRPr="00276A9F">
              <w:rPr>
                <w:rFonts w:ascii="Arial" w:eastAsia="Arial" w:hAnsi="Arial" w:cs="Arial"/>
                <w:color w:val="000000"/>
                <w:sz w:val="20"/>
                <w:szCs w:val="22"/>
              </w:rPr>
              <w:tab/>
              <w:t xml:space="preserve"> </w:t>
            </w:r>
          </w:p>
        </w:tc>
        <w:tc>
          <w:tcPr>
            <w:tcW w:w="1480" w:type="dxa"/>
            <w:tcBorders>
              <w:bottom w:val="single" w:sz="12" w:space="0" w:color="auto"/>
            </w:tcBorders>
            <w:shd w:val="clear" w:color="auto" w:fill="auto"/>
            <w:hideMark/>
          </w:tcPr>
          <w:p w:rsidR="00287A26" w:rsidRPr="00276A9F" w:rsidRDefault="00287A26" w:rsidP="00276A9F">
            <w:pPr>
              <w:spacing w:line="276" w:lineRule="auto"/>
              <w:rPr>
                <w:rFonts w:ascii="Arial" w:eastAsia="Arial" w:hAnsi="Arial" w:cs="Arial"/>
                <w:color w:val="000000"/>
                <w:sz w:val="20"/>
                <w:szCs w:val="22"/>
              </w:rPr>
            </w:pPr>
            <w:r w:rsidRPr="00276A9F">
              <w:rPr>
                <w:rFonts w:ascii="Arial" w:eastAsia="Arial" w:hAnsi="Arial" w:cs="Arial"/>
                <w:color w:val="000000"/>
                <w:sz w:val="20"/>
                <w:szCs w:val="22"/>
              </w:rPr>
              <w:t xml:space="preserve">         00</w:t>
            </w:r>
          </w:p>
        </w:tc>
      </w:tr>
      <w:tr w:rsidR="00287A26" w:rsidRPr="00835802" w:rsidTr="00276A9F">
        <w:trPr>
          <w:trHeight w:val="249"/>
        </w:trPr>
        <w:tc>
          <w:tcPr>
            <w:tcW w:w="3541" w:type="dxa"/>
            <w:tcBorders>
              <w:top w:val="single" w:sz="12" w:space="0" w:color="auto"/>
              <w:bottom w:val="single" w:sz="12" w:space="0" w:color="auto"/>
            </w:tcBorders>
            <w:shd w:val="clear" w:color="auto" w:fill="F2F2F2"/>
            <w:hideMark/>
          </w:tcPr>
          <w:p w:rsidR="00287A26" w:rsidRPr="00276A9F" w:rsidRDefault="00287A26" w:rsidP="00276A9F">
            <w:pPr>
              <w:spacing w:line="276" w:lineRule="auto"/>
              <w:jc w:val="both"/>
              <w:rPr>
                <w:rFonts w:ascii="Arial" w:eastAsia="Arial" w:hAnsi="Arial" w:cs="Arial"/>
                <w:color w:val="000000"/>
                <w:sz w:val="20"/>
                <w:szCs w:val="22"/>
              </w:rPr>
            </w:pPr>
            <w:r w:rsidRPr="00276A9F">
              <w:rPr>
                <w:rFonts w:ascii="Arial" w:eastAsia="Arial" w:hAnsi="Arial" w:cs="Arial"/>
                <w:color w:val="000000"/>
                <w:sz w:val="20"/>
                <w:szCs w:val="22"/>
              </w:rPr>
              <w:t xml:space="preserve">Total  </w:t>
            </w:r>
            <w:r w:rsidRPr="00276A9F">
              <w:rPr>
                <w:rFonts w:ascii="Arial" w:eastAsia="Arial" w:hAnsi="Arial" w:cs="Arial"/>
                <w:color w:val="000000"/>
                <w:sz w:val="20"/>
                <w:szCs w:val="22"/>
              </w:rPr>
              <w:tab/>
              <w:t xml:space="preserve"> </w:t>
            </w:r>
            <w:r w:rsidRPr="00276A9F">
              <w:rPr>
                <w:rFonts w:ascii="Arial" w:eastAsia="Arial" w:hAnsi="Arial" w:cs="Arial"/>
                <w:color w:val="000000"/>
                <w:sz w:val="20"/>
                <w:szCs w:val="22"/>
              </w:rPr>
              <w:tab/>
              <w:t xml:space="preserve"> </w:t>
            </w:r>
          </w:p>
        </w:tc>
        <w:tc>
          <w:tcPr>
            <w:tcW w:w="1480" w:type="dxa"/>
            <w:tcBorders>
              <w:top w:val="single" w:sz="12" w:space="0" w:color="auto"/>
              <w:bottom w:val="single" w:sz="12" w:space="0" w:color="auto"/>
            </w:tcBorders>
            <w:shd w:val="clear" w:color="auto" w:fill="F2F2F2"/>
            <w:hideMark/>
          </w:tcPr>
          <w:p w:rsidR="00287A26" w:rsidRPr="00276A9F" w:rsidRDefault="00287A26" w:rsidP="00276A9F">
            <w:pPr>
              <w:spacing w:line="276" w:lineRule="auto"/>
              <w:jc w:val="center"/>
              <w:rPr>
                <w:rFonts w:ascii="Arial" w:eastAsia="Arial" w:hAnsi="Arial" w:cs="Arial"/>
                <w:color w:val="000000"/>
                <w:sz w:val="20"/>
                <w:szCs w:val="22"/>
              </w:rPr>
            </w:pPr>
            <w:r w:rsidRPr="00276A9F">
              <w:rPr>
                <w:rFonts w:ascii="Arial" w:eastAsia="Arial" w:hAnsi="Arial" w:cs="Arial"/>
                <w:color w:val="000000"/>
                <w:sz w:val="20"/>
                <w:szCs w:val="22"/>
              </w:rPr>
              <w:t>89,53Puntos</w:t>
            </w:r>
          </w:p>
        </w:tc>
      </w:tr>
    </w:tbl>
    <w:p w:rsidR="00287A26" w:rsidRPr="00287A26" w:rsidRDefault="00287A26" w:rsidP="00287A26">
      <w:pPr>
        <w:jc w:val="both"/>
        <w:rPr>
          <w:rFonts w:ascii="Arial" w:eastAsia="Arial" w:hAnsi="Arial" w:cs="Arial"/>
          <w:color w:val="000000"/>
          <w:sz w:val="18"/>
          <w:szCs w:val="22"/>
        </w:rPr>
      </w:pPr>
      <w:r w:rsidRPr="00287A26">
        <w:rPr>
          <w:rFonts w:ascii="Arial" w:eastAsia="Arial" w:hAnsi="Arial" w:cs="Arial"/>
          <w:color w:val="000000"/>
          <w:sz w:val="22"/>
          <w:szCs w:val="22"/>
        </w:rPr>
        <w:t xml:space="preserve">Esta corporación entrará a reponer la calificación de la funcionaria, indicando que los argumentos de la recurrente no dan lugar a dicha decisión sino por vía de la aplicación del procedimiento establecido por el Consejo Superior de la Judicatura para calificar los juzgados administrativos del sistema mixto, con el fin de garantizar el debido proceso </w:t>
      </w:r>
      <w:r w:rsidRPr="00287A26">
        <w:rPr>
          <w:rFonts w:ascii="Arial" w:eastAsia="Arial" w:hAnsi="Arial" w:cs="Arial"/>
          <w:color w:val="000000"/>
          <w:sz w:val="22"/>
          <w:szCs w:val="22"/>
        </w:rPr>
        <w:lastRenderedPageBreak/>
        <w:t xml:space="preserve">administrativo, conforme lo define la Corte Constitucional en Sentencia T-051/16 … </w:t>
      </w:r>
      <w:r w:rsidRPr="00287A26">
        <w:rPr>
          <w:rFonts w:ascii="Arial" w:hAnsi="Arial" w:cs="Arial"/>
          <w:i/>
          <w:iCs/>
          <w:color w:val="000000"/>
          <w:sz w:val="22"/>
          <w:szCs w:val="28"/>
          <w:bdr w:val="none" w:sz="0" w:space="0" w:color="auto" w:frame="1"/>
        </w:rPr>
        <w:t>“(i) el conjunto complejo de condiciones que le impone la ley a la administración, materializado en el cumplimiento de una secuencia de actos por parte de la autoridad administrativa, (ii) que guarda relación directa o indirecta entre sí, y (iii) cuyo fin está previamente determinado de manera constitucional y legal”. Ha precisado al respecto, que con dicha garantía se busca “(i) asegurar el ordenado funcionamiento de la administración, (ii) la validez de sus propias actuaciones y, (iii) resguardar el derecho a la seguridad jurídica y a la defensa de los administrados”….</w:t>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eastAsia="Arial" w:hAnsi="Arial" w:cs="Arial"/>
          <w:color w:val="000000"/>
          <w:sz w:val="22"/>
          <w:szCs w:val="22"/>
        </w:rPr>
      </w:pPr>
      <w:r w:rsidRPr="00287A26">
        <w:rPr>
          <w:rFonts w:ascii="Arial" w:eastAsia="Arial" w:hAnsi="Arial" w:cs="Arial"/>
          <w:color w:val="000000"/>
          <w:sz w:val="22"/>
          <w:szCs w:val="22"/>
        </w:rPr>
        <w:t xml:space="preserve">En virtud de lo anterior y teniendo en cuenta lo indicado en el inciso final del artículo 22 del Acuerdo PSAA16-10618 de 2016, el resultado de la calificación integral de servicios se dará siempre en números enteros y la aproximación sólo se hará sobre el resultado final, motivo por el cual la calificación integral de servicios de </w:t>
      </w:r>
      <w:r w:rsidRPr="00287A26">
        <w:rPr>
          <w:rFonts w:ascii="Arial" w:hAnsi="Arial" w:cs="Arial"/>
          <w:color w:val="000000"/>
          <w:sz w:val="22"/>
          <w:szCs w:val="22"/>
          <w:lang w:val="es-CO"/>
        </w:rPr>
        <w:t>Gladys Teresa Herrera Monsalve, en su calidad de Juez Noveno Administrativo del Circuito de Villavicencio</w:t>
      </w:r>
      <w:r w:rsidRPr="00287A26">
        <w:rPr>
          <w:rFonts w:ascii="Arial" w:eastAsia="Arial" w:hAnsi="Arial" w:cs="Arial"/>
          <w:color w:val="000000"/>
          <w:sz w:val="22"/>
          <w:szCs w:val="22"/>
        </w:rPr>
        <w:t>, será de noventa (90) puntos, correspondiente al periodo comprendido entre el 1° de enero y el 31 de diciembre de 2017, efectuada mediante Acto Administrativo del 31 de octubre de 2018.</w:t>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ind w:left="10" w:right="-15" w:hanging="10"/>
        <w:jc w:val="center"/>
        <w:rPr>
          <w:rFonts w:ascii="Arial" w:eastAsia="Arial" w:hAnsi="Arial" w:cs="Arial"/>
          <w:color w:val="000000"/>
          <w:sz w:val="22"/>
          <w:szCs w:val="22"/>
        </w:rPr>
      </w:pPr>
      <w:r w:rsidRPr="00287A26">
        <w:rPr>
          <w:rFonts w:ascii="Arial" w:eastAsia="Arial" w:hAnsi="Arial" w:cs="Arial"/>
          <w:b/>
          <w:color w:val="000000"/>
          <w:sz w:val="22"/>
          <w:szCs w:val="22"/>
        </w:rPr>
        <w:t>RESUELVE</w:t>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spacing w:after="9" w:line="232" w:lineRule="auto"/>
        <w:ind w:left="-5" w:hanging="10"/>
        <w:jc w:val="both"/>
        <w:rPr>
          <w:rFonts w:ascii="Arial" w:eastAsia="Arial" w:hAnsi="Arial" w:cs="Arial"/>
          <w:color w:val="000000"/>
          <w:sz w:val="22"/>
          <w:szCs w:val="22"/>
        </w:rPr>
      </w:pPr>
      <w:r w:rsidRPr="00287A26">
        <w:rPr>
          <w:rFonts w:ascii="Arial" w:eastAsia="Arial" w:hAnsi="Arial" w:cs="Arial"/>
          <w:b/>
          <w:color w:val="000000"/>
          <w:sz w:val="22"/>
          <w:szCs w:val="22"/>
        </w:rPr>
        <w:t>ARTÍCULO 1°.-</w:t>
      </w:r>
      <w:r w:rsidRPr="00287A26">
        <w:rPr>
          <w:rFonts w:ascii="Arial" w:eastAsia="Arial" w:hAnsi="Arial" w:cs="Arial"/>
          <w:color w:val="000000"/>
          <w:sz w:val="22"/>
          <w:szCs w:val="22"/>
        </w:rPr>
        <w:t xml:space="preserve"> Reponer la decisión contenida en el acto administrativo del 31 de octubre de 2018, respecto del </w:t>
      </w:r>
      <w:r w:rsidRPr="00287A26">
        <w:rPr>
          <w:rFonts w:ascii="Arial" w:eastAsia="Arial" w:hAnsi="Arial" w:cs="Arial"/>
          <w:color w:val="000000"/>
          <w:sz w:val="22"/>
          <w:szCs w:val="22"/>
          <w:u w:val="single"/>
        </w:rPr>
        <w:t xml:space="preserve">Factor rendimiento </w:t>
      </w:r>
      <w:r w:rsidRPr="00287A26">
        <w:rPr>
          <w:rFonts w:ascii="Arial" w:eastAsia="Arial" w:hAnsi="Arial" w:cs="Arial"/>
          <w:color w:val="000000"/>
          <w:sz w:val="22"/>
          <w:szCs w:val="22"/>
        </w:rPr>
        <w:t xml:space="preserve">de la calificación Integral de servicios del periodo 2017 de </w:t>
      </w:r>
      <w:r w:rsidRPr="00287A26">
        <w:rPr>
          <w:rFonts w:ascii="Arial" w:hAnsi="Arial" w:cs="Arial"/>
          <w:color w:val="000000"/>
          <w:sz w:val="22"/>
          <w:szCs w:val="22"/>
          <w:lang w:val="es-CO"/>
        </w:rPr>
        <w:t>Gladys Teresa Herrera Monsalve, identificada con cedula de ciudadanía 68.292.789, en su condición de Juez Noveno Administrativo del Circuito de Villavicencio</w:t>
      </w:r>
      <w:r w:rsidRPr="00287A26">
        <w:rPr>
          <w:rFonts w:ascii="Arial" w:eastAsia="Arial" w:hAnsi="Arial" w:cs="Arial"/>
          <w:color w:val="000000"/>
          <w:sz w:val="22"/>
          <w:szCs w:val="22"/>
        </w:rPr>
        <w:t xml:space="preserve">, cuyo </w:t>
      </w:r>
      <w:r w:rsidRPr="00287A26">
        <w:rPr>
          <w:rFonts w:ascii="Arial" w:hAnsi="Arial" w:cs="Arial"/>
          <w:color w:val="000000"/>
          <w:sz w:val="22"/>
          <w:szCs w:val="22"/>
          <w:lang w:val="es-CO"/>
        </w:rPr>
        <w:t xml:space="preserve">puntaje total de este factor es de 37,53 puntos, de </w:t>
      </w:r>
      <w:r w:rsidRPr="00287A26">
        <w:rPr>
          <w:rFonts w:ascii="Arial" w:eastAsia="Arial" w:hAnsi="Arial" w:cs="Arial"/>
          <w:color w:val="000000"/>
          <w:sz w:val="22"/>
          <w:szCs w:val="22"/>
        </w:rPr>
        <w:t>conformidad con lo expuesto en la parte motiva.</w:t>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tabs>
          <w:tab w:val="left" w:pos="-720"/>
        </w:tabs>
        <w:suppressAutoHyphens/>
        <w:spacing w:after="9" w:line="235" w:lineRule="auto"/>
        <w:ind w:left="-5" w:hanging="10"/>
        <w:jc w:val="both"/>
        <w:rPr>
          <w:rFonts w:ascii="Arial" w:eastAsia="Arial" w:hAnsi="Arial" w:cs="Arial"/>
          <w:color w:val="000000"/>
          <w:spacing w:val="-3"/>
          <w:sz w:val="22"/>
          <w:szCs w:val="22"/>
        </w:rPr>
      </w:pPr>
      <w:r w:rsidRPr="00287A26">
        <w:rPr>
          <w:rFonts w:ascii="Arial" w:eastAsia="Arial" w:hAnsi="Arial" w:cs="Arial"/>
          <w:b/>
          <w:color w:val="000000"/>
          <w:sz w:val="22"/>
          <w:szCs w:val="22"/>
        </w:rPr>
        <w:t xml:space="preserve">ARTÍCULO 2°.- </w:t>
      </w:r>
      <w:r w:rsidRPr="00287A26">
        <w:rPr>
          <w:rFonts w:ascii="Arial" w:eastAsia="Arial" w:hAnsi="Arial" w:cs="Arial"/>
          <w:color w:val="000000"/>
          <w:sz w:val="22"/>
          <w:szCs w:val="22"/>
        </w:rPr>
        <w:t xml:space="preserve">Establecer </w:t>
      </w:r>
      <w:r w:rsidRPr="00287A26">
        <w:rPr>
          <w:rFonts w:ascii="Arial" w:eastAsia="Arial" w:hAnsi="Arial" w:cs="Arial"/>
          <w:color w:val="000000"/>
          <w:spacing w:val="-3"/>
          <w:sz w:val="22"/>
          <w:szCs w:val="22"/>
        </w:rPr>
        <w:t xml:space="preserve">la Calificación Integral de Servicios correspondiente al periodo del año 2017 del </w:t>
      </w:r>
      <w:r w:rsidRPr="00287A26">
        <w:rPr>
          <w:rFonts w:ascii="Arial" w:hAnsi="Arial" w:cs="Arial"/>
          <w:color w:val="000000"/>
          <w:sz w:val="22"/>
          <w:szCs w:val="22"/>
          <w:lang w:val="es-CO"/>
        </w:rPr>
        <w:t>Juez Noveno Administrativo del Circuito de Villavicencio</w:t>
      </w:r>
      <w:r w:rsidRPr="00287A26">
        <w:rPr>
          <w:rFonts w:ascii="Arial" w:eastAsia="Arial" w:hAnsi="Arial" w:cs="Arial"/>
          <w:color w:val="000000"/>
          <w:sz w:val="22"/>
          <w:szCs w:val="22"/>
        </w:rPr>
        <w:t xml:space="preserve">, </w:t>
      </w:r>
      <w:r w:rsidRPr="00287A26">
        <w:rPr>
          <w:rFonts w:ascii="Arial" w:hAnsi="Arial" w:cs="Arial"/>
          <w:color w:val="000000"/>
          <w:sz w:val="22"/>
          <w:szCs w:val="22"/>
          <w:lang w:val="es-CO"/>
        </w:rPr>
        <w:t>Gladys Teresa Herrera Monsalve</w:t>
      </w:r>
      <w:r w:rsidRPr="00287A26">
        <w:rPr>
          <w:rFonts w:ascii="Arial" w:eastAsia="Arial" w:hAnsi="Arial" w:cs="Arial"/>
          <w:color w:val="000000"/>
          <w:sz w:val="22"/>
          <w:szCs w:val="22"/>
        </w:rPr>
        <w:t xml:space="preserve">, así: </w:t>
      </w:r>
      <w:r w:rsidRPr="00287A26">
        <w:rPr>
          <w:rFonts w:ascii="Arial" w:eastAsia="Arial" w:hAnsi="Arial" w:cs="Arial"/>
          <w:color w:val="000000"/>
          <w:spacing w:val="-3"/>
          <w:sz w:val="22"/>
          <w:szCs w:val="22"/>
        </w:rPr>
        <w:t xml:space="preserve">Factor Eficiencia o Rendimiento </w:t>
      </w:r>
      <w:r w:rsidRPr="00287A26">
        <w:rPr>
          <w:rFonts w:ascii="Arial" w:eastAsia="Arial" w:hAnsi="Arial" w:cs="Arial"/>
          <w:b/>
          <w:color w:val="000000"/>
          <w:spacing w:val="-3"/>
          <w:sz w:val="22"/>
          <w:szCs w:val="22"/>
        </w:rPr>
        <w:t>37,53</w:t>
      </w:r>
      <w:r w:rsidRPr="00287A26">
        <w:rPr>
          <w:rFonts w:ascii="Arial" w:eastAsia="Arial" w:hAnsi="Arial" w:cs="Arial"/>
          <w:color w:val="000000"/>
          <w:spacing w:val="-3"/>
          <w:sz w:val="22"/>
          <w:szCs w:val="22"/>
        </w:rPr>
        <w:t xml:space="preserve"> puntos; Factor Calidad </w:t>
      </w:r>
      <w:r w:rsidRPr="00287A26">
        <w:rPr>
          <w:rFonts w:ascii="Arial" w:eastAsia="Arial" w:hAnsi="Arial" w:cs="Arial"/>
          <w:b/>
          <w:color w:val="000000"/>
          <w:spacing w:val="-3"/>
          <w:sz w:val="22"/>
          <w:szCs w:val="22"/>
        </w:rPr>
        <w:t xml:space="preserve">40 </w:t>
      </w:r>
      <w:r w:rsidRPr="00287A26">
        <w:rPr>
          <w:rFonts w:ascii="Arial" w:eastAsia="Arial" w:hAnsi="Arial" w:cs="Arial"/>
          <w:color w:val="000000"/>
          <w:spacing w:val="-3"/>
          <w:sz w:val="22"/>
          <w:szCs w:val="22"/>
        </w:rPr>
        <w:t xml:space="preserve">puntos; Factor Organización del Trabajo </w:t>
      </w:r>
      <w:r w:rsidRPr="00287A26">
        <w:rPr>
          <w:rFonts w:ascii="Arial" w:eastAsia="Arial" w:hAnsi="Arial" w:cs="Arial"/>
          <w:b/>
          <w:color w:val="000000"/>
          <w:spacing w:val="-3"/>
          <w:sz w:val="22"/>
          <w:szCs w:val="22"/>
        </w:rPr>
        <w:t>12</w:t>
      </w:r>
      <w:r w:rsidRPr="00287A26">
        <w:rPr>
          <w:rFonts w:ascii="Arial" w:eastAsia="Arial" w:hAnsi="Arial" w:cs="Arial"/>
          <w:color w:val="000000"/>
          <w:spacing w:val="-3"/>
          <w:sz w:val="22"/>
          <w:szCs w:val="22"/>
        </w:rPr>
        <w:t xml:space="preserve"> puntos y Factor Publicaciones </w:t>
      </w:r>
      <w:r w:rsidRPr="00287A26">
        <w:rPr>
          <w:rFonts w:ascii="Arial" w:eastAsia="Arial" w:hAnsi="Arial" w:cs="Arial"/>
          <w:b/>
          <w:color w:val="000000"/>
          <w:spacing w:val="-3"/>
          <w:sz w:val="22"/>
          <w:szCs w:val="22"/>
        </w:rPr>
        <w:t>00</w:t>
      </w:r>
      <w:r w:rsidRPr="00287A26">
        <w:rPr>
          <w:rFonts w:ascii="Arial" w:eastAsia="Arial" w:hAnsi="Arial" w:cs="Arial"/>
          <w:color w:val="000000"/>
          <w:spacing w:val="-3"/>
          <w:sz w:val="22"/>
          <w:szCs w:val="22"/>
        </w:rPr>
        <w:t xml:space="preserve"> puntos, por tal motivo, una vez integrada la calificación da como resultado </w:t>
      </w:r>
      <w:r w:rsidRPr="00287A26">
        <w:rPr>
          <w:rFonts w:ascii="Arial" w:eastAsia="Arial" w:hAnsi="Arial" w:cs="Arial"/>
          <w:b/>
          <w:color w:val="000000"/>
          <w:spacing w:val="-3"/>
          <w:sz w:val="22"/>
          <w:szCs w:val="22"/>
        </w:rPr>
        <w:t>90 puntos</w:t>
      </w:r>
      <w:r w:rsidRPr="00287A26">
        <w:rPr>
          <w:rFonts w:ascii="Arial" w:eastAsia="Arial" w:hAnsi="Arial" w:cs="Arial"/>
          <w:color w:val="000000"/>
          <w:spacing w:val="-3"/>
          <w:sz w:val="22"/>
          <w:szCs w:val="22"/>
        </w:rPr>
        <w:t xml:space="preserve">, ubicada como satisfactoria en el nivel excelente, según lo expuesto.   </w:t>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spacing w:after="9" w:line="232" w:lineRule="auto"/>
        <w:ind w:left="-5" w:hanging="10"/>
        <w:jc w:val="both"/>
        <w:rPr>
          <w:rFonts w:ascii="Arial" w:eastAsia="Arial" w:hAnsi="Arial" w:cs="Arial"/>
          <w:color w:val="000000"/>
          <w:sz w:val="22"/>
          <w:szCs w:val="22"/>
        </w:rPr>
      </w:pPr>
      <w:r w:rsidRPr="00287A26">
        <w:rPr>
          <w:rFonts w:ascii="Arial" w:eastAsia="Arial" w:hAnsi="Arial" w:cs="Arial"/>
          <w:b/>
          <w:color w:val="000000"/>
          <w:sz w:val="22"/>
          <w:szCs w:val="22"/>
        </w:rPr>
        <w:t xml:space="preserve">ARTÍCULO 2°.- </w:t>
      </w:r>
      <w:r w:rsidRPr="00287A26">
        <w:rPr>
          <w:rFonts w:ascii="Arial" w:eastAsia="Arial" w:hAnsi="Arial" w:cs="Arial"/>
          <w:color w:val="000000"/>
          <w:sz w:val="22"/>
          <w:szCs w:val="22"/>
        </w:rPr>
        <w:t xml:space="preserve">Notificar personalmente el contenido de la presente decisión a la servidora judicial </w:t>
      </w:r>
      <w:r w:rsidRPr="00287A26">
        <w:rPr>
          <w:rFonts w:ascii="Arial" w:hAnsi="Arial" w:cs="Arial"/>
          <w:color w:val="000000"/>
          <w:sz w:val="22"/>
          <w:szCs w:val="22"/>
          <w:lang w:val="es-CO"/>
        </w:rPr>
        <w:t>Gladys Teresa Herrera Monsalve, en su calidad de Juez Noveno Administrativo del Circuito de Villavicencio</w:t>
      </w:r>
      <w:r w:rsidRPr="00287A26">
        <w:rPr>
          <w:rFonts w:ascii="Arial" w:eastAsia="Arial" w:hAnsi="Arial" w:cs="Arial"/>
          <w:color w:val="000000"/>
          <w:sz w:val="22"/>
          <w:szCs w:val="22"/>
        </w:rPr>
        <w:t>, en los términos previstos en el Código de Procedimiento Administrativo y de lo Contencioso Administrativo.</w:t>
      </w:r>
    </w:p>
    <w:p w:rsidR="00287A26" w:rsidRPr="00287A26" w:rsidRDefault="00287A26" w:rsidP="00287A26">
      <w:pPr>
        <w:spacing w:after="9" w:line="232" w:lineRule="auto"/>
        <w:ind w:left="-5" w:hanging="10"/>
        <w:jc w:val="both"/>
        <w:rPr>
          <w:rFonts w:ascii="Arial" w:eastAsia="Arial" w:hAnsi="Arial" w:cs="Arial"/>
          <w:color w:val="000000"/>
          <w:sz w:val="22"/>
          <w:szCs w:val="22"/>
        </w:rPr>
      </w:pPr>
    </w:p>
    <w:p w:rsidR="00287A26" w:rsidRPr="00287A26" w:rsidRDefault="00287A26" w:rsidP="00287A26">
      <w:pPr>
        <w:jc w:val="both"/>
        <w:rPr>
          <w:rFonts w:ascii="Arial" w:eastAsia="Arial" w:hAnsi="Arial" w:cs="Arial"/>
          <w:color w:val="000000"/>
          <w:sz w:val="22"/>
          <w:szCs w:val="22"/>
        </w:rPr>
      </w:pPr>
      <w:r w:rsidRPr="00287A26">
        <w:rPr>
          <w:rFonts w:ascii="Arial" w:eastAsia="Arial" w:hAnsi="Arial" w:cs="Arial"/>
          <w:b/>
          <w:color w:val="000000"/>
          <w:sz w:val="22"/>
          <w:szCs w:val="22"/>
        </w:rPr>
        <w:t xml:space="preserve">ARTÍCULO 3°.- </w:t>
      </w:r>
      <w:r w:rsidRPr="00287A26">
        <w:rPr>
          <w:rFonts w:ascii="Arial" w:eastAsia="Arial" w:hAnsi="Arial" w:cs="Arial"/>
          <w:color w:val="000000"/>
          <w:sz w:val="22"/>
          <w:szCs w:val="22"/>
        </w:rPr>
        <w:t>La</w:t>
      </w:r>
      <w:r w:rsidRPr="00287A26">
        <w:rPr>
          <w:rFonts w:ascii="Arial" w:eastAsia="Arial" w:hAnsi="Arial" w:cs="Arial"/>
          <w:b/>
          <w:color w:val="000000"/>
          <w:sz w:val="22"/>
          <w:szCs w:val="22"/>
        </w:rPr>
        <w:t xml:space="preserve"> </w:t>
      </w:r>
      <w:r w:rsidRPr="00287A26">
        <w:rPr>
          <w:rFonts w:ascii="Arial" w:eastAsia="Arial" w:hAnsi="Arial" w:cs="Arial"/>
          <w:color w:val="000000"/>
          <w:sz w:val="22"/>
          <w:szCs w:val="22"/>
        </w:rPr>
        <w:t xml:space="preserve">presente Resolución rige a partir de la fecha de su comunicación, dada en Villavicencio - Meta, a los once (11) días del mes de febrero de dos mil diecinueve (2019). </w:t>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ind w:left="10" w:right="-15" w:hanging="10"/>
        <w:jc w:val="center"/>
        <w:rPr>
          <w:rFonts w:ascii="Arial" w:eastAsia="Arial" w:hAnsi="Arial" w:cs="Arial"/>
          <w:color w:val="000000"/>
          <w:sz w:val="22"/>
          <w:szCs w:val="22"/>
        </w:rPr>
      </w:pPr>
      <w:r w:rsidRPr="00287A26">
        <w:rPr>
          <w:rFonts w:ascii="Arial" w:eastAsia="Arial" w:hAnsi="Arial" w:cs="Arial"/>
          <w:b/>
          <w:color w:val="000000"/>
          <w:sz w:val="22"/>
          <w:szCs w:val="22"/>
        </w:rPr>
        <w:t>NOTIFÍQUESE, COMUNÍQUESE, Y CÚMPLASE</w:t>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ind w:left="-5" w:right="-15" w:hanging="10"/>
        <w:jc w:val="both"/>
        <w:rPr>
          <w:rFonts w:ascii="Arial" w:eastAsia="Arial" w:hAnsi="Arial" w:cs="Arial"/>
          <w:color w:val="000000"/>
          <w:sz w:val="22"/>
          <w:szCs w:val="22"/>
        </w:rPr>
      </w:pPr>
      <w:r w:rsidRPr="00287A26">
        <w:rPr>
          <w:rFonts w:ascii="Arial" w:eastAsia="Arial" w:hAnsi="Arial" w:cs="Arial"/>
          <w:b/>
          <w:color w:val="000000"/>
          <w:sz w:val="22"/>
          <w:szCs w:val="22"/>
        </w:rPr>
        <w:t xml:space="preserve">ROMELIO ELÍAS DAZA MOLINA </w:t>
      </w:r>
    </w:p>
    <w:p w:rsidR="00287A26" w:rsidRPr="00287A26" w:rsidRDefault="00287A26" w:rsidP="00287A26">
      <w:pPr>
        <w:spacing w:after="9" w:line="232" w:lineRule="auto"/>
        <w:ind w:left="-5" w:hanging="10"/>
        <w:jc w:val="both"/>
        <w:rPr>
          <w:rFonts w:ascii="Arial" w:eastAsia="Arial" w:hAnsi="Arial" w:cs="Arial"/>
          <w:color w:val="000000"/>
          <w:sz w:val="22"/>
          <w:szCs w:val="22"/>
        </w:rPr>
      </w:pPr>
      <w:r w:rsidRPr="00287A26">
        <w:rPr>
          <w:rFonts w:ascii="Arial" w:eastAsia="Arial" w:hAnsi="Arial" w:cs="Arial"/>
          <w:color w:val="000000"/>
          <w:sz w:val="22"/>
          <w:szCs w:val="22"/>
        </w:rPr>
        <w:t xml:space="preserve">Presidente  </w:t>
      </w:r>
    </w:p>
    <w:p w:rsidR="00287A26" w:rsidRPr="00287A26" w:rsidRDefault="00287A26" w:rsidP="00287A26">
      <w:pPr>
        <w:jc w:val="both"/>
        <w:rPr>
          <w:rFonts w:ascii="Arial" w:eastAsia="Arial" w:hAnsi="Arial" w:cs="Arial"/>
          <w:color w:val="000000"/>
          <w:sz w:val="22"/>
          <w:szCs w:val="22"/>
        </w:rPr>
      </w:pPr>
    </w:p>
    <w:p w:rsidR="00287A26" w:rsidRPr="00287A26" w:rsidRDefault="00287A26" w:rsidP="00287A26">
      <w:pPr>
        <w:jc w:val="both"/>
        <w:rPr>
          <w:rFonts w:ascii="Arial" w:hAnsi="Arial" w:cs="Arial"/>
          <w:b/>
          <w:color w:val="000000"/>
          <w:sz w:val="22"/>
          <w:szCs w:val="22"/>
          <w:lang w:val="es-CO"/>
        </w:rPr>
      </w:pPr>
      <w:r w:rsidRPr="00287A26">
        <w:rPr>
          <w:rFonts w:ascii="Arial" w:eastAsia="Arial" w:hAnsi="Arial" w:cs="Arial"/>
          <w:color w:val="000000"/>
          <w:sz w:val="14"/>
          <w:szCs w:val="22"/>
        </w:rPr>
        <w:t>REDM/CEBC</w:t>
      </w:r>
    </w:p>
    <w:p w:rsidR="00287A26" w:rsidRPr="00287A26" w:rsidRDefault="00287A26" w:rsidP="00287A26">
      <w:pPr>
        <w:jc w:val="center"/>
        <w:rPr>
          <w:rFonts w:ascii="Arial" w:hAnsi="Arial" w:cs="Arial"/>
          <w:color w:val="000000"/>
          <w:sz w:val="22"/>
          <w:szCs w:val="22"/>
          <w:lang w:val="es-CO"/>
        </w:rPr>
      </w:pPr>
    </w:p>
    <w:tbl>
      <w:tblPr>
        <w:tblpPr w:leftFromText="141" w:rightFromText="141" w:vertAnchor="text" w:horzAnchor="margin" w:tblpXSpec="center" w:tblpY="-320"/>
        <w:tblW w:w="5561" w:type="pct"/>
        <w:tblCellMar>
          <w:left w:w="30" w:type="dxa"/>
          <w:right w:w="30" w:type="dxa"/>
        </w:tblCellMar>
        <w:tblLook w:val="0000" w:firstRow="0" w:lastRow="0" w:firstColumn="0" w:lastColumn="0" w:noHBand="0" w:noVBand="0"/>
      </w:tblPr>
      <w:tblGrid>
        <w:gridCol w:w="361"/>
        <w:gridCol w:w="4383"/>
        <w:gridCol w:w="5155"/>
      </w:tblGrid>
      <w:tr w:rsidR="00287A26" w:rsidRPr="00835802" w:rsidTr="00276A9F">
        <w:trPr>
          <w:trHeight w:val="363"/>
        </w:trPr>
        <w:tc>
          <w:tcPr>
            <w:tcW w:w="182" w:type="pct"/>
            <w:tcBorders>
              <w:top w:val="single" w:sz="12" w:space="0" w:color="auto"/>
              <w:left w:val="single" w:sz="12" w:space="0" w:color="auto"/>
              <w:bottom w:val="single" w:sz="6" w:space="0" w:color="auto"/>
            </w:tcBorders>
            <w:shd w:val="pct20" w:color="auto" w:fill="FFFFFF"/>
          </w:tcPr>
          <w:p w:rsidR="00287A26" w:rsidRPr="00287A26" w:rsidRDefault="00287A26" w:rsidP="00276A9F">
            <w:pPr>
              <w:jc w:val="center"/>
              <w:rPr>
                <w:rFonts w:ascii="Arial" w:hAnsi="Arial" w:cs="Arial"/>
                <w:color w:val="000000"/>
                <w:sz w:val="18"/>
                <w:szCs w:val="18"/>
                <w:lang w:val="es-ES_tradnl"/>
              </w:rPr>
            </w:pPr>
          </w:p>
        </w:tc>
        <w:tc>
          <w:tcPr>
            <w:tcW w:w="4818" w:type="pct"/>
            <w:gridSpan w:val="2"/>
            <w:tcBorders>
              <w:top w:val="single" w:sz="12" w:space="0" w:color="auto"/>
              <w:bottom w:val="single" w:sz="6" w:space="0" w:color="auto"/>
              <w:right w:val="single" w:sz="12" w:space="0" w:color="auto"/>
            </w:tcBorders>
            <w:shd w:val="pct20" w:color="auto" w:fill="FFFFFF"/>
          </w:tcPr>
          <w:p w:rsidR="00287A26" w:rsidRPr="00287A26" w:rsidRDefault="00287A26" w:rsidP="00276A9F">
            <w:pPr>
              <w:jc w:val="center"/>
              <w:rPr>
                <w:rFonts w:ascii="Arial" w:hAnsi="Arial" w:cs="Arial"/>
                <w:b/>
                <w:color w:val="000000"/>
                <w:lang w:val="es-ES_tradnl"/>
              </w:rPr>
            </w:pPr>
            <w:r w:rsidRPr="00287A26">
              <w:rPr>
                <w:rFonts w:ascii="Arial" w:hAnsi="Arial" w:cs="Arial"/>
                <w:b/>
                <w:color w:val="000000"/>
                <w:lang w:val="es-ES_tradnl"/>
              </w:rPr>
              <w:t>NOTIFICACIÓN PERSONAL</w:t>
            </w:r>
          </w:p>
        </w:tc>
      </w:tr>
      <w:tr w:rsidR="00287A26" w:rsidRPr="00835802" w:rsidTr="00276A9F">
        <w:tblPrEx>
          <w:tblCellMar>
            <w:left w:w="0" w:type="dxa"/>
            <w:right w:w="0" w:type="dxa"/>
          </w:tblCellMar>
        </w:tblPrEx>
        <w:trPr>
          <w:trHeight w:val="138"/>
        </w:trPr>
        <w:tc>
          <w:tcPr>
            <w:tcW w:w="5000" w:type="pct"/>
            <w:gridSpan w:val="3"/>
            <w:tcBorders>
              <w:top w:val="single" w:sz="6" w:space="0" w:color="auto"/>
              <w:left w:val="single" w:sz="6" w:space="0" w:color="auto"/>
              <w:right w:val="single" w:sz="6" w:space="0" w:color="auto"/>
            </w:tcBorders>
          </w:tcPr>
          <w:p w:rsidR="00287A26" w:rsidRPr="00287A26" w:rsidRDefault="00287A26" w:rsidP="00276A9F">
            <w:pPr>
              <w:ind w:left="283" w:firstLine="1"/>
              <w:jc w:val="both"/>
              <w:rPr>
                <w:rFonts w:ascii="Arial" w:hAnsi="Arial" w:cs="Arial"/>
                <w:color w:val="000000"/>
                <w:sz w:val="18"/>
                <w:szCs w:val="18"/>
              </w:rPr>
            </w:pPr>
          </w:p>
          <w:p w:rsidR="00287A26" w:rsidRPr="00287A26" w:rsidRDefault="00287A26" w:rsidP="00276A9F">
            <w:pPr>
              <w:pStyle w:val="Textoindependiente2"/>
              <w:ind w:left="283" w:right="142" w:firstLine="1"/>
              <w:rPr>
                <w:rFonts w:ascii="Arial" w:hAnsi="Arial" w:cs="Arial"/>
                <w:color w:val="000000"/>
                <w:sz w:val="18"/>
                <w:szCs w:val="18"/>
              </w:rPr>
            </w:pPr>
            <w:r w:rsidRPr="00287A26">
              <w:rPr>
                <w:rFonts w:ascii="Arial" w:hAnsi="Arial" w:cs="Arial"/>
                <w:color w:val="000000"/>
                <w:sz w:val="18"/>
                <w:szCs w:val="18"/>
              </w:rPr>
              <w:t>En ________________</w:t>
            </w:r>
            <w:r w:rsidRPr="00287A26">
              <w:rPr>
                <w:rFonts w:ascii="Arial" w:hAnsi="Arial" w:cs="Arial"/>
                <w:color w:val="000000"/>
                <w:sz w:val="18"/>
                <w:szCs w:val="18"/>
                <w:u w:val="single"/>
              </w:rPr>
              <w:t>,____</w:t>
            </w:r>
            <w:r w:rsidRPr="00287A26">
              <w:rPr>
                <w:rFonts w:ascii="Arial" w:hAnsi="Arial" w:cs="Arial"/>
                <w:color w:val="000000"/>
                <w:sz w:val="18"/>
                <w:szCs w:val="18"/>
              </w:rPr>
              <w:t xml:space="preserve"> a los _____________ (______) días del mes de </w:t>
            </w:r>
            <w:r w:rsidRPr="00287A26">
              <w:rPr>
                <w:rFonts w:ascii="Arial" w:hAnsi="Arial" w:cs="Arial"/>
                <w:color w:val="000000"/>
                <w:sz w:val="18"/>
                <w:szCs w:val="18"/>
                <w:u w:val="single"/>
              </w:rPr>
              <w:t>________________</w:t>
            </w:r>
            <w:r w:rsidRPr="00287A26">
              <w:rPr>
                <w:rFonts w:ascii="Arial" w:hAnsi="Arial" w:cs="Arial"/>
                <w:color w:val="000000"/>
                <w:sz w:val="18"/>
                <w:szCs w:val="18"/>
              </w:rPr>
              <w:t xml:space="preserve">del año de dos mil </w:t>
            </w:r>
            <w:r w:rsidRPr="00287A26">
              <w:rPr>
                <w:rFonts w:ascii="Arial" w:hAnsi="Arial" w:cs="Arial"/>
                <w:color w:val="000000"/>
                <w:sz w:val="18"/>
                <w:szCs w:val="18"/>
                <w:u w:val="single"/>
                <w:lang w:val="es-CO"/>
              </w:rPr>
              <w:t xml:space="preserve">diecinueve </w:t>
            </w:r>
            <w:r w:rsidRPr="00287A26">
              <w:rPr>
                <w:rFonts w:ascii="Arial" w:hAnsi="Arial" w:cs="Arial"/>
                <w:color w:val="000000"/>
                <w:sz w:val="18"/>
                <w:szCs w:val="18"/>
              </w:rPr>
              <w:t>(20</w:t>
            </w:r>
            <w:r w:rsidRPr="00287A26">
              <w:rPr>
                <w:rFonts w:ascii="Arial" w:hAnsi="Arial" w:cs="Arial"/>
                <w:color w:val="000000"/>
                <w:sz w:val="18"/>
                <w:szCs w:val="18"/>
                <w:u w:val="single"/>
              </w:rPr>
              <w:t>19</w:t>
            </w:r>
            <w:r w:rsidRPr="00287A26">
              <w:rPr>
                <w:rFonts w:ascii="Arial" w:hAnsi="Arial" w:cs="Arial"/>
                <w:color w:val="000000"/>
                <w:sz w:val="18"/>
                <w:szCs w:val="18"/>
              </w:rPr>
              <w:t xml:space="preserve">), se notifica personalmente a </w:t>
            </w:r>
            <w:r w:rsidRPr="00287A26">
              <w:rPr>
                <w:rFonts w:ascii="Arial" w:hAnsi="Arial" w:cs="Arial"/>
                <w:color w:val="000000"/>
                <w:sz w:val="18"/>
                <w:szCs w:val="18"/>
                <w:u w:val="single"/>
              </w:rPr>
              <w:t>__________________________________________</w:t>
            </w:r>
            <w:r w:rsidRPr="00287A26">
              <w:rPr>
                <w:rFonts w:ascii="Arial" w:hAnsi="Arial" w:cs="Arial"/>
                <w:color w:val="000000"/>
                <w:sz w:val="18"/>
                <w:szCs w:val="18"/>
              </w:rPr>
              <w:t xml:space="preserve">, identificada con la cédula de ciudadanía No. ____________________ de ______________________, el presente acto administrativo, (Resolución CSJMER19-39 de 11 febrero de 2019), proferido por el Consejo Seccional de la Judicatura de Meta. </w:t>
            </w:r>
          </w:p>
          <w:p w:rsidR="00287A26" w:rsidRPr="00287A26" w:rsidRDefault="00287A26" w:rsidP="00276A9F">
            <w:pPr>
              <w:pStyle w:val="NormalWeb"/>
              <w:spacing w:before="0" w:after="0" w:line="360" w:lineRule="auto"/>
              <w:ind w:left="278" w:right="133"/>
              <w:jc w:val="both"/>
              <w:rPr>
                <w:rFonts w:ascii="Arial" w:hAnsi="Arial" w:cs="Arial"/>
                <w:color w:val="000000"/>
                <w:sz w:val="18"/>
                <w:szCs w:val="18"/>
                <w:lang w:eastAsia="es-CO"/>
              </w:rPr>
            </w:pPr>
            <w:r w:rsidRPr="00287A26">
              <w:rPr>
                <w:rFonts w:ascii="Arial" w:hAnsi="Arial" w:cs="Arial"/>
                <w:color w:val="000000"/>
                <w:sz w:val="18"/>
                <w:szCs w:val="18"/>
                <w:lang w:eastAsia="es-CO"/>
              </w:rPr>
              <w:t xml:space="preserve">Se hace saber al notificado que contra este acto administrativo no procede recurso alguno, de conformidad con lo establecido en el artículo 76 del CPACA Código del Procedimiento Administrativo y de lo Contencioso Administrativo. </w:t>
            </w:r>
          </w:p>
          <w:p w:rsidR="00287A26" w:rsidRPr="00287A26" w:rsidRDefault="00287A26" w:rsidP="00276A9F">
            <w:pPr>
              <w:pStyle w:val="NormalWeb"/>
              <w:spacing w:before="0" w:after="0" w:line="360" w:lineRule="auto"/>
              <w:ind w:left="278"/>
              <w:jc w:val="both"/>
              <w:rPr>
                <w:rFonts w:ascii="Arial" w:hAnsi="Arial" w:cs="Arial"/>
                <w:color w:val="000000"/>
                <w:sz w:val="18"/>
                <w:szCs w:val="18"/>
                <w:lang w:eastAsia="es-CO"/>
              </w:rPr>
            </w:pPr>
            <w:r w:rsidRPr="00287A26">
              <w:rPr>
                <w:rFonts w:ascii="Arial" w:hAnsi="Arial" w:cs="Arial"/>
                <w:color w:val="000000"/>
                <w:sz w:val="18"/>
                <w:szCs w:val="18"/>
                <w:lang w:eastAsia="es-CO"/>
              </w:rPr>
              <w:t xml:space="preserve">En tal virtud, se entrega a la notificada copia íntegra, auténtica y gratuita del presente acto administrativo. </w:t>
            </w:r>
          </w:p>
          <w:p w:rsidR="00287A26" w:rsidRPr="00287A26" w:rsidRDefault="00287A26" w:rsidP="00276A9F">
            <w:pPr>
              <w:pStyle w:val="NormalWeb"/>
              <w:spacing w:before="0" w:after="0"/>
              <w:jc w:val="both"/>
              <w:rPr>
                <w:rFonts w:ascii="Arial" w:hAnsi="Arial" w:cs="Arial"/>
                <w:color w:val="000000"/>
                <w:sz w:val="18"/>
                <w:szCs w:val="18"/>
              </w:rPr>
            </w:pPr>
          </w:p>
        </w:tc>
      </w:tr>
      <w:tr w:rsidR="00287A26" w:rsidRPr="00835802" w:rsidTr="00276A9F">
        <w:tblPrEx>
          <w:tblCellMar>
            <w:left w:w="0" w:type="dxa"/>
            <w:right w:w="0" w:type="dxa"/>
          </w:tblCellMar>
        </w:tblPrEx>
        <w:trPr>
          <w:trHeight w:val="84"/>
        </w:trPr>
        <w:tc>
          <w:tcPr>
            <w:tcW w:w="2396" w:type="pct"/>
            <w:gridSpan w:val="2"/>
            <w:tcBorders>
              <w:left w:val="single" w:sz="4" w:space="0" w:color="auto"/>
            </w:tcBorders>
          </w:tcPr>
          <w:p w:rsidR="00287A26" w:rsidRPr="00287A26" w:rsidRDefault="00287A26" w:rsidP="00276A9F">
            <w:pPr>
              <w:ind w:left="283" w:firstLine="1"/>
              <w:jc w:val="both"/>
              <w:rPr>
                <w:rFonts w:ascii="Arial" w:hAnsi="Arial" w:cs="Arial"/>
                <w:color w:val="000000"/>
                <w:sz w:val="18"/>
                <w:szCs w:val="18"/>
              </w:rPr>
            </w:pPr>
            <w:r w:rsidRPr="00287A26">
              <w:rPr>
                <w:rFonts w:ascii="Arial" w:hAnsi="Arial" w:cs="Arial"/>
                <w:color w:val="000000"/>
                <w:sz w:val="18"/>
                <w:szCs w:val="18"/>
              </w:rPr>
              <w:t>El notificado,</w:t>
            </w:r>
          </w:p>
          <w:p w:rsidR="00287A26" w:rsidRPr="00287A26" w:rsidRDefault="00287A26" w:rsidP="00276A9F">
            <w:pPr>
              <w:ind w:left="283" w:firstLine="1"/>
              <w:jc w:val="both"/>
              <w:rPr>
                <w:rFonts w:ascii="Arial" w:hAnsi="Arial" w:cs="Arial"/>
                <w:color w:val="000000"/>
                <w:sz w:val="18"/>
                <w:szCs w:val="18"/>
              </w:rPr>
            </w:pPr>
          </w:p>
          <w:p w:rsidR="00287A26" w:rsidRPr="00287A26" w:rsidRDefault="00287A26" w:rsidP="00276A9F">
            <w:pPr>
              <w:ind w:left="283" w:firstLine="1"/>
              <w:jc w:val="both"/>
              <w:rPr>
                <w:rFonts w:ascii="Arial" w:hAnsi="Arial" w:cs="Arial"/>
                <w:color w:val="000000"/>
                <w:sz w:val="18"/>
                <w:szCs w:val="18"/>
              </w:rPr>
            </w:pPr>
            <w:r w:rsidRPr="00287A26">
              <w:rPr>
                <w:rFonts w:ascii="Arial" w:hAnsi="Arial" w:cs="Arial"/>
                <w:color w:val="000000"/>
                <w:sz w:val="18"/>
                <w:szCs w:val="18"/>
              </w:rPr>
              <w:t xml:space="preserve">       __________________________________________</w:t>
            </w:r>
          </w:p>
          <w:p w:rsidR="00287A26" w:rsidRPr="00287A26" w:rsidRDefault="00287A26" w:rsidP="00276A9F">
            <w:pPr>
              <w:ind w:left="283" w:firstLine="1"/>
              <w:jc w:val="both"/>
              <w:rPr>
                <w:rFonts w:ascii="Arial" w:hAnsi="Arial" w:cs="Arial"/>
                <w:color w:val="000000"/>
                <w:sz w:val="18"/>
                <w:szCs w:val="18"/>
              </w:rPr>
            </w:pPr>
          </w:p>
        </w:tc>
        <w:tc>
          <w:tcPr>
            <w:tcW w:w="2604" w:type="pct"/>
            <w:tcBorders>
              <w:right w:val="single" w:sz="4" w:space="0" w:color="auto"/>
            </w:tcBorders>
          </w:tcPr>
          <w:p w:rsidR="00287A26" w:rsidRPr="00287A26" w:rsidRDefault="00287A26" w:rsidP="00276A9F">
            <w:pPr>
              <w:ind w:left="283" w:firstLine="1"/>
              <w:jc w:val="both"/>
              <w:rPr>
                <w:rFonts w:ascii="Arial" w:hAnsi="Arial" w:cs="Arial"/>
                <w:color w:val="000000"/>
                <w:sz w:val="18"/>
                <w:szCs w:val="18"/>
              </w:rPr>
            </w:pPr>
            <w:r w:rsidRPr="00287A26">
              <w:rPr>
                <w:rFonts w:ascii="Arial" w:hAnsi="Arial" w:cs="Arial"/>
                <w:color w:val="000000"/>
                <w:sz w:val="18"/>
                <w:szCs w:val="18"/>
              </w:rPr>
              <w:t xml:space="preserve">Quien notifica, </w:t>
            </w:r>
          </w:p>
          <w:p w:rsidR="00287A26" w:rsidRPr="00287A26" w:rsidRDefault="00287A26" w:rsidP="00276A9F">
            <w:pPr>
              <w:ind w:left="283" w:firstLine="1"/>
              <w:jc w:val="both"/>
              <w:rPr>
                <w:rFonts w:ascii="Arial" w:hAnsi="Arial" w:cs="Arial"/>
                <w:color w:val="000000"/>
                <w:sz w:val="18"/>
                <w:szCs w:val="18"/>
              </w:rPr>
            </w:pPr>
          </w:p>
          <w:p w:rsidR="00287A26" w:rsidRPr="00287A26" w:rsidRDefault="00287A26" w:rsidP="00276A9F">
            <w:pPr>
              <w:ind w:left="283" w:firstLine="1"/>
              <w:jc w:val="both"/>
              <w:rPr>
                <w:rFonts w:ascii="Arial" w:hAnsi="Arial" w:cs="Arial"/>
                <w:color w:val="000000"/>
                <w:sz w:val="18"/>
                <w:szCs w:val="18"/>
              </w:rPr>
            </w:pPr>
            <w:r w:rsidRPr="00287A26">
              <w:rPr>
                <w:rFonts w:ascii="Arial" w:hAnsi="Arial" w:cs="Arial"/>
                <w:color w:val="000000"/>
                <w:sz w:val="18"/>
                <w:szCs w:val="18"/>
              </w:rPr>
              <w:t xml:space="preserve">                              ______________________________________________</w:t>
            </w:r>
          </w:p>
        </w:tc>
      </w:tr>
      <w:tr w:rsidR="00287A26" w:rsidRPr="00835802" w:rsidTr="00276A9F">
        <w:tblPrEx>
          <w:tblCellMar>
            <w:left w:w="0" w:type="dxa"/>
            <w:right w:w="0" w:type="dxa"/>
          </w:tblCellMar>
        </w:tblPrEx>
        <w:trPr>
          <w:trHeight w:val="83"/>
        </w:trPr>
        <w:tc>
          <w:tcPr>
            <w:tcW w:w="2396" w:type="pct"/>
            <w:gridSpan w:val="2"/>
            <w:tcBorders>
              <w:left w:val="single" w:sz="4" w:space="0" w:color="auto"/>
            </w:tcBorders>
          </w:tcPr>
          <w:p w:rsidR="00287A26" w:rsidRPr="00287A26" w:rsidRDefault="00287A26" w:rsidP="00276A9F">
            <w:pPr>
              <w:ind w:left="283" w:firstLine="1"/>
              <w:jc w:val="both"/>
              <w:rPr>
                <w:rFonts w:ascii="Arial" w:hAnsi="Arial" w:cs="Arial"/>
                <w:color w:val="000000"/>
                <w:sz w:val="18"/>
                <w:szCs w:val="18"/>
              </w:rPr>
            </w:pPr>
          </w:p>
          <w:p w:rsidR="00287A26" w:rsidRPr="00287A26" w:rsidRDefault="00287A26" w:rsidP="00276A9F">
            <w:pPr>
              <w:ind w:left="283" w:firstLine="1"/>
              <w:jc w:val="both"/>
              <w:rPr>
                <w:rFonts w:ascii="Arial" w:hAnsi="Arial" w:cs="Arial"/>
                <w:color w:val="000000"/>
                <w:sz w:val="18"/>
                <w:szCs w:val="18"/>
              </w:rPr>
            </w:pPr>
            <w:r w:rsidRPr="00287A26">
              <w:rPr>
                <w:rFonts w:ascii="Arial" w:hAnsi="Arial" w:cs="Arial"/>
                <w:color w:val="000000"/>
                <w:sz w:val="18"/>
                <w:szCs w:val="18"/>
              </w:rPr>
              <w:t>C.C. No. _______________ de ________________</w:t>
            </w:r>
          </w:p>
        </w:tc>
        <w:tc>
          <w:tcPr>
            <w:tcW w:w="2604" w:type="pct"/>
            <w:tcBorders>
              <w:right w:val="single" w:sz="4" w:space="0" w:color="auto"/>
            </w:tcBorders>
          </w:tcPr>
          <w:p w:rsidR="00287A26" w:rsidRPr="00287A26" w:rsidRDefault="00287A26" w:rsidP="00276A9F">
            <w:pPr>
              <w:ind w:left="283" w:firstLine="1"/>
              <w:jc w:val="both"/>
              <w:rPr>
                <w:rFonts w:ascii="Arial" w:hAnsi="Arial" w:cs="Arial"/>
                <w:color w:val="000000"/>
                <w:sz w:val="18"/>
                <w:szCs w:val="18"/>
              </w:rPr>
            </w:pPr>
          </w:p>
          <w:p w:rsidR="00287A26" w:rsidRPr="00287A26" w:rsidRDefault="00287A26" w:rsidP="00276A9F">
            <w:pPr>
              <w:ind w:left="283" w:firstLine="1"/>
              <w:jc w:val="both"/>
              <w:rPr>
                <w:rFonts w:ascii="Arial" w:hAnsi="Arial" w:cs="Arial"/>
                <w:color w:val="000000"/>
                <w:sz w:val="18"/>
                <w:szCs w:val="18"/>
              </w:rPr>
            </w:pPr>
            <w:r w:rsidRPr="00287A26">
              <w:rPr>
                <w:rFonts w:ascii="Arial" w:hAnsi="Arial" w:cs="Arial"/>
                <w:color w:val="000000"/>
                <w:sz w:val="18"/>
                <w:szCs w:val="18"/>
              </w:rPr>
              <w:t>C.C. No. _________________ de ___________________</w:t>
            </w:r>
          </w:p>
        </w:tc>
      </w:tr>
      <w:tr w:rsidR="00287A26" w:rsidRPr="00835802" w:rsidTr="00276A9F">
        <w:tblPrEx>
          <w:tblCellMar>
            <w:left w:w="0" w:type="dxa"/>
            <w:right w:w="0" w:type="dxa"/>
          </w:tblCellMar>
        </w:tblPrEx>
        <w:trPr>
          <w:trHeight w:val="83"/>
        </w:trPr>
        <w:tc>
          <w:tcPr>
            <w:tcW w:w="2396" w:type="pct"/>
            <w:gridSpan w:val="2"/>
            <w:tcBorders>
              <w:left w:val="single" w:sz="4" w:space="0" w:color="auto"/>
            </w:tcBorders>
          </w:tcPr>
          <w:p w:rsidR="00287A26" w:rsidRPr="00287A26" w:rsidRDefault="00287A26" w:rsidP="00276A9F">
            <w:pPr>
              <w:ind w:left="283" w:firstLine="1"/>
              <w:jc w:val="both"/>
              <w:rPr>
                <w:rFonts w:ascii="Arial" w:hAnsi="Arial" w:cs="Arial"/>
                <w:color w:val="000000"/>
                <w:sz w:val="18"/>
                <w:szCs w:val="18"/>
              </w:rPr>
            </w:pPr>
          </w:p>
          <w:p w:rsidR="00287A26" w:rsidRPr="00287A26" w:rsidRDefault="00287A26" w:rsidP="00276A9F">
            <w:pPr>
              <w:ind w:left="283" w:firstLine="1"/>
              <w:jc w:val="both"/>
              <w:rPr>
                <w:rFonts w:ascii="Arial" w:hAnsi="Arial" w:cs="Arial"/>
                <w:color w:val="000000"/>
                <w:sz w:val="18"/>
                <w:szCs w:val="18"/>
              </w:rPr>
            </w:pPr>
            <w:r w:rsidRPr="00287A26">
              <w:rPr>
                <w:rFonts w:ascii="Arial" w:hAnsi="Arial" w:cs="Arial"/>
                <w:color w:val="000000"/>
                <w:sz w:val="18"/>
                <w:szCs w:val="18"/>
              </w:rPr>
              <w:t>Nombre:</w:t>
            </w:r>
          </w:p>
          <w:p w:rsidR="00287A26" w:rsidRPr="00287A26" w:rsidRDefault="00287A26" w:rsidP="00276A9F">
            <w:pPr>
              <w:ind w:left="283" w:firstLine="1"/>
              <w:jc w:val="both"/>
              <w:rPr>
                <w:rFonts w:ascii="Arial" w:hAnsi="Arial" w:cs="Arial"/>
                <w:color w:val="000000"/>
                <w:sz w:val="18"/>
                <w:szCs w:val="18"/>
              </w:rPr>
            </w:pPr>
          </w:p>
          <w:p w:rsidR="00287A26" w:rsidRPr="00287A26" w:rsidRDefault="00287A26" w:rsidP="00276A9F">
            <w:pPr>
              <w:ind w:left="283" w:firstLine="1"/>
              <w:jc w:val="both"/>
              <w:rPr>
                <w:rFonts w:ascii="Arial" w:hAnsi="Arial" w:cs="Arial"/>
                <w:color w:val="000000"/>
                <w:sz w:val="18"/>
                <w:szCs w:val="18"/>
              </w:rPr>
            </w:pPr>
            <w:r w:rsidRPr="00287A26">
              <w:rPr>
                <w:rFonts w:ascii="Arial" w:hAnsi="Arial" w:cs="Arial"/>
                <w:color w:val="000000"/>
                <w:sz w:val="18"/>
                <w:szCs w:val="18"/>
              </w:rPr>
              <w:t>__________________________________________</w:t>
            </w:r>
          </w:p>
          <w:p w:rsidR="00287A26" w:rsidRPr="00287A26" w:rsidRDefault="00287A26" w:rsidP="00276A9F">
            <w:pPr>
              <w:ind w:left="283" w:firstLine="1"/>
              <w:jc w:val="both"/>
              <w:rPr>
                <w:rFonts w:ascii="Arial" w:hAnsi="Arial" w:cs="Arial"/>
                <w:color w:val="000000"/>
                <w:sz w:val="18"/>
                <w:szCs w:val="18"/>
              </w:rPr>
            </w:pPr>
            <w:r w:rsidRPr="00287A26">
              <w:rPr>
                <w:rFonts w:ascii="Arial" w:hAnsi="Arial" w:cs="Arial"/>
                <w:color w:val="000000"/>
                <w:sz w:val="18"/>
                <w:szCs w:val="18"/>
              </w:rPr>
              <w:t xml:space="preserve"> </w:t>
            </w:r>
          </w:p>
        </w:tc>
        <w:tc>
          <w:tcPr>
            <w:tcW w:w="2604" w:type="pct"/>
            <w:tcBorders>
              <w:right w:val="single" w:sz="4" w:space="0" w:color="auto"/>
            </w:tcBorders>
          </w:tcPr>
          <w:p w:rsidR="00287A26" w:rsidRPr="00287A26" w:rsidRDefault="00287A26" w:rsidP="00276A9F">
            <w:pPr>
              <w:ind w:left="283" w:firstLine="1"/>
              <w:jc w:val="both"/>
              <w:rPr>
                <w:rFonts w:ascii="Arial" w:hAnsi="Arial" w:cs="Arial"/>
                <w:color w:val="000000"/>
                <w:sz w:val="18"/>
                <w:szCs w:val="18"/>
              </w:rPr>
            </w:pPr>
          </w:p>
          <w:p w:rsidR="00287A26" w:rsidRPr="00287A26" w:rsidRDefault="00287A26" w:rsidP="00276A9F">
            <w:pPr>
              <w:ind w:left="283" w:firstLine="1"/>
              <w:jc w:val="both"/>
              <w:rPr>
                <w:rFonts w:ascii="Arial" w:hAnsi="Arial" w:cs="Arial"/>
                <w:color w:val="000000"/>
                <w:sz w:val="18"/>
                <w:szCs w:val="18"/>
              </w:rPr>
            </w:pPr>
            <w:r w:rsidRPr="00287A26">
              <w:rPr>
                <w:rFonts w:ascii="Arial" w:hAnsi="Arial" w:cs="Arial"/>
                <w:color w:val="000000"/>
                <w:sz w:val="18"/>
                <w:szCs w:val="18"/>
              </w:rPr>
              <w:t xml:space="preserve">Nombre:        </w:t>
            </w:r>
          </w:p>
          <w:p w:rsidR="00287A26" w:rsidRPr="00287A26" w:rsidRDefault="00287A26" w:rsidP="00276A9F">
            <w:pPr>
              <w:jc w:val="both"/>
              <w:rPr>
                <w:rFonts w:ascii="Arial" w:hAnsi="Arial" w:cs="Arial"/>
                <w:color w:val="000000"/>
                <w:sz w:val="18"/>
                <w:szCs w:val="18"/>
              </w:rPr>
            </w:pPr>
          </w:p>
          <w:p w:rsidR="00287A26" w:rsidRPr="00287A26" w:rsidRDefault="00287A26" w:rsidP="00276A9F">
            <w:pPr>
              <w:jc w:val="both"/>
              <w:rPr>
                <w:rFonts w:ascii="Arial" w:hAnsi="Arial" w:cs="Arial"/>
                <w:color w:val="000000"/>
                <w:sz w:val="18"/>
                <w:szCs w:val="18"/>
              </w:rPr>
            </w:pPr>
            <w:r w:rsidRPr="00287A26">
              <w:rPr>
                <w:rFonts w:ascii="Arial" w:hAnsi="Arial" w:cs="Arial"/>
                <w:color w:val="000000"/>
                <w:sz w:val="18"/>
                <w:szCs w:val="18"/>
              </w:rPr>
              <w:t xml:space="preserve">     _______________________________________________</w:t>
            </w:r>
          </w:p>
        </w:tc>
      </w:tr>
      <w:tr w:rsidR="00287A26" w:rsidRPr="00835802" w:rsidTr="00276A9F">
        <w:tblPrEx>
          <w:tblCellMar>
            <w:left w:w="0" w:type="dxa"/>
            <w:right w:w="0" w:type="dxa"/>
          </w:tblCellMar>
        </w:tblPrEx>
        <w:trPr>
          <w:trHeight w:val="72"/>
        </w:trPr>
        <w:tc>
          <w:tcPr>
            <w:tcW w:w="5000" w:type="pct"/>
            <w:gridSpan w:val="3"/>
            <w:tcBorders>
              <w:left w:val="single" w:sz="4" w:space="0" w:color="auto"/>
              <w:bottom w:val="single" w:sz="6" w:space="0" w:color="auto"/>
              <w:right w:val="single" w:sz="4" w:space="0" w:color="auto"/>
            </w:tcBorders>
          </w:tcPr>
          <w:p w:rsidR="00287A26" w:rsidRPr="00287A26" w:rsidRDefault="00287A26" w:rsidP="00276A9F">
            <w:pPr>
              <w:jc w:val="both"/>
              <w:rPr>
                <w:rFonts w:ascii="Arial" w:hAnsi="Arial" w:cs="Arial"/>
                <w:color w:val="000000"/>
                <w:sz w:val="18"/>
                <w:szCs w:val="18"/>
              </w:rPr>
            </w:pPr>
          </w:p>
        </w:tc>
      </w:tr>
    </w:tbl>
    <w:p w:rsidR="00287A26" w:rsidRPr="00287A26" w:rsidRDefault="00287A26" w:rsidP="00287A26">
      <w:pPr>
        <w:rPr>
          <w:rFonts w:ascii="Arial" w:hAnsi="Arial" w:cs="Arial"/>
          <w:color w:val="000000"/>
        </w:rPr>
      </w:pPr>
    </w:p>
    <w:p w:rsidR="00287A26" w:rsidRDefault="00287A26" w:rsidP="005E0745">
      <w:pPr>
        <w:jc w:val="center"/>
        <w:rPr>
          <w:rFonts w:ascii="Arial" w:hAnsi="Arial" w:cs="Arial"/>
          <w:sz w:val="22"/>
          <w:szCs w:val="22"/>
          <w:lang w:val="es-CO"/>
        </w:rPr>
      </w:pPr>
    </w:p>
    <w:sectPr w:rsidR="00287A26" w:rsidSect="005222A8">
      <w:headerReference w:type="default" r:id="rId10"/>
      <w:footerReference w:type="default" r:id="rId11"/>
      <w:headerReference w:type="first" r:id="rId12"/>
      <w:footerReference w:type="first" r:id="rId13"/>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B15" w:rsidRDefault="00463B15">
      <w:r>
        <w:separator/>
      </w:r>
    </w:p>
  </w:endnote>
  <w:endnote w:type="continuationSeparator" w:id="0">
    <w:p w:rsidR="00463B15" w:rsidRDefault="0046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mond (W1)">
    <w:panose1 w:val="00000000000000000000"/>
    <w:charset w:val="00"/>
    <w:family w:val="roman"/>
    <w:notTrueType/>
    <w:pitch w:val="variable"/>
    <w:sig w:usb0="00000003" w:usb1="00000000" w:usb2="00000000" w:usb3="00000000" w:csb0="00000001"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463B15"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5433B8"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463B15"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B15" w:rsidRDefault="00463B15">
      <w:r>
        <w:separator/>
      </w:r>
    </w:p>
  </w:footnote>
  <w:footnote w:type="continuationSeparator" w:id="0">
    <w:p w:rsidR="00463B15" w:rsidRDefault="00463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5433B8">
      <w:rPr>
        <w:rFonts w:ascii="Berylium" w:hAnsi="Berylium"/>
        <w:bCs/>
        <w:iCs/>
        <w:noProof/>
        <w:sz w:val="22"/>
        <w:szCs w:val="22"/>
      </w:rPr>
      <w:t>2</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5433B8"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952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E5E55"/>
    <w:multiLevelType w:val="multilevel"/>
    <w:tmpl w:val="81B8F4F6"/>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2292" w:hanging="108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3220" w:hanging="144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4148" w:hanging="1800"/>
      </w:pPr>
      <w:rPr>
        <w:rFonts w:hint="default"/>
        <w:b/>
      </w:rPr>
    </w:lvl>
    <w:lvl w:ilvl="8">
      <w:start w:val="1"/>
      <w:numFmt w:val="decimal"/>
      <w:isLgl/>
      <w:lvlText w:val="%1.%2.%3.%4.%5.%6.%7.%8.%9."/>
      <w:lvlJc w:val="left"/>
      <w:pPr>
        <w:ind w:left="4432" w:hanging="1800"/>
      </w:pPr>
      <w:rPr>
        <w:rFonts w:hint="default"/>
        <w:b/>
      </w:rPr>
    </w:lvl>
  </w:abstractNum>
  <w:abstractNum w:abstractNumId="1" w15:restartNumberingAfterBreak="0">
    <w:nsid w:val="38374E09"/>
    <w:multiLevelType w:val="multilevel"/>
    <w:tmpl w:val="81B8F4F6"/>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2292" w:hanging="108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3220" w:hanging="144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4148" w:hanging="1800"/>
      </w:pPr>
      <w:rPr>
        <w:rFonts w:hint="default"/>
        <w:b/>
      </w:rPr>
    </w:lvl>
    <w:lvl w:ilvl="8">
      <w:start w:val="1"/>
      <w:numFmt w:val="decimal"/>
      <w:isLgl/>
      <w:lvlText w:val="%1.%2.%3.%4.%5.%6.%7.%8.%9."/>
      <w:lvlJc w:val="left"/>
      <w:pPr>
        <w:ind w:left="4432"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E2E1A"/>
    <w:rsid w:val="001F771D"/>
    <w:rsid w:val="002072D4"/>
    <w:rsid w:val="00223170"/>
    <w:rsid w:val="00231BB4"/>
    <w:rsid w:val="00233F2B"/>
    <w:rsid w:val="00234742"/>
    <w:rsid w:val="00254F44"/>
    <w:rsid w:val="0025591C"/>
    <w:rsid w:val="00272D2C"/>
    <w:rsid w:val="00276A9F"/>
    <w:rsid w:val="00287A26"/>
    <w:rsid w:val="002E4BE9"/>
    <w:rsid w:val="002E4D7F"/>
    <w:rsid w:val="00304738"/>
    <w:rsid w:val="00341A26"/>
    <w:rsid w:val="00354655"/>
    <w:rsid w:val="00356985"/>
    <w:rsid w:val="00356B95"/>
    <w:rsid w:val="003A415E"/>
    <w:rsid w:val="00460271"/>
    <w:rsid w:val="00463B15"/>
    <w:rsid w:val="00467320"/>
    <w:rsid w:val="0048348F"/>
    <w:rsid w:val="004D0E7C"/>
    <w:rsid w:val="005222A8"/>
    <w:rsid w:val="00531DC9"/>
    <w:rsid w:val="005433B8"/>
    <w:rsid w:val="00550113"/>
    <w:rsid w:val="0056705B"/>
    <w:rsid w:val="005B6E33"/>
    <w:rsid w:val="005C0C36"/>
    <w:rsid w:val="005D76B2"/>
    <w:rsid w:val="005E0745"/>
    <w:rsid w:val="00605C20"/>
    <w:rsid w:val="00653479"/>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0279"/>
    <w:rsid w:val="00952950"/>
    <w:rsid w:val="00967602"/>
    <w:rsid w:val="00971AEB"/>
    <w:rsid w:val="009859A3"/>
    <w:rsid w:val="00996D2F"/>
    <w:rsid w:val="009F55DF"/>
    <w:rsid w:val="00A0504A"/>
    <w:rsid w:val="00A052C6"/>
    <w:rsid w:val="00A41C4D"/>
    <w:rsid w:val="00A546D7"/>
    <w:rsid w:val="00A84B16"/>
    <w:rsid w:val="00A93FE3"/>
    <w:rsid w:val="00AB055F"/>
    <w:rsid w:val="00AD504C"/>
    <w:rsid w:val="00B12D28"/>
    <w:rsid w:val="00B512A7"/>
    <w:rsid w:val="00B6455C"/>
    <w:rsid w:val="00BC54A6"/>
    <w:rsid w:val="00C02925"/>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D5F3C"/>
    <w:rsid w:val="00EF0ECF"/>
    <w:rsid w:val="00F07DCB"/>
    <w:rsid w:val="00F10175"/>
    <w:rsid w:val="00F3576B"/>
    <w:rsid w:val="00F461D1"/>
    <w:rsid w:val="00F57EE7"/>
    <w:rsid w:val="00F66045"/>
    <w:rsid w:val="00FB30A0"/>
    <w:rsid w:val="00FB40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4E5FA6D1-40C3-4D78-B8DB-A0C5E12A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287A26"/>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287A26"/>
    <w:pPr>
      <w:ind w:left="708"/>
    </w:pPr>
  </w:style>
  <w:style w:type="table" w:customStyle="1" w:styleId="TableGrid">
    <w:name w:val="TableGrid"/>
    <w:rsid w:val="00287A26"/>
    <w:rPr>
      <w:rFonts w:ascii="Calibri" w:hAnsi="Calibri"/>
      <w:sz w:val="22"/>
      <w:szCs w:val="22"/>
      <w:lang w:val="es-ES" w:eastAsia="es-ES"/>
    </w:rPr>
    <w:tblPr>
      <w:tblCellMar>
        <w:top w:w="0" w:type="dxa"/>
        <w:left w:w="0" w:type="dxa"/>
        <w:bottom w:w="0" w:type="dxa"/>
        <w:right w:w="0" w:type="dxa"/>
      </w:tblCellMar>
    </w:tblPr>
  </w:style>
  <w:style w:type="paragraph" w:styleId="Textoindependiente2">
    <w:name w:val="Body Text 2"/>
    <w:basedOn w:val="Normal"/>
    <w:link w:val="Textoindependiente2Car"/>
    <w:rsid w:val="00287A26"/>
    <w:pPr>
      <w:overflowPunct w:val="0"/>
      <w:autoSpaceDE w:val="0"/>
      <w:autoSpaceDN w:val="0"/>
      <w:adjustRightInd w:val="0"/>
      <w:spacing w:line="480" w:lineRule="auto"/>
      <w:jc w:val="both"/>
      <w:textAlignment w:val="baseline"/>
    </w:pPr>
    <w:rPr>
      <w:rFonts w:ascii="Garmond (W1)" w:hAnsi="Garmond (W1)"/>
      <w:sz w:val="14"/>
      <w:szCs w:val="20"/>
      <w:lang w:eastAsia="es-CO"/>
    </w:rPr>
  </w:style>
  <w:style w:type="character" w:customStyle="1" w:styleId="Textoindependiente2Car">
    <w:name w:val="Texto independiente 2 Car"/>
    <w:link w:val="Textoindependiente2"/>
    <w:rsid w:val="00287A26"/>
    <w:rPr>
      <w:rFonts w:ascii="Garmond (W1)" w:hAnsi="Garmond (W1)"/>
      <w:sz w:val="14"/>
      <w:lang w:val="es-ES"/>
    </w:rPr>
  </w:style>
  <w:style w:type="paragraph" w:styleId="NormalWeb">
    <w:name w:val="Normal (Web)"/>
    <w:basedOn w:val="Normal"/>
    <w:rsid w:val="00287A26"/>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2435</Words>
  <Characters>13398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15802</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2019-02-18T21:06:00Z</dcterms:created>
  <dcterms:modified xsi:type="dcterms:W3CDTF">2019-02-18T21:06:00Z</dcterms:modified>
</cp:coreProperties>
</file>