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792CFA">
      <w:pPr>
        <w:ind w:left="708" w:hanging="708"/>
        <w:jc w:val="center"/>
        <w:rPr>
          <w:rFonts w:ascii="Arial" w:hAnsi="Arial" w:cs="Arial"/>
          <w:sz w:val="22"/>
          <w:szCs w:val="22"/>
          <w:lang w:val="es-CO"/>
        </w:rPr>
      </w:pPr>
      <w:bookmarkStart w:id="0" w:name="_GoBack"/>
      <w:bookmarkEnd w:id="0"/>
      <w:r w:rsidRPr="008F1A87">
        <w:rPr>
          <w:rFonts w:ascii="Arial" w:hAnsi="Arial" w:cs="Arial"/>
          <w:sz w:val="22"/>
          <w:szCs w:val="22"/>
          <w:lang w:val="es-CO"/>
        </w:rPr>
        <w:t xml:space="preserve">RESOLUCION No. </w:t>
      </w:r>
      <w:r w:rsidR="007F4250">
        <w:rPr>
          <w:rFonts w:ascii="Arial" w:hAnsi="Arial" w:cs="Arial"/>
          <w:sz w:val="22"/>
          <w:szCs w:val="22"/>
          <w:lang w:val="es-CO"/>
        </w:rPr>
        <w:t>CSJMER19-24</w:t>
      </w:r>
    </w:p>
    <w:p w:rsidR="00967602" w:rsidRPr="008F1A87" w:rsidRDefault="007F4250" w:rsidP="005E0745">
      <w:pPr>
        <w:jc w:val="center"/>
        <w:rPr>
          <w:rFonts w:ascii="Arial" w:hAnsi="Arial" w:cs="Arial"/>
          <w:sz w:val="22"/>
          <w:szCs w:val="22"/>
          <w:lang w:val="es-CO"/>
        </w:rPr>
      </w:pPr>
      <w:r>
        <w:rPr>
          <w:rFonts w:ascii="Arial" w:hAnsi="Arial" w:cs="Arial"/>
          <w:sz w:val="22"/>
          <w:szCs w:val="22"/>
          <w:lang w:val="es-CO"/>
        </w:rPr>
        <w:t>28 de enero de 2019</w:t>
      </w:r>
    </w:p>
    <w:p w:rsidR="005D76B2" w:rsidRDefault="005D76B2" w:rsidP="005E0745">
      <w:pPr>
        <w:jc w:val="center"/>
        <w:rPr>
          <w:rFonts w:ascii="Arial" w:hAnsi="Arial" w:cs="Arial"/>
          <w:sz w:val="22"/>
          <w:szCs w:val="22"/>
          <w:lang w:val="es-CO"/>
        </w:rPr>
      </w:pPr>
    </w:p>
    <w:p w:rsidR="0055268D" w:rsidRPr="004E2E67" w:rsidRDefault="0055268D" w:rsidP="0055268D">
      <w:pPr>
        <w:jc w:val="center"/>
        <w:rPr>
          <w:rFonts w:ascii="Arial" w:hAnsi="Arial" w:cs="Arial"/>
          <w:i/>
          <w:color w:val="171717"/>
          <w:sz w:val="22"/>
          <w:szCs w:val="22"/>
          <w:lang w:val="es-CO"/>
        </w:rPr>
      </w:pPr>
      <w:r w:rsidRPr="004E2E67">
        <w:rPr>
          <w:rFonts w:ascii="Arial" w:hAnsi="Arial" w:cs="Arial"/>
          <w:i/>
          <w:color w:val="171717"/>
          <w:sz w:val="22"/>
          <w:szCs w:val="22"/>
          <w:lang w:val="es-CO"/>
        </w:rPr>
        <w:t xml:space="preserve"> “Por medio de la cual se resuelve el recurso de reposición contra el factor organización del trabajo de la calificación integral de servicios del periodo 2017 de la Juez Segundo Promiscuo Municipal de Puerto Carreño - Vichada”</w:t>
      </w:r>
    </w:p>
    <w:p w:rsidR="0055268D" w:rsidRPr="004E2E67" w:rsidRDefault="0055268D" w:rsidP="0055268D">
      <w:pPr>
        <w:jc w:val="center"/>
        <w:rPr>
          <w:rFonts w:ascii="Arial" w:hAnsi="Arial" w:cs="Arial"/>
          <w:color w:val="171717"/>
          <w:sz w:val="22"/>
          <w:szCs w:val="22"/>
          <w:lang w:val="es-CO"/>
        </w:rPr>
      </w:pPr>
    </w:p>
    <w:p w:rsidR="0055268D" w:rsidRPr="004E2E67" w:rsidRDefault="0055268D" w:rsidP="0055268D">
      <w:pPr>
        <w:jc w:val="center"/>
        <w:rPr>
          <w:rFonts w:ascii="Arial" w:hAnsi="Arial" w:cs="Arial"/>
          <w:color w:val="171717"/>
          <w:sz w:val="22"/>
          <w:szCs w:val="22"/>
          <w:lang w:val="es-CO"/>
        </w:rPr>
      </w:pPr>
    </w:p>
    <w:p w:rsidR="0055268D" w:rsidRPr="004E2E67" w:rsidRDefault="0055268D" w:rsidP="0055268D">
      <w:pPr>
        <w:jc w:val="center"/>
        <w:rPr>
          <w:rFonts w:ascii="Arial" w:hAnsi="Arial" w:cs="Arial"/>
          <w:b/>
          <w:color w:val="171717"/>
          <w:sz w:val="22"/>
          <w:szCs w:val="22"/>
          <w:lang w:val="es-CO"/>
        </w:rPr>
      </w:pPr>
      <w:r w:rsidRPr="004E2E67">
        <w:rPr>
          <w:rFonts w:ascii="Arial" w:hAnsi="Arial" w:cs="Arial"/>
          <w:b/>
          <w:color w:val="171717"/>
          <w:sz w:val="22"/>
          <w:szCs w:val="22"/>
          <w:lang w:val="es-CO"/>
        </w:rPr>
        <w:t>EL CONSEJO SECCIONAL DE LA JUDICATURA DEL META</w:t>
      </w:r>
    </w:p>
    <w:p w:rsidR="0055268D" w:rsidRPr="004E2E67" w:rsidRDefault="0055268D" w:rsidP="0055268D">
      <w:pPr>
        <w:rPr>
          <w:rFonts w:ascii="Arial" w:hAnsi="Arial" w:cs="Arial"/>
          <w:color w:val="171717"/>
          <w:sz w:val="22"/>
          <w:szCs w:val="22"/>
          <w:lang w:val="es-CO"/>
        </w:rPr>
      </w:pPr>
    </w:p>
    <w:p w:rsidR="0055268D" w:rsidRPr="004E2E67" w:rsidRDefault="0055268D" w:rsidP="0055268D">
      <w:pPr>
        <w:jc w:val="both"/>
        <w:rPr>
          <w:rFonts w:ascii="Arial" w:hAnsi="Arial" w:cs="Arial"/>
          <w:color w:val="171717"/>
          <w:sz w:val="22"/>
          <w:szCs w:val="22"/>
          <w:lang w:val="es-CO"/>
        </w:rPr>
      </w:pPr>
      <w:r w:rsidRPr="004E2E67">
        <w:rPr>
          <w:rFonts w:ascii="Arial" w:hAnsi="Arial" w:cs="Arial"/>
          <w:color w:val="171717"/>
          <w:sz w:val="22"/>
          <w:szCs w:val="22"/>
          <w:lang w:val="es-CO"/>
        </w:rPr>
        <w:t>En ejercicio de sus facultades constitucionales, legales y reglamentarias, en especial de las conferidas en el artículo 101 de la Ley 270 de 1996 y las del Acuerdo PSAA16-10618 de 7 de diciembre de 2016, proferido por el Consejo Superior de la Judicatura y con fundamento en los directrices que para tal efecto ha desarrollado la Corte Constitucional, se procede a resolver el recurso de reposición interpuesto contra la calificación integral de servicios del periodo 2017, interpuesto por parte de la servidora judicial Dora Elcy Espitia Murcia, en su calidad de Juez Segundo Promiscuo Municipal de Puerto Carreño - Vichada. Para adoptar la decisión se deben tener en cuenta los siguientes:</w:t>
      </w:r>
    </w:p>
    <w:p w:rsidR="0055268D" w:rsidRPr="004E2E67" w:rsidRDefault="0055268D" w:rsidP="0055268D">
      <w:pPr>
        <w:rPr>
          <w:rFonts w:ascii="Arial" w:hAnsi="Arial" w:cs="Arial"/>
          <w:b/>
          <w:color w:val="171717"/>
          <w:sz w:val="22"/>
          <w:szCs w:val="22"/>
          <w:lang w:val="es-CO"/>
        </w:rPr>
      </w:pPr>
    </w:p>
    <w:p w:rsidR="0055268D" w:rsidRPr="004E2E67" w:rsidRDefault="0055268D" w:rsidP="0055268D">
      <w:pPr>
        <w:rPr>
          <w:rFonts w:ascii="Arial" w:hAnsi="Arial" w:cs="Arial"/>
          <w:b/>
          <w:color w:val="171717"/>
          <w:sz w:val="22"/>
          <w:szCs w:val="22"/>
          <w:lang w:val="es-CO"/>
        </w:rPr>
      </w:pPr>
    </w:p>
    <w:p w:rsidR="0055268D" w:rsidRPr="004E2E67" w:rsidRDefault="0055268D" w:rsidP="0055268D">
      <w:pPr>
        <w:pStyle w:val="Prrafodelista"/>
        <w:numPr>
          <w:ilvl w:val="0"/>
          <w:numId w:val="1"/>
        </w:numPr>
        <w:tabs>
          <w:tab w:val="left" w:pos="3686"/>
        </w:tabs>
        <w:rPr>
          <w:rFonts w:ascii="Arial" w:hAnsi="Arial" w:cs="Arial"/>
          <w:b/>
          <w:color w:val="171717"/>
          <w:sz w:val="22"/>
          <w:szCs w:val="22"/>
          <w:lang w:val="es-CO"/>
        </w:rPr>
      </w:pPr>
      <w:r w:rsidRPr="004E2E67">
        <w:rPr>
          <w:rFonts w:ascii="Arial" w:hAnsi="Arial" w:cs="Arial"/>
          <w:b/>
          <w:color w:val="171717"/>
          <w:sz w:val="22"/>
          <w:szCs w:val="22"/>
          <w:lang w:val="es-CO"/>
        </w:rPr>
        <w:t>ANTECEDENTES</w:t>
      </w:r>
    </w:p>
    <w:p w:rsidR="0055268D" w:rsidRPr="004E2E67" w:rsidRDefault="0055268D" w:rsidP="0055268D">
      <w:pPr>
        <w:rPr>
          <w:rFonts w:ascii="Arial" w:hAnsi="Arial" w:cs="Arial"/>
          <w:b/>
          <w:color w:val="171717"/>
          <w:sz w:val="22"/>
          <w:szCs w:val="22"/>
          <w:lang w:val="es-CO"/>
        </w:rPr>
      </w:pPr>
    </w:p>
    <w:p w:rsidR="0055268D" w:rsidRPr="004E2E67" w:rsidRDefault="0055268D" w:rsidP="0055268D">
      <w:pPr>
        <w:pStyle w:val="Prrafodelista"/>
        <w:numPr>
          <w:ilvl w:val="1"/>
          <w:numId w:val="1"/>
        </w:numPr>
        <w:jc w:val="both"/>
        <w:rPr>
          <w:rFonts w:ascii="Arial" w:hAnsi="Arial" w:cs="Arial"/>
          <w:color w:val="171717"/>
          <w:sz w:val="22"/>
          <w:szCs w:val="22"/>
          <w:lang w:val="es-CO"/>
        </w:rPr>
      </w:pPr>
      <w:r w:rsidRPr="004E2E67">
        <w:rPr>
          <w:rFonts w:ascii="Arial" w:hAnsi="Arial" w:cs="Arial"/>
          <w:b/>
          <w:color w:val="171717"/>
          <w:sz w:val="22"/>
          <w:szCs w:val="22"/>
          <w:lang w:val="es-CO"/>
        </w:rPr>
        <w:t>Sobre el recurso:</w:t>
      </w:r>
    </w:p>
    <w:p w:rsidR="0055268D" w:rsidRPr="004E2E67" w:rsidRDefault="0055268D" w:rsidP="0055268D">
      <w:pPr>
        <w:jc w:val="both"/>
        <w:rPr>
          <w:rFonts w:ascii="Arial" w:hAnsi="Arial" w:cs="Arial"/>
          <w:color w:val="171717"/>
          <w:sz w:val="22"/>
          <w:szCs w:val="22"/>
          <w:lang w:val="es-CO"/>
        </w:rPr>
      </w:pPr>
    </w:p>
    <w:p w:rsidR="0055268D" w:rsidRPr="004E2E67" w:rsidRDefault="0055268D" w:rsidP="0055268D">
      <w:pPr>
        <w:jc w:val="both"/>
        <w:rPr>
          <w:rFonts w:ascii="Arial" w:hAnsi="Arial" w:cs="Arial"/>
          <w:color w:val="171717"/>
          <w:sz w:val="22"/>
          <w:szCs w:val="22"/>
          <w:lang w:val="es-CO"/>
        </w:rPr>
      </w:pPr>
      <w:r w:rsidRPr="004E2E67">
        <w:rPr>
          <w:rFonts w:ascii="Arial" w:hAnsi="Arial" w:cs="Arial"/>
          <w:color w:val="171717"/>
          <w:sz w:val="22"/>
          <w:szCs w:val="22"/>
          <w:lang w:val="es-CO"/>
        </w:rPr>
        <w:t>Mediante Acto Administrativo de 31 de octubre de 2018, el Consejo Seccional realizó la calificación Integral de servicios de la funcionario judicial Dora Elcy Espitia Murcia, en su calidad de Juez Segundo Promiscuo Municipal de Puerto Carreño - Vichada, cuyo resultado fue notificado por intermedio de la Secretaría de ese estrado judicial, el día 20 de noviembre de 2018, con un puntaje correspondiente a ochenta y nueve (89) puntos.</w:t>
      </w:r>
    </w:p>
    <w:p w:rsidR="0055268D" w:rsidRPr="004E2E67" w:rsidRDefault="0055268D" w:rsidP="0055268D">
      <w:pPr>
        <w:jc w:val="both"/>
        <w:rPr>
          <w:rFonts w:ascii="Arial" w:hAnsi="Arial" w:cs="Arial"/>
          <w:color w:val="171717"/>
          <w:sz w:val="22"/>
          <w:szCs w:val="22"/>
          <w:lang w:val="es-CO"/>
        </w:rPr>
      </w:pPr>
    </w:p>
    <w:p w:rsidR="0055268D" w:rsidRPr="004E2E67" w:rsidRDefault="0055268D" w:rsidP="0055268D">
      <w:pPr>
        <w:jc w:val="both"/>
        <w:rPr>
          <w:rFonts w:ascii="Arial" w:hAnsi="Arial" w:cs="Arial"/>
          <w:color w:val="171717"/>
          <w:sz w:val="22"/>
          <w:szCs w:val="22"/>
          <w:lang w:val="es-CO"/>
        </w:rPr>
      </w:pPr>
      <w:r w:rsidRPr="004E2E67">
        <w:rPr>
          <w:rFonts w:ascii="Arial" w:hAnsi="Arial" w:cs="Arial"/>
          <w:color w:val="171717"/>
          <w:sz w:val="22"/>
          <w:szCs w:val="22"/>
          <w:lang w:val="es-CO"/>
        </w:rPr>
        <w:t>Esta decisión fue objeto del recurso de reposición, por parte de la servidora judicial, el cual fue presentado dentro del término legal establecido, sustentando su inconformidad en lo siguiente:</w:t>
      </w:r>
    </w:p>
    <w:p w:rsidR="0055268D" w:rsidRPr="004E2E67" w:rsidRDefault="0055268D" w:rsidP="0055268D">
      <w:pPr>
        <w:jc w:val="both"/>
        <w:rPr>
          <w:rFonts w:ascii="Arial" w:hAnsi="Arial" w:cs="Arial"/>
          <w:color w:val="171717"/>
          <w:sz w:val="22"/>
          <w:szCs w:val="22"/>
          <w:lang w:val="es-CO"/>
        </w:rPr>
      </w:pPr>
    </w:p>
    <w:p w:rsidR="0055268D" w:rsidRPr="004E2E67" w:rsidRDefault="0055268D" w:rsidP="0055268D">
      <w:pPr>
        <w:jc w:val="both"/>
        <w:rPr>
          <w:rFonts w:ascii="Arial" w:hAnsi="Arial" w:cs="Arial"/>
          <w:b/>
          <w:color w:val="171717"/>
          <w:sz w:val="22"/>
          <w:szCs w:val="22"/>
          <w:lang w:val="es-CO"/>
        </w:rPr>
      </w:pPr>
    </w:p>
    <w:p w:rsidR="0055268D" w:rsidRPr="004E2E67" w:rsidRDefault="0055268D" w:rsidP="0055268D">
      <w:pPr>
        <w:pStyle w:val="Prrafodelista"/>
        <w:numPr>
          <w:ilvl w:val="1"/>
          <w:numId w:val="1"/>
        </w:numPr>
        <w:jc w:val="both"/>
        <w:rPr>
          <w:rFonts w:ascii="Arial" w:hAnsi="Arial" w:cs="Arial"/>
          <w:b/>
          <w:color w:val="171717"/>
          <w:sz w:val="22"/>
          <w:szCs w:val="22"/>
          <w:lang w:val="es-CO"/>
        </w:rPr>
      </w:pPr>
      <w:r w:rsidRPr="004E2E67">
        <w:rPr>
          <w:rFonts w:ascii="Arial" w:hAnsi="Arial" w:cs="Arial"/>
          <w:b/>
          <w:color w:val="171717"/>
          <w:sz w:val="22"/>
          <w:szCs w:val="22"/>
          <w:lang w:val="es-CO"/>
        </w:rPr>
        <w:t>Fundamentos del Recurso:</w:t>
      </w:r>
    </w:p>
    <w:p w:rsidR="0055268D" w:rsidRPr="004E2E67" w:rsidRDefault="0055268D" w:rsidP="0055268D">
      <w:pPr>
        <w:pStyle w:val="Prrafodelista"/>
        <w:tabs>
          <w:tab w:val="left" w:pos="284"/>
        </w:tabs>
        <w:ind w:left="0"/>
        <w:jc w:val="both"/>
        <w:rPr>
          <w:rFonts w:ascii="Arial" w:hAnsi="Arial" w:cs="Arial"/>
          <w:color w:val="171717"/>
          <w:sz w:val="22"/>
          <w:szCs w:val="22"/>
          <w:lang w:val="es-CO"/>
        </w:rPr>
      </w:pPr>
    </w:p>
    <w:p w:rsidR="0055268D" w:rsidRPr="004E2E67" w:rsidRDefault="0055268D" w:rsidP="0055268D">
      <w:pPr>
        <w:pStyle w:val="Prrafodelista"/>
        <w:tabs>
          <w:tab w:val="left" w:pos="284"/>
        </w:tabs>
        <w:ind w:left="0"/>
        <w:jc w:val="both"/>
        <w:rPr>
          <w:rFonts w:ascii="Arial" w:hAnsi="Arial" w:cs="Arial"/>
          <w:color w:val="171717"/>
          <w:sz w:val="22"/>
          <w:szCs w:val="22"/>
          <w:lang w:val="es-CO"/>
        </w:rPr>
      </w:pPr>
      <w:r w:rsidRPr="004E2E67">
        <w:rPr>
          <w:rFonts w:ascii="Arial" w:hAnsi="Arial" w:cs="Arial"/>
          <w:color w:val="171717"/>
          <w:sz w:val="22"/>
          <w:szCs w:val="22"/>
          <w:lang w:val="es-CO"/>
        </w:rPr>
        <w:t xml:space="preserve">Respecto del factor </w:t>
      </w:r>
      <w:r w:rsidRPr="004E2E67">
        <w:rPr>
          <w:rFonts w:ascii="Arial" w:hAnsi="Arial" w:cs="Arial"/>
          <w:b/>
          <w:color w:val="171717"/>
          <w:sz w:val="22"/>
          <w:szCs w:val="22"/>
          <w:lang w:val="es-CO"/>
        </w:rPr>
        <w:t xml:space="preserve">ORGANIZACIÓN DEL TRABAJO, </w:t>
      </w:r>
      <w:r w:rsidRPr="004E2E67">
        <w:rPr>
          <w:rFonts w:ascii="Arial" w:hAnsi="Arial" w:cs="Arial"/>
          <w:color w:val="171717"/>
          <w:sz w:val="22"/>
          <w:szCs w:val="22"/>
          <w:lang w:val="es-CO"/>
        </w:rPr>
        <w:t xml:space="preserve">señala que el puntaje obtenido no corresponde a la organización que ha mantenido en el Despacho Judicial, toda vez que fue calificada con 11 puntos sobre un máximo de 18 puntos, equivalentes a un porcentaje aproximado de 61% del máximo esperado, disminuyendo a su vez en un 39%, ubicándola por debajo de la excelencia que siempre procura mantener en el cumplimiento de sus funciones, especialmente, en la organización del despacho. Adicionalmente, manifiesta que la motivación de la calificación no es congruente con el puntaje del factor objetado y que de los compromisos dejados ya se han cumplido algunos. </w:t>
      </w:r>
    </w:p>
    <w:p w:rsidR="0055268D" w:rsidRPr="004E2E67" w:rsidRDefault="0055268D" w:rsidP="0055268D">
      <w:pPr>
        <w:pStyle w:val="Prrafodelista"/>
        <w:tabs>
          <w:tab w:val="left" w:pos="2010"/>
        </w:tabs>
        <w:rPr>
          <w:rFonts w:ascii="Arial" w:hAnsi="Arial" w:cs="Arial"/>
          <w:color w:val="171717"/>
          <w:sz w:val="22"/>
          <w:szCs w:val="22"/>
          <w:lang w:val="es-CO"/>
        </w:rPr>
      </w:pPr>
    </w:p>
    <w:p w:rsidR="0055268D" w:rsidRPr="004E2E67" w:rsidRDefault="0055268D" w:rsidP="0055268D">
      <w:pPr>
        <w:pStyle w:val="Prrafodelista"/>
        <w:tabs>
          <w:tab w:val="left" w:pos="2010"/>
        </w:tabs>
        <w:rPr>
          <w:rFonts w:ascii="Arial" w:hAnsi="Arial" w:cs="Arial"/>
          <w:b/>
          <w:color w:val="171717"/>
          <w:sz w:val="20"/>
          <w:szCs w:val="20"/>
          <w:lang w:val="es-CO"/>
        </w:rPr>
      </w:pPr>
      <w:r w:rsidRPr="004E2E67">
        <w:rPr>
          <w:rFonts w:ascii="Arial" w:hAnsi="Arial" w:cs="Arial"/>
          <w:b/>
          <w:color w:val="171717"/>
          <w:sz w:val="20"/>
          <w:szCs w:val="20"/>
          <w:lang w:val="es-CO"/>
        </w:rPr>
        <w:lastRenderedPageBreak/>
        <w:t>EN ORDEN A RESOLVER SE CONSIDERA</w:t>
      </w:r>
    </w:p>
    <w:p w:rsidR="0055268D" w:rsidRPr="004E2E67" w:rsidRDefault="0055268D" w:rsidP="0055268D">
      <w:pPr>
        <w:pStyle w:val="Prrafodelista"/>
        <w:tabs>
          <w:tab w:val="left" w:pos="284"/>
        </w:tabs>
        <w:ind w:left="1080"/>
        <w:rPr>
          <w:rFonts w:ascii="Arial" w:hAnsi="Arial" w:cs="Arial"/>
          <w:b/>
          <w:color w:val="171717"/>
          <w:sz w:val="20"/>
          <w:szCs w:val="20"/>
          <w:lang w:val="es-CO"/>
        </w:rPr>
      </w:pPr>
    </w:p>
    <w:p w:rsidR="0055268D" w:rsidRPr="004E2E67" w:rsidRDefault="0055268D" w:rsidP="0055268D">
      <w:pPr>
        <w:tabs>
          <w:tab w:val="left" w:pos="284"/>
        </w:tabs>
        <w:jc w:val="both"/>
        <w:rPr>
          <w:rFonts w:ascii="Arial" w:hAnsi="Arial" w:cs="Arial"/>
          <w:color w:val="171717"/>
          <w:sz w:val="20"/>
          <w:szCs w:val="20"/>
          <w:lang w:val="es-CO"/>
        </w:rPr>
      </w:pPr>
    </w:p>
    <w:p w:rsidR="0055268D" w:rsidRPr="004E2E67" w:rsidRDefault="0055268D" w:rsidP="0055268D">
      <w:pPr>
        <w:pStyle w:val="Default"/>
        <w:numPr>
          <w:ilvl w:val="1"/>
          <w:numId w:val="1"/>
        </w:numPr>
        <w:rPr>
          <w:b/>
          <w:bCs/>
          <w:color w:val="171717"/>
          <w:sz w:val="22"/>
          <w:szCs w:val="22"/>
        </w:rPr>
      </w:pPr>
      <w:r w:rsidRPr="004E2E67">
        <w:rPr>
          <w:b/>
          <w:bCs/>
          <w:color w:val="171717"/>
          <w:sz w:val="22"/>
          <w:szCs w:val="22"/>
        </w:rPr>
        <w:t xml:space="preserve">Marco Normativo </w:t>
      </w:r>
    </w:p>
    <w:p w:rsidR="0055268D" w:rsidRPr="004E2E67" w:rsidRDefault="0055268D" w:rsidP="0055268D">
      <w:pPr>
        <w:pStyle w:val="Default"/>
        <w:jc w:val="both"/>
        <w:rPr>
          <w:color w:val="171717"/>
          <w:sz w:val="16"/>
          <w:szCs w:val="16"/>
        </w:rPr>
      </w:pPr>
    </w:p>
    <w:p w:rsidR="0055268D" w:rsidRPr="004E2E67" w:rsidRDefault="0055268D" w:rsidP="0055268D">
      <w:pPr>
        <w:pStyle w:val="Default"/>
        <w:jc w:val="both"/>
        <w:rPr>
          <w:color w:val="171717"/>
          <w:sz w:val="22"/>
          <w:szCs w:val="22"/>
        </w:rPr>
      </w:pPr>
      <w:r w:rsidRPr="004E2E67">
        <w:rPr>
          <w:color w:val="171717"/>
          <w:sz w:val="22"/>
          <w:szCs w:val="22"/>
        </w:rPr>
        <w:t xml:space="preserve">La Ley 270 de 1996 en su artículo 170 establece que la evaluación de servicios de los servidores judiciales debe hacerse de conformidad con el reglamento que expida el Consejo Superior de la Judicatura, deberá ser motivada y resultante de un control permanente del desempeño del funcionario o empleado, dicha calificación comprenderá los Factores Calidad, Eficiencia o Rendimiento, Organización del Trabajo y Publicaciones. </w:t>
      </w:r>
    </w:p>
    <w:p w:rsidR="0055268D" w:rsidRPr="004E2E67" w:rsidRDefault="0055268D" w:rsidP="0055268D">
      <w:pPr>
        <w:jc w:val="both"/>
        <w:rPr>
          <w:rFonts w:ascii="Arial" w:hAnsi="Arial" w:cs="Arial"/>
          <w:color w:val="171717"/>
          <w:sz w:val="22"/>
          <w:szCs w:val="22"/>
        </w:rPr>
      </w:pPr>
    </w:p>
    <w:p w:rsidR="0055268D" w:rsidRPr="004E2E67" w:rsidRDefault="0055268D" w:rsidP="0055268D">
      <w:pPr>
        <w:jc w:val="both"/>
        <w:rPr>
          <w:rFonts w:ascii="Arial" w:hAnsi="Arial" w:cs="Arial"/>
          <w:color w:val="171717"/>
          <w:sz w:val="22"/>
          <w:szCs w:val="22"/>
        </w:rPr>
      </w:pPr>
      <w:r w:rsidRPr="004E2E67">
        <w:rPr>
          <w:rFonts w:ascii="Arial" w:hAnsi="Arial" w:cs="Arial"/>
          <w:bCs/>
          <w:color w:val="171717"/>
          <w:sz w:val="22"/>
          <w:szCs w:val="22"/>
        </w:rPr>
        <w:t>El Conse</w:t>
      </w:r>
      <w:r w:rsidRPr="004E2E67">
        <w:rPr>
          <w:rFonts w:ascii="Arial" w:hAnsi="Arial" w:cs="Arial"/>
          <w:color w:val="171717"/>
          <w:sz w:val="22"/>
          <w:szCs w:val="22"/>
        </w:rPr>
        <w:t xml:space="preserve">jo Superior de la Judicatura mediante </w:t>
      </w:r>
      <w:r w:rsidRPr="004E2E67">
        <w:rPr>
          <w:rFonts w:ascii="Arial" w:hAnsi="Arial" w:cs="Arial"/>
          <w:bCs/>
          <w:color w:val="171717"/>
          <w:sz w:val="22"/>
          <w:szCs w:val="22"/>
        </w:rPr>
        <w:t>Acuerdo PSAA16-10618 de 7 de diciembre de 2016</w:t>
      </w:r>
      <w:r w:rsidRPr="004E2E67">
        <w:rPr>
          <w:rFonts w:ascii="Arial" w:hAnsi="Arial" w:cs="Arial"/>
          <w:b/>
          <w:bCs/>
          <w:color w:val="171717"/>
          <w:sz w:val="22"/>
          <w:szCs w:val="22"/>
        </w:rPr>
        <w:t xml:space="preserve">, </w:t>
      </w:r>
      <w:r w:rsidRPr="004E2E67">
        <w:rPr>
          <w:rFonts w:ascii="Arial" w:hAnsi="Arial" w:cs="Arial"/>
          <w:color w:val="171717"/>
          <w:sz w:val="22"/>
          <w:szCs w:val="22"/>
        </w:rPr>
        <w:t xml:space="preserve">reglamentó la Calificación Integral de Servicios de los funcionarios y empleados de la Rama Judicial, fijando parámetros y directrices generales con el objetivo de verificar que los servidores mantengan en el desempeño de sus funciones, los niveles de idoneidad, calidad y eficiencia que justifiquen la permanencia en el cargo, cuya aplicabilidad se establece para calificar el periodo del año 2017, para lo cual en el artículo 22 del Acuerdo en mención, se observan los puntajes máximos para cada factor, así: Calidad: hasta 42 puntos; Eficiencia o rendimiento: hasta 45 puntos; Organización del trabajo: hasta 12 puntos; Publicaciones: hasta 1 puntos. </w:t>
      </w:r>
    </w:p>
    <w:p w:rsidR="0055268D" w:rsidRPr="004E2E67" w:rsidRDefault="0055268D" w:rsidP="0055268D">
      <w:pPr>
        <w:pStyle w:val="Default"/>
        <w:ind w:left="2124"/>
        <w:jc w:val="both"/>
        <w:rPr>
          <w:color w:val="171717"/>
          <w:sz w:val="22"/>
          <w:szCs w:val="22"/>
        </w:rPr>
      </w:pPr>
    </w:p>
    <w:p w:rsidR="0055268D" w:rsidRPr="004E2E67" w:rsidRDefault="0055268D" w:rsidP="0055268D">
      <w:pPr>
        <w:pStyle w:val="Default"/>
        <w:jc w:val="both"/>
        <w:rPr>
          <w:color w:val="171717"/>
          <w:sz w:val="22"/>
          <w:szCs w:val="22"/>
        </w:rPr>
      </w:pPr>
      <w:r w:rsidRPr="004E2E67">
        <w:rPr>
          <w:color w:val="171717"/>
          <w:sz w:val="22"/>
          <w:szCs w:val="22"/>
        </w:rPr>
        <w:t xml:space="preserve">El Acuerdo </w:t>
      </w:r>
      <w:r w:rsidRPr="004E2E67">
        <w:rPr>
          <w:bCs/>
          <w:color w:val="171717"/>
          <w:sz w:val="22"/>
          <w:szCs w:val="22"/>
        </w:rPr>
        <w:t xml:space="preserve">PSAA16-10618 </w:t>
      </w:r>
      <w:r w:rsidRPr="004E2E67">
        <w:rPr>
          <w:color w:val="171717"/>
          <w:sz w:val="22"/>
          <w:szCs w:val="22"/>
        </w:rPr>
        <w:t>en su artículo 27 contempla la procedencia de los recursos en sede administrativa contra la calificación integral de servicios, conforme lo previsto en el Código de Procedimiento Administrativo y de lo Contencioso Administrativo.</w:t>
      </w:r>
    </w:p>
    <w:p w:rsidR="0055268D" w:rsidRPr="004E2E67" w:rsidRDefault="0055268D" w:rsidP="0055268D">
      <w:pPr>
        <w:ind w:left="708" w:right="760"/>
        <w:jc w:val="both"/>
        <w:rPr>
          <w:rFonts w:ascii="Arial" w:hAnsi="Arial" w:cs="Arial"/>
          <w:bCs/>
          <w:iCs/>
          <w:color w:val="171717"/>
          <w:sz w:val="2"/>
          <w:szCs w:val="2"/>
        </w:rPr>
      </w:pPr>
    </w:p>
    <w:p w:rsidR="0055268D" w:rsidRPr="004E2E67" w:rsidRDefault="0055268D" w:rsidP="0055268D">
      <w:pPr>
        <w:ind w:left="708" w:right="760"/>
        <w:jc w:val="both"/>
        <w:rPr>
          <w:rFonts w:ascii="Arial" w:hAnsi="Arial" w:cs="Arial"/>
          <w:bCs/>
          <w:iCs/>
          <w:color w:val="171717"/>
          <w:sz w:val="2"/>
          <w:szCs w:val="2"/>
        </w:rPr>
      </w:pPr>
    </w:p>
    <w:p w:rsidR="0055268D" w:rsidRPr="004E2E67" w:rsidRDefault="0055268D" w:rsidP="0055268D">
      <w:pPr>
        <w:ind w:left="708" w:right="760"/>
        <w:jc w:val="both"/>
        <w:rPr>
          <w:rFonts w:ascii="Arial" w:hAnsi="Arial" w:cs="Arial"/>
          <w:bCs/>
          <w:iCs/>
          <w:color w:val="171717"/>
          <w:sz w:val="2"/>
          <w:szCs w:val="2"/>
        </w:rPr>
      </w:pPr>
    </w:p>
    <w:p w:rsidR="0055268D" w:rsidRPr="004E2E67" w:rsidRDefault="0055268D" w:rsidP="0055268D">
      <w:pPr>
        <w:ind w:left="708" w:right="760"/>
        <w:jc w:val="both"/>
        <w:rPr>
          <w:rFonts w:ascii="Arial" w:hAnsi="Arial" w:cs="Arial"/>
          <w:bCs/>
          <w:iCs/>
          <w:color w:val="171717"/>
          <w:sz w:val="2"/>
          <w:szCs w:val="2"/>
        </w:rPr>
      </w:pPr>
    </w:p>
    <w:p w:rsidR="0055268D" w:rsidRPr="004E2E67" w:rsidRDefault="0055268D" w:rsidP="0055268D">
      <w:pPr>
        <w:rPr>
          <w:rFonts w:ascii="Arial" w:hAnsi="Arial" w:cs="Arial"/>
          <w:color w:val="171717"/>
          <w:sz w:val="16"/>
          <w:szCs w:val="16"/>
          <w:lang w:val="es-CO"/>
        </w:rPr>
      </w:pPr>
    </w:p>
    <w:p w:rsidR="0055268D" w:rsidRPr="004E2E67" w:rsidRDefault="0055268D" w:rsidP="0055268D">
      <w:pPr>
        <w:rPr>
          <w:rFonts w:ascii="Arial" w:hAnsi="Arial" w:cs="Arial"/>
          <w:color w:val="171717"/>
          <w:sz w:val="16"/>
          <w:szCs w:val="16"/>
          <w:lang w:val="es-CO"/>
        </w:rPr>
      </w:pPr>
    </w:p>
    <w:p w:rsidR="0055268D" w:rsidRPr="004E2E67" w:rsidRDefault="0055268D" w:rsidP="0055268D">
      <w:pPr>
        <w:pStyle w:val="Prrafodelista"/>
        <w:keepNext/>
        <w:numPr>
          <w:ilvl w:val="1"/>
          <w:numId w:val="1"/>
        </w:numPr>
        <w:tabs>
          <w:tab w:val="left" w:pos="851"/>
        </w:tabs>
        <w:spacing w:line="240" w:lineRule="exact"/>
        <w:ind w:left="0" w:firstLine="0"/>
        <w:jc w:val="both"/>
        <w:outlineLvl w:val="2"/>
        <w:rPr>
          <w:rFonts w:ascii="Arial" w:hAnsi="Arial" w:cs="Arial"/>
          <w:b/>
          <w:color w:val="171717"/>
          <w:sz w:val="22"/>
          <w:szCs w:val="22"/>
          <w:lang w:val="es-CO"/>
        </w:rPr>
      </w:pPr>
      <w:r w:rsidRPr="004E2E67">
        <w:rPr>
          <w:rFonts w:ascii="Arial" w:hAnsi="Arial" w:cs="Arial"/>
          <w:b/>
          <w:color w:val="171717"/>
          <w:sz w:val="22"/>
          <w:szCs w:val="22"/>
          <w:lang w:val="es-CO"/>
        </w:rPr>
        <w:t>Competencia:</w:t>
      </w:r>
    </w:p>
    <w:p w:rsidR="0055268D" w:rsidRPr="004E2E67" w:rsidRDefault="0055268D" w:rsidP="0055268D">
      <w:pPr>
        <w:keepNext/>
        <w:spacing w:line="240" w:lineRule="exact"/>
        <w:jc w:val="both"/>
        <w:outlineLvl w:val="2"/>
        <w:rPr>
          <w:rFonts w:ascii="Arial" w:hAnsi="Arial" w:cs="Arial"/>
          <w:b/>
          <w:color w:val="171717"/>
          <w:sz w:val="22"/>
          <w:szCs w:val="22"/>
          <w:lang w:val="es-CO"/>
        </w:rPr>
      </w:pPr>
    </w:p>
    <w:p w:rsidR="0055268D" w:rsidRPr="004E2E67" w:rsidRDefault="0055268D" w:rsidP="0055268D">
      <w:pPr>
        <w:keepNext/>
        <w:spacing w:line="240" w:lineRule="exact"/>
        <w:jc w:val="both"/>
        <w:outlineLvl w:val="2"/>
        <w:rPr>
          <w:rFonts w:ascii="Arial" w:hAnsi="Arial" w:cs="Arial"/>
          <w:color w:val="171717"/>
          <w:sz w:val="22"/>
          <w:szCs w:val="22"/>
          <w:lang w:val="es-CO"/>
        </w:rPr>
      </w:pPr>
      <w:r w:rsidRPr="004E2E67">
        <w:rPr>
          <w:rFonts w:ascii="Arial" w:hAnsi="Arial" w:cs="Arial"/>
          <w:color w:val="171717"/>
          <w:sz w:val="22"/>
          <w:szCs w:val="22"/>
          <w:lang w:val="es-CO"/>
        </w:rPr>
        <w:t xml:space="preserve">Este Consejo Seccional es competente para resolver el recurso de reposición, interpuesto por Dora Elcy Espitia Murcia, en su calidad de Juez Segundo Promiscuo Municipal de Puerto Carreño - Vichada, por haber consolidado la respectiva calificación de servicios del periodo 2017 de conformidad con el Acuerdo PSAA16-10618 de 2016, expedido por el Consejo Superior de la Judicatura. </w:t>
      </w:r>
    </w:p>
    <w:p w:rsidR="0055268D" w:rsidRPr="004E2E67" w:rsidRDefault="0055268D" w:rsidP="0055268D">
      <w:pPr>
        <w:keepNext/>
        <w:spacing w:line="240" w:lineRule="exact"/>
        <w:jc w:val="both"/>
        <w:outlineLvl w:val="2"/>
        <w:rPr>
          <w:rFonts w:ascii="Arial" w:hAnsi="Arial" w:cs="Arial"/>
          <w:color w:val="171717"/>
          <w:sz w:val="22"/>
          <w:szCs w:val="22"/>
          <w:lang w:val="es-CO"/>
        </w:rPr>
      </w:pPr>
    </w:p>
    <w:p w:rsidR="0055268D" w:rsidRPr="004E2E67" w:rsidRDefault="0055268D" w:rsidP="0055268D">
      <w:pPr>
        <w:keepNext/>
        <w:spacing w:line="240" w:lineRule="exact"/>
        <w:jc w:val="both"/>
        <w:outlineLvl w:val="2"/>
        <w:rPr>
          <w:rFonts w:ascii="Arial" w:hAnsi="Arial" w:cs="Arial"/>
          <w:color w:val="171717"/>
          <w:sz w:val="22"/>
          <w:szCs w:val="22"/>
          <w:lang w:val="es-CO"/>
        </w:rPr>
      </w:pPr>
    </w:p>
    <w:p w:rsidR="0055268D" w:rsidRPr="004E2E67" w:rsidRDefault="0055268D" w:rsidP="0055268D">
      <w:pPr>
        <w:pStyle w:val="Prrafodelista"/>
        <w:keepNext/>
        <w:numPr>
          <w:ilvl w:val="1"/>
          <w:numId w:val="1"/>
        </w:numPr>
        <w:spacing w:line="240" w:lineRule="exact"/>
        <w:ind w:left="0" w:firstLine="0"/>
        <w:jc w:val="both"/>
        <w:outlineLvl w:val="2"/>
        <w:rPr>
          <w:rFonts w:ascii="Arial" w:hAnsi="Arial" w:cs="Arial"/>
          <w:b/>
          <w:color w:val="171717"/>
          <w:sz w:val="22"/>
          <w:szCs w:val="22"/>
          <w:lang w:val="es-CO"/>
        </w:rPr>
      </w:pPr>
      <w:r w:rsidRPr="004E2E67">
        <w:rPr>
          <w:rFonts w:ascii="Arial" w:hAnsi="Arial" w:cs="Arial"/>
          <w:b/>
          <w:color w:val="171717"/>
          <w:sz w:val="22"/>
          <w:szCs w:val="22"/>
          <w:lang w:val="es-CO"/>
        </w:rPr>
        <w:t>Oportunidad procesal:</w:t>
      </w:r>
    </w:p>
    <w:p w:rsidR="0055268D" w:rsidRPr="004E2E67" w:rsidRDefault="0055268D" w:rsidP="0055268D">
      <w:pPr>
        <w:keepNext/>
        <w:spacing w:line="240" w:lineRule="exact"/>
        <w:jc w:val="both"/>
        <w:outlineLvl w:val="2"/>
        <w:rPr>
          <w:rFonts w:ascii="Arial" w:hAnsi="Arial" w:cs="Arial"/>
          <w:b/>
          <w:color w:val="171717"/>
          <w:sz w:val="22"/>
          <w:szCs w:val="22"/>
          <w:lang w:val="es-CO"/>
        </w:rPr>
      </w:pPr>
    </w:p>
    <w:p w:rsidR="0055268D" w:rsidRPr="004E2E67" w:rsidRDefault="0055268D" w:rsidP="0055268D">
      <w:pPr>
        <w:pStyle w:val="Default"/>
        <w:jc w:val="both"/>
        <w:rPr>
          <w:color w:val="171717"/>
          <w:sz w:val="22"/>
          <w:szCs w:val="22"/>
        </w:rPr>
      </w:pPr>
      <w:r w:rsidRPr="004E2E67">
        <w:rPr>
          <w:color w:val="171717"/>
          <w:sz w:val="22"/>
          <w:szCs w:val="22"/>
        </w:rPr>
        <w:t xml:space="preserve">El recurso de reposición fue presentados oportunamente, según lo establece el artículo 76 del Código de Procedimiento Administrativo y de lo Contencioso Administrativo y este Consejo Seccional procede a resolverlo dentro del término señalado en el artículo 79 del Código de Procedimiento Administrativo y de lo Contencioso Administrativo. </w:t>
      </w:r>
    </w:p>
    <w:p w:rsidR="0055268D" w:rsidRPr="004E2E67" w:rsidRDefault="0055268D" w:rsidP="0055268D">
      <w:pPr>
        <w:keepNext/>
        <w:spacing w:line="240" w:lineRule="exact"/>
        <w:jc w:val="both"/>
        <w:outlineLvl w:val="2"/>
        <w:rPr>
          <w:rFonts w:ascii="Arial" w:hAnsi="Arial" w:cs="Arial"/>
          <w:color w:val="171717"/>
          <w:sz w:val="22"/>
          <w:szCs w:val="22"/>
          <w:lang w:val="es-CO"/>
        </w:rPr>
      </w:pPr>
    </w:p>
    <w:p w:rsidR="0055268D" w:rsidRPr="004E2E67" w:rsidRDefault="0055268D" w:rsidP="0055268D">
      <w:pPr>
        <w:pStyle w:val="Prrafodelista"/>
        <w:keepNext/>
        <w:numPr>
          <w:ilvl w:val="0"/>
          <w:numId w:val="1"/>
        </w:numPr>
        <w:tabs>
          <w:tab w:val="left" w:pos="567"/>
        </w:tabs>
        <w:spacing w:line="240" w:lineRule="exact"/>
        <w:jc w:val="center"/>
        <w:outlineLvl w:val="2"/>
        <w:rPr>
          <w:rFonts w:ascii="Arial" w:hAnsi="Arial" w:cs="Arial"/>
          <w:b/>
          <w:color w:val="171717"/>
          <w:sz w:val="22"/>
          <w:szCs w:val="22"/>
          <w:lang w:val="es-CO"/>
        </w:rPr>
      </w:pPr>
      <w:r w:rsidRPr="004E2E67">
        <w:rPr>
          <w:rFonts w:ascii="Arial" w:hAnsi="Arial" w:cs="Arial"/>
          <w:b/>
          <w:color w:val="171717"/>
          <w:sz w:val="22"/>
          <w:szCs w:val="22"/>
          <w:lang w:val="es-CO"/>
        </w:rPr>
        <w:t>CONSIDERACIONES DEL CASO ESPECÍFICO</w:t>
      </w:r>
    </w:p>
    <w:p w:rsidR="0055268D" w:rsidRPr="004E2E67" w:rsidRDefault="0055268D" w:rsidP="0055268D">
      <w:pPr>
        <w:keepNext/>
        <w:spacing w:line="240" w:lineRule="exact"/>
        <w:jc w:val="both"/>
        <w:outlineLvl w:val="2"/>
        <w:rPr>
          <w:rFonts w:ascii="Arial" w:hAnsi="Arial" w:cs="Arial"/>
          <w:color w:val="171717"/>
          <w:sz w:val="22"/>
          <w:szCs w:val="22"/>
          <w:lang w:val="es-CO"/>
        </w:rPr>
      </w:pPr>
    </w:p>
    <w:p w:rsidR="0055268D" w:rsidRPr="004E2E67" w:rsidRDefault="0055268D" w:rsidP="0055268D">
      <w:pPr>
        <w:keepNext/>
        <w:spacing w:line="240" w:lineRule="exact"/>
        <w:jc w:val="both"/>
        <w:outlineLvl w:val="2"/>
        <w:rPr>
          <w:rFonts w:ascii="Arial" w:hAnsi="Arial" w:cs="Arial"/>
          <w:color w:val="171717"/>
          <w:sz w:val="22"/>
          <w:szCs w:val="22"/>
          <w:lang w:val="es-CO"/>
        </w:rPr>
      </w:pPr>
      <w:r w:rsidRPr="004E2E67">
        <w:rPr>
          <w:rFonts w:ascii="Arial" w:hAnsi="Arial" w:cs="Arial"/>
          <w:color w:val="171717"/>
          <w:sz w:val="22"/>
          <w:szCs w:val="22"/>
        </w:rPr>
        <w:t xml:space="preserve">Con el fin de resolver el recurso interpuesto por </w:t>
      </w:r>
      <w:r w:rsidRPr="004E2E67">
        <w:rPr>
          <w:rFonts w:ascii="Arial" w:hAnsi="Arial" w:cs="Arial"/>
          <w:color w:val="171717"/>
          <w:sz w:val="22"/>
          <w:szCs w:val="22"/>
          <w:lang w:val="es-CO"/>
        </w:rPr>
        <w:t>Dora Elcy Espitia Murcia, en su calidad de Juez Segundo Promiscuo Municipal de Puerto Carreño – Vichada</w:t>
      </w:r>
      <w:r w:rsidRPr="004E2E67">
        <w:rPr>
          <w:rFonts w:ascii="Arial" w:hAnsi="Arial" w:cs="Arial"/>
          <w:color w:val="171717"/>
          <w:sz w:val="22"/>
          <w:szCs w:val="22"/>
        </w:rPr>
        <w:t xml:space="preserve">, se tendrá en cuenta que el componente de Organización del Trabajo, será resuelto por este Consejo </w:t>
      </w:r>
      <w:r w:rsidRPr="004E2E67">
        <w:rPr>
          <w:rFonts w:ascii="Arial" w:hAnsi="Arial" w:cs="Arial"/>
          <w:color w:val="171717"/>
          <w:sz w:val="22"/>
          <w:szCs w:val="22"/>
        </w:rPr>
        <w:lastRenderedPageBreak/>
        <w:t>Seccional, en virtud de lo contemplado en el artículo 48 del Acuerdo</w:t>
      </w:r>
      <w:r w:rsidRPr="004E2E67">
        <w:rPr>
          <w:rFonts w:ascii="Arial" w:hAnsi="Arial" w:cs="Arial"/>
          <w:color w:val="171717"/>
          <w:sz w:val="22"/>
          <w:szCs w:val="22"/>
          <w:lang w:val="es-CO"/>
        </w:rPr>
        <w:t xml:space="preserve"> PSAA16-10618 de 2016.</w:t>
      </w:r>
    </w:p>
    <w:p w:rsidR="0055268D" w:rsidRPr="004E2E67" w:rsidRDefault="0055268D" w:rsidP="0055268D">
      <w:pPr>
        <w:keepNext/>
        <w:spacing w:line="240" w:lineRule="exact"/>
        <w:jc w:val="both"/>
        <w:outlineLvl w:val="2"/>
        <w:rPr>
          <w:rFonts w:ascii="Arial" w:hAnsi="Arial" w:cs="Arial"/>
          <w:color w:val="171717"/>
          <w:sz w:val="22"/>
          <w:szCs w:val="22"/>
          <w:lang w:val="es-CO"/>
        </w:rPr>
      </w:pPr>
    </w:p>
    <w:p w:rsidR="0055268D" w:rsidRPr="004E2E67" w:rsidRDefault="0055268D" w:rsidP="0055268D">
      <w:pPr>
        <w:pStyle w:val="Prrafodelista"/>
        <w:numPr>
          <w:ilvl w:val="1"/>
          <w:numId w:val="1"/>
        </w:numPr>
        <w:tabs>
          <w:tab w:val="left" w:pos="993"/>
        </w:tabs>
        <w:jc w:val="both"/>
        <w:rPr>
          <w:rFonts w:ascii="Arial" w:hAnsi="Arial" w:cs="Arial"/>
          <w:b/>
          <w:color w:val="171717"/>
          <w:sz w:val="22"/>
          <w:szCs w:val="22"/>
          <w:lang w:val="es-CO"/>
        </w:rPr>
      </w:pPr>
      <w:r w:rsidRPr="004E2E67">
        <w:rPr>
          <w:rFonts w:ascii="Arial" w:hAnsi="Arial" w:cs="Arial"/>
          <w:b/>
          <w:color w:val="171717"/>
          <w:sz w:val="22"/>
          <w:szCs w:val="22"/>
          <w:lang w:val="es-CO"/>
        </w:rPr>
        <w:t>Factor Organización del Trabajo:</w:t>
      </w:r>
    </w:p>
    <w:p w:rsidR="0055268D" w:rsidRPr="004E2E67" w:rsidRDefault="0055268D" w:rsidP="0055268D">
      <w:pPr>
        <w:jc w:val="both"/>
        <w:rPr>
          <w:rFonts w:ascii="Arial" w:hAnsi="Arial" w:cs="Arial"/>
          <w:b/>
          <w:color w:val="171717"/>
          <w:sz w:val="22"/>
          <w:szCs w:val="22"/>
          <w:lang w:val="es-CO"/>
        </w:rPr>
      </w:pPr>
    </w:p>
    <w:p w:rsidR="0055268D" w:rsidRPr="004E2E67" w:rsidRDefault="0055268D" w:rsidP="0055268D">
      <w:pPr>
        <w:jc w:val="both"/>
        <w:rPr>
          <w:rFonts w:ascii="Arial" w:hAnsi="Arial" w:cs="Arial"/>
          <w:b/>
          <w:color w:val="171717"/>
          <w:sz w:val="22"/>
          <w:szCs w:val="22"/>
          <w:lang w:val="es-CO"/>
        </w:rPr>
      </w:pPr>
      <w:r w:rsidRPr="004E2E67">
        <w:rPr>
          <w:rFonts w:ascii="Arial" w:hAnsi="Arial"/>
          <w:color w:val="171717"/>
          <w:sz w:val="22"/>
          <w:lang w:val="es-CO"/>
        </w:rPr>
        <w:t>Esta Corporación considera que, a menos que el ordenamiento jurídico lo permita, el recurso no es una oportunidad para que el administrado enmiende el daño causado, corrija el error cometido o se allane a realizar la conducta omitida. Desde el punto de vista del administrado, el recurso es un medio de defensa que obliga a la Administración a revisar los fundamentos fácticos y de Derecho que sirvieron para tomar su decisión, con el fin de que, si es procedente, aclare, modifique o revoque la misma.</w:t>
      </w:r>
    </w:p>
    <w:p w:rsidR="0055268D" w:rsidRPr="004E2E67" w:rsidRDefault="0055268D" w:rsidP="0055268D">
      <w:pPr>
        <w:jc w:val="both"/>
        <w:rPr>
          <w:rFonts w:ascii="Arial" w:hAnsi="Arial" w:cs="Arial"/>
          <w:color w:val="171717"/>
          <w:sz w:val="22"/>
          <w:szCs w:val="22"/>
          <w:lang w:val="es-CO"/>
        </w:rPr>
      </w:pPr>
    </w:p>
    <w:p w:rsidR="0055268D" w:rsidRDefault="0055268D" w:rsidP="0055268D">
      <w:pPr>
        <w:jc w:val="both"/>
        <w:rPr>
          <w:rFonts w:ascii="Arial" w:hAnsi="Arial" w:cs="Arial"/>
          <w:color w:val="171717"/>
          <w:sz w:val="22"/>
          <w:szCs w:val="22"/>
          <w:lang w:val="es-CO"/>
        </w:rPr>
      </w:pPr>
      <w:r w:rsidRPr="004E2E67">
        <w:rPr>
          <w:rFonts w:ascii="Arial" w:hAnsi="Arial" w:cs="Arial"/>
          <w:color w:val="171717"/>
          <w:sz w:val="22"/>
          <w:szCs w:val="22"/>
          <w:lang w:val="es-CO"/>
        </w:rPr>
        <w:t xml:space="preserve">Por lo tanto, esta corporación no asiste asidero a las pretensiones de la funcionaria en tanto que una vez analizado los argumentos presentados por la misma y verificada la información recolectada en el formulario de visita del factor objetado, se tiene en primer lugar que la funcionaria judicial desconoce el reglamento del sistema de evaluación de servicios de los funcionarios y empleados  de carrera de la Rama Judicial. En segundo lugar, el Acuerdo PSAA16-10618 de 2016, establece un puntaje máximo de 12 puntos para el factor organización de trabajo. En tercer lugar, el puntaje asignado  de once (11) puntos  es acorde con la información recaudada durante la visita efectuada al Juzgado Segundo Promiscuo Municipal de Puerto Carreño – Vichada y que fue atendida por Claudia Yorleth Velandia Gómez, Secretaria de ese estrado judicial. Y en cuarto lugar, la disminución de un (1) punto consistió en los aspectos  que a continuación se exponen, así: </w:t>
      </w:r>
    </w:p>
    <w:p w:rsidR="0055268D" w:rsidRDefault="0055268D" w:rsidP="0055268D">
      <w:pPr>
        <w:tabs>
          <w:tab w:val="left" w:pos="3230"/>
        </w:tabs>
        <w:jc w:val="both"/>
        <w:rPr>
          <w:rFonts w:ascii="Arial" w:hAnsi="Arial" w:cs="Arial"/>
          <w:color w:val="171717"/>
          <w:sz w:val="22"/>
          <w:szCs w:val="22"/>
          <w:lang w:val="es-CO"/>
        </w:rPr>
      </w:pPr>
      <w:r>
        <w:rPr>
          <w:rFonts w:ascii="Arial" w:hAnsi="Arial" w:cs="Arial"/>
          <w:color w:val="171717"/>
          <w:sz w:val="22"/>
          <w:szCs w:val="22"/>
          <w:lang w:val="es-C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080"/>
        <w:gridCol w:w="2022"/>
        <w:gridCol w:w="1803"/>
      </w:tblGrid>
      <w:tr w:rsidR="0055268D" w:rsidRPr="007570E9" w:rsidTr="00B26901">
        <w:tc>
          <w:tcPr>
            <w:tcW w:w="5003" w:type="dxa"/>
            <w:gridSpan w:val="2"/>
            <w:shd w:val="clear" w:color="auto" w:fill="auto"/>
            <w:vAlign w:val="center"/>
          </w:tcPr>
          <w:p w:rsidR="0055268D" w:rsidRPr="00B26901" w:rsidRDefault="0055268D" w:rsidP="00B26901">
            <w:pPr>
              <w:jc w:val="center"/>
              <w:rPr>
                <w:rFonts w:ascii="Arial" w:hAnsi="Arial" w:cs="Arial"/>
                <w:b/>
                <w:color w:val="171717"/>
                <w:sz w:val="16"/>
                <w:szCs w:val="16"/>
              </w:rPr>
            </w:pPr>
            <w:r w:rsidRPr="00B26901">
              <w:rPr>
                <w:rFonts w:ascii="Arial" w:hAnsi="Arial" w:cs="Arial"/>
                <w:b/>
                <w:color w:val="171717"/>
                <w:sz w:val="16"/>
                <w:szCs w:val="16"/>
              </w:rPr>
              <w:t>PUNTAJE ACUERDO PSAA16-10618</w:t>
            </w:r>
          </w:p>
        </w:tc>
        <w:tc>
          <w:tcPr>
            <w:tcW w:w="2022" w:type="dxa"/>
            <w:shd w:val="clear" w:color="auto" w:fill="auto"/>
            <w:vAlign w:val="center"/>
          </w:tcPr>
          <w:p w:rsidR="0055268D" w:rsidRPr="00B26901" w:rsidRDefault="0055268D" w:rsidP="00B26901">
            <w:pPr>
              <w:jc w:val="center"/>
              <w:rPr>
                <w:rFonts w:ascii="Arial" w:hAnsi="Arial" w:cs="Arial"/>
                <w:b/>
                <w:color w:val="171717"/>
                <w:sz w:val="16"/>
                <w:szCs w:val="16"/>
              </w:rPr>
            </w:pPr>
            <w:r w:rsidRPr="00B26901">
              <w:rPr>
                <w:rFonts w:ascii="Arial" w:hAnsi="Arial" w:cs="Arial"/>
                <w:b/>
                <w:color w:val="171717"/>
                <w:sz w:val="16"/>
                <w:szCs w:val="16"/>
              </w:rPr>
              <w:t>PUNTAJE ASIGNADO</w:t>
            </w:r>
          </w:p>
        </w:tc>
        <w:tc>
          <w:tcPr>
            <w:tcW w:w="1803" w:type="dxa"/>
            <w:shd w:val="clear" w:color="auto" w:fill="auto"/>
          </w:tcPr>
          <w:p w:rsidR="0055268D" w:rsidRPr="00B26901" w:rsidRDefault="0055268D" w:rsidP="00B26901">
            <w:pPr>
              <w:jc w:val="center"/>
              <w:rPr>
                <w:rFonts w:ascii="Arial" w:hAnsi="Arial" w:cs="Arial"/>
                <w:b/>
                <w:color w:val="171717"/>
                <w:sz w:val="16"/>
                <w:szCs w:val="16"/>
              </w:rPr>
            </w:pPr>
            <w:r w:rsidRPr="00B26901">
              <w:rPr>
                <w:rFonts w:ascii="Arial" w:hAnsi="Arial" w:cs="Arial"/>
                <w:b/>
                <w:color w:val="171717"/>
                <w:sz w:val="16"/>
                <w:szCs w:val="16"/>
              </w:rPr>
              <w:t xml:space="preserve">OBSERVACIÓN </w:t>
            </w:r>
          </w:p>
          <w:p w:rsidR="0055268D" w:rsidRPr="00B26901" w:rsidRDefault="0055268D" w:rsidP="00B26901">
            <w:pPr>
              <w:jc w:val="center"/>
              <w:rPr>
                <w:rFonts w:ascii="Arial" w:hAnsi="Arial" w:cs="Arial"/>
                <w:b/>
                <w:color w:val="171717"/>
                <w:sz w:val="16"/>
                <w:szCs w:val="16"/>
              </w:rPr>
            </w:pPr>
            <w:r w:rsidRPr="00B26901">
              <w:rPr>
                <w:rFonts w:ascii="Arial" w:hAnsi="Arial" w:cs="Arial"/>
                <w:b/>
                <w:color w:val="171717"/>
                <w:sz w:val="16"/>
                <w:szCs w:val="16"/>
              </w:rPr>
              <w:t>PUNTOS DIMINUCIÓN</w:t>
            </w:r>
          </w:p>
        </w:tc>
      </w:tr>
      <w:tr w:rsidR="0055268D" w:rsidRPr="007570E9" w:rsidTr="00B26901">
        <w:tc>
          <w:tcPr>
            <w:tcW w:w="1923" w:type="dxa"/>
            <w:vMerge w:val="restart"/>
            <w:shd w:val="clear" w:color="auto" w:fill="auto"/>
            <w:vAlign w:val="center"/>
          </w:tcPr>
          <w:p w:rsidR="0055268D" w:rsidRPr="00B26901" w:rsidRDefault="0055268D" w:rsidP="00B26901">
            <w:pPr>
              <w:jc w:val="center"/>
              <w:rPr>
                <w:rFonts w:ascii="Arial" w:hAnsi="Arial" w:cs="Arial"/>
                <w:color w:val="171717"/>
                <w:sz w:val="16"/>
                <w:szCs w:val="16"/>
              </w:rPr>
            </w:pPr>
          </w:p>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Aplicación de las normas de carrera. Hasta 2 puntos</w:t>
            </w: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La calificación integral de empleados y cumplimiento de las normas de carrera en la designación de empleados o funcionarios. Hasta 1 punto.</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0.8</w:t>
            </w:r>
          </w:p>
        </w:tc>
        <w:tc>
          <w:tcPr>
            <w:tcW w:w="1803" w:type="dxa"/>
            <w:shd w:val="clear" w:color="auto" w:fill="auto"/>
          </w:tcPr>
          <w:p w:rsidR="0055268D" w:rsidRPr="00B26901" w:rsidRDefault="0055268D" w:rsidP="00B26901">
            <w:pPr>
              <w:jc w:val="center"/>
              <w:rPr>
                <w:rFonts w:ascii="Arial" w:hAnsi="Arial" w:cs="Arial"/>
                <w:color w:val="171717"/>
                <w:sz w:val="16"/>
                <w:szCs w:val="16"/>
              </w:rPr>
            </w:pPr>
          </w:p>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 xml:space="preserve">Organización de hojas de vida, digitalizadas y por secciones. </w:t>
            </w:r>
          </w:p>
        </w:tc>
      </w:tr>
      <w:tr w:rsidR="0055268D" w:rsidRPr="007570E9" w:rsidTr="00B26901">
        <w:tc>
          <w:tcPr>
            <w:tcW w:w="1923" w:type="dxa"/>
            <w:vMerge/>
            <w:shd w:val="clear" w:color="auto" w:fill="auto"/>
            <w:vAlign w:val="center"/>
          </w:tcPr>
          <w:p w:rsidR="0055268D" w:rsidRPr="00B26901" w:rsidRDefault="0055268D" w:rsidP="00B26901">
            <w:pPr>
              <w:jc w:val="center"/>
              <w:rPr>
                <w:rFonts w:ascii="Arial" w:hAnsi="Arial" w:cs="Arial"/>
                <w:color w:val="171717"/>
                <w:sz w:val="16"/>
                <w:szCs w:val="16"/>
              </w:rPr>
            </w:pP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El manejo de situaciones administrativas, como licencias, permisos, vacaciones, retiros y su y reporte oportuno. Hasta 1 punto.</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1</w:t>
            </w:r>
          </w:p>
        </w:tc>
        <w:tc>
          <w:tcPr>
            <w:tcW w:w="1803" w:type="dxa"/>
            <w:shd w:val="clear" w:color="auto" w:fill="auto"/>
          </w:tcPr>
          <w:p w:rsidR="0055268D" w:rsidRPr="00B26901" w:rsidRDefault="0055268D" w:rsidP="00B26901">
            <w:pPr>
              <w:jc w:val="center"/>
              <w:rPr>
                <w:rFonts w:ascii="Arial" w:hAnsi="Arial" w:cs="Arial"/>
                <w:color w:val="171717"/>
                <w:sz w:val="16"/>
                <w:szCs w:val="16"/>
              </w:rPr>
            </w:pPr>
          </w:p>
        </w:tc>
      </w:tr>
      <w:tr w:rsidR="0055268D" w:rsidRPr="007570E9" w:rsidTr="00B26901">
        <w:tc>
          <w:tcPr>
            <w:tcW w:w="1923" w:type="dxa"/>
            <w:vMerge w:val="restart"/>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Dirección del despacho. Hasta 4 puntos</w:t>
            </w: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Procedimientos de trabajo que incorporen buenas prácticas que generen valor a la gestión y demuestren liderazgo dinámico, como planeación, definición de metas e indicadores que permitan planear, hacer, verificar y actuar. Hasta 2 puntos.</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1.8</w:t>
            </w:r>
          </w:p>
        </w:tc>
        <w:tc>
          <w:tcPr>
            <w:tcW w:w="1803" w:type="dxa"/>
            <w:shd w:val="clear" w:color="auto" w:fill="auto"/>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Falta de implementación del plan de gestión y cronograma de actividades. Archivo modelo entregado en formato Excell en la visita</w:t>
            </w:r>
          </w:p>
        </w:tc>
      </w:tr>
      <w:tr w:rsidR="0055268D" w:rsidRPr="007570E9" w:rsidTr="00B26901">
        <w:tc>
          <w:tcPr>
            <w:tcW w:w="1923" w:type="dxa"/>
            <w:vMerge/>
            <w:shd w:val="clear" w:color="auto" w:fill="auto"/>
            <w:vAlign w:val="center"/>
          </w:tcPr>
          <w:p w:rsidR="0055268D" w:rsidRPr="00B26901" w:rsidRDefault="0055268D" w:rsidP="00B26901">
            <w:pPr>
              <w:jc w:val="center"/>
              <w:rPr>
                <w:rFonts w:ascii="Arial" w:hAnsi="Arial" w:cs="Arial"/>
                <w:color w:val="171717"/>
                <w:sz w:val="16"/>
                <w:szCs w:val="16"/>
              </w:rPr>
            </w:pP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Tratándose de funcionarios, se tendrá en cuenta la custodia de los bienes dejados a su disposición y el inventario actualizado del despacho a 31 de diciembre de cada año. Hasta 1 punto.</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0.8</w:t>
            </w:r>
          </w:p>
        </w:tc>
        <w:tc>
          <w:tcPr>
            <w:tcW w:w="1803" w:type="dxa"/>
            <w:shd w:val="clear" w:color="auto" w:fill="auto"/>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 xml:space="preserve">Actualización de inventario para lo cual se dejó como compromiso coordinar con Almacen la asignación de responsable a los elementos del </w:t>
            </w:r>
            <w:r w:rsidRPr="00B26901">
              <w:rPr>
                <w:rFonts w:ascii="Arial" w:hAnsi="Arial" w:cs="Arial"/>
                <w:color w:val="171717"/>
                <w:sz w:val="16"/>
                <w:szCs w:val="16"/>
              </w:rPr>
              <w:lastRenderedPageBreak/>
              <w:t xml:space="preserve">despacho. </w:t>
            </w:r>
          </w:p>
        </w:tc>
      </w:tr>
      <w:tr w:rsidR="0055268D" w:rsidRPr="007570E9" w:rsidTr="00B26901">
        <w:tc>
          <w:tcPr>
            <w:tcW w:w="1923" w:type="dxa"/>
            <w:vMerge/>
            <w:shd w:val="clear" w:color="auto" w:fill="auto"/>
            <w:vAlign w:val="center"/>
          </w:tcPr>
          <w:p w:rsidR="0055268D" w:rsidRPr="00B26901" w:rsidRDefault="0055268D" w:rsidP="00B26901">
            <w:pPr>
              <w:jc w:val="center"/>
              <w:rPr>
                <w:rFonts w:ascii="Arial" w:hAnsi="Arial" w:cs="Arial"/>
                <w:color w:val="171717"/>
                <w:sz w:val="16"/>
                <w:szCs w:val="16"/>
              </w:rPr>
            </w:pP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Participación en la formación y en actividades de seguridad y salud en el trabajo. Hasta 1 punto.</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1</w:t>
            </w:r>
          </w:p>
        </w:tc>
        <w:tc>
          <w:tcPr>
            <w:tcW w:w="1803" w:type="dxa"/>
            <w:shd w:val="clear" w:color="auto" w:fill="auto"/>
          </w:tcPr>
          <w:p w:rsidR="0055268D" w:rsidRPr="00B26901" w:rsidRDefault="0055268D" w:rsidP="00B26901">
            <w:pPr>
              <w:jc w:val="center"/>
              <w:rPr>
                <w:rFonts w:ascii="Arial" w:hAnsi="Arial" w:cs="Arial"/>
                <w:color w:val="171717"/>
                <w:sz w:val="16"/>
                <w:szCs w:val="16"/>
              </w:rPr>
            </w:pPr>
          </w:p>
        </w:tc>
      </w:tr>
      <w:tr w:rsidR="0055268D" w:rsidRPr="007570E9" w:rsidTr="00B26901">
        <w:tc>
          <w:tcPr>
            <w:tcW w:w="1923" w:type="dxa"/>
            <w:vMerge w:val="restart"/>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Gestión tecnológica y de información. Hasta 2 puntos</w:t>
            </w: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Uso correcto y oportuno de las tecnologías de la información y las comunicaciones en la gestión y trámite de los procesos judiciales, con el fin de facilitar y agilizar el acceso a la justicia, como el uso de comunicaciones electrónicas. Hasta 1 punto.</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1</w:t>
            </w:r>
          </w:p>
        </w:tc>
        <w:tc>
          <w:tcPr>
            <w:tcW w:w="1803" w:type="dxa"/>
            <w:shd w:val="clear" w:color="auto" w:fill="auto"/>
          </w:tcPr>
          <w:p w:rsidR="0055268D" w:rsidRPr="00B26901" w:rsidRDefault="0055268D" w:rsidP="00B26901">
            <w:pPr>
              <w:jc w:val="center"/>
              <w:rPr>
                <w:rFonts w:ascii="Arial" w:hAnsi="Arial" w:cs="Arial"/>
                <w:color w:val="171717"/>
                <w:sz w:val="16"/>
                <w:szCs w:val="16"/>
              </w:rPr>
            </w:pPr>
          </w:p>
        </w:tc>
      </w:tr>
      <w:tr w:rsidR="00B26901" w:rsidRPr="007570E9" w:rsidTr="00B26901">
        <w:tc>
          <w:tcPr>
            <w:tcW w:w="1923" w:type="dxa"/>
            <w:vMerge/>
            <w:shd w:val="clear" w:color="auto" w:fill="auto"/>
            <w:vAlign w:val="center"/>
          </w:tcPr>
          <w:p w:rsidR="0055268D" w:rsidRPr="00B26901" w:rsidRDefault="0055268D" w:rsidP="00B26901">
            <w:pPr>
              <w:jc w:val="center"/>
              <w:rPr>
                <w:rFonts w:ascii="Arial" w:hAnsi="Arial" w:cs="Arial"/>
                <w:color w:val="171717"/>
                <w:sz w:val="16"/>
                <w:szCs w:val="16"/>
              </w:rPr>
            </w:pP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Registro y control de la información a través de las herramientas informáticas, como el sistema de información Justicia XXI, el diligenciamiento del sistema de estadísticas judiciales SIERJU y del módulo de depósitos judiciales. Hasta 1 punto</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0.6</w:t>
            </w:r>
          </w:p>
        </w:tc>
        <w:tc>
          <w:tcPr>
            <w:tcW w:w="1803" w:type="dxa"/>
            <w:shd w:val="clear" w:color="auto" w:fill="auto"/>
          </w:tcPr>
          <w:p w:rsidR="0055268D" w:rsidRPr="00B26901" w:rsidRDefault="0055268D" w:rsidP="00B26901">
            <w:pPr>
              <w:jc w:val="center"/>
              <w:rPr>
                <w:rFonts w:ascii="Arial" w:hAnsi="Arial" w:cs="Arial"/>
                <w:color w:val="171717"/>
                <w:sz w:val="16"/>
                <w:szCs w:val="16"/>
              </w:rPr>
            </w:pPr>
          </w:p>
          <w:p w:rsidR="0055268D" w:rsidRPr="00B26901" w:rsidRDefault="0055268D" w:rsidP="00B26901">
            <w:pPr>
              <w:jc w:val="center"/>
              <w:rPr>
                <w:rFonts w:ascii="Arial" w:hAnsi="Arial" w:cs="Arial"/>
                <w:color w:val="171717"/>
                <w:sz w:val="16"/>
                <w:szCs w:val="16"/>
              </w:rPr>
            </w:pPr>
          </w:p>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 xml:space="preserve">Falta la implementación del módulo de depósitos judiciales </w:t>
            </w:r>
          </w:p>
        </w:tc>
      </w:tr>
      <w:tr w:rsidR="00B26901" w:rsidRPr="007570E9" w:rsidTr="00B26901">
        <w:tc>
          <w:tcPr>
            <w:tcW w:w="1923"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Participación en programas de formación. Hasta dos (2) puntos</w:t>
            </w: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participación en todas las etapas de los procesos de formación impartidos por la Escuela Judicial “Rodrigo Lara Bonilla”</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2</w:t>
            </w:r>
          </w:p>
        </w:tc>
        <w:tc>
          <w:tcPr>
            <w:tcW w:w="1803" w:type="dxa"/>
            <w:shd w:val="clear" w:color="auto" w:fill="auto"/>
          </w:tcPr>
          <w:p w:rsidR="0055268D" w:rsidRPr="00B26901" w:rsidRDefault="0055268D" w:rsidP="00B26901">
            <w:pPr>
              <w:jc w:val="center"/>
              <w:rPr>
                <w:rFonts w:ascii="Arial" w:hAnsi="Arial" w:cs="Arial"/>
                <w:color w:val="171717"/>
                <w:sz w:val="16"/>
                <w:szCs w:val="16"/>
              </w:rPr>
            </w:pPr>
          </w:p>
        </w:tc>
      </w:tr>
      <w:tr w:rsidR="00B26901" w:rsidRPr="007570E9" w:rsidTr="00B26901">
        <w:tc>
          <w:tcPr>
            <w:tcW w:w="1923"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Verificación de la estadística reportada. Hasta 2 puntos</w:t>
            </w:r>
          </w:p>
        </w:tc>
        <w:tc>
          <w:tcPr>
            <w:tcW w:w="3080" w:type="dxa"/>
            <w:shd w:val="clear" w:color="auto" w:fill="auto"/>
            <w:vAlign w:val="center"/>
          </w:tcPr>
          <w:p w:rsidR="0055268D" w:rsidRPr="00B26901" w:rsidRDefault="0055268D" w:rsidP="00B26901">
            <w:pPr>
              <w:jc w:val="both"/>
              <w:rPr>
                <w:rFonts w:ascii="Arial" w:hAnsi="Arial" w:cs="Arial"/>
                <w:color w:val="171717"/>
                <w:sz w:val="16"/>
                <w:szCs w:val="16"/>
              </w:rPr>
            </w:pPr>
            <w:r w:rsidRPr="00B26901">
              <w:rPr>
                <w:rFonts w:ascii="Arial" w:hAnsi="Arial" w:cs="Arial"/>
                <w:color w:val="171717"/>
                <w:sz w:val="16"/>
                <w:szCs w:val="16"/>
              </w:rPr>
              <w:t xml:space="preserve">Constatar la información del inventario del despacho coincida con el reportado en el SIERJU, para lo que se tendrá en cuenta un margen de error de hasta el 5 %. </w:t>
            </w:r>
          </w:p>
        </w:tc>
        <w:tc>
          <w:tcPr>
            <w:tcW w:w="2022" w:type="dxa"/>
            <w:shd w:val="clear" w:color="auto" w:fill="auto"/>
            <w:vAlign w:val="center"/>
          </w:tcPr>
          <w:p w:rsidR="0055268D" w:rsidRPr="00B26901" w:rsidRDefault="0055268D" w:rsidP="00B26901">
            <w:pPr>
              <w:jc w:val="center"/>
              <w:rPr>
                <w:rFonts w:ascii="Arial" w:hAnsi="Arial" w:cs="Arial"/>
                <w:color w:val="171717"/>
                <w:sz w:val="16"/>
                <w:szCs w:val="16"/>
              </w:rPr>
            </w:pPr>
            <w:r w:rsidRPr="00B26901">
              <w:rPr>
                <w:rFonts w:ascii="Arial" w:hAnsi="Arial" w:cs="Arial"/>
                <w:color w:val="171717"/>
                <w:sz w:val="16"/>
                <w:szCs w:val="16"/>
              </w:rPr>
              <w:t>2</w:t>
            </w:r>
          </w:p>
        </w:tc>
        <w:tc>
          <w:tcPr>
            <w:tcW w:w="1803" w:type="dxa"/>
            <w:shd w:val="clear" w:color="auto" w:fill="auto"/>
          </w:tcPr>
          <w:p w:rsidR="0055268D" w:rsidRPr="00B26901" w:rsidRDefault="0055268D" w:rsidP="00B26901">
            <w:pPr>
              <w:jc w:val="center"/>
              <w:rPr>
                <w:rFonts w:ascii="Arial" w:hAnsi="Arial" w:cs="Arial"/>
                <w:color w:val="171717"/>
                <w:sz w:val="16"/>
                <w:szCs w:val="16"/>
              </w:rPr>
            </w:pPr>
          </w:p>
        </w:tc>
      </w:tr>
    </w:tbl>
    <w:p w:rsidR="0055268D" w:rsidRPr="004E2E67" w:rsidRDefault="0055268D" w:rsidP="0055268D">
      <w:pPr>
        <w:jc w:val="both"/>
        <w:rPr>
          <w:rFonts w:ascii="Arial" w:hAnsi="Arial" w:cs="Arial"/>
          <w:color w:val="171717"/>
          <w:sz w:val="22"/>
          <w:szCs w:val="22"/>
          <w:lang w:val="es-CO"/>
        </w:rPr>
      </w:pPr>
    </w:p>
    <w:p w:rsidR="0055268D" w:rsidRPr="004E2E67" w:rsidRDefault="00BF14C7" w:rsidP="0055268D">
      <w:pPr>
        <w:jc w:val="both"/>
        <w:rPr>
          <w:rFonts w:ascii="Arial" w:hAnsi="Arial" w:cs="Arial"/>
          <w:color w:val="171717"/>
          <w:sz w:val="22"/>
          <w:szCs w:val="22"/>
          <w:lang w:val="es-CO"/>
        </w:rPr>
      </w:pPr>
      <w:r>
        <w:rPr>
          <w:noProof/>
          <w:color w:val="171717"/>
          <w:lang w:val="es-CO" w:eastAsia="es-CO"/>
        </w:rPr>
        <w:drawing>
          <wp:inline distT="0" distB="0" distL="0" distR="0">
            <wp:extent cx="5600700" cy="36576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657600"/>
                    </a:xfrm>
                    <a:prstGeom prst="rect">
                      <a:avLst/>
                    </a:prstGeom>
                    <a:noFill/>
                    <a:ln>
                      <a:noFill/>
                    </a:ln>
                  </pic:spPr>
                </pic:pic>
              </a:graphicData>
            </a:graphic>
          </wp:inline>
        </w:drawing>
      </w:r>
    </w:p>
    <w:p w:rsidR="0055268D" w:rsidRPr="004E2E67" w:rsidRDefault="0055268D" w:rsidP="0055268D">
      <w:pPr>
        <w:jc w:val="both"/>
        <w:rPr>
          <w:rFonts w:ascii="Arial" w:hAnsi="Arial" w:cs="Arial"/>
          <w:color w:val="171717"/>
          <w:sz w:val="22"/>
          <w:szCs w:val="22"/>
          <w:lang w:val="es-CO"/>
        </w:rPr>
      </w:pPr>
      <w:r w:rsidRPr="004E2E67">
        <w:rPr>
          <w:rFonts w:ascii="Arial" w:hAnsi="Arial" w:cs="Arial"/>
          <w:color w:val="171717"/>
          <w:sz w:val="22"/>
          <w:szCs w:val="22"/>
          <w:lang w:val="es-CO"/>
        </w:rPr>
        <w:t xml:space="preserve">  </w:t>
      </w:r>
    </w:p>
    <w:p w:rsidR="0055268D" w:rsidRPr="004E2E67" w:rsidRDefault="0055268D" w:rsidP="0055268D">
      <w:pPr>
        <w:spacing w:after="9" w:line="232" w:lineRule="auto"/>
        <w:ind w:left="-5" w:hanging="10"/>
        <w:jc w:val="both"/>
        <w:rPr>
          <w:rFonts w:ascii="Arial" w:eastAsia="Arial" w:hAnsi="Arial" w:cs="Arial"/>
          <w:color w:val="171717"/>
          <w:sz w:val="22"/>
          <w:szCs w:val="22"/>
        </w:rPr>
      </w:pPr>
      <w:r w:rsidRPr="004E2E67">
        <w:rPr>
          <w:rFonts w:ascii="Arial" w:eastAsia="Arial" w:hAnsi="Arial" w:cs="Arial"/>
          <w:color w:val="171717"/>
          <w:sz w:val="22"/>
          <w:szCs w:val="22"/>
        </w:rPr>
        <w:lastRenderedPageBreak/>
        <w:t>En mérito de lo expuesto, este Consejo Seccional de la Judicatura del Meta confirmará la calificación integral de servicios de Dora Elcy Espitia Murcia, Juez Segundo Promiscuo Municipal de Puerto Carreño - Vichada, para el período comprendido entre el 1° de enero y el 31 de diciembre de 2017, efectuada mediante Acto Administrativo del 31 de octubre de 2018.</w:t>
      </w:r>
    </w:p>
    <w:p w:rsidR="0055268D" w:rsidRPr="004E2E67" w:rsidRDefault="0055268D" w:rsidP="0055268D">
      <w:pPr>
        <w:ind w:left="10" w:right="-15" w:hanging="10"/>
        <w:jc w:val="center"/>
        <w:rPr>
          <w:rFonts w:ascii="Arial" w:eastAsia="Arial" w:hAnsi="Arial" w:cs="Arial"/>
          <w:color w:val="171717"/>
          <w:sz w:val="22"/>
          <w:szCs w:val="22"/>
        </w:rPr>
      </w:pPr>
      <w:r w:rsidRPr="004E2E67">
        <w:rPr>
          <w:rFonts w:ascii="Arial" w:eastAsia="Arial" w:hAnsi="Arial" w:cs="Arial"/>
          <w:b/>
          <w:color w:val="171717"/>
          <w:sz w:val="22"/>
          <w:szCs w:val="22"/>
        </w:rPr>
        <w:t>RESUELVE</w:t>
      </w:r>
    </w:p>
    <w:p w:rsidR="0055268D" w:rsidRPr="004E2E67" w:rsidRDefault="0055268D" w:rsidP="0055268D">
      <w:pPr>
        <w:jc w:val="both"/>
        <w:rPr>
          <w:rFonts w:ascii="Arial" w:eastAsia="Arial" w:hAnsi="Arial" w:cs="Arial"/>
          <w:color w:val="171717"/>
          <w:sz w:val="22"/>
          <w:szCs w:val="22"/>
        </w:rPr>
      </w:pPr>
      <w:r w:rsidRPr="004E2E67">
        <w:rPr>
          <w:rFonts w:ascii="Arial" w:eastAsia="Arial" w:hAnsi="Arial" w:cs="Arial"/>
          <w:color w:val="171717"/>
          <w:sz w:val="22"/>
          <w:szCs w:val="22"/>
        </w:rPr>
        <w:t xml:space="preserve"> </w:t>
      </w:r>
    </w:p>
    <w:p w:rsidR="0055268D" w:rsidRPr="004E2E67" w:rsidRDefault="0055268D" w:rsidP="0055268D">
      <w:pPr>
        <w:spacing w:after="9" w:line="232" w:lineRule="auto"/>
        <w:ind w:left="-5" w:hanging="10"/>
        <w:jc w:val="both"/>
        <w:rPr>
          <w:rFonts w:ascii="Arial" w:eastAsia="Arial" w:hAnsi="Arial" w:cs="Arial"/>
          <w:color w:val="171717"/>
          <w:sz w:val="22"/>
          <w:szCs w:val="22"/>
        </w:rPr>
      </w:pPr>
      <w:r w:rsidRPr="004E2E67">
        <w:rPr>
          <w:rFonts w:ascii="Arial" w:eastAsia="Arial" w:hAnsi="Arial" w:cs="Arial"/>
          <w:b/>
          <w:color w:val="171717"/>
          <w:sz w:val="22"/>
          <w:szCs w:val="22"/>
        </w:rPr>
        <w:t>ARTÍCULO 1°.-</w:t>
      </w:r>
      <w:r w:rsidRPr="004E2E67">
        <w:rPr>
          <w:rFonts w:ascii="Arial" w:eastAsia="Arial" w:hAnsi="Arial" w:cs="Arial"/>
          <w:color w:val="171717"/>
          <w:sz w:val="22"/>
          <w:szCs w:val="22"/>
        </w:rPr>
        <w:t xml:space="preserve"> Confirmar la decisión contenida en el Acto Administrativo del 31 de octubre de 2018, por medio del cual el Consejo Seccional de la Judicatura del Meta, realizó la Calif</w:t>
      </w:r>
      <w:r>
        <w:rPr>
          <w:rFonts w:ascii="Arial" w:eastAsia="Arial" w:hAnsi="Arial" w:cs="Arial"/>
          <w:color w:val="171717"/>
          <w:sz w:val="22"/>
          <w:szCs w:val="22"/>
        </w:rPr>
        <w:t>icación Integral de Servicios d</w:t>
      </w:r>
      <w:r w:rsidRPr="004E2E67">
        <w:rPr>
          <w:rFonts w:ascii="Arial" w:eastAsia="Arial" w:hAnsi="Arial" w:cs="Arial"/>
          <w:color w:val="171717"/>
          <w:sz w:val="22"/>
          <w:szCs w:val="22"/>
        </w:rPr>
        <w:t xml:space="preserve">el período comprendido entre el 1º de enero y el 31 de diciembre de 2017 de Dora Elcy Espitia Murcia, identificada con la cédula de ciudadanía 21.178.346, en calidad de Juez Segundo Promiscuo Municipal de Puerto Carreño - Vichada, respecto de la calificación del Factor </w:t>
      </w:r>
      <w:r w:rsidR="00FD545F">
        <w:rPr>
          <w:rFonts w:ascii="Arial" w:eastAsia="Arial" w:hAnsi="Arial" w:cs="Arial"/>
          <w:color w:val="171717"/>
          <w:sz w:val="22"/>
          <w:szCs w:val="22"/>
        </w:rPr>
        <w:t>organización del trabajo</w:t>
      </w:r>
      <w:r w:rsidRPr="004E2E67">
        <w:rPr>
          <w:rFonts w:ascii="Arial" w:eastAsia="Arial" w:hAnsi="Arial" w:cs="Arial"/>
          <w:color w:val="171717"/>
          <w:sz w:val="22"/>
          <w:szCs w:val="22"/>
        </w:rPr>
        <w:t>, por las consideraciones expuestas en la parte motiva de esta decisión.</w:t>
      </w:r>
    </w:p>
    <w:p w:rsidR="0055268D" w:rsidRPr="004E2E67" w:rsidRDefault="0055268D" w:rsidP="0055268D">
      <w:pPr>
        <w:jc w:val="both"/>
        <w:rPr>
          <w:rFonts w:ascii="Arial" w:eastAsia="Arial" w:hAnsi="Arial" w:cs="Arial"/>
          <w:color w:val="171717"/>
          <w:sz w:val="22"/>
          <w:szCs w:val="22"/>
        </w:rPr>
      </w:pPr>
    </w:p>
    <w:p w:rsidR="0055268D" w:rsidRPr="004E2E67" w:rsidRDefault="0055268D" w:rsidP="0055268D">
      <w:pPr>
        <w:spacing w:after="9" w:line="232" w:lineRule="auto"/>
        <w:ind w:left="-5" w:hanging="10"/>
        <w:jc w:val="both"/>
        <w:rPr>
          <w:rFonts w:ascii="Arial" w:eastAsia="Arial" w:hAnsi="Arial" w:cs="Arial"/>
          <w:color w:val="171717"/>
          <w:sz w:val="22"/>
          <w:szCs w:val="22"/>
        </w:rPr>
      </w:pPr>
      <w:r w:rsidRPr="004E2E67">
        <w:rPr>
          <w:rFonts w:ascii="Arial" w:eastAsia="Arial" w:hAnsi="Arial" w:cs="Arial"/>
          <w:b/>
          <w:color w:val="171717"/>
          <w:sz w:val="22"/>
          <w:szCs w:val="22"/>
        </w:rPr>
        <w:t xml:space="preserve">ARTÍCULO 2°.- </w:t>
      </w:r>
      <w:r w:rsidRPr="004E2E67">
        <w:rPr>
          <w:rFonts w:ascii="Arial" w:eastAsia="Arial" w:hAnsi="Arial" w:cs="Arial"/>
          <w:color w:val="171717"/>
          <w:sz w:val="22"/>
          <w:szCs w:val="22"/>
        </w:rPr>
        <w:t xml:space="preserve">Notificar personalmente el contenido de la presente decisión a </w:t>
      </w:r>
      <w:r w:rsidRPr="004E2E67">
        <w:rPr>
          <w:rFonts w:ascii="Arial" w:hAnsi="Arial" w:cs="Arial"/>
          <w:color w:val="171717"/>
          <w:sz w:val="22"/>
          <w:szCs w:val="22"/>
          <w:lang w:val="es-CO"/>
        </w:rPr>
        <w:t>Dora Elcy Espitia Murcia</w:t>
      </w:r>
      <w:r w:rsidRPr="004E2E67">
        <w:rPr>
          <w:rFonts w:ascii="Arial" w:eastAsia="Arial" w:hAnsi="Arial" w:cs="Arial"/>
          <w:color w:val="171717"/>
          <w:sz w:val="22"/>
          <w:szCs w:val="22"/>
        </w:rPr>
        <w:t>, en su condición de Juez Segundo Promiscuo Municipal de Puerto Carreño - Vichada, en los términos previstos en el Código de Procedimiento Administrativo y de lo Contencioso Administrativo.</w:t>
      </w:r>
    </w:p>
    <w:p w:rsidR="0055268D" w:rsidRPr="004E2E67" w:rsidRDefault="0055268D" w:rsidP="0055268D">
      <w:pPr>
        <w:spacing w:after="9" w:line="232" w:lineRule="auto"/>
        <w:ind w:left="-5" w:hanging="10"/>
        <w:jc w:val="both"/>
        <w:rPr>
          <w:rFonts w:ascii="Arial" w:eastAsia="Arial" w:hAnsi="Arial" w:cs="Arial"/>
          <w:color w:val="171717"/>
          <w:sz w:val="22"/>
          <w:szCs w:val="22"/>
        </w:rPr>
      </w:pPr>
    </w:p>
    <w:p w:rsidR="0055268D" w:rsidRPr="004E2E67" w:rsidRDefault="0055268D" w:rsidP="0055268D">
      <w:pPr>
        <w:jc w:val="both"/>
        <w:rPr>
          <w:rFonts w:ascii="Arial" w:eastAsia="Arial" w:hAnsi="Arial" w:cs="Arial"/>
          <w:color w:val="171717"/>
          <w:sz w:val="22"/>
          <w:szCs w:val="22"/>
        </w:rPr>
      </w:pPr>
      <w:r w:rsidRPr="004E2E67">
        <w:rPr>
          <w:rFonts w:ascii="Arial" w:eastAsia="Arial" w:hAnsi="Arial" w:cs="Arial"/>
          <w:b/>
          <w:color w:val="171717"/>
          <w:sz w:val="22"/>
          <w:szCs w:val="22"/>
        </w:rPr>
        <w:t xml:space="preserve">ARTÍCULO 3°.- </w:t>
      </w:r>
      <w:r w:rsidRPr="004E2E67">
        <w:rPr>
          <w:rFonts w:ascii="Arial" w:eastAsia="Arial" w:hAnsi="Arial" w:cs="Arial"/>
          <w:color w:val="171717"/>
          <w:sz w:val="22"/>
          <w:szCs w:val="22"/>
        </w:rPr>
        <w:t>La</w:t>
      </w:r>
      <w:r w:rsidRPr="004E2E67">
        <w:rPr>
          <w:rFonts w:ascii="Arial" w:eastAsia="Arial" w:hAnsi="Arial" w:cs="Arial"/>
          <w:b/>
          <w:color w:val="171717"/>
          <w:sz w:val="22"/>
          <w:szCs w:val="22"/>
        </w:rPr>
        <w:t xml:space="preserve"> </w:t>
      </w:r>
      <w:r w:rsidRPr="004E2E67">
        <w:rPr>
          <w:rFonts w:ascii="Arial" w:eastAsia="Arial" w:hAnsi="Arial" w:cs="Arial"/>
          <w:color w:val="171717"/>
          <w:sz w:val="22"/>
          <w:szCs w:val="22"/>
        </w:rPr>
        <w:t xml:space="preserve">presente Resolución rige a partir de la fecha de su comunicación, dada en Villavicencio - Meta, a los </w:t>
      </w:r>
      <w:r>
        <w:rPr>
          <w:rFonts w:ascii="Arial" w:eastAsia="Arial" w:hAnsi="Arial" w:cs="Arial"/>
          <w:color w:val="171717"/>
          <w:sz w:val="22"/>
          <w:szCs w:val="22"/>
        </w:rPr>
        <w:t xml:space="preserve">veintiocho </w:t>
      </w:r>
      <w:r w:rsidRPr="004E2E67">
        <w:rPr>
          <w:rFonts w:ascii="Arial" w:eastAsia="Arial" w:hAnsi="Arial" w:cs="Arial"/>
          <w:color w:val="171717"/>
          <w:sz w:val="22"/>
          <w:szCs w:val="22"/>
        </w:rPr>
        <w:t>(</w:t>
      </w:r>
      <w:r>
        <w:rPr>
          <w:rFonts w:ascii="Arial" w:eastAsia="Arial" w:hAnsi="Arial" w:cs="Arial"/>
          <w:color w:val="171717"/>
          <w:sz w:val="22"/>
          <w:szCs w:val="22"/>
        </w:rPr>
        <w:t>28</w:t>
      </w:r>
      <w:r w:rsidRPr="004E2E67">
        <w:rPr>
          <w:rFonts w:ascii="Arial" w:eastAsia="Arial" w:hAnsi="Arial" w:cs="Arial"/>
          <w:color w:val="171717"/>
          <w:sz w:val="22"/>
          <w:szCs w:val="22"/>
        </w:rPr>
        <w:t xml:space="preserve">) días del mes de </w:t>
      </w:r>
      <w:r>
        <w:rPr>
          <w:rFonts w:ascii="Arial" w:eastAsia="Arial" w:hAnsi="Arial" w:cs="Arial"/>
          <w:color w:val="171717"/>
          <w:sz w:val="22"/>
          <w:szCs w:val="22"/>
        </w:rPr>
        <w:t xml:space="preserve">enero </w:t>
      </w:r>
      <w:r w:rsidRPr="004E2E67">
        <w:rPr>
          <w:rFonts w:ascii="Arial" w:eastAsia="Arial" w:hAnsi="Arial" w:cs="Arial"/>
          <w:color w:val="171717"/>
          <w:sz w:val="22"/>
          <w:szCs w:val="22"/>
        </w:rPr>
        <w:t xml:space="preserve">de dos mil diecinueve (2019). </w:t>
      </w:r>
    </w:p>
    <w:p w:rsidR="0055268D" w:rsidRPr="004E2E67" w:rsidRDefault="0055268D" w:rsidP="0055268D">
      <w:pPr>
        <w:jc w:val="both"/>
        <w:rPr>
          <w:rFonts w:ascii="Arial" w:eastAsia="Arial" w:hAnsi="Arial" w:cs="Arial"/>
          <w:color w:val="171717"/>
          <w:sz w:val="22"/>
          <w:szCs w:val="22"/>
        </w:rPr>
      </w:pPr>
      <w:r w:rsidRPr="004E2E67">
        <w:rPr>
          <w:rFonts w:ascii="Arial" w:eastAsia="Arial" w:hAnsi="Arial" w:cs="Arial"/>
          <w:color w:val="171717"/>
          <w:sz w:val="22"/>
          <w:szCs w:val="22"/>
        </w:rPr>
        <w:t xml:space="preserve"> </w:t>
      </w:r>
    </w:p>
    <w:p w:rsidR="0055268D" w:rsidRPr="004E2E67" w:rsidRDefault="0055268D" w:rsidP="0055268D">
      <w:pPr>
        <w:ind w:left="10" w:right="-15" w:hanging="10"/>
        <w:jc w:val="center"/>
        <w:rPr>
          <w:rFonts w:ascii="Arial" w:eastAsia="Arial" w:hAnsi="Arial" w:cs="Arial"/>
          <w:color w:val="171717"/>
          <w:sz w:val="22"/>
          <w:szCs w:val="22"/>
        </w:rPr>
      </w:pPr>
      <w:r w:rsidRPr="004E2E67">
        <w:rPr>
          <w:rFonts w:ascii="Arial" w:eastAsia="Arial" w:hAnsi="Arial" w:cs="Arial"/>
          <w:b/>
          <w:color w:val="171717"/>
          <w:sz w:val="22"/>
          <w:szCs w:val="22"/>
        </w:rPr>
        <w:t>NOTIFÍQUESE, COMUNÍQUESE, Y CÚMPLASE</w:t>
      </w:r>
    </w:p>
    <w:p w:rsidR="0055268D" w:rsidRPr="004E2E67" w:rsidRDefault="0055268D" w:rsidP="0055268D">
      <w:pPr>
        <w:jc w:val="both"/>
        <w:rPr>
          <w:rFonts w:ascii="Arial" w:eastAsia="Arial" w:hAnsi="Arial" w:cs="Arial"/>
          <w:color w:val="171717"/>
          <w:sz w:val="22"/>
          <w:szCs w:val="22"/>
        </w:rPr>
      </w:pPr>
    </w:p>
    <w:p w:rsidR="0055268D" w:rsidRPr="004E2E67" w:rsidRDefault="0055268D" w:rsidP="0055268D">
      <w:pPr>
        <w:jc w:val="both"/>
        <w:rPr>
          <w:rFonts w:ascii="Arial" w:eastAsia="Arial" w:hAnsi="Arial" w:cs="Arial"/>
          <w:color w:val="171717"/>
          <w:sz w:val="22"/>
          <w:szCs w:val="22"/>
        </w:rPr>
      </w:pPr>
      <w:r w:rsidRPr="004E2E67">
        <w:rPr>
          <w:rFonts w:ascii="Arial" w:eastAsia="Arial" w:hAnsi="Arial" w:cs="Arial"/>
          <w:color w:val="171717"/>
          <w:sz w:val="22"/>
          <w:szCs w:val="22"/>
        </w:rPr>
        <w:t xml:space="preserve"> </w:t>
      </w:r>
    </w:p>
    <w:p w:rsidR="0055268D" w:rsidRPr="004E2E67" w:rsidRDefault="0055268D" w:rsidP="0055268D">
      <w:pPr>
        <w:jc w:val="both"/>
        <w:rPr>
          <w:rFonts w:ascii="Arial" w:eastAsia="Arial" w:hAnsi="Arial" w:cs="Arial"/>
          <w:color w:val="171717"/>
          <w:sz w:val="22"/>
          <w:szCs w:val="22"/>
        </w:rPr>
      </w:pPr>
      <w:r w:rsidRPr="004E2E67">
        <w:rPr>
          <w:rFonts w:ascii="Arial" w:eastAsia="Arial" w:hAnsi="Arial" w:cs="Arial"/>
          <w:color w:val="171717"/>
          <w:sz w:val="22"/>
          <w:szCs w:val="22"/>
        </w:rPr>
        <w:t xml:space="preserve"> </w:t>
      </w:r>
    </w:p>
    <w:p w:rsidR="0055268D" w:rsidRPr="004E2E67" w:rsidRDefault="0055268D" w:rsidP="0055268D">
      <w:pPr>
        <w:jc w:val="both"/>
        <w:rPr>
          <w:rFonts w:ascii="Arial" w:eastAsia="Arial" w:hAnsi="Arial" w:cs="Arial"/>
          <w:color w:val="171717"/>
          <w:sz w:val="22"/>
          <w:szCs w:val="22"/>
        </w:rPr>
      </w:pPr>
    </w:p>
    <w:p w:rsidR="0055268D" w:rsidRPr="004E2E67" w:rsidRDefault="0055268D" w:rsidP="0055268D">
      <w:pPr>
        <w:ind w:left="-5" w:right="-15" w:hanging="10"/>
        <w:jc w:val="both"/>
        <w:rPr>
          <w:rFonts w:ascii="Arial" w:eastAsia="Arial" w:hAnsi="Arial" w:cs="Arial"/>
          <w:color w:val="171717"/>
          <w:sz w:val="22"/>
          <w:szCs w:val="22"/>
        </w:rPr>
      </w:pPr>
      <w:r>
        <w:rPr>
          <w:rFonts w:ascii="Arial" w:eastAsia="Arial" w:hAnsi="Arial" w:cs="Arial"/>
          <w:b/>
          <w:color w:val="171717"/>
          <w:sz w:val="22"/>
          <w:szCs w:val="22"/>
        </w:rPr>
        <w:t xml:space="preserve">LORENA GÓMEZ ROA </w:t>
      </w:r>
      <w:r w:rsidRPr="004E2E67">
        <w:rPr>
          <w:rFonts w:ascii="Arial" w:eastAsia="Arial" w:hAnsi="Arial" w:cs="Arial"/>
          <w:b/>
          <w:color w:val="171717"/>
          <w:sz w:val="22"/>
          <w:szCs w:val="22"/>
        </w:rPr>
        <w:t xml:space="preserve"> </w:t>
      </w:r>
    </w:p>
    <w:p w:rsidR="0055268D" w:rsidRPr="004E2E67" w:rsidRDefault="0055268D" w:rsidP="0055268D">
      <w:pPr>
        <w:spacing w:after="9" w:line="232" w:lineRule="auto"/>
        <w:ind w:left="-5" w:hanging="10"/>
        <w:jc w:val="both"/>
        <w:rPr>
          <w:rFonts w:ascii="Arial" w:eastAsia="Arial" w:hAnsi="Arial" w:cs="Arial"/>
          <w:color w:val="171717"/>
          <w:sz w:val="22"/>
          <w:szCs w:val="22"/>
        </w:rPr>
      </w:pPr>
      <w:r>
        <w:rPr>
          <w:rFonts w:ascii="Arial" w:eastAsia="Arial" w:hAnsi="Arial" w:cs="Arial"/>
          <w:color w:val="171717"/>
          <w:sz w:val="22"/>
          <w:szCs w:val="22"/>
        </w:rPr>
        <w:t xml:space="preserve">Presidente </w:t>
      </w:r>
      <w:r w:rsidRPr="004E2E67">
        <w:rPr>
          <w:rFonts w:ascii="Arial" w:eastAsia="Arial" w:hAnsi="Arial" w:cs="Arial"/>
          <w:color w:val="171717"/>
          <w:sz w:val="22"/>
          <w:szCs w:val="22"/>
        </w:rPr>
        <w:t xml:space="preserve"> </w:t>
      </w:r>
    </w:p>
    <w:p w:rsidR="0055268D" w:rsidRPr="004E2E67" w:rsidRDefault="0055268D" w:rsidP="0055268D">
      <w:pPr>
        <w:jc w:val="both"/>
        <w:rPr>
          <w:rFonts w:ascii="Arial" w:eastAsia="Arial" w:hAnsi="Arial" w:cs="Arial"/>
          <w:color w:val="171717"/>
          <w:sz w:val="22"/>
          <w:szCs w:val="22"/>
        </w:rPr>
      </w:pPr>
    </w:p>
    <w:p w:rsidR="0055268D" w:rsidRPr="004E2E67" w:rsidRDefault="0055268D" w:rsidP="0055268D">
      <w:pPr>
        <w:jc w:val="both"/>
        <w:rPr>
          <w:rFonts w:ascii="Arial" w:hAnsi="Arial" w:cs="Arial"/>
          <w:b/>
          <w:color w:val="171717"/>
          <w:sz w:val="22"/>
          <w:szCs w:val="22"/>
          <w:lang w:val="es-CO"/>
        </w:rPr>
      </w:pPr>
      <w:r w:rsidRPr="004E2E67">
        <w:rPr>
          <w:rFonts w:ascii="Arial" w:eastAsia="Arial" w:hAnsi="Arial" w:cs="Arial"/>
          <w:color w:val="171717"/>
          <w:sz w:val="14"/>
          <w:szCs w:val="22"/>
        </w:rPr>
        <w:t>REDM/CEBC</w:t>
      </w:r>
    </w:p>
    <w:p w:rsidR="0055268D" w:rsidRPr="008F1A87" w:rsidRDefault="0055268D" w:rsidP="0055268D">
      <w:pPr>
        <w:jc w:val="center"/>
        <w:rPr>
          <w:rFonts w:ascii="Arial" w:hAnsi="Arial" w:cs="Arial"/>
          <w:sz w:val="22"/>
          <w:szCs w:val="22"/>
          <w:lang w:val="es-CO"/>
        </w:rPr>
      </w:pPr>
    </w:p>
    <w:p w:rsidR="0055268D" w:rsidRPr="00BD517E" w:rsidRDefault="0055268D" w:rsidP="0055268D"/>
    <w:p w:rsidR="004E2E67" w:rsidRPr="008F1A87" w:rsidRDefault="004E2E67" w:rsidP="005E0745">
      <w:pPr>
        <w:jc w:val="center"/>
        <w:rPr>
          <w:rFonts w:ascii="Arial" w:hAnsi="Arial" w:cs="Arial"/>
          <w:sz w:val="22"/>
          <w:szCs w:val="22"/>
          <w:lang w:val="es-CO"/>
        </w:rPr>
      </w:pPr>
    </w:p>
    <w:sectPr w:rsidR="004E2E67" w:rsidRPr="008F1A87" w:rsidSect="00C31600">
      <w:headerReference w:type="default" r:id="rId8"/>
      <w:footerReference w:type="default" r:id="rId9"/>
      <w:headerReference w:type="first" r:id="rId10"/>
      <w:footerReference w:type="first" r:id="rId11"/>
      <w:type w:val="continuous"/>
      <w:pgSz w:w="12240" w:h="15840" w:code="1"/>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308" w:rsidRDefault="00D21308">
      <w:r>
        <w:separator/>
      </w:r>
    </w:p>
  </w:endnote>
  <w:endnote w:type="continuationSeparator" w:id="0">
    <w:p w:rsidR="00D21308" w:rsidRDefault="00D2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D21308"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BF14C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D21308"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308" w:rsidRDefault="00D21308">
      <w:r>
        <w:separator/>
      </w:r>
    </w:p>
  </w:footnote>
  <w:footnote w:type="continuationSeparator" w:id="0">
    <w:p w:rsidR="00D21308" w:rsidRDefault="00D21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BF14C7">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BF14C7"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952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E5E55"/>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27F54"/>
    <w:rsid w:val="00030104"/>
    <w:rsid w:val="00075C11"/>
    <w:rsid w:val="000A5B91"/>
    <w:rsid w:val="000D234C"/>
    <w:rsid w:val="000D6FCF"/>
    <w:rsid w:val="000E1C7F"/>
    <w:rsid w:val="000F747F"/>
    <w:rsid w:val="00115930"/>
    <w:rsid w:val="001555A8"/>
    <w:rsid w:val="00186736"/>
    <w:rsid w:val="00196A82"/>
    <w:rsid w:val="001E2E1A"/>
    <w:rsid w:val="001F771D"/>
    <w:rsid w:val="00223170"/>
    <w:rsid w:val="00231BB4"/>
    <w:rsid w:val="00233F2B"/>
    <w:rsid w:val="00234742"/>
    <w:rsid w:val="00254F44"/>
    <w:rsid w:val="0025591C"/>
    <w:rsid w:val="00272D2C"/>
    <w:rsid w:val="002A6251"/>
    <w:rsid w:val="002E4BE9"/>
    <w:rsid w:val="002E4D7F"/>
    <w:rsid w:val="00304738"/>
    <w:rsid w:val="00341A26"/>
    <w:rsid w:val="00346690"/>
    <w:rsid w:val="00354655"/>
    <w:rsid w:val="00356985"/>
    <w:rsid w:val="00356B95"/>
    <w:rsid w:val="0039555D"/>
    <w:rsid w:val="003A415E"/>
    <w:rsid w:val="0043031B"/>
    <w:rsid w:val="00460271"/>
    <w:rsid w:val="0046213E"/>
    <w:rsid w:val="00467320"/>
    <w:rsid w:val="0048348F"/>
    <w:rsid w:val="004D0E7C"/>
    <w:rsid w:val="004E2E67"/>
    <w:rsid w:val="005222A8"/>
    <w:rsid w:val="00531DC9"/>
    <w:rsid w:val="00550113"/>
    <w:rsid w:val="0055268D"/>
    <w:rsid w:val="0056705B"/>
    <w:rsid w:val="005B6E33"/>
    <w:rsid w:val="005C0C36"/>
    <w:rsid w:val="005D76B2"/>
    <w:rsid w:val="005E0745"/>
    <w:rsid w:val="00605C20"/>
    <w:rsid w:val="006E20EA"/>
    <w:rsid w:val="00717C18"/>
    <w:rsid w:val="00725110"/>
    <w:rsid w:val="0073370F"/>
    <w:rsid w:val="00772AAD"/>
    <w:rsid w:val="00792CFA"/>
    <w:rsid w:val="007A4FC8"/>
    <w:rsid w:val="007A62ED"/>
    <w:rsid w:val="007C6531"/>
    <w:rsid w:val="007D5D9C"/>
    <w:rsid w:val="007E3D61"/>
    <w:rsid w:val="007F4250"/>
    <w:rsid w:val="007F4A64"/>
    <w:rsid w:val="007F73D2"/>
    <w:rsid w:val="0083011E"/>
    <w:rsid w:val="00845C21"/>
    <w:rsid w:val="00866952"/>
    <w:rsid w:val="00872977"/>
    <w:rsid w:val="008909E4"/>
    <w:rsid w:val="008E3B01"/>
    <w:rsid w:val="008F1A87"/>
    <w:rsid w:val="008F3FF1"/>
    <w:rsid w:val="009211DD"/>
    <w:rsid w:val="0094346E"/>
    <w:rsid w:val="00952950"/>
    <w:rsid w:val="00967602"/>
    <w:rsid w:val="00971AEB"/>
    <w:rsid w:val="009859A3"/>
    <w:rsid w:val="00996D2F"/>
    <w:rsid w:val="009F55DF"/>
    <w:rsid w:val="00A0504A"/>
    <w:rsid w:val="00A052C6"/>
    <w:rsid w:val="00A06153"/>
    <w:rsid w:val="00A41C4D"/>
    <w:rsid w:val="00A546D7"/>
    <w:rsid w:val="00A93FE3"/>
    <w:rsid w:val="00AB055F"/>
    <w:rsid w:val="00AD504C"/>
    <w:rsid w:val="00B12C27"/>
    <w:rsid w:val="00B12D28"/>
    <w:rsid w:val="00B26901"/>
    <w:rsid w:val="00B512A7"/>
    <w:rsid w:val="00B6455C"/>
    <w:rsid w:val="00BC54A6"/>
    <w:rsid w:val="00BF14C7"/>
    <w:rsid w:val="00C02925"/>
    <w:rsid w:val="00C31600"/>
    <w:rsid w:val="00CC1956"/>
    <w:rsid w:val="00CD34E4"/>
    <w:rsid w:val="00CD5377"/>
    <w:rsid w:val="00D13D10"/>
    <w:rsid w:val="00D2095F"/>
    <w:rsid w:val="00D21308"/>
    <w:rsid w:val="00D26DBB"/>
    <w:rsid w:val="00D337CD"/>
    <w:rsid w:val="00D34746"/>
    <w:rsid w:val="00D6607D"/>
    <w:rsid w:val="00DD6596"/>
    <w:rsid w:val="00E00EB7"/>
    <w:rsid w:val="00E44620"/>
    <w:rsid w:val="00E47C0A"/>
    <w:rsid w:val="00E74FD1"/>
    <w:rsid w:val="00EB60EF"/>
    <w:rsid w:val="00EF0ECF"/>
    <w:rsid w:val="00F07DCB"/>
    <w:rsid w:val="00F10175"/>
    <w:rsid w:val="00F3576B"/>
    <w:rsid w:val="00F461D1"/>
    <w:rsid w:val="00F57EE7"/>
    <w:rsid w:val="00F66045"/>
    <w:rsid w:val="00FB30A0"/>
    <w:rsid w:val="00FD54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ABBC09A-6A21-48AC-8B72-C7E0C4C5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4E2E67"/>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4E2E67"/>
    <w:pPr>
      <w:ind w:left="708"/>
    </w:pPr>
  </w:style>
  <w:style w:type="table" w:styleId="Tablaconcuadrcula">
    <w:name w:val="Table Grid"/>
    <w:basedOn w:val="Tablanormal"/>
    <w:rsid w:val="00552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10363</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2019-02-18T20:47:00Z</dcterms:created>
  <dcterms:modified xsi:type="dcterms:W3CDTF">2019-02-18T20:47:00Z</dcterms:modified>
</cp:coreProperties>
</file>