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FC6538" w:rsidRDefault="00EF0ECF" w:rsidP="00EF0ECF">
      <w:pPr>
        <w:pStyle w:val="Encabezado"/>
        <w:rPr>
          <w:rFonts w:ascii="Arial" w:hAnsi="Arial" w:cs="Arial"/>
          <w:sz w:val="22"/>
          <w:szCs w:val="22"/>
          <w:lang w:val="es-CO"/>
        </w:rPr>
      </w:pPr>
      <w:bookmarkStart w:id="0" w:name="_GoBack"/>
      <w:bookmarkEnd w:id="0"/>
    </w:p>
    <w:p w:rsidR="005E0745" w:rsidRPr="00FC6538" w:rsidRDefault="005E0745" w:rsidP="005E0745">
      <w:pPr>
        <w:jc w:val="center"/>
        <w:rPr>
          <w:rFonts w:ascii="Arial" w:hAnsi="Arial" w:cs="Arial"/>
          <w:sz w:val="22"/>
          <w:szCs w:val="22"/>
          <w:lang w:val="es-CO"/>
        </w:rPr>
      </w:pPr>
    </w:p>
    <w:p w:rsidR="005E0745" w:rsidRPr="00FC6538" w:rsidRDefault="005E0745" w:rsidP="005E0745">
      <w:pPr>
        <w:jc w:val="center"/>
        <w:rPr>
          <w:rFonts w:ascii="Arial" w:hAnsi="Arial" w:cs="Arial"/>
          <w:b/>
          <w:sz w:val="22"/>
          <w:szCs w:val="22"/>
          <w:lang w:val="es-CO"/>
        </w:rPr>
      </w:pPr>
      <w:r w:rsidRPr="00FC6538">
        <w:rPr>
          <w:rFonts w:ascii="Arial" w:hAnsi="Arial" w:cs="Arial"/>
          <w:b/>
          <w:sz w:val="22"/>
          <w:szCs w:val="22"/>
          <w:lang w:val="es-CO"/>
        </w:rPr>
        <w:t xml:space="preserve">RESOLUCION No. </w:t>
      </w:r>
      <w:r w:rsidR="001A16FC" w:rsidRPr="00FC6538">
        <w:rPr>
          <w:rFonts w:ascii="Arial" w:hAnsi="Arial" w:cs="Arial"/>
          <w:b/>
          <w:sz w:val="22"/>
          <w:szCs w:val="22"/>
          <w:lang w:val="es-CO"/>
        </w:rPr>
        <w:t>CSJMER19-154</w:t>
      </w:r>
    </w:p>
    <w:p w:rsidR="00967602" w:rsidRPr="00FC6538" w:rsidRDefault="001A16FC" w:rsidP="005E0745">
      <w:pPr>
        <w:jc w:val="center"/>
        <w:rPr>
          <w:rFonts w:ascii="Arial" w:hAnsi="Arial" w:cs="Arial"/>
          <w:b/>
          <w:sz w:val="22"/>
          <w:szCs w:val="22"/>
          <w:lang w:val="es-CO"/>
        </w:rPr>
      </w:pPr>
      <w:r w:rsidRPr="00FC6538">
        <w:rPr>
          <w:rFonts w:ascii="Arial" w:hAnsi="Arial" w:cs="Arial"/>
          <w:b/>
          <w:sz w:val="22"/>
          <w:szCs w:val="22"/>
          <w:lang w:val="es-CO"/>
        </w:rPr>
        <w:t>27 de junio de 2019</w:t>
      </w:r>
    </w:p>
    <w:p w:rsidR="005D76B2" w:rsidRDefault="005D76B2" w:rsidP="005E0745">
      <w:pPr>
        <w:jc w:val="center"/>
        <w:rPr>
          <w:rFonts w:ascii="Arial" w:hAnsi="Arial" w:cs="Arial"/>
          <w:sz w:val="22"/>
          <w:szCs w:val="22"/>
          <w:lang w:val="es-CO"/>
        </w:rPr>
      </w:pPr>
    </w:p>
    <w:p w:rsidR="0097244F" w:rsidRPr="00FC6538" w:rsidRDefault="0097244F" w:rsidP="005E0745">
      <w:pPr>
        <w:jc w:val="center"/>
        <w:rPr>
          <w:rFonts w:ascii="Arial" w:hAnsi="Arial" w:cs="Arial"/>
          <w:sz w:val="22"/>
          <w:szCs w:val="22"/>
          <w:lang w:val="es-CO"/>
        </w:rPr>
      </w:pPr>
    </w:p>
    <w:p w:rsidR="00D1733B" w:rsidRPr="00FC6538" w:rsidRDefault="00D1733B" w:rsidP="00D1733B">
      <w:pPr>
        <w:jc w:val="center"/>
        <w:rPr>
          <w:rFonts w:ascii="Arial" w:hAnsi="Arial" w:cs="Arial"/>
          <w:bCs/>
          <w:iCs/>
          <w:sz w:val="22"/>
          <w:szCs w:val="22"/>
        </w:rPr>
      </w:pPr>
      <w:r w:rsidRPr="00FC6538">
        <w:rPr>
          <w:rFonts w:ascii="Arial" w:hAnsi="Arial" w:cs="Arial"/>
          <w:i/>
          <w:sz w:val="22"/>
          <w:szCs w:val="22"/>
          <w:lang w:val="es-CO"/>
        </w:rPr>
        <w:t>“</w:t>
      </w:r>
      <w:r w:rsidRPr="00FC6538">
        <w:rPr>
          <w:rFonts w:ascii="Arial" w:hAnsi="Arial" w:cs="Arial"/>
          <w:bCs/>
          <w:iCs/>
          <w:sz w:val="22"/>
          <w:szCs w:val="22"/>
        </w:rPr>
        <w:t>Por la cual se confiere al Director Seccional de la Administración Judicial de la Rama Judicial de Villavicencio una autorización para contratar”</w:t>
      </w:r>
    </w:p>
    <w:p w:rsidR="00D1733B" w:rsidRPr="00FC6538" w:rsidRDefault="00D1733B" w:rsidP="00D1733B">
      <w:pPr>
        <w:rPr>
          <w:rFonts w:ascii="Arial" w:hAnsi="Arial" w:cs="Arial"/>
          <w:bCs/>
          <w:iCs/>
          <w:sz w:val="22"/>
          <w:szCs w:val="22"/>
        </w:rPr>
      </w:pPr>
    </w:p>
    <w:p w:rsidR="00D1733B" w:rsidRPr="00FC6538" w:rsidRDefault="00D1733B" w:rsidP="00D1733B">
      <w:pPr>
        <w:rPr>
          <w:rFonts w:ascii="Arial" w:hAnsi="Arial" w:cs="Arial"/>
          <w:bCs/>
          <w:iCs/>
          <w:sz w:val="22"/>
          <w:szCs w:val="22"/>
        </w:rPr>
      </w:pPr>
    </w:p>
    <w:p w:rsidR="00D1733B" w:rsidRPr="00FC6538" w:rsidRDefault="00D1733B" w:rsidP="00D1733B">
      <w:pPr>
        <w:pStyle w:val="Textoindependiente"/>
        <w:jc w:val="both"/>
        <w:rPr>
          <w:rFonts w:ascii="Arial" w:hAnsi="Arial" w:cs="Arial"/>
          <w:i w:val="0"/>
          <w:szCs w:val="22"/>
        </w:rPr>
      </w:pPr>
      <w:r w:rsidRPr="00FC6538">
        <w:rPr>
          <w:rFonts w:ascii="Arial" w:hAnsi="Arial" w:cs="Arial"/>
          <w:i w:val="0"/>
          <w:szCs w:val="22"/>
          <w:lang w:val="es-CO"/>
        </w:rPr>
        <w:t>El</w:t>
      </w:r>
      <w:r w:rsidRPr="00FC6538">
        <w:rPr>
          <w:rFonts w:ascii="Arial" w:hAnsi="Arial" w:cs="Arial"/>
          <w:i w:val="0"/>
          <w:szCs w:val="22"/>
        </w:rPr>
        <w:t xml:space="preserve"> Consejo Seccional de la Judicatura del Meta, en ejercicio de las atribuciones legales y reglamentarias y en especial las conferidas por el Artículo Cuarto del Acuerdo Núm. 163 de 1996 de la Honorable Sala Administrativa del </w:t>
      </w:r>
      <w:r w:rsidRPr="00FC6538">
        <w:rPr>
          <w:rFonts w:ascii="Arial" w:hAnsi="Arial" w:cs="Arial"/>
          <w:i w:val="0"/>
          <w:szCs w:val="22"/>
          <w:lang w:val="es-ES"/>
        </w:rPr>
        <w:t>C</w:t>
      </w:r>
      <w:r w:rsidRPr="00FC6538">
        <w:rPr>
          <w:rFonts w:ascii="Arial" w:hAnsi="Arial" w:cs="Arial"/>
          <w:i w:val="0"/>
          <w:szCs w:val="22"/>
        </w:rPr>
        <w:t>onsejo Superior de la Judicatura y,</w:t>
      </w:r>
    </w:p>
    <w:p w:rsidR="00D1733B" w:rsidRPr="00FC6538" w:rsidRDefault="00D1733B" w:rsidP="00D1733B">
      <w:pPr>
        <w:pStyle w:val="Textoindependiente"/>
        <w:jc w:val="both"/>
        <w:rPr>
          <w:rFonts w:ascii="Arial" w:hAnsi="Arial" w:cs="Arial"/>
          <w:i w:val="0"/>
          <w:szCs w:val="22"/>
        </w:rPr>
      </w:pPr>
    </w:p>
    <w:p w:rsidR="00D1733B" w:rsidRPr="00FC6538" w:rsidRDefault="00D1733B" w:rsidP="00D1733B">
      <w:pPr>
        <w:pStyle w:val="Textoindependiente"/>
        <w:jc w:val="both"/>
        <w:rPr>
          <w:rFonts w:ascii="Arial" w:hAnsi="Arial" w:cs="Arial"/>
          <w:i w:val="0"/>
          <w:szCs w:val="22"/>
        </w:rPr>
      </w:pPr>
    </w:p>
    <w:p w:rsidR="00D1733B" w:rsidRPr="00FC6538" w:rsidRDefault="00D1733B" w:rsidP="00D1733B">
      <w:pPr>
        <w:jc w:val="center"/>
        <w:rPr>
          <w:rFonts w:ascii="Arial" w:hAnsi="Arial" w:cs="Arial"/>
          <w:b/>
          <w:bCs/>
          <w:iCs/>
          <w:sz w:val="22"/>
          <w:szCs w:val="22"/>
        </w:rPr>
      </w:pPr>
      <w:r w:rsidRPr="00FC6538">
        <w:rPr>
          <w:rFonts w:ascii="Arial" w:hAnsi="Arial" w:cs="Arial"/>
          <w:b/>
          <w:bCs/>
          <w:iCs/>
          <w:sz w:val="22"/>
          <w:szCs w:val="22"/>
        </w:rPr>
        <w:t>CONSIDERANDO:</w:t>
      </w:r>
    </w:p>
    <w:p w:rsidR="00D1733B" w:rsidRPr="00FC6538" w:rsidRDefault="00D1733B" w:rsidP="00D1733B">
      <w:pPr>
        <w:pStyle w:val="Textoindependiente2"/>
        <w:rPr>
          <w:rFonts w:ascii="Arial" w:hAnsi="Arial" w:cs="Arial"/>
          <w:i w:val="0"/>
          <w:szCs w:val="22"/>
        </w:rPr>
      </w:pPr>
    </w:p>
    <w:p w:rsidR="00FC6538" w:rsidRPr="00FC6538" w:rsidRDefault="00FC6538" w:rsidP="00FC6538">
      <w:pPr>
        <w:spacing w:line="240" w:lineRule="exact"/>
        <w:jc w:val="both"/>
        <w:rPr>
          <w:rFonts w:ascii="Arial" w:hAnsi="Arial" w:cs="Arial"/>
          <w:sz w:val="22"/>
          <w:szCs w:val="22"/>
        </w:rPr>
      </w:pPr>
      <w:r w:rsidRPr="00FC6538">
        <w:rPr>
          <w:rFonts w:ascii="Arial" w:hAnsi="Arial" w:cs="Arial"/>
          <w:sz w:val="22"/>
          <w:szCs w:val="22"/>
        </w:rPr>
        <w:t xml:space="preserve">Que, el Director Seccional de Administración Judicial de la Rama Judicial de Villavicencio, mediante oficio DESAJVIO19-1835 del 26 de junio de 2019, </w:t>
      </w:r>
      <w:r w:rsidRPr="00FC6538">
        <w:rPr>
          <w:rFonts w:ascii="Arial" w:hAnsi="Arial" w:cs="Arial"/>
          <w:bCs/>
          <w:sz w:val="22"/>
          <w:szCs w:val="22"/>
        </w:rPr>
        <w:t xml:space="preserve">solicita </w:t>
      </w:r>
      <w:r w:rsidRPr="00FC6538">
        <w:rPr>
          <w:rFonts w:ascii="Arial" w:hAnsi="Arial" w:cs="Arial"/>
          <w:sz w:val="22"/>
          <w:szCs w:val="22"/>
        </w:rPr>
        <w:t>autorización para realizar una adición en tiempo y valor al Contrato 071 de 2018, cuyo objeto es contratar en nombre de la Nación – Consejo Superior de la Judicatura – Dirección Seccional de Administración Judicial Seccional Villavicencio, la prestación del servicio de vigilancia y seguridad privada, con destino a los diferentes Despachos y Corporaciones Judiciales a cargo de la Dirección Seccional de Administración Judicial Villavicencio – Meta</w:t>
      </w:r>
      <w:r w:rsidRPr="00FC6538">
        <w:rPr>
          <w:rFonts w:ascii="Arial" w:hAnsi="Arial" w:cs="Arial"/>
          <w:iCs/>
          <w:sz w:val="22"/>
          <w:szCs w:val="22"/>
        </w:rPr>
        <w:t xml:space="preserve">, en las condiciones técnicas, de calidad y cantidades requeridas por la Entidad y de conformidad con las especificaciones, características y condiciones señaladas en el Pliego de Condiciones Definitivo y en la oferta presentada por la empresa </w:t>
      </w:r>
      <w:r w:rsidRPr="00FC6538">
        <w:rPr>
          <w:rFonts w:ascii="Arial" w:hAnsi="Arial" w:cs="Arial"/>
          <w:sz w:val="22"/>
          <w:szCs w:val="22"/>
        </w:rPr>
        <w:t>SEGURIDAD SUPERIOR LTDA</w:t>
      </w:r>
      <w:r w:rsidRPr="00FC6538">
        <w:rPr>
          <w:rFonts w:ascii="Arial" w:hAnsi="Arial" w:cs="Arial"/>
          <w:iCs/>
          <w:sz w:val="22"/>
          <w:szCs w:val="22"/>
        </w:rPr>
        <w:t>, radicada el día</w:t>
      </w:r>
      <w:r w:rsidRPr="00FC6538">
        <w:rPr>
          <w:rFonts w:ascii="Arial" w:hAnsi="Arial" w:cs="Arial"/>
          <w:sz w:val="22"/>
          <w:szCs w:val="22"/>
        </w:rPr>
        <w:t xml:space="preserve"> dieciséis (16) de noviembre </w:t>
      </w:r>
      <w:r w:rsidRPr="00FC6538">
        <w:rPr>
          <w:rFonts w:ascii="Arial" w:hAnsi="Arial" w:cs="Arial"/>
          <w:sz w:val="22"/>
          <w:szCs w:val="22"/>
        </w:rPr>
        <w:lastRenderedPageBreak/>
        <w:t xml:space="preserve">de 2018 bajo el número EXTDESAJVI18-9400, por valor de CIENTO CUARENTA Y UN MILLONES SEISCIENTOS NOVENTA Y DOS MIL QUINIENTOS TREINTA Y TRES </w:t>
      </w:r>
      <w:r w:rsidRPr="00FC6538">
        <w:rPr>
          <w:rFonts w:ascii="Arial" w:eastAsia="Calibri" w:hAnsi="Arial" w:cs="Arial"/>
          <w:snapToGrid w:val="0"/>
          <w:sz w:val="22"/>
          <w:szCs w:val="22"/>
        </w:rPr>
        <w:t>PESOS</w:t>
      </w:r>
      <w:r w:rsidRPr="00FC6538">
        <w:rPr>
          <w:rFonts w:ascii="Arial" w:eastAsia="Calibri" w:hAnsi="Arial" w:cs="Arial"/>
          <w:sz w:val="22"/>
          <w:szCs w:val="22"/>
        </w:rPr>
        <w:t xml:space="preserve"> ($141.692.533)</w:t>
      </w:r>
      <w:r w:rsidRPr="00FC6538">
        <w:rPr>
          <w:rFonts w:ascii="Arial" w:hAnsi="Arial" w:cs="Arial"/>
          <w:sz w:val="22"/>
          <w:szCs w:val="22"/>
        </w:rPr>
        <w:t>, incluido impuestos</w:t>
      </w:r>
      <w:r w:rsidRPr="00FC6538">
        <w:rPr>
          <w:rFonts w:ascii="Arial" w:hAnsi="Arial" w:cs="Arial"/>
          <w:bCs/>
          <w:sz w:val="22"/>
          <w:szCs w:val="22"/>
        </w:rPr>
        <w:t xml:space="preserve">, con el fin de garantizar la prestación del servicio por el periodo </w:t>
      </w:r>
      <w:r w:rsidRPr="00FC6538">
        <w:rPr>
          <w:rFonts w:ascii="Arial" w:hAnsi="Arial" w:cs="Arial"/>
          <w:sz w:val="22"/>
          <w:szCs w:val="22"/>
        </w:rPr>
        <w:t>comprendido entre el primero (01) de julio y el nueve (09) de agosto de 2019.</w:t>
      </w:r>
    </w:p>
    <w:p w:rsidR="00FC6538" w:rsidRPr="00FC6538" w:rsidRDefault="00FC6538" w:rsidP="00FC6538">
      <w:pPr>
        <w:autoSpaceDN w:val="0"/>
        <w:adjustRightInd w:val="0"/>
        <w:spacing w:line="240" w:lineRule="exact"/>
        <w:ind w:left="1"/>
        <w:jc w:val="both"/>
        <w:outlineLvl w:val="2"/>
        <w:rPr>
          <w:rFonts w:ascii="Arial" w:hAnsi="Arial" w:cs="Arial"/>
          <w:sz w:val="22"/>
          <w:szCs w:val="22"/>
        </w:rPr>
      </w:pPr>
    </w:p>
    <w:p w:rsidR="00FC6538" w:rsidRPr="00FC6538" w:rsidRDefault="00FC6538" w:rsidP="00FC6538">
      <w:pPr>
        <w:pStyle w:val="Textoindependiente2"/>
        <w:rPr>
          <w:rFonts w:ascii="Arial" w:hAnsi="Arial" w:cs="Arial"/>
          <w:i w:val="0"/>
          <w:szCs w:val="22"/>
        </w:rPr>
      </w:pPr>
      <w:r w:rsidRPr="00FC6538">
        <w:rPr>
          <w:rFonts w:ascii="Arial" w:hAnsi="Arial" w:cs="Arial"/>
          <w:i w:val="0"/>
          <w:szCs w:val="22"/>
        </w:rPr>
        <w:t>La adición se fundamenta financieramente en los Certificados de Disponibilidad Presupuestal expedidos por la Coordinadora del Grupo de Ejecución Presupuestal</w:t>
      </w:r>
      <w:r w:rsidRPr="00FC6538">
        <w:rPr>
          <w:rFonts w:ascii="Arial" w:hAnsi="Arial" w:cs="Arial"/>
          <w:i w:val="0"/>
          <w:szCs w:val="22"/>
          <w:lang w:val="es-CO"/>
        </w:rPr>
        <w:t xml:space="preserve">, </w:t>
      </w:r>
      <w:r w:rsidRPr="00FC6538">
        <w:rPr>
          <w:rFonts w:ascii="Arial" w:hAnsi="Arial" w:cs="Arial"/>
          <w:i w:val="0"/>
          <w:szCs w:val="22"/>
        </w:rPr>
        <w:t>de la siguiente manera:</w:t>
      </w:r>
    </w:p>
    <w:p w:rsidR="00FC6538" w:rsidRPr="00FC6538" w:rsidRDefault="00FC6538" w:rsidP="00FC6538">
      <w:pPr>
        <w:pStyle w:val="Textoindependiente2"/>
        <w:rPr>
          <w:rFonts w:ascii="Arial" w:hAnsi="Arial" w:cs="Arial"/>
          <w:i w:val="0"/>
          <w:szCs w:val="22"/>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1"/>
        <w:gridCol w:w="2269"/>
        <w:gridCol w:w="2384"/>
      </w:tblGrid>
      <w:tr w:rsidR="00FC6538" w:rsidRPr="00FC6538" w:rsidTr="00DD7F5F">
        <w:trPr>
          <w:trHeight w:val="247"/>
        </w:trPr>
        <w:tc>
          <w:tcPr>
            <w:tcW w:w="5201" w:type="dxa"/>
            <w:vMerge w:val="restart"/>
            <w:shd w:val="clear" w:color="auto" w:fill="D9D9D9"/>
            <w:vAlign w:val="center"/>
          </w:tcPr>
          <w:p w:rsidR="00FC6538" w:rsidRPr="00FC6538" w:rsidRDefault="00FC6538" w:rsidP="00DD7F5F">
            <w:pPr>
              <w:widowControl w:val="0"/>
              <w:ind w:right="6"/>
              <w:jc w:val="center"/>
              <w:rPr>
                <w:rFonts w:ascii="Arial" w:hAnsi="Arial" w:cs="Arial"/>
                <w:b/>
                <w:sz w:val="22"/>
                <w:szCs w:val="22"/>
              </w:rPr>
            </w:pPr>
            <w:r w:rsidRPr="00FC6538">
              <w:rPr>
                <w:rFonts w:ascii="Arial" w:hAnsi="Arial" w:cs="Arial"/>
                <w:b/>
                <w:sz w:val="22"/>
                <w:szCs w:val="22"/>
              </w:rPr>
              <w:t>UNIDADES EJECUTORAS</w:t>
            </w:r>
          </w:p>
        </w:tc>
        <w:tc>
          <w:tcPr>
            <w:tcW w:w="4653" w:type="dxa"/>
            <w:gridSpan w:val="2"/>
            <w:tcBorders>
              <w:bottom w:val="single" w:sz="4" w:space="0" w:color="auto"/>
            </w:tcBorders>
            <w:shd w:val="clear" w:color="auto" w:fill="D9D9D9"/>
            <w:vAlign w:val="center"/>
          </w:tcPr>
          <w:p w:rsidR="00FC6538" w:rsidRPr="00FC6538" w:rsidRDefault="00FC6538" w:rsidP="00DD7F5F">
            <w:pPr>
              <w:widowControl w:val="0"/>
              <w:ind w:right="6"/>
              <w:jc w:val="center"/>
              <w:rPr>
                <w:rFonts w:ascii="Arial" w:hAnsi="Arial" w:cs="Arial"/>
                <w:b/>
                <w:sz w:val="22"/>
                <w:szCs w:val="22"/>
              </w:rPr>
            </w:pPr>
            <w:r w:rsidRPr="00FC6538">
              <w:rPr>
                <w:rFonts w:ascii="Arial" w:hAnsi="Arial" w:cs="Arial"/>
                <w:b/>
                <w:sz w:val="22"/>
                <w:szCs w:val="22"/>
              </w:rPr>
              <w:t>VIGENCIA AÑO 2019</w:t>
            </w:r>
          </w:p>
        </w:tc>
      </w:tr>
      <w:tr w:rsidR="00FC6538" w:rsidRPr="00FC6538" w:rsidTr="00DD7F5F">
        <w:trPr>
          <w:trHeight w:val="219"/>
        </w:trPr>
        <w:tc>
          <w:tcPr>
            <w:tcW w:w="5201" w:type="dxa"/>
            <w:vMerge/>
            <w:shd w:val="clear" w:color="auto" w:fill="auto"/>
          </w:tcPr>
          <w:p w:rsidR="00FC6538" w:rsidRPr="00FC6538" w:rsidRDefault="00FC6538" w:rsidP="00DD7F5F">
            <w:pPr>
              <w:widowControl w:val="0"/>
              <w:ind w:right="6"/>
              <w:jc w:val="both"/>
              <w:rPr>
                <w:rFonts w:ascii="Arial" w:hAnsi="Arial" w:cs="Arial"/>
                <w:sz w:val="22"/>
                <w:szCs w:val="22"/>
              </w:rPr>
            </w:pPr>
          </w:p>
        </w:tc>
        <w:tc>
          <w:tcPr>
            <w:tcW w:w="2269" w:type="dxa"/>
            <w:shd w:val="clear" w:color="auto" w:fill="D9D9D9"/>
            <w:vAlign w:val="center"/>
          </w:tcPr>
          <w:p w:rsidR="00FC6538" w:rsidRPr="00FC6538" w:rsidRDefault="00FC6538" w:rsidP="00DD7F5F">
            <w:pPr>
              <w:widowControl w:val="0"/>
              <w:ind w:right="6"/>
              <w:jc w:val="center"/>
              <w:rPr>
                <w:rFonts w:ascii="Arial" w:hAnsi="Arial" w:cs="Arial"/>
                <w:b/>
                <w:sz w:val="22"/>
                <w:szCs w:val="22"/>
                <w:highlight w:val="yellow"/>
              </w:rPr>
            </w:pPr>
            <w:r w:rsidRPr="00FC6538">
              <w:rPr>
                <w:rFonts w:ascii="Arial" w:hAnsi="Arial" w:cs="Arial"/>
                <w:b/>
                <w:sz w:val="22"/>
                <w:szCs w:val="22"/>
              </w:rPr>
              <w:t>No. CDP</w:t>
            </w:r>
          </w:p>
        </w:tc>
        <w:tc>
          <w:tcPr>
            <w:tcW w:w="2383" w:type="dxa"/>
            <w:shd w:val="clear" w:color="auto" w:fill="D9D9D9"/>
            <w:vAlign w:val="center"/>
          </w:tcPr>
          <w:p w:rsidR="00FC6538" w:rsidRPr="00FC6538" w:rsidRDefault="00FC6538" w:rsidP="00DD7F5F">
            <w:pPr>
              <w:widowControl w:val="0"/>
              <w:ind w:right="6"/>
              <w:jc w:val="center"/>
              <w:rPr>
                <w:rFonts w:ascii="Arial" w:hAnsi="Arial" w:cs="Arial"/>
                <w:b/>
                <w:sz w:val="22"/>
                <w:szCs w:val="22"/>
              </w:rPr>
            </w:pPr>
            <w:r w:rsidRPr="00FC6538">
              <w:rPr>
                <w:rFonts w:ascii="Arial" w:hAnsi="Arial" w:cs="Arial"/>
                <w:b/>
                <w:sz w:val="22"/>
                <w:szCs w:val="22"/>
              </w:rPr>
              <w:t>VALOR</w:t>
            </w:r>
          </w:p>
        </w:tc>
      </w:tr>
      <w:tr w:rsidR="00FC6538" w:rsidRPr="00FC6538" w:rsidTr="00DD7F5F">
        <w:trPr>
          <w:trHeight w:val="136"/>
        </w:trPr>
        <w:tc>
          <w:tcPr>
            <w:tcW w:w="5201" w:type="dxa"/>
            <w:shd w:val="clear" w:color="auto" w:fill="auto"/>
          </w:tcPr>
          <w:p w:rsidR="00FC6538" w:rsidRPr="00FC6538" w:rsidRDefault="00FC6538" w:rsidP="00DD7F5F">
            <w:pPr>
              <w:jc w:val="both"/>
              <w:rPr>
                <w:rFonts w:ascii="Arial" w:hAnsi="Arial" w:cs="Arial"/>
                <w:sz w:val="22"/>
                <w:szCs w:val="22"/>
              </w:rPr>
            </w:pPr>
            <w:r w:rsidRPr="00FC6538">
              <w:rPr>
                <w:rFonts w:ascii="Arial" w:hAnsi="Arial" w:cs="Arial"/>
                <w:sz w:val="22"/>
                <w:szCs w:val="22"/>
              </w:rPr>
              <w:t>27-01-02-015 Consejo Superior de la Judicatura</w:t>
            </w:r>
          </w:p>
        </w:tc>
        <w:tc>
          <w:tcPr>
            <w:tcW w:w="2269" w:type="dxa"/>
            <w:shd w:val="clear" w:color="auto" w:fill="auto"/>
            <w:vAlign w:val="center"/>
          </w:tcPr>
          <w:p w:rsidR="00FC6538" w:rsidRPr="00FC6538" w:rsidRDefault="00FC6538" w:rsidP="00DD7F5F">
            <w:pPr>
              <w:widowControl w:val="0"/>
              <w:ind w:right="6"/>
              <w:jc w:val="center"/>
              <w:rPr>
                <w:rFonts w:ascii="Arial" w:hAnsi="Arial" w:cs="Arial"/>
                <w:sz w:val="22"/>
                <w:szCs w:val="22"/>
              </w:rPr>
            </w:pPr>
            <w:r w:rsidRPr="00FC6538">
              <w:rPr>
                <w:rFonts w:ascii="Arial" w:hAnsi="Arial" w:cs="Arial"/>
                <w:sz w:val="22"/>
                <w:szCs w:val="22"/>
              </w:rPr>
              <w:t>7119</w:t>
            </w:r>
          </w:p>
        </w:tc>
        <w:tc>
          <w:tcPr>
            <w:tcW w:w="2383" w:type="dxa"/>
            <w:shd w:val="clear" w:color="auto" w:fill="auto"/>
            <w:vAlign w:val="center"/>
          </w:tcPr>
          <w:p w:rsidR="00FC6538" w:rsidRPr="00FC6538" w:rsidRDefault="00FC6538" w:rsidP="00DD7F5F">
            <w:pPr>
              <w:widowControl w:val="0"/>
              <w:ind w:right="6"/>
              <w:jc w:val="center"/>
              <w:rPr>
                <w:rFonts w:ascii="Arial" w:hAnsi="Arial" w:cs="Arial"/>
                <w:sz w:val="22"/>
                <w:szCs w:val="22"/>
              </w:rPr>
            </w:pPr>
            <w:r w:rsidRPr="00FC6538">
              <w:rPr>
                <w:rFonts w:ascii="Arial" w:hAnsi="Arial" w:cs="Arial"/>
                <w:sz w:val="22"/>
                <w:szCs w:val="22"/>
              </w:rPr>
              <w:t>$ 10.619.019</w:t>
            </w:r>
          </w:p>
        </w:tc>
      </w:tr>
      <w:tr w:rsidR="00FC6538" w:rsidRPr="00FC6538" w:rsidTr="00DD7F5F">
        <w:trPr>
          <w:trHeight w:val="136"/>
        </w:trPr>
        <w:tc>
          <w:tcPr>
            <w:tcW w:w="5201" w:type="dxa"/>
            <w:shd w:val="clear" w:color="auto" w:fill="auto"/>
          </w:tcPr>
          <w:p w:rsidR="00FC6538" w:rsidRPr="00FC6538" w:rsidRDefault="00FC6538" w:rsidP="00DD7F5F">
            <w:pPr>
              <w:jc w:val="both"/>
              <w:rPr>
                <w:rFonts w:ascii="Arial" w:hAnsi="Arial" w:cs="Arial"/>
                <w:sz w:val="22"/>
                <w:szCs w:val="22"/>
              </w:rPr>
            </w:pPr>
            <w:r w:rsidRPr="00FC6538">
              <w:rPr>
                <w:rFonts w:ascii="Arial" w:hAnsi="Arial" w:cs="Arial"/>
                <w:sz w:val="22"/>
                <w:szCs w:val="22"/>
              </w:rPr>
              <w:t>27-01-08-015 Tribunales y Juzgados</w:t>
            </w:r>
          </w:p>
        </w:tc>
        <w:tc>
          <w:tcPr>
            <w:tcW w:w="2269" w:type="dxa"/>
            <w:shd w:val="clear" w:color="auto" w:fill="auto"/>
            <w:vAlign w:val="center"/>
          </w:tcPr>
          <w:p w:rsidR="00FC6538" w:rsidRPr="00FC6538" w:rsidRDefault="00FC6538" w:rsidP="00DD7F5F">
            <w:pPr>
              <w:widowControl w:val="0"/>
              <w:ind w:right="6"/>
              <w:jc w:val="center"/>
              <w:rPr>
                <w:rFonts w:ascii="Arial" w:hAnsi="Arial" w:cs="Arial"/>
                <w:sz w:val="22"/>
                <w:szCs w:val="22"/>
              </w:rPr>
            </w:pPr>
            <w:r w:rsidRPr="00FC6538">
              <w:rPr>
                <w:rFonts w:ascii="Arial" w:hAnsi="Arial" w:cs="Arial"/>
                <w:sz w:val="22"/>
                <w:szCs w:val="22"/>
              </w:rPr>
              <w:t>12419</w:t>
            </w:r>
          </w:p>
        </w:tc>
        <w:tc>
          <w:tcPr>
            <w:tcW w:w="2383" w:type="dxa"/>
            <w:shd w:val="clear" w:color="auto" w:fill="auto"/>
            <w:vAlign w:val="center"/>
          </w:tcPr>
          <w:p w:rsidR="00FC6538" w:rsidRPr="00FC6538" w:rsidRDefault="00FC6538" w:rsidP="00DD7F5F">
            <w:pPr>
              <w:widowControl w:val="0"/>
              <w:ind w:right="6"/>
              <w:jc w:val="center"/>
              <w:rPr>
                <w:rFonts w:ascii="Arial" w:hAnsi="Arial" w:cs="Arial"/>
                <w:sz w:val="22"/>
                <w:szCs w:val="22"/>
              </w:rPr>
            </w:pPr>
            <w:r w:rsidRPr="00FC6538">
              <w:rPr>
                <w:rFonts w:ascii="Arial" w:hAnsi="Arial" w:cs="Arial"/>
                <w:sz w:val="22"/>
                <w:szCs w:val="22"/>
              </w:rPr>
              <w:t>$ 131.073.514</w:t>
            </w:r>
          </w:p>
        </w:tc>
      </w:tr>
      <w:tr w:rsidR="00FC6538" w:rsidRPr="00FC6538" w:rsidTr="00DD7F5F">
        <w:trPr>
          <w:trHeight w:val="136"/>
        </w:trPr>
        <w:tc>
          <w:tcPr>
            <w:tcW w:w="7470" w:type="dxa"/>
            <w:gridSpan w:val="2"/>
            <w:shd w:val="clear" w:color="auto" w:fill="auto"/>
          </w:tcPr>
          <w:p w:rsidR="00FC6538" w:rsidRPr="00FC6538" w:rsidRDefault="00FC6538" w:rsidP="00DD7F5F">
            <w:pPr>
              <w:widowControl w:val="0"/>
              <w:ind w:right="6"/>
              <w:jc w:val="right"/>
              <w:rPr>
                <w:rFonts w:ascii="Arial" w:hAnsi="Arial" w:cs="Arial"/>
                <w:b/>
                <w:sz w:val="22"/>
                <w:szCs w:val="22"/>
              </w:rPr>
            </w:pPr>
            <w:r w:rsidRPr="00FC6538">
              <w:rPr>
                <w:rFonts w:ascii="Arial" w:hAnsi="Arial" w:cs="Arial"/>
                <w:b/>
                <w:sz w:val="22"/>
                <w:szCs w:val="22"/>
              </w:rPr>
              <w:t>TOTAL</w:t>
            </w:r>
          </w:p>
        </w:tc>
        <w:tc>
          <w:tcPr>
            <w:tcW w:w="2383" w:type="dxa"/>
            <w:shd w:val="clear" w:color="auto" w:fill="auto"/>
            <w:vAlign w:val="center"/>
          </w:tcPr>
          <w:p w:rsidR="00FC6538" w:rsidRPr="00FC6538" w:rsidRDefault="00FC6538" w:rsidP="00DD7F5F">
            <w:pPr>
              <w:widowControl w:val="0"/>
              <w:ind w:right="6"/>
              <w:jc w:val="center"/>
              <w:rPr>
                <w:rFonts w:ascii="Arial" w:hAnsi="Arial" w:cs="Arial"/>
                <w:b/>
                <w:sz w:val="22"/>
                <w:szCs w:val="22"/>
              </w:rPr>
            </w:pPr>
            <w:r w:rsidRPr="00FC6538">
              <w:rPr>
                <w:rFonts w:ascii="Arial" w:hAnsi="Arial" w:cs="Arial"/>
                <w:b/>
                <w:sz w:val="22"/>
                <w:szCs w:val="22"/>
              </w:rPr>
              <w:t>$ 141.692.533</w:t>
            </w:r>
          </w:p>
        </w:tc>
      </w:tr>
    </w:tbl>
    <w:p w:rsidR="00FC6538" w:rsidRPr="00FC6538" w:rsidRDefault="00FC6538" w:rsidP="00FC6538">
      <w:pPr>
        <w:jc w:val="both"/>
        <w:rPr>
          <w:rFonts w:ascii="Arial" w:hAnsi="Arial" w:cs="Arial"/>
          <w:sz w:val="22"/>
          <w:szCs w:val="22"/>
        </w:rPr>
      </w:pPr>
    </w:p>
    <w:p w:rsidR="00D1733B" w:rsidRPr="00FC6538" w:rsidRDefault="00D1733B" w:rsidP="00D1733B">
      <w:pPr>
        <w:pStyle w:val="Textoindependiente2"/>
        <w:rPr>
          <w:rFonts w:ascii="Arial" w:hAnsi="Arial" w:cs="Arial"/>
          <w:i w:val="0"/>
          <w:szCs w:val="22"/>
        </w:rPr>
      </w:pPr>
      <w:r w:rsidRPr="00FC6538">
        <w:rPr>
          <w:rFonts w:ascii="Arial" w:hAnsi="Arial" w:cs="Arial"/>
          <w:i w:val="0"/>
          <w:szCs w:val="22"/>
        </w:rPr>
        <w:t>Que la cuantía del citado proceso se encuentra dentro del rango comprendido entre los 100 y 3000 salarios mínimos mensuales legales vigentes, por lo cual se hace necesaria la autorización previa de esta Sala.</w:t>
      </w:r>
    </w:p>
    <w:p w:rsidR="00D1733B" w:rsidRPr="00FC6538" w:rsidRDefault="00D1733B" w:rsidP="00D1733B">
      <w:pPr>
        <w:pStyle w:val="Textoindependiente2"/>
        <w:rPr>
          <w:rFonts w:ascii="Arial" w:hAnsi="Arial" w:cs="Arial"/>
          <w:i w:val="0"/>
          <w:szCs w:val="22"/>
        </w:rPr>
      </w:pPr>
    </w:p>
    <w:p w:rsidR="00D1733B" w:rsidRPr="00FC6538" w:rsidRDefault="00FC6538" w:rsidP="00D1733B">
      <w:pPr>
        <w:jc w:val="both"/>
        <w:rPr>
          <w:rFonts w:ascii="Arial" w:hAnsi="Arial" w:cs="Arial"/>
          <w:iCs/>
          <w:sz w:val="22"/>
          <w:szCs w:val="22"/>
        </w:rPr>
      </w:pPr>
      <w:r w:rsidRPr="00FC6538">
        <w:rPr>
          <w:rFonts w:ascii="Arial" w:hAnsi="Arial" w:cs="Arial"/>
          <w:sz w:val="22"/>
          <w:szCs w:val="22"/>
        </w:rPr>
        <w:t>Que en virtud de lo a</w:t>
      </w:r>
      <w:r w:rsidR="00974E77">
        <w:rPr>
          <w:rFonts w:ascii="Arial" w:hAnsi="Arial" w:cs="Arial"/>
          <w:sz w:val="22"/>
          <w:szCs w:val="22"/>
        </w:rPr>
        <w:t>nterior, este Consejo Seccional de la Judicatura en Sesión de Sala del 27 de Junio de 2019,</w:t>
      </w:r>
      <w:r w:rsidRPr="00FC6538">
        <w:rPr>
          <w:rFonts w:ascii="Arial" w:hAnsi="Arial" w:cs="Arial"/>
          <w:sz w:val="22"/>
          <w:szCs w:val="22"/>
        </w:rPr>
        <w:t xml:space="preserve"> considera procedente conceder la autorización previa al Director Seccional de la Rama Judicial de Villavicencio para que realice la adición al contrato 071 de 2018, cuyo objeto es la prestación del servicio de vigilancia</w:t>
      </w:r>
    </w:p>
    <w:p w:rsidR="00D1733B" w:rsidRDefault="00D1733B" w:rsidP="00D1733B">
      <w:pPr>
        <w:jc w:val="both"/>
        <w:rPr>
          <w:rFonts w:ascii="Arial" w:hAnsi="Arial" w:cs="Arial"/>
          <w:iCs/>
          <w:sz w:val="22"/>
          <w:szCs w:val="22"/>
        </w:rPr>
      </w:pPr>
    </w:p>
    <w:p w:rsidR="0097244F" w:rsidRPr="00FC6538" w:rsidRDefault="0097244F" w:rsidP="00D1733B">
      <w:pPr>
        <w:jc w:val="both"/>
        <w:rPr>
          <w:rFonts w:ascii="Arial" w:hAnsi="Arial" w:cs="Arial"/>
          <w:iCs/>
          <w:sz w:val="22"/>
          <w:szCs w:val="22"/>
        </w:rPr>
      </w:pPr>
    </w:p>
    <w:p w:rsidR="00D1733B" w:rsidRPr="00FC6538" w:rsidRDefault="00D1733B" w:rsidP="00D1733B">
      <w:pPr>
        <w:jc w:val="both"/>
        <w:rPr>
          <w:rFonts w:ascii="Arial" w:hAnsi="Arial" w:cs="Arial"/>
          <w:iCs/>
          <w:sz w:val="22"/>
          <w:szCs w:val="22"/>
        </w:rPr>
      </w:pPr>
      <w:r w:rsidRPr="00FC6538">
        <w:rPr>
          <w:rFonts w:ascii="Arial" w:hAnsi="Arial" w:cs="Arial"/>
          <w:iCs/>
          <w:sz w:val="22"/>
          <w:szCs w:val="22"/>
        </w:rPr>
        <w:t>Por lo anterior,</w:t>
      </w:r>
    </w:p>
    <w:p w:rsidR="00D1733B" w:rsidRPr="00FC6538" w:rsidRDefault="00D1733B" w:rsidP="00D1733B">
      <w:pPr>
        <w:jc w:val="both"/>
        <w:rPr>
          <w:rFonts w:ascii="Arial" w:hAnsi="Arial" w:cs="Arial"/>
          <w:iCs/>
          <w:sz w:val="22"/>
          <w:szCs w:val="22"/>
        </w:rPr>
      </w:pPr>
    </w:p>
    <w:p w:rsidR="0097244F" w:rsidRDefault="0097244F" w:rsidP="00D1733B">
      <w:pPr>
        <w:jc w:val="center"/>
        <w:rPr>
          <w:rFonts w:ascii="Arial" w:hAnsi="Arial" w:cs="Arial"/>
          <w:b/>
          <w:bCs/>
          <w:iCs/>
          <w:sz w:val="22"/>
          <w:szCs w:val="22"/>
        </w:rPr>
      </w:pPr>
    </w:p>
    <w:p w:rsidR="0097244F" w:rsidRDefault="0097244F" w:rsidP="00D1733B">
      <w:pPr>
        <w:jc w:val="center"/>
        <w:rPr>
          <w:rFonts w:ascii="Arial" w:hAnsi="Arial" w:cs="Arial"/>
          <w:b/>
          <w:bCs/>
          <w:iCs/>
          <w:sz w:val="22"/>
          <w:szCs w:val="22"/>
        </w:rPr>
      </w:pPr>
    </w:p>
    <w:p w:rsidR="0097244F" w:rsidRDefault="0097244F" w:rsidP="00D1733B">
      <w:pPr>
        <w:jc w:val="center"/>
        <w:rPr>
          <w:rFonts w:ascii="Arial" w:hAnsi="Arial" w:cs="Arial"/>
          <w:b/>
          <w:bCs/>
          <w:iCs/>
          <w:sz w:val="22"/>
          <w:szCs w:val="22"/>
        </w:rPr>
      </w:pPr>
    </w:p>
    <w:p w:rsidR="00D1733B" w:rsidRPr="00FC6538" w:rsidRDefault="00D1733B" w:rsidP="00D1733B">
      <w:pPr>
        <w:jc w:val="center"/>
        <w:rPr>
          <w:rFonts w:ascii="Arial" w:hAnsi="Arial" w:cs="Arial"/>
          <w:b/>
          <w:bCs/>
          <w:iCs/>
          <w:sz w:val="22"/>
          <w:szCs w:val="22"/>
        </w:rPr>
      </w:pPr>
      <w:r w:rsidRPr="00FC6538">
        <w:rPr>
          <w:rFonts w:ascii="Arial" w:hAnsi="Arial" w:cs="Arial"/>
          <w:b/>
          <w:bCs/>
          <w:iCs/>
          <w:sz w:val="22"/>
          <w:szCs w:val="22"/>
        </w:rPr>
        <w:lastRenderedPageBreak/>
        <w:t>RESUELVE:</w:t>
      </w:r>
    </w:p>
    <w:p w:rsidR="00D1733B" w:rsidRPr="00FC6538" w:rsidRDefault="00D1733B" w:rsidP="00D1733B">
      <w:pPr>
        <w:jc w:val="center"/>
        <w:rPr>
          <w:rFonts w:ascii="Arial" w:hAnsi="Arial" w:cs="Arial"/>
          <w:b/>
          <w:bCs/>
          <w:iCs/>
          <w:sz w:val="22"/>
          <w:szCs w:val="22"/>
        </w:rPr>
      </w:pPr>
    </w:p>
    <w:p w:rsidR="00FC6538" w:rsidRPr="00FC6538" w:rsidRDefault="00D1733B" w:rsidP="00FC6538">
      <w:pPr>
        <w:autoSpaceDN w:val="0"/>
        <w:adjustRightInd w:val="0"/>
        <w:spacing w:line="240" w:lineRule="exact"/>
        <w:ind w:left="1"/>
        <w:jc w:val="both"/>
        <w:outlineLvl w:val="2"/>
        <w:rPr>
          <w:rFonts w:ascii="Arial" w:hAnsi="Arial" w:cs="Arial"/>
          <w:sz w:val="22"/>
          <w:szCs w:val="22"/>
        </w:rPr>
      </w:pPr>
      <w:r w:rsidRPr="00FC6538">
        <w:rPr>
          <w:rFonts w:ascii="Arial" w:hAnsi="Arial" w:cs="Arial"/>
          <w:b/>
          <w:bCs/>
          <w:sz w:val="22"/>
          <w:szCs w:val="22"/>
        </w:rPr>
        <w:t xml:space="preserve">ARTÍCULO 1°: </w:t>
      </w:r>
      <w:r w:rsidR="00FC6538" w:rsidRPr="00FC6538">
        <w:rPr>
          <w:rFonts w:ascii="Arial" w:hAnsi="Arial" w:cs="Arial"/>
          <w:bCs/>
          <w:sz w:val="22"/>
          <w:szCs w:val="22"/>
        </w:rPr>
        <w:t xml:space="preserve">Conceder autorización previa al Director Seccional de Administración Judicial de Villavicencio para que, según lo establecido en las disposiciones legales y reglamentarias, </w:t>
      </w:r>
      <w:r w:rsidR="00FC6538" w:rsidRPr="00FC6538">
        <w:rPr>
          <w:rFonts w:ascii="Arial" w:hAnsi="Arial" w:cs="Arial"/>
          <w:sz w:val="22"/>
          <w:szCs w:val="22"/>
        </w:rPr>
        <w:t>realice una adición en tiempo y valor al Contrato 071 de 2018, cuyo objeto es contratar en nombre de la Nación – Consejo Superior de la Judicatura – Dirección Seccional de Administración Judicial Seccional Villavicencio, la prestación del servicio de vigilancia y seguridad privada, con destino a los diferentes Despachos y Corporaciones Judiciales a cargo de la Dirección Seccional de Administración Judicial Villavicencio – Meta</w:t>
      </w:r>
      <w:r w:rsidR="00FC6538" w:rsidRPr="00FC6538">
        <w:rPr>
          <w:rFonts w:ascii="Arial" w:hAnsi="Arial" w:cs="Arial"/>
          <w:iCs/>
          <w:sz w:val="22"/>
          <w:szCs w:val="22"/>
        </w:rPr>
        <w:t xml:space="preserve">, en las condiciones técnicas, de calidad y cantidades requeridas por la Entidad y de conformidad con las especificaciones, características y condiciones señaladas en el Pliego de Condiciones Definitivo y en la oferta presentada por la empresa </w:t>
      </w:r>
      <w:r w:rsidR="00FC6538" w:rsidRPr="00FC6538">
        <w:rPr>
          <w:rFonts w:ascii="Arial" w:hAnsi="Arial" w:cs="Arial"/>
          <w:sz w:val="22"/>
          <w:szCs w:val="22"/>
        </w:rPr>
        <w:t>SEGURIDAD SUPERIOR LTDA</w:t>
      </w:r>
      <w:r w:rsidR="00FC6538" w:rsidRPr="00FC6538">
        <w:rPr>
          <w:rFonts w:ascii="Arial" w:hAnsi="Arial" w:cs="Arial"/>
          <w:iCs/>
          <w:sz w:val="22"/>
          <w:szCs w:val="22"/>
        </w:rPr>
        <w:t>, radicada el día</w:t>
      </w:r>
      <w:r w:rsidR="00FC6538" w:rsidRPr="00FC6538">
        <w:rPr>
          <w:rFonts w:ascii="Arial" w:hAnsi="Arial" w:cs="Arial"/>
          <w:sz w:val="22"/>
          <w:szCs w:val="22"/>
        </w:rPr>
        <w:t xml:space="preserve"> dieciséis (16) de noviembre de 2018 bajo el número EXTDESAJVI18-9400, por valor de CIENTO CUARENTA Y UN MILLONES SEISCIENTOS NOVENTA Y DOS MIL QUINIENTOS TREINTA Y TRES </w:t>
      </w:r>
      <w:r w:rsidR="00FC6538" w:rsidRPr="00FC6538">
        <w:rPr>
          <w:rFonts w:ascii="Arial" w:eastAsia="Calibri" w:hAnsi="Arial" w:cs="Arial"/>
          <w:snapToGrid w:val="0"/>
          <w:sz w:val="22"/>
          <w:szCs w:val="22"/>
        </w:rPr>
        <w:t>PESOS</w:t>
      </w:r>
      <w:r w:rsidR="00FC6538" w:rsidRPr="00FC6538">
        <w:rPr>
          <w:rFonts w:ascii="Arial" w:eastAsia="Calibri" w:hAnsi="Arial" w:cs="Arial"/>
          <w:sz w:val="22"/>
          <w:szCs w:val="22"/>
        </w:rPr>
        <w:t xml:space="preserve"> ($141.692.533)</w:t>
      </w:r>
      <w:r w:rsidR="00FC6538" w:rsidRPr="00FC6538">
        <w:rPr>
          <w:rFonts w:ascii="Arial" w:hAnsi="Arial" w:cs="Arial"/>
          <w:sz w:val="22"/>
          <w:szCs w:val="22"/>
        </w:rPr>
        <w:t>, incluido impuestos</w:t>
      </w:r>
      <w:r w:rsidR="00FC6538" w:rsidRPr="00FC6538">
        <w:rPr>
          <w:rFonts w:ascii="Arial" w:hAnsi="Arial" w:cs="Arial"/>
          <w:bCs/>
          <w:sz w:val="22"/>
          <w:szCs w:val="22"/>
        </w:rPr>
        <w:t xml:space="preserve">, con el fin de garantizar la prestación del servicio por el periodo </w:t>
      </w:r>
      <w:r w:rsidR="00FC6538" w:rsidRPr="00FC6538">
        <w:rPr>
          <w:rFonts w:ascii="Arial" w:hAnsi="Arial" w:cs="Arial"/>
          <w:sz w:val="22"/>
          <w:szCs w:val="22"/>
        </w:rPr>
        <w:t>comprendido entre el primero (01) de julio y el nueve (09) de agosto de 2019.</w:t>
      </w:r>
    </w:p>
    <w:p w:rsidR="00D1733B" w:rsidRPr="00FC6538" w:rsidRDefault="00D1733B" w:rsidP="00D1733B">
      <w:pPr>
        <w:spacing w:line="240" w:lineRule="exact"/>
        <w:jc w:val="both"/>
        <w:rPr>
          <w:rFonts w:ascii="Arial" w:hAnsi="Arial" w:cs="Arial"/>
          <w:sz w:val="22"/>
          <w:szCs w:val="22"/>
        </w:rPr>
      </w:pPr>
    </w:p>
    <w:p w:rsidR="00D1733B" w:rsidRPr="00FC6538" w:rsidRDefault="00D1733B" w:rsidP="00D1733B">
      <w:pPr>
        <w:spacing w:line="240" w:lineRule="exact"/>
        <w:jc w:val="both"/>
        <w:rPr>
          <w:rFonts w:ascii="Arial" w:hAnsi="Arial" w:cs="Arial"/>
          <w:iCs/>
          <w:sz w:val="22"/>
          <w:szCs w:val="22"/>
        </w:rPr>
      </w:pPr>
      <w:r w:rsidRPr="00FC6538">
        <w:rPr>
          <w:rFonts w:ascii="Arial" w:hAnsi="Arial" w:cs="Arial"/>
          <w:b/>
          <w:bCs/>
          <w:iCs/>
          <w:sz w:val="22"/>
          <w:szCs w:val="22"/>
        </w:rPr>
        <w:t xml:space="preserve">ARTÍCULO 2°: </w:t>
      </w:r>
      <w:r w:rsidRPr="00FC6538">
        <w:rPr>
          <w:rFonts w:ascii="Arial" w:hAnsi="Arial" w:cs="Arial"/>
          <w:sz w:val="22"/>
          <w:szCs w:val="22"/>
        </w:rPr>
        <w:t>Alcance de la Autorización. La autorización de que trata el artículo primero de la presente Resolución, se expide en los términos del numeral 3º de los artículos 85 y 103 de la Ley 270 de 1996, por tanto, la Dirección Seccional de Administración Judicial, como representante legal y órgano operativo y ejecutor de la Rama Judicial, se hace responsable de la contratación que se celebre en cumplimiento de la presente autorización. Una vez perfeccionado el correspondiente contrato, el Director Seccional informará de ello a la Unidad de Auditoría del Consejo Seccional de la Judicatura, para efectos de su control y seguimiento</w:t>
      </w:r>
      <w:r w:rsidRPr="00FC6538">
        <w:rPr>
          <w:rFonts w:ascii="Arial" w:hAnsi="Arial" w:cs="Arial"/>
          <w:iCs/>
          <w:sz w:val="22"/>
          <w:szCs w:val="22"/>
        </w:rPr>
        <w:t>.</w:t>
      </w:r>
    </w:p>
    <w:p w:rsidR="00D1733B" w:rsidRPr="00FC6538" w:rsidRDefault="00D1733B" w:rsidP="00D1733B">
      <w:pPr>
        <w:jc w:val="both"/>
        <w:rPr>
          <w:rFonts w:ascii="Arial" w:hAnsi="Arial" w:cs="Arial"/>
          <w:bCs/>
          <w:iCs/>
          <w:sz w:val="22"/>
          <w:szCs w:val="22"/>
        </w:rPr>
      </w:pPr>
    </w:p>
    <w:p w:rsidR="00D1733B" w:rsidRPr="00FC6538" w:rsidRDefault="00D1733B" w:rsidP="00D1733B">
      <w:pPr>
        <w:jc w:val="both"/>
        <w:rPr>
          <w:rFonts w:ascii="Arial" w:hAnsi="Arial" w:cs="Arial"/>
          <w:iCs/>
          <w:sz w:val="22"/>
          <w:szCs w:val="22"/>
        </w:rPr>
      </w:pPr>
      <w:r w:rsidRPr="00FC6538">
        <w:rPr>
          <w:rFonts w:ascii="Arial" w:hAnsi="Arial" w:cs="Arial"/>
          <w:b/>
          <w:bCs/>
          <w:iCs/>
          <w:sz w:val="22"/>
          <w:szCs w:val="22"/>
        </w:rPr>
        <w:lastRenderedPageBreak/>
        <w:t>ARTÍCULO 3°:</w:t>
      </w:r>
      <w:r w:rsidRPr="00FC6538">
        <w:rPr>
          <w:rFonts w:ascii="Arial" w:hAnsi="Arial" w:cs="Arial"/>
          <w:bCs/>
          <w:iCs/>
          <w:sz w:val="22"/>
          <w:szCs w:val="22"/>
        </w:rPr>
        <w:t xml:space="preserve"> El </w:t>
      </w:r>
      <w:r w:rsidRPr="00FC6538">
        <w:rPr>
          <w:rFonts w:ascii="Arial" w:hAnsi="Arial" w:cs="Arial"/>
          <w:iCs/>
          <w:sz w:val="22"/>
          <w:szCs w:val="22"/>
        </w:rPr>
        <w:t>Director Seccional de Administración Judicial de la Rama Judicial de Villavicencio presentará a esta Seccional, en forma oportuna, un informe sobre la ejecución del contrato y cualquier modificación si la hubiere, en condiciones de tiempo, modo y lugar y el resultado final de la contratación de que trata la presente Resolución, de conformidad con el Artículo 7º del Acuerdo Núm. 163 de 1996.</w:t>
      </w:r>
    </w:p>
    <w:p w:rsidR="00D1733B" w:rsidRPr="00FC6538" w:rsidRDefault="00D1733B" w:rsidP="00D1733B">
      <w:pPr>
        <w:jc w:val="both"/>
        <w:rPr>
          <w:rFonts w:ascii="Arial" w:hAnsi="Arial" w:cs="Arial"/>
          <w:iCs/>
          <w:sz w:val="22"/>
          <w:szCs w:val="22"/>
        </w:rPr>
      </w:pPr>
    </w:p>
    <w:p w:rsidR="00D1733B" w:rsidRPr="00FC6538" w:rsidRDefault="00D1733B" w:rsidP="00D1733B">
      <w:pPr>
        <w:jc w:val="both"/>
        <w:rPr>
          <w:rFonts w:ascii="Arial" w:hAnsi="Arial" w:cs="Arial"/>
          <w:iCs/>
          <w:sz w:val="22"/>
          <w:szCs w:val="22"/>
        </w:rPr>
      </w:pPr>
      <w:r w:rsidRPr="00FC6538">
        <w:rPr>
          <w:rFonts w:ascii="Arial" w:hAnsi="Arial" w:cs="Arial"/>
          <w:b/>
          <w:bCs/>
          <w:iCs/>
          <w:sz w:val="22"/>
          <w:szCs w:val="22"/>
        </w:rPr>
        <w:t xml:space="preserve">ARTÍCULO 4°: </w:t>
      </w:r>
      <w:r w:rsidRPr="00FC6538">
        <w:rPr>
          <w:rFonts w:ascii="Arial" w:hAnsi="Arial" w:cs="Arial"/>
          <w:bCs/>
          <w:iCs/>
          <w:sz w:val="22"/>
          <w:szCs w:val="22"/>
        </w:rPr>
        <w:t xml:space="preserve">Envíese copia de </w:t>
      </w:r>
      <w:r w:rsidRPr="00FC6538">
        <w:rPr>
          <w:rFonts w:ascii="Arial" w:hAnsi="Arial" w:cs="Arial"/>
          <w:iCs/>
          <w:sz w:val="22"/>
          <w:szCs w:val="22"/>
        </w:rPr>
        <w:t>esta Resolución a la Oficina Seccional de Auditoría, para la actuación que le señala el inciso segundo del Artículo Tercero del Acuerdo Núm. 163 de 1996.</w:t>
      </w:r>
    </w:p>
    <w:p w:rsidR="00D1733B" w:rsidRPr="00FC6538" w:rsidRDefault="00D1733B" w:rsidP="00D1733B">
      <w:pPr>
        <w:jc w:val="both"/>
        <w:rPr>
          <w:rFonts w:ascii="Arial" w:hAnsi="Arial" w:cs="Arial"/>
          <w:bCs/>
          <w:iCs/>
          <w:sz w:val="22"/>
          <w:szCs w:val="22"/>
        </w:rPr>
      </w:pPr>
    </w:p>
    <w:p w:rsidR="00D1733B" w:rsidRPr="00FC6538" w:rsidRDefault="00D1733B" w:rsidP="00D1733B">
      <w:pPr>
        <w:jc w:val="both"/>
        <w:rPr>
          <w:rFonts w:ascii="Arial" w:hAnsi="Arial" w:cs="Arial"/>
          <w:iCs/>
          <w:sz w:val="22"/>
          <w:szCs w:val="22"/>
        </w:rPr>
      </w:pPr>
      <w:r w:rsidRPr="00FC6538">
        <w:rPr>
          <w:rFonts w:ascii="Arial" w:hAnsi="Arial" w:cs="Arial"/>
          <w:b/>
          <w:bCs/>
          <w:iCs/>
          <w:sz w:val="22"/>
          <w:szCs w:val="22"/>
        </w:rPr>
        <w:t>ARTÍCULO 5°:</w:t>
      </w:r>
      <w:r w:rsidRPr="00FC6538">
        <w:rPr>
          <w:rFonts w:ascii="Arial" w:hAnsi="Arial" w:cs="Arial"/>
          <w:bCs/>
          <w:iCs/>
          <w:sz w:val="22"/>
          <w:szCs w:val="22"/>
        </w:rPr>
        <w:t xml:space="preserve"> </w:t>
      </w:r>
      <w:r w:rsidRPr="00FC6538">
        <w:rPr>
          <w:rFonts w:ascii="Arial" w:hAnsi="Arial" w:cs="Arial"/>
          <w:iCs/>
          <w:sz w:val="22"/>
          <w:szCs w:val="22"/>
        </w:rPr>
        <w:t>La presente Resolución rige a partir de la fecha de su expedición.</w:t>
      </w:r>
    </w:p>
    <w:p w:rsidR="00D1733B" w:rsidRPr="00FC6538" w:rsidRDefault="00D1733B" w:rsidP="00D1733B">
      <w:pPr>
        <w:pStyle w:val="Ttulo1"/>
        <w:jc w:val="center"/>
        <w:rPr>
          <w:rFonts w:ascii="Arial" w:hAnsi="Arial" w:cs="Arial"/>
          <w:sz w:val="22"/>
          <w:szCs w:val="22"/>
        </w:rPr>
      </w:pPr>
    </w:p>
    <w:p w:rsidR="00D1733B" w:rsidRPr="00FC6538" w:rsidRDefault="00D1733B" w:rsidP="00D1733B">
      <w:pPr>
        <w:pStyle w:val="Ttulo1"/>
        <w:jc w:val="center"/>
        <w:rPr>
          <w:rFonts w:ascii="Arial" w:hAnsi="Arial" w:cs="Arial"/>
          <w:sz w:val="22"/>
          <w:szCs w:val="22"/>
        </w:rPr>
      </w:pPr>
      <w:r w:rsidRPr="00FC6538">
        <w:rPr>
          <w:rFonts w:ascii="Arial" w:hAnsi="Arial" w:cs="Arial"/>
          <w:sz w:val="22"/>
          <w:szCs w:val="22"/>
        </w:rPr>
        <w:t>COMUNÍQUESE  Y CÚMPLASE</w:t>
      </w:r>
    </w:p>
    <w:p w:rsidR="00D1733B" w:rsidRPr="00FC6538" w:rsidRDefault="00D1733B" w:rsidP="00D1733B">
      <w:pPr>
        <w:jc w:val="center"/>
        <w:rPr>
          <w:rFonts w:ascii="Arial" w:hAnsi="Arial" w:cs="Arial"/>
          <w:bCs/>
          <w:iCs/>
          <w:sz w:val="22"/>
          <w:szCs w:val="22"/>
        </w:rPr>
      </w:pPr>
    </w:p>
    <w:p w:rsidR="00D1733B" w:rsidRPr="00FC6538" w:rsidRDefault="00D1733B" w:rsidP="00D1733B">
      <w:pPr>
        <w:pStyle w:val="Textoindependiente2"/>
        <w:rPr>
          <w:rFonts w:ascii="Arial" w:hAnsi="Arial" w:cs="Arial"/>
          <w:i w:val="0"/>
          <w:iCs w:val="0"/>
          <w:szCs w:val="22"/>
        </w:rPr>
      </w:pPr>
      <w:r w:rsidRPr="00FC6538">
        <w:rPr>
          <w:rFonts w:ascii="Arial" w:hAnsi="Arial" w:cs="Arial"/>
          <w:i w:val="0"/>
          <w:szCs w:val="22"/>
        </w:rPr>
        <w:t>Dada en Villavicencio, a los Veintisiete (27) del mes de Junio del año dos mil diecinueve (2019)</w:t>
      </w:r>
      <w:r w:rsidRPr="00FC6538">
        <w:rPr>
          <w:rFonts w:ascii="Arial" w:hAnsi="Arial" w:cs="Arial"/>
          <w:i w:val="0"/>
          <w:iCs w:val="0"/>
          <w:szCs w:val="22"/>
        </w:rPr>
        <w:t>.</w:t>
      </w:r>
    </w:p>
    <w:p w:rsidR="00D1733B" w:rsidRPr="00FC6538" w:rsidRDefault="00D1733B" w:rsidP="00D1733B">
      <w:pPr>
        <w:rPr>
          <w:rFonts w:ascii="Arial" w:hAnsi="Arial" w:cs="Arial"/>
          <w:caps/>
          <w:sz w:val="22"/>
          <w:szCs w:val="22"/>
          <w:lang w:val="es-CO"/>
        </w:rPr>
      </w:pPr>
    </w:p>
    <w:p w:rsidR="00D1733B" w:rsidRPr="00FC6538" w:rsidRDefault="00D1733B" w:rsidP="00D1733B">
      <w:pPr>
        <w:jc w:val="center"/>
        <w:rPr>
          <w:rFonts w:ascii="Arial" w:hAnsi="Arial" w:cs="Arial"/>
          <w:caps/>
          <w:sz w:val="22"/>
          <w:szCs w:val="22"/>
          <w:lang w:val="es-CO"/>
        </w:rPr>
      </w:pPr>
    </w:p>
    <w:p w:rsidR="00D1733B" w:rsidRPr="00FC6538" w:rsidRDefault="00D1733B" w:rsidP="00D1733B">
      <w:pPr>
        <w:rPr>
          <w:rFonts w:ascii="Arial" w:hAnsi="Arial" w:cs="Arial"/>
          <w:sz w:val="22"/>
          <w:szCs w:val="22"/>
          <w:lang w:val="es-CO"/>
        </w:rPr>
      </w:pPr>
    </w:p>
    <w:p w:rsidR="00D1733B" w:rsidRPr="00FC6538" w:rsidRDefault="00D1733B" w:rsidP="00D1733B">
      <w:pPr>
        <w:rPr>
          <w:rFonts w:ascii="Arial" w:hAnsi="Arial" w:cs="Arial"/>
          <w:caps/>
          <w:sz w:val="22"/>
          <w:szCs w:val="22"/>
          <w:lang w:val="es-CO"/>
        </w:rPr>
      </w:pPr>
    </w:p>
    <w:p w:rsidR="00D1733B" w:rsidRPr="00FC6538" w:rsidRDefault="00D1733B" w:rsidP="00D1733B">
      <w:pPr>
        <w:rPr>
          <w:rFonts w:ascii="Arial" w:hAnsi="Arial" w:cs="Arial"/>
          <w:caps/>
          <w:sz w:val="22"/>
          <w:szCs w:val="22"/>
          <w:lang w:val="es-CO"/>
        </w:rPr>
      </w:pPr>
    </w:p>
    <w:p w:rsidR="00D1733B" w:rsidRPr="00FC6538" w:rsidRDefault="00D1733B" w:rsidP="00D1733B">
      <w:pPr>
        <w:rPr>
          <w:rFonts w:ascii="Arial" w:hAnsi="Arial" w:cs="Arial"/>
          <w:caps/>
          <w:sz w:val="22"/>
          <w:szCs w:val="22"/>
          <w:lang w:val="es-CO"/>
        </w:rPr>
      </w:pPr>
      <w:r w:rsidRPr="00FC6538">
        <w:rPr>
          <w:rFonts w:ascii="Arial" w:hAnsi="Arial" w:cs="Arial"/>
          <w:b/>
          <w:sz w:val="22"/>
          <w:szCs w:val="22"/>
          <w:lang w:val="es-CO"/>
        </w:rPr>
        <w:t>LORENA GÓMEZ ROA</w:t>
      </w:r>
    </w:p>
    <w:p w:rsidR="00D1733B" w:rsidRPr="00FC6538" w:rsidRDefault="00D1733B" w:rsidP="00D1733B">
      <w:pPr>
        <w:jc w:val="both"/>
        <w:rPr>
          <w:rFonts w:ascii="Arial" w:hAnsi="Arial" w:cs="Arial"/>
          <w:sz w:val="22"/>
          <w:szCs w:val="22"/>
          <w:lang w:val="es-CO"/>
        </w:rPr>
      </w:pPr>
      <w:r w:rsidRPr="00FC6538">
        <w:rPr>
          <w:rFonts w:ascii="Arial" w:hAnsi="Arial" w:cs="Arial"/>
          <w:sz w:val="22"/>
          <w:szCs w:val="22"/>
          <w:lang w:val="es-CO"/>
        </w:rPr>
        <w:t>Vicepresidente</w:t>
      </w:r>
    </w:p>
    <w:p w:rsidR="00D1733B" w:rsidRPr="00FC6538" w:rsidRDefault="00D1733B" w:rsidP="00D1733B">
      <w:pPr>
        <w:jc w:val="both"/>
        <w:rPr>
          <w:rFonts w:ascii="Arial" w:hAnsi="Arial" w:cs="Arial"/>
          <w:sz w:val="22"/>
          <w:szCs w:val="22"/>
          <w:lang w:val="es-CO"/>
        </w:rPr>
      </w:pPr>
    </w:p>
    <w:p w:rsidR="00D1733B" w:rsidRPr="00FC6538" w:rsidRDefault="00D1733B" w:rsidP="00D1733B">
      <w:pPr>
        <w:rPr>
          <w:rFonts w:ascii="Arial" w:hAnsi="Arial" w:cs="Arial"/>
          <w:iCs/>
          <w:sz w:val="22"/>
          <w:szCs w:val="22"/>
        </w:rPr>
      </w:pPr>
    </w:p>
    <w:p w:rsidR="00D1733B" w:rsidRPr="00FC6538" w:rsidRDefault="00D1733B" w:rsidP="00D1733B">
      <w:pPr>
        <w:rPr>
          <w:rFonts w:ascii="Arial" w:hAnsi="Arial" w:cs="Arial"/>
          <w:sz w:val="22"/>
          <w:szCs w:val="22"/>
        </w:rPr>
      </w:pPr>
      <w:r w:rsidRPr="00FC6538">
        <w:rPr>
          <w:rFonts w:ascii="Arial" w:hAnsi="Arial" w:cs="Arial"/>
          <w:iCs/>
          <w:sz w:val="22"/>
          <w:szCs w:val="22"/>
        </w:rPr>
        <w:t>Copias: Oficina Seccional de Auditoria.</w:t>
      </w:r>
    </w:p>
    <w:p w:rsidR="00D1733B" w:rsidRPr="00FC6538" w:rsidRDefault="00D1733B" w:rsidP="00D1733B">
      <w:pPr>
        <w:jc w:val="center"/>
        <w:rPr>
          <w:rFonts w:ascii="Arial" w:hAnsi="Arial" w:cs="Arial"/>
          <w:sz w:val="22"/>
          <w:szCs w:val="22"/>
          <w:lang w:val="es-CO"/>
        </w:rPr>
      </w:pPr>
    </w:p>
    <w:p w:rsidR="00254F44" w:rsidRPr="00FC6538" w:rsidRDefault="00254F44" w:rsidP="00D1733B">
      <w:pPr>
        <w:jc w:val="center"/>
        <w:rPr>
          <w:rFonts w:ascii="Arial" w:hAnsi="Arial" w:cs="Arial"/>
          <w:sz w:val="22"/>
          <w:szCs w:val="22"/>
          <w:lang w:val="es-CO"/>
        </w:rPr>
      </w:pPr>
    </w:p>
    <w:sectPr w:rsidR="00254F44" w:rsidRPr="00FC6538" w:rsidSect="0097244F">
      <w:headerReference w:type="default" r:id="rId6"/>
      <w:footerReference w:type="default" r:id="rId7"/>
      <w:headerReference w:type="first" r:id="rId8"/>
      <w:footerReference w:type="first" r:id="rId9"/>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BA" w:rsidRDefault="003319BA">
      <w:r>
        <w:separator/>
      </w:r>
    </w:p>
  </w:endnote>
  <w:endnote w:type="continuationSeparator" w:id="0">
    <w:p w:rsidR="003319BA" w:rsidRDefault="0033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3319BA"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9B2DA4"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3319BA"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BA" w:rsidRDefault="003319BA">
      <w:r>
        <w:separator/>
      </w:r>
    </w:p>
  </w:footnote>
  <w:footnote w:type="continuationSeparator" w:id="0">
    <w:p w:rsidR="003319BA" w:rsidRDefault="00331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9B2DA4">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9B2DA4"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A16FC"/>
    <w:rsid w:val="001A4B5E"/>
    <w:rsid w:val="001E2E1A"/>
    <w:rsid w:val="001F771D"/>
    <w:rsid w:val="00223170"/>
    <w:rsid w:val="00231BB4"/>
    <w:rsid w:val="00233F2B"/>
    <w:rsid w:val="00234742"/>
    <w:rsid w:val="00254F44"/>
    <w:rsid w:val="0025591C"/>
    <w:rsid w:val="00272D2C"/>
    <w:rsid w:val="002E4BE9"/>
    <w:rsid w:val="002E4D7F"/>
    <w:rsid w:val="00304738"/>
    <w:rsid w:val="003319BA"/>
    <w:rsid w:val="00341A26"/>
    <w:rsid w:val="00354655"/>
    <w:rsid w:val="00356985"/>
    <w:rsid w:val="00356B95"/>
    <w:rsid w:val="003A415E"/>
    <w:rsid w:val="00460271"/>
    <w:rsid w:val="00467320"/>
    <w:rsid w:val="0048348F"/>
    <w:rsid w:val="004B45F9"/>
    <w:rsid w:val="004D0E7C"/>
    <w:rsid w:val="005222A8"/>
    <w:rsid w:val="00531DC9"/>
    <w:rsid w:val="00550113"/>
    <w:rsid w:val="0056705B"/>
    <w:rsid w:val="005B6E33"/>
    <w:rsid w:val="005C0C36"/>
    <w:rsid w:val="005D76B2"/>
    <w:rsid w:val="005E0745"/>
    <w:rsid w:val="00605C20"/>
    <w:rsid w:val="00697E3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92616"/>
    <w:rsid w:val="008E3B01"/>
    <w:rsid w:val="008F1A87"/>
    <w:rsid w:val="008F3FF1"/>
    <w:rsid w:val="009211DD"/>
    <w:rsid w:val="00952950"/>
    <w:rsid w:val="00967602"/>
    <w:rsid w:val="00971AEB"/>
    <w:rsid w:val="0097244F"/>
    <w:rsid w:val="00974E77"/>
    <w:rsid w:val="009859A3"/>
    <w:rsid w:val="00996D2F"/>
    <w:rsid w:val="009B2DA4"/>
    <w:rsid w:val="009F55DF"/>
    <w:rsid w:val="00A0504A"/>
    <w:rsid w:val="00A052C6"/>
    <w:rsid w:val="00A41C4D"/>
    <w:rsid w:val="00A546D7"/>
    <w:rsid w:val="00A93FE3"/>
    <w:rsid w:val="00AB055F"/>
    <w:rsid w:val="00AD504C"/>
    <w:rsid w:val="00B12D28"/>
    <w:rsid w:val="00B512A7"/>
    <w:rsid w:val="00B6455C"/>
    <w:rsid w:val="00BC54A6"/>
    <w:rsid w:val="00C02925"/>
    <w:rsid w:val="00CC1956"/>
    <w:rsid w:val="00CD34E4"/>
    <w:rsid w:val="00CD5377"/>
    <w:rsid w:val="00D13D10"/>
    <w:rsid w:val="00D1733B"/>
    <w:rsid w:val="00D2095F"/>
    <w:rsid w:val="00D221F3"/>
    <w:rsid w:val="00D26DBB"/>
    <w:rsid w:val="00D337CD"/>
    <w:rsid w:val="00D34746"/>
    <w:rsid w:val="00D6607D"/>
    <w:rsid w:val="00DD6596"/>
    <w:rsid w:val="00DD7F5F"/>
    <w:rsid w:val="00E00EB7"/>
    <w:rsid w:val="00E44620"/>
    <w:rsid w:val="00E47C0A"/>
    <w:rsid w:val="00E74FD1"/>
    <w:rsid w:val="00EF0ECF"/>
    <w:rsid w:val="00F07DCB"/>
    <w:rsid w:val="00F10175"/>
    <w:rsid w:val="00F3576B"/>
    <w:rsid w:val="00F461D1"/>
    <w:rsid w:val="00F57EE7"/>
    <w:rsid w:val="00F66045"/>
    <w:rsid w:val="00FB30A0"/>
    <w:rsid w:val="00FC6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FDBD503-9704-46A9-AF98-5F09A1EB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D1733B"/>
    <w:pPr>
      <w:keepNext/>
      <w:spacing w:before="240" w:after="60"/>
      <w:outlineLvl w:val="0"/>
    </w:pPr>
    <w:rPr>
      <w:rFonts w:ascii="Calibri Light" w:hAnsi="Calibri Light"/>
      <w:b/>
      <w:bCs/>
      <w:kern w:val="32"/>
      <w:sz w:val="32"/>
      <w:szCs w:val="32"/>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character" w:customStyle="1" w:styleId="Ttulo1Car">
    <w:name w:val="Título 1 Car"/>
    <w:link w:val="Ttulo1"/>
    <w:rsid w:val="00D1733B"/>
    <w:rPr>
      <w:rFonts w:ascii="Calibri Light" w:eastAsia="Times New Roman" w:hAnsi="Calibri Light" w:cs="Times New Roman"/>
      <w:b/>
      <w:bCs/>
      <w:kern w:val="32"/>
      <w:sz w:val="32"/>
      <w:szCs w:val="32"/>
      <w:lang w:val="es-ES" w:eastAsia="es-ES"/>
    </w:rPr>
  </w:style>
  <w:style w:type="paragraph" w:styleId="Textoindependiente">
    <w:name w:val="Body Text"/>
    <w:basedOn w:val="Normal"/>
    <w:link w:val="TextoindependienteCar"/>
    <w:rsid w:val="00D1733B"/>
    <w:pPr>
      <w:jc w:val="center"/>
    </w:pPr>
    <w:rPr>
      <w:rFonts w:ascii="Century Gothic" w:hAnsi="Century Gothic"/>
      <w:i/>
      <w:iCs/>
      <w:sz w:val="22"/>
      <w:lang w:val="x-none" w:eastAsia="x-none"/>
    </w:rPr>
  </w:style>
  <w:style w:type="character" w:customStyle="1" w:styleId="TextoindependienteCar">
    <w:name w:val="Texto independiente Car"/>
    <w:link w:val="Textoindependiente"/>
    <w:rsid w:val="00D1733B"/>
    <w:rPr>
      <w:rFonts w:ascii="Century Gothic" w:hAnsi="Century Gothic"/>
      <w:i/>
      <w:iCs/>
      <w:sz w:val="22"/>
      <w:szCs w:val="24"/>
      <w:lang w:val="x-none" w:eastAsia="x-none"/>
    </w:rPr>
  </w:style>
  <w:style w:type="paragraph" w:styleId="Textoindependiente2">
    <w:name w:val="Body Text 2"/>
    <w:basedOn w:val="Normal"/>
    <w:link w:val="Textoindependiente2Car"/>
    <w:rsid w:val="00D1733B"/>
    <w:pPr>
      <w:jc w:val="both"/>
    </w:pPr>
    <w:rPr>
      <w:rFonts w:ascii="Century Gothic" w:hAnsi="Century Gothic" w:cs="Tahoma"/>
      <w:i/>
      <w:iCs/>
      <w:sz w:val="22"/>
    </w:rPr>
  </w:style>
  <w:style w:type="character" w:customStyle="1" w:styleId="Textoindependiente2Car">
    <w:name w:val="Texto independiente 2 Car"/>
    <w:link w:val="Textoindependiente2"/>
    <w:rsid w:val="00D1733B"/>
    <w:rPr>
      <w:rFonts w:ascii="Century Gothic" w:hAnsi="Century Gothic" w:cs="Tahoma"/>
      <w:i/>
      <w:iCs/>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4632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5464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2019-08-01T19:05:00Z</dcterms:created>
  <dcterms:modified xsi:type="dcterms:W3CDTF">2019-08-01T19:05:00Z</dcterms:modified>
</cp:coreProperties>
</file>