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4C" w:rsidRDefault="0003304C">
      <w:pPr>
        <w:pStyle w:val="Encabezado"/>
        <w:rPr>
          <w:lang w:val="es-CO"/>
        </w:rPr>
      </w:pPr>
      <w:bookmarkStart w:id="0" w:name="_GoBack"/>
      <w:bookmarkEnd w:id="0"/>
    </w:p>
    <w:p w:rsidR="0003304C" w:rsidRDefault="007C3614">
      <w:pPr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ACUERDO No. CSJMEA21-143</w:t>
      </w:r>
    </w:p>
    <w:p w:rsidR="0003304C" w:rsidRDefault="007C3614">
      <w:pPr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2 de agosto de 2021</w:t>
      </w:r>
    </w:p>
    <w:p w:rsidR="0003304C" w:rsidRDefault="007C3614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:rsidR="0003304C" w:rsidRDefault="007C3614">
      <w:pPr>
        <w:jc w:val="center"/>
        <w:rPr>
          <w:rFonts w:ascii="Arial" w:eastAsia="Arial" w:hAnsi="Arial" w:cs="Arial"/>
          <w:bCs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“Por medio del cual se elabora la lista de elegibles para la provisión del cargo, en propiedad, de </w:t>
      </w:r>
      <w:r>
        <w:rPr>
          <w:rFonts w:ascii="Arial" w:eastAsia="Arial" w:hAnsi="Arial" w:cs="Arial"/>
          <w:bCs/>
          <w:i/>
          <w:sz w:val="22"/>
          <w:szCs w:val="22"/>
        </w:rPr>
        <w:t>Secretario Municipal Nominado, del Juzgado Promiscuo Municipal de Puerto Lleras, Meta”</w:t>
      </w:r>
    </w:p>
    <w:p w:rsidR="0003304C" w:rsidRDefault="0003304C">
      <w:pPr>
        <w:rPr>
          <w:rFonts w:ascii="Arial" w:eastAsia="Arial" w:hAnsi="Arial" w:cs="Arial"/>
          <w:sz w:val="22"/>
          <w:szCs w:val="22"/>
        </w:rPr>
      </w:pPr>
    </w:p>
    <w:p w:rsidR="0003304C" w:rsidRDefault="007C361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CONSEJO SECCIONAL DE LA JUDICATURA DEL META</w:t>
      </w:r>
    </w:p>
    <w:p w:rsidR="0003304C" w:rsidRDefault="0003304C">
      <w:pPr>
        <w:jc w:val="center"/>
        <w:rPr>
          <w:rFonts w:ascii="Arial" w:eastAsia="Arial" w:hAnsi="Arial" w:cs="Arial"/>
          <w:sz w:val="22"/>
          <w:szCs w:val="22"/>
        </w:rPr>
      </w:pPr>
    </w:p>
    <w:p w:rsidR="0003304C" w:rsidRDefault="007C3614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ejercicio de sus facultades legales, en especial las conferidas por los artículos 101, 162, 166 y 167 de la Ley 270 de 1996, y de conformidad con lo aprobado por esta Corporación en sesión ordinaria del 28</w:t>
      </w:r>
      <w:r>
        <w:rPr>
          <w:rFonts w:ascii="Arial" w:eastAsia="Arial" w:hAnsi="Arial" w:cs="Arial"/>
          <w:sz w:val="22"/>
          <w:szCs w:val="22"/>
        </w:rPr>
        <w:t xml:space="preserve"> de julio de 2021.</w:t>
      </w:r>
    </w:p>
    <w:p w:rsidR="0003304C" w:rsidRDefault="0003304C">
      <w:pPr>
        <w:rPr>
          <w:rFonts w:ascii="Arial" w:eastAsia="Arial" w:hAnsi="Arial" w:cs="Arial"/>
          <w:sz w:val="22"/>
          <w:szCs w:val="22"/>
          <w:lang w:val="es-CO"/>
        </w:rPr>
      </w:pPr>
    </w:p>
    <w:p w:rsidR="0003304C" w:rsidRDefault="007C361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ACUERDA:</w:t>
      </w:r>
    </w:p>
    <w:p w:rsidR="0003304C" w:rsidRDefault="0003304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03304C" w:rsidRDefault="007C3614">
      <w:pPr>
        <w:pStyle w:val="Default"/>
        <w:jc w:val="both"/>
        <w:rPr>
          <w:bCs/>
          <w:i/>
          <w:sz w:val="22"/>
          <w:szCs w:val="22"/>
        </w:rPr>
      </w:pPr>
      <w:r>
        <w:rPr>
          <w:b/>
          <w:sz w:val="22"/>
          <w:szCs w:val="22"/>
        </w:rPr>
        <w:t>ARTÍCULO 1°.-</w:t>
      </w:r>
      <w:r>
        <w:rPr>
          <w:sz w:val="22"/>
          <w:szCs w:val="22"/>
        </w:rPr>
        <w:t xml:space="preserve"> Elaborar la siguiente lista de elegibles, en orden descendente del puntaje total obtenido, tomada de la Resolución  CSJMER21-73  del 24 de mayo de 2021, por medio de la cual se conforman los Registros Seccionales de Elegibles correspondiente al Concurso d</w:t>
      </w:r>
      <w:r>
        <w:rPr>
          <w:sz w:val="22"/>
          <w:szCs w:val="22"/>
        </w:rPr>
        <w:t>e Méritos para cargos de empleados de carrera de Tribunales, Juzgados y Centros de Servicios del Distrito Judicial de Villavicencio y Administrativo del Meta, convocado mediante Acuerdos CSJMEA17-930 de octubre 05 y CSJMEA17-931 de octubre 09 de 2017 y ade</w:t>
      </w:r>
      <w:r>
        <w:rPr>
          <w:sz w:val="22"/>
          <w:szCs w:val="22"/>
        </w:rPr>
        <w:t xml:space="preserve">lantado el trámite establecido en el Acuerdo  4856 de 2008, expedido por la Sala Administrativa del Consejo Superior de la Judicatura, destinada a la provisión del cargo, en propiedad, de Secretario Municipal Nominado, del </w:t>
      </w:r>
      <w:r>
        <w:rPr>
          <w:bCs/>
          <w:i/>
          <w:sz w:val="22"/>
          <w:szCs w:val="22"/>
        </w:rPr>
        <w:t>Juzgado Promiscuo Municipal de Pu</w:t>
      </w:r>
      <w:r>
        <w:rPr>
          <w:bCs/>
          <w:i/>
          <w:sz w:val="22"/>
          <w:szCs w:val="22"/>
        </w:rPr>
        <w:t>erto lleras, Meta.</w:t>
      </w:r>
    </w:p>
    <w:p w:rsidR="0003304C" w:rsidRDefault="0003304C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8809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346"/>
        <w:gridCol w:w="1985"/>
        <w:gridCol w:w="992"/>
        <w:gridCol w:w="992"/>
        <w:gridCol w:w="1276"/>
        <w:gridCol w:w="992"/>
        <w:gridCol w:w="851"/>
      </w:tblGrid>
      <w:tr w:rsidR="0003304C">
        <w:trPr>
          <w:trHeight w:val="753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CEDULA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CONOCI</w:t>
            </w:r>
          </w:p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SICOTECNICA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EXPERIENDIA ADICIONAY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CAPACITACION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3304C" w:rsidRDefault="0003304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</w:tr>
      <w:tr w:rsidR="0003304C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both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CO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40.393.557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04C" w:rsidRDefault="007C361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CHAPETA MARTINEZ MARIA MERCEDES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353.34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146.50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04C" w:rsidRDefault="007C36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509.84</w:t>
            </w:r>
          </w:p>
        </w:tc>
      </w:tr>
    </w:tbl>
    <w:p w:rsidR="0003304C" w:rsidRDefault="0003304C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03304C" w:rsidRDefault="007C361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2°. -</w:t>
      </w:r>
      <w:r>
        <w:rPr>
          <w:rFonts w:ascii="Arial" w:eastAsia="Arial" w:hAnsi="Arial" w:cs="Arial"/>
          <w:sz w:val="22"/>
          <w:szCs w:val="22"/>
        </w:rPr>
        <w:t xml:space="preserve">  El presente acuerdo rige a partir de la fecha de su expedición. </w:t>
      </w: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7C361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PUBLÍQUESE, COMUNÍQUESE Y CÚMPLASE</w:t>
      </w: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7C361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Dado en Villavicencio, a los dos (02) días del mes agosto del año dos mil veintiuno (2021). </w:t>
      </w: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03304C">
      <w:pPr>
        <w:jc w:val="both"/>
        <w:rPr>
          <w:rFonts w:ascii="Arial" w:eastAsia="Arial" w:hAnsi="Arial" w:cs="Arial"/>
          <w:sz w:val="22"/>
          <w:szCs w:val="22"/>
        </w:rPr>
      </w:pPr>
    </w:p>
    <w:p w:rsidR="0003304C" w:rsidRDefault="007C3614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ROMELIO ELÍAS DAZA MOLINA </w:t>
      </w:r>
    </w:p>
    <w:p w:rsidR="0003304C" w:rsidRDefault="007C361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</w:t>
      </w:r>
    </w:p>
    <w:p w:rsidR="0003304C" w:rsidRDefault="0003304C">
      <w:pPr>
        <w:jc w:val="both"/>
        <w:rPr>
          <w:rFonts w:ascii="Arial" w:eastAsia="Arial" w:hAnsi="Arial" w:cs="Arial"/>
          <w:sz w:val="16"/>
          <w:szCs w:val="16"/>
        </w:rPr>
      </w:pPr>
    </w:p>
    <w:p w:rsidR="0003304C" w:rsidRDefault="007C3614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LGR/CPCR/AMRC</w:t>
      </w:r>
    </w:p>
    <w:p w:rsidR="0003304C" w:rsidRDefault="007C3614">
      <w:pPr>
        <w:jc w:val="both"/>
        <w:rPr>
          <w:rFonts w:ascii="Arial" w:eastAsia="Arial" w:hAnsi="Arial" w:cs="Arial"/>
          <w:sz w:val="16"/>
          <w:szCs w:val="16"/>
          <w:lang w:val="es-CO"/>
        </w:rPr>
      </w:pPr>
      <w:r>
        <w:rPr>
          <w:rFonts w:ascii="Arial" w:eastAsia="Arial" w:hAnsi="Arial" w:cs="Arial"/>
          <w:sz w:val="16"/>
          <w:szCs w:val="16"/>
        </w:rPr>
        <w:t>EXTCSJME21-1027.</w:t>
      </w:r>
    </w:p>
    <w:p w:rsidR="0003304C" w:rsidRDefault="0003304C">
      <w:pPr>
        <w:jc w:val="center"/>
        <w:rPr>
          <w:rFonts w:ascii="Arial" w:eastAsia="Arial" w:hAnsi="Arial" w:cs="Arial"/>
          <w:sz w:val="16"/>
          <w:szCs w:val="16"/>
          <w:lang w:val="es-CO"/>
        </w:rPr>
      </w:pPr>
    </w:p>
    <w:sectPr w:rsidR="0003304C">
      <w:headerReference w:type="default" r:id="rId6"/>
      <w:footerReference w:type="default" r:id="rId7"/>
      <w:headerReference w:type="first" r:id="rId8"/>
      <w:footerReference w:type="first" r:id="rId9"/>
      <w:pgSz w:w="12242" w:h="15842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614" w:rsidRDefault="007C3614">
      <w:r>
        <w:separator/>
      </w:r>
    </w:p>
  </w:endnote>
  <w:endnote w:type="continuationSeparator" w:id="0">
    <w:p w:rsidR="007C3614" w:rsidRDefault="007C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roman"/>
    <w:pitch w:val="default"/>
  </w:font>
  <w:font w:name="Berylum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4C" w:rsidRDefault="007C3614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03304C" w:rsidRDefault="007C3614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hyperlink r:id="rId1" w:history="1">
      <w:r>
        <w:rPr>
          <w:rStyle w:val="Hipervnculo"/>
          <w:rFonts w:ascii="Berylum" w:eastAsia="Berylum" w:hAnsi="Berylum"/>
          <w:bCs/>
          <w:iCs/>
          <w:sz w:val="22"/>
          <w:szCs w:val="22"/>
        </w:rPr>
        <w:t>www.ramajudicial.gov.co</w:t>
      </w:r>
    </w:hyperlink>
    <w:r>
      <w:rPr>
        <w:rFonts w:ascii="Berylum" w:eastAsia="Berylum" w:hAnsi="Berylum"/>
        <w:bCs/>
        <w:iCs/>
        <w:sz w:val="22"/>
        <w:szCs w:val="22"/>
      </w:rPr>
      <w:t xml:space="preserve"> - E mail: </w:t>
    </w:r>
    <w:hyperlink r:id="rId2" w:history="1">
      <w:r>
        <w:rPr>
          <w:rFonts w:ascii="Berylum" w:eastAsia="Berylum" w:hAnsi="Berylum"/>
          <w:iCs/>
        </w:rPr>
        <w:t>consecmet@cendoj.ramajudicial.gov.co</w:t>
      </w:r>
    </w:hyperlink>
  </w:p>
  <w:p w:rsidR="0003304C" w:rsidRDefault="0003304C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4C" w:rsidRDefault="007C3614">
    <w:pPr>
      <w:pStyle w:val="Piedepgina"/>
      <w:tabs>
        <w:tab w:val="left" w:pos="7371"/>
      </w:tabs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</w:rPr>
      <w:pict>
        <v:group id="Grupo 10" o:spid="_x0000_s2049" style="position:absolute;margin-left:369pt;margin-top:-10.7pt;width:85.5pt;height:78pt;z-index:251658240;mso-wrap-distance-left:0;mso-wrap-distance-right:0" coordsize="10861,9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2" type="#_x0000_t75" style="position:absolute;left:6305;top:1607;width:4556;height:4686;v-text-anchor:top">
            <v:stroke color2="black"/>
            <v:imagedata r:id="rId1" o:title="Logo-IQNet AZUL" croptop="3856f" cropbottom="4819f" cropleft="4819f" cropright="2891f"/>
          </v:shape>
          <v:rect id="3 Rectángulo" o:spid="_x0000_s2051" style="position:absolute;top:7900;width:7120;height:2006;v-text-anchor:top" filled="f" stroked="f">
            <v:textbox style="mso-fit-shape-to-text:t">
              <w:txbxContent>
                <w:p w:rsidR="0003304C" w:rsidRDefault="007C3614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eastAsia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SC5780-4-15</w:t>
                  </w:r>
                </w:p>
              </w:txbxContent>
            </v:textbox>
          </v:rect>
          <v:shape id="Picture 3" o:spid="_x0000_s2050" type="#_x0000_t75" style="position:absolute;left:675;width:5321;height:7901;v-text-anchor:top">
            <v:stroke color2="black"/>
            <v:imagedata r:id="rId2" o:title="Sello-ICONTEC_ISO-9001 AZUL" croptop="3710f" cropbottom="3710f" cropleft="4977f" cropright="5807f"/>
          </v:shape>
        </v:group>
      </w:pict>
    </w:r>
    <w:r>
      <w:rPr>
        <w:rFonts w:ascii="Berylum" w:eastAsia="Berylum" w:hAnsi="Berylum"/>
        <w:bCs/>
        <w:iCs/>
        <w:sz w:val="22"/>
        <w:szCs w:val="22"/>
      </w:rPr>
      <w:t xml:space="preserve">Carrera 29 No. 33B – 79 Palacio de Justicia, Torre B Tel: (8) 6622899 </w:t>
    </w:r>
  </w:p>
  <w:p w:rsidR="0003304C" w:rsidRDefault="007C3614">
    <w:pPr>
      <w:pStyle w:val="Piedepgina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 xml:space="preserve">Fax. (8) 6629503 </w:t>
    </w:r>
    <w:hyperlink r:id="rId3" w:history="1">
      <w:r>
        <w:rPr>
          <w:rStyle w:val="Hipervnculo"/>
          <w:rFonts w:ascii="Berylum" w:eastAsia="Berylum" w:hAnsi="Berylum"/>
          <w:bCs/>
          <w:iCs/>
          <w:color w:val="auto"/>
          <w:sz w:val="22"/>
          <w:szCs w:val="22"/>
          <w:u w:val="none"/>
        </w:rPr>
        <w:t>www.ramajudicial.gov.co</w:t>
      </w:r>
    </w:hyperlink>
    <w:r>
      <w:rPr>
        <w:rFonts w:ascii="Berylum" w:eastAsia="Berylum" w:hAnsi="Berylum"/>
        <w:bCs/>
        <w:iCs/>
        <w:sz w:val="22"/>
        <w:szCs w:val="22"/>
      </w:rPr>
      <w:t xml:space="preserve"> </w:t>
    </w:r>
  </w:p>
  <w:p w:rsidR="0003304C" w:rsidRDefault="007C3614">
    <w:pPr>
      <w:pStyle w:val="Piedepgina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 xml:space="preserve">E mail: </w:t>
    </w:r>
    <w:hyperlink r:id="rId4" w:history="1">
      <w:r>
        <w:rPr>
          <w:rFonts w:ascii="Berylum" w:eastAsia="Berylum" w:hAnsi="Berylum"/>
          <w:iCs/>
        </w:rPr>
        <w:t>consecmet@cendoj.ramajudicial.gov</w:t>
      </w:r>
      <w:r>
        <w:rPr>
          <w:rFonts w:ascii="Berylum" w:eastAsia="Berylum" w:hAnsi="Berylum"/>
          <w:iCs/>
        </w:rPr>
        <w:t>.co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614" w:rsidRDefault="007C3614">
      <w:r>
        <w:separator/>
      </w:r>
    </w:p>
  </w:footnote>
  <w:footnote w:type="continuationSeparator" w:id="0">
    <w:p w:rsidR="007C3614" w:rsidRDefault="007C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4C" w:rsidRDefault="007C3614">
    <w:pPr>
      <w:pStyle w:val="Encabezado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Acuerdo Hoja No. 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  \* MERGEFORMAT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>
      <w:rPr>
        <w:rFonts w:ascii="Berylium" w:eastAsia="Berylium" w:hAnsi="Berylium"/>
        <w:bCs/>
        <w:iCs/>
        <w:noProof/>
        <w:sz w:val="22"/>
        <w:szCs w:val="22"/>
      </w:rPr>
      <w:t>2</w:t>
    </w:r>
    <w:r>
      <w:rPr>
        <w:rFonts w:ascii="Berylium" w:eastAsia="Berylium" w:hAnsi="Berylium"/>
        <w:bCs/>
        <w:iCs/>
        <w:sz w:val="22"/>
        <w:szCs w:val="22"/>
      </w:rPr>
      <w:fldChar w:fldCharType="end"/>
    </w:r>
  </w:p>
  <w:p w:rsidR="0003304C" w:rsidRDefault="000330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4C" w:rsidRDefault="007C3614">
    <w:pPr>
      <w:jc w:val="center"/>
      <w:rPr>
        <w:bCs/>
        <w:iCs/>
        <w:sz w:val="22"/>
        <w:szCs w:val="22"/>
      </w:rPr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67.05pt;margin-top:-10pt;width:188.25pt;height:62.15pt;z-index:-251659264;visibility:visible" wrapcoords="0 21600 21600 21600 21600 0 0 0">
          <v:imagedata r:id="rId1" o:title="Logo CSJ RGB_01"/>
        </v:shape>
      </w:pict>
    </w:r>
  </w:p>
  <w:p w:rsidR="0003304C" w:rsidRDefault="007C3614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Consejo Superior de la Judicatura</w:t>
    </w:r>
  </w:p>
  <w:p w:rsidR="0003304C" w:rsidRDefault="007C3614">
    <w:pPr>
      <w:pStyle w:val="Encabezado"/>
      <w:jc w:val="center"/>
    </w:pPr>
    <w:r>
      <w:rPr>
        <w:rFonts w:ascii="Berylium" w:eastAsia="Berylium" w:hAnsi="Berylium"/>
        <w:bCs/>
        <w:iCs/>
        <w:sz w:val="22"/>
        <w:szCs w:val="22"/>
      </w:rPr>
      <w:t>Consejo Seccional de la Judicatura del Meta</w:t>
    </w:r>
  </w:p>
  <w:p w:rsidR="0003304C" w:rsidRDefault="00033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4C"/>
    <w:rsid w:val="0003304C"/>
    <w:rsid w:val="007C3614"/>
    <w:rsid w:val="00C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,"/>
  <w15:docId w15:val="{12957C23-7CEE-414A-825B-FDA4CA56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cmet@cendoj.ramajudicial.gov.co" TargetMode="External"/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secmet@cendoj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2021-08-03T21:22:00Z</dcterms:created>
  <dcterms:modified xsi:type="dcterms:W3CDTF">2021-08-03T21:22:00Z</dcterms:modified>
</cp:coreProperties>
</file>