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ED5B1A" w:rsidRDefault="00EF0ECF" w:rsidP="00EF0ECF">
      <w:pPr>
        <w:pStyle w:val="Encabezado"/>
        <w:rPr>
          <w:lang w:val="es-CO"/>
        </w:rPr>
      </w:pPr>
    </w:p>
    <w:p w:rsidR="000360F3" w:rsidRDefault="000360F3" w:rsidP="00AC50DF">
      <w:pPr>
        <w:jc w:val="center"/>
        <w:rPr>
          <w:rFonts w:ascii="Arial" w:hAnsi="Arial" w:cs="Arial"/>
          <w:b/>
          <w:sz w:val="22"/>
          <w:szCs w:val="22"/>
          <w:lang w:val="es-CO"/>
        </w:rPr>
      </w:pPr>
    </w:p>
    <w:p w:rsidR="00AC50DF" w:rsidRPr="000360F3" w:rsidRDefault="00AC50DF" w:rsidP="00AC50DF">
      <w:pPr>
        <w:jc w:val="center"/>
        <w:rPr>
          <w:rFonts w:ascii="Arial" w:hAnsi="Arial" w:cs="Arial"/>
          <w:b/>
          <w:sz w:val="22"/>
          <w:szCs w:val="22"/>
          <w:lang w:val="es-CO"/>
        </w:rPr>
      </w:pPr>
      <w:r w:rsidRPr="000360F3">
        <w:rPr>
          <w:rFonts w:ascii="Arial" w:hAnsi="Arial" w:cs="Arial"/>
          <w:b/>
          <w:sz w:val="22"/>
          <w:szCs w:val="22"/>
          <w:lang w:val="es-CO"/>
        </w:rPr>
        <w:t xml:space="preserve">ACUERDO No. </w:t>
      </w:r>
      <w:r w:rsidR="002A41E6">
        <w:rPr>
          <w:rFonts w:ascii="Arial" w:hAnsi="Arial" w:cs="Arial"/>
          <w:b/>
          <w:sz w:val="22"/>
          <w:szCs w:val="22"/>
          <w:lang w:val="es-CO"/>
        </w:rPr>
        <w:t>CSJMEA19-107</w:t>
      </w:r>
    </w:p>
    <w:p w:rsidR="00AC50DF" w:rsidRPr="000360F3" w:rsidRDefault="002A41E6" w:rsidP="00AC50DF">
      <w:pPr>
        <w:jc w:val="center"/>
        <w:rPr>
          <w:rFonts w:ascii="Arial" w:hAnsi="Arial" w:cs="Arial"/>
          <w:b/>
          <w:sz w:val="22"/>
          <w:szCs w:val="22"/>
          <w:lang w:val="es-CO"/>
        </w:rPr>
      </w:pPr>
      <w:r>
        <w:rPr>
          <w:rFonts w:ascii="Arial" w:hAnsi="Arial" w:cs="Arial"/>
          <w:b/>
          <w:sz w:val="22"/>
          <w:szCs w:val="22"/>
          <w:lang w:val="es-CO"/>
        </w:rPr>
        <w:t>9 de agosto de 2019</w:t>
      </w:r>
    </w:p>
    <w:p w:rsidR="00AC50DF" w:rsidRPr="000360F3" w:rsidRDefault="00AC50DF" w:rsidP="00AC50DF">
      <w:pPr>
        <w:jc w:val="center"/>
        <w:rPr>
          <w:rFonts w:ascii="Arial" w:hAnsi="Arial" w:cs="Arial"/>
          <w:b/>
          <w:sz w:val="22"/>
          <w:szCs w:val="22"/>
          <w:lang w:val="es-CO"/>
        </w:rPr>
      </w:pPr>
      <w:r w:rsidRPr="000360F3">
        <w:rPr>
          <w:rFonts w:ascii="Arial" w:hAnsi="Arial" w:cs="Arial"/>
          <w:b/>
          <w:sz w:val="22"/>
          <w:szCs w:val="22"/>
          <w:lang w:val="es-CO"/>
        </w:rPr>
        <w:t xml:space="preserve"> </w:t>
      </w:r>
    </w:p>
    <w:p w:rsidR="000360F3" w:rsidRDefault="000360F3" w:rsidP="000360F3">
      <w:pPr>
        <w:jc w:val="center"/>
        <w:rPr>
          <w:rFonts w:ascii="Arial" w:hAnsi="Arial" w:cs="Arial"/>
          <w:i/>
          <w:sz w:val="22"/>
          <w:szCs w:val="22"/>
          <w:lang w:val="es-CO"/>
        </w:rPr>
      </w:pPr>
      <w:r>
        <w:rPr>
          <w:rFonts w:ascii="Arial" w:hAnsi="Arial" w:cs="Arial"/>
          <w:i/>
          <w:sz w:val="22"/>
          <w:szCs w:val="22"/>
          <w:lang w:val="es-CO"/>
        </w:rPr>
        <w:t>“</w:t>
      </w:r>
      <w:r w:rsidRPr="00C126D8">
        <w:rPr>
          <w:rFonts w:ascii="Arial" w:hAnsi="Arial" w:cs="Arial"/>
          <w:i/>
          <w:sz w:val="22"/>
          <w:szCs w:val="22"/>
          <w:lang w:val="es-CO"/>
        </w:rPr>
        <w:t xml:space="preserve">Por medio del cual se ordena el </w:t>
      </w:r>
      <w:bookmarkStart w:id="0" w:name="_GoBack"/>
      <w:r w:rsidRPr="00C126D8">
        <w:rPr>
          <w:rFonts w:ascii="Arial" w:hAnsi="Arial" w:cs="Arial"/>
          <w:i/>
          <w:sz w:val="22"/>
          <w:szCs w:val="22"/>
          <w:lang w:val="es-CO"/>
        </w:rPr>
        <w:t xml:space="preserve">cierre de puertas en el reparto </w:t>
      </w:r>
      <w:r>
        <w:rPr>
          <w:rFonts w:ascii="Arial" w:hAnsi="Arial" w:cs="Arial"/>
          <w:i/>
          <w:sz w:val="22"/>
          <w:szCs w:val="22"/>
          <w:lang w:val="es-CO"/>
        </w:rPr>
        <w:t xml:space="preserve">Ordinario </w:t>
      </w:r>
      <w:r w:rsidRPr="00C126D8">
        <w:rPr>
          <w:rFonts w:ascii="Arial" w:hAnsi="Arial" w:cs="Arial"/>
          <w:i/>
          <w:sz w:val="22"/>
          <w:szCs w:val="22"/>
          <w:lang w:val="es-CO"/>
        </w:rPr>
        <w:t xml:space="preserve">de los Juzgados Primero, Segundo, Tercero, Cuarto, Quinto, Sexto, Séptimo y Octavo Administrativo </w:t>
      </w:r>
      <w:bookmarkEnd w:id="0"/>
      <w:r w:rsidRPr="00C126D8">
        <w:rPr>
          <w:rFonts w:ascii="Arial" w:hAnsi="Arial" w:cs="Arial"/>
          <w:i/>
          <w:sz w:val="22"/>
          <w:szCs w:val="22"/>
          <w:lang w:val="es-CO"/>
        </w:rPr>
        <w:t>orales de Villavicencio</w:t>
      </w:r>
      <w:r>
        <w:rPr>
          <w:rFonts w:ascii="Arial" w:hAnsi="Arial" w:cs="Arial"/>
          <w:i/>
          <w:sz w:val="22"/>
          <w:szCs w:val="22"/>
          <w:lang w:val="es-CO"/>
        </w:rPr>
        <w:t>”</w:t>
      </w:r>
    </w:p>
    <w:p w:rsidR="000360F3" w:rsidRDefault="000360F3" w:rsidP="000360F3">
      <w:pPr>
        <w:jc w:val="center"/>
        <w:rPr>
          <w:rFonts w:ascii="Arial" w:hAnsi="Arial" w:cs="Arial"/>
          <w:color w:val="000000"/>
          <w:sz w:val="22"/>
          <w:szCs w:val="22"/>
          <w:lang w:val="es-CO"/>
        </w:rPr>
      </w:pPr>
    </w:p>
    <w:p w:rsidR="000360F3" w:rsidRDefault="000360F3" w:rsidP="000360F3">
      <w:pPr>
        <w:jc w:val="center"/>
        <w:rPr>
          <w:rFonts w:ascii="Arial" w:hAnsi="Arial" w:cs="Arial"/>
          <w:color w:val="000000"/>
          <w:sz w:val="22"/>
          <w:szCs w:val="22"/>
          <w:lang w:val="es-CO"/>
        </w:rPr>
      </w:pPr>
    </w:p>
    <w:p w:rsidR="000360F3" w:rsidRPr="008C19D3" w:rsidRDefault="000360F3" w:rsidP="000360F3">
      <w:pPr>
        <w:jc w:val="center"/>
        <w:rPr>
          <w:rFonts w:ascii="Arial" w:hAnsi="Arial" w:cs="Arial"/>
          <w:b/>
          <w:color w:val="000000"/>
          <w:sz w:val="22"/>
          <w:szCs w:val="22"/>
          <w:lang w:val="es-CO"/>
        </w:rPr>
      </w:pPr>
      <w:r w:rsidRPr="008C19D3">
        <w:rPr>
          <w:rFonts w:ascii="Arial" w:hAnsi="Arial" w:cs="Arial"/>
          <w:b/>
          <w:color w:val="000000"/>
          <w:sz w:val="22"/>
          <w:szCs w:val="22"/>
          <w:lang w:val="es-CO"/>
        </w:rPr>
        <w:t xml:space="preserve">EL CONSEJO SECCIONAL DE LA JUDICATURA DEL META </w:t>
      </w:r>
    </w:p>
    <w:p w:rsidR="000360F3" w:rsidRPr="00757F65" w:rsidRDefault="000360F3" w:rsidP="000360F3">
      <w:pPr>
        <w:jc w:val="center"/>
        <w:rPr>
          <w:rFonts w:ascii="Arial" w:hAnsi="Arial" w:cs="Arial"/>
          <w:color w:val="000000"/>
          <w:sz w:val="22"/>
          <w:szCs w:val="22"/>
          <w:lang w:val="es-CO"/>
        </w:rPr>
      </w:pPr>
    </w:p>
    <w:p w:rsidR="000360F3" w:rsidRPr="00757F65" w:rsidRDefault="000360F3" w:rsidP="000360F3">
      <w:pPr>
        <w:jc w:val="both"/>
        <w:rPr>
          <w:rFonts w:ascii="Arial" w:hAnsi="Arial" w:cs="Arial"/>
          <w:color w:val="000000"/>
          <w:sz w:val="22"/>
          <w:szCs w:val="22"/>
        </w:rPr>
      </w:pPr>
      <w:r w:rsidRPr="00757F65">
        <w:rPr>
          <w:rFonts w:ascii="Arial" w:hAnsi="Arial" w:cs="Arial"/>
          <w:color w:val="000000"/>
          <w:sz w:val="22"/>
          <w:szCs w:val="22"/>
        </w:rPr>
        <w:t>En ejercicio de las facultades constitucionales y legales, en especial las señaladas en el artículo 101 de la Ley 270 de 1996, en el artículo 3 del Acuerdo PSAA12-9260 de 2012 y en el Acuerdo PSAA16-10561 del 17 de agosto de 2016, expedidos por el Cons</w:t>
      </w:r>
      <w:r>
        <w:rPr>
          <w:rFonts w:ascii="Arial" w:hAnsi="Arial" w:cs="Arial"/>
          <w:color w:val="000000"/>
          <w:sz w:val="22"/>
          <w:szCs w:val="22"/>
        </w:rPr>
        <w:t xml:space="preserve">ejo Superior de la Judicatura y </w:t>
      </w:r>
    </w:p>
    <w:p w:rsidR="000360F3" w:rsidRPr="00757F65" w:rsidRDefault="000360F3" w:rsidP="000360F3">
      <w:pPr>
        <w:jc w:val="both"/>
        <w:rPr>
          <w:rFonts w:ascii="Arial" w:hAnsi="Arial" w:cs="Arial"/>
          <w:color w:val="000000"/>
          <w:sz w:val="22"/>
          <w:szCs w:val="22"/>
          <w:lang w:val="es-CO"/>
        </w:rPr>
      </w:pPr>
    </w:p>
    <w:p w:rsidR="000360F3" w:rsidRPr="00857A5A" w:rsidRDefault="000360F3" w:rsidP="000360F3">
      <w:pPr>
        <w:jc w:val="center"/>
        <w:rPr>
          <w:rFonts w:ascii="Arial" w:hAnsi="Arial" w:cs="Arial"/>
          <w:b/>
          <w:color w:val="000000"/>
          <w:sz w:val="22"/>
          <w:szCs w:val="22"/>
          <w:lang w:val="es-CO"/>
        </w:rPr>
      </w:pPr>
      <w:r w:rsidRPr="00857A5A">
        <w:rPr>
          <w:rFonts w:ascii="Arial" w:hAnsi="Arial" w:cs="Arial"/>
          <w:b/>
          <w:color w:val="000000"/>
          <w:sz w:val="22"/>
          <w:szCs w:val="22"/>
          <w:lang w:val="es-CO"/>
        </w:rPr>
        <w:t>CONSIDERANDO QUE:</w:t>
      </w:r>
    </w:p>
    <w:p w:rsidR="000360F3" w:rsidRDefault="000360F3" w:rsidP="000360F3">
      <w:pPr>
        <w:jc w:val="center"/>
        <w:rPr>
          <w:rFonts w:ascii="Arial" w:hAnsi="Arial" w:cs="Arial"/>
          <w:color w:val="000000"/>
          <w:sz w:val="22"/>
          <w:szCs w:val="22"/>
          <w:lang w:val="es-CO"/>
        </w:rPr>
      </w:pPr>
    </w:p>
    <w:p w:rsidR="000360F3" w:rsidRDefault="000360F3" w:rsidP="000360F3">
      <w:pPr>
        <w:jc w:val="both"/>
        <w:rPr>
          <w:rFonts w:ascii="Arial" w:hAnsi="Arial" w:cs="Arial"/>
          <w:color w:val="000000"/>
          <w:sz w:val="22"/>
          <w:szCs w:val="22"/>
        </w:rPr>
      </w:pPr>
      <w:r>
        <w:rPr>
          <w:rFonts w:ascii="Arial" w:hAnsi="Arial" w:cs="Arial"/>
          <w:color w:val="000000"/>
          <w:sz w:val="22"/>
          <w:szCs w:val="22"/>
        </w:rPr>
        <w:t>Mediante Acuerdo PCSJA19-11276 de mayo 17 de 2019, se incorporó a partir del 4 de junio de 2019 al Juzgado 009 Administrativo de Villavicencio el conocimiento de los asuntos regidos por el sistema procesal de la Ley 1437 de 2011.</w:t>
      </w:r>
    </w:p>
    <w:p w:rsidR="000360F3" w:rsidRDefault="000360F3" w:rsidP="000360F3">
      <w:pPr>
        <w:jc w:val="both"/>
        <w:rPr>
          <w:rFonts w:ascii="Arial" w:hAnsi="Arial" w:cs="Arial"/>
          <w:color w:val="000000"/>
          <w:sz w:val="22"/>
          <w:szCs w:val="22"/>
        </w:rPr>
      </w:pPr>
    </w:p>
    <w:p w:rsidR="000360F3" w:rsidRDefault="000360F3" w:rsidP="000360F3">
      <w:pPr>
        <w:jc w:val="both"/>
        <w:rPr>
          <w:rFonts w:ascii="Arial" w:hAnsi="Arial" w:cs="Arial"/>
          <w:sz w:val="22"/>
          <w:szCs w:val="22"/>
        </w:rPr>
      </w:pPr>
      <w:r>
        <w:rPr>
          <w:rFonts w:ascii="Arial" w:hAnsi="Arial" w:cs="Arial"/>
          <w:sz w:val="22"/>
          <w:szCs w:val="22"/>
        </w:rPr>
        <w:t xml:space="preserve">Realizado un análisis a los reportes estadísticos de los Juzgados Administrativos desde la aplicación de la medida al Acuerdo Ibídem, este Consejo Seccional logra establecer que el manejo de un reparto homogéneo, no garantiza una carga equilibrada entre los Juzgados, en este orden de ideas y haciendo uso del artículo sexto del </w:t>
      </w:r>
      <w:r w:rsidRPr="00857A5A">
        <w:rPr>
          <w:rFonts w:ascii="Arial" w:hAnsi="Arial" w:cs="Arial"/>
          <w:sz w:val="22"/>
          <w:szCs w:val="22"/>
        </w:rPr>
        <w:t xml:space="preserve">Acuerdo No. </w:t>
      </w:r>
      <w:r>
        <w:rPr>
          <w:rFonts w:ascii="Arial" w:hAnsi="Arial" w:cs="Arial"/>
          <w:sz w:val="22"/>
          <w:szCs w:val="22"/>
        </w:rPr>
        <w:t xml:space="preserve">PSAA16-10561 Agosto 17 de 2016, se tomará </w:t>
      </w:r>
      <w:r w:rsidRPr="00F56F1D">
        <w:rPr>
          <w:rFonts w:ascii="Arial" w:hAnsi="Arial" w:cs="Arial"/>
          <w:sz w:val="22"/>
          <w:szCs w:val="22"/>
        </w:rPr>
        <w:t>como medida transitoria</w:t>
      </w:r>
      <w:r>
        <w:rPr>
          <w:rFonts w:ascii="Arial" w:hAnsi="Arial" w:cs="Arial"/>
          <w:sz w:val="22"/>
          <w:szCs w:val="22"/>
        </w:rPr>
        <w:t xml:space="preserve"> el cierre </w:t>
      </w:r>
      <w:r w:rsidRPr="00F56F1D">
        <w:rPr>
          <w:rFonts w:ascii="Arial" w:hAnsi="Arial" w:cs="Arial"/>
          <w:sz w:val="22"/>
          <w:szCs w:val="22"/>
        </w:rPr>
        <w:t xml:space="preserve"> temporal del reparto </w:t>
      </w:r>
      <w:r>
        <w:rPr>
          <w:rFonts w:ascii="Arial" w:hAnsi="Arial" w:cs="Arial"/>
          <w:sz w:val="22"/>
          <w:szCs w:val="22"/>
        </w:rPr>
        <w:t xml:space="preserve">ordinario a </w:t>
      </w:r>
      <w:r w:rsidRPr="00F56F1D">
        <w:rPr>
          <w:rFonts w:ascii="Arial" w:hAnsi="Arial" w:cs="Arial"/>
          <w:sz w:val="22"/>
          <w:szCs w:val="22"/>
          <w:lang w:val="es-CO"/>
        </w:rPr>
        <w:t xml:space="preserve">los </w:t>
      </w:r>
      <w:r w:rsidRPr="00F56F1D">
        <w:rPr>
          <w:rFonts w:ascii="Arial" w:hAnsi="Arial" w:cs="Arial"/>
          <w:sz w:val="22"/>
          <w:szCs w:val="22"/>
          <w:lang w:val="es-CO"/>
        </w:rPr>
        <w:lastRenderedPageBreak/>
        <w:t xml:space="preserve">Juzgados Primero, Segundo, Tercero, Cuarto, Quinto, Sexto, Séptimo y Octavo </w:t>
      </w:r>
      <w:r>
        <w:rPr>
          <w:rFonts w:ascii="Arial" w:hAnsi="Arial" w:cs="Arial"/>
          <w:sz w:val="22"/>
          <w:szCs w:val="22"/>
          <w:lang w:val="es-CO"/>
        </w:rPr>
        <w:t>Administrativo O</w:t>
      </w:r>
      <w:r w:rsidRPr="00F56F1D">
        <w:rPr>
          <w:rFonts w:ascii="Arial" w:hAnsi="Arial" w:cs="Arial"/>
          <w:sz w:val="22"/>
          <w:szCs w:val="22"/>
          <w:lang w:val="es-CO"/>
        </w:rPr>
        <w:t>rales de Villavicencio</w:t>
      </w:r>
      <w:r>
        <w:rPr>
          <w:rFonts w:ascii="Arial" w:hAnsi="Arial" w:cs="Arial"/>
          <w:sz w:val="22"/>
          <w:szCs w:val="22"/>
        </w:rPr>
        <w:t xml:space="preserve"> a partir del 12 de agosto al 30 de septiembre de 2019.</w:t>
      </w:r>
    </w:p>
    <w:p w:rsidR="000360F3" w:rsidRDefault="000360F3" w:rsidP="000360F3">
      <w:pPr>
        <w:jc w:val="both"/>
        <w:rPr>
          <w:rFonts w:ascii="Arial" w:hAnsi="Arial" w:cs="Arial"/>
          <w:sz w:val="22"/>
          <w:szCs w:val="22"/>
        </w:rPr>
      </w:pPr>
    </w:p>
    <w:p w:rsidR="000360F3" w:rsidRPr="00F56F1D" w:rsidRDefault="000360F3" w:rsidP="000360F3">
      <w:pPr>
        <w:jc w:val="both"/>
        <w:rPr>
          <w:rFonts w:ascii="Arial" w:hAnsi="Arial" w:cs="Arial"/>
          <w:sz w:val="22"/>
          <w:szCs w:val="22"/>
        </w:rPr>
      </w:pPr>
      <w:r>
        <w:rPr>
          <w:rFonts w:ascii="Arial" w:hAnsi="Arial" w:cs="Arial"/>
          <w:sz w:val="22"/>
          <w:szCs w:val="22"/>
        </w:rPr>
        <w:t>Una vez reportada la estadística del tercer trimestre, en el mes de octubre se efectuará nuevamente un análisis de la situación real de la carga de los nueve Juzgados Administrativos Orales y se verificara si la medida cumplió el objetivo o si se hace necesario una prórroga de la misma.</w:t>
      </w:r>
    </w:p>
    <w:p w:rsidR="000360F3" w:rsidRDefault="000360F3" w:rsidP="000360F3">
      <w:pPr>
        <w:jc w:val="both"/>
        <w:rPr>
          <w:rFonts w:ascii="Arial" w:hAnsi="Arial" w:cs="Arial"/>
          <w:color w:val="000000"/>
          <w:sz w:val="22"/>
          <w:szCs w:val="22"/>
        </w:rPr>
      </w:pPr>
    </w:p>
    <w:p w:rsidR="000360F3" w:rsidRPr="00583864" w:rsidRDefault="000360F3" w:rsidP="000360F3">
      <w:pPr>
        <w:pStyle w:val="Default"/>
        <w:jc w:val="both"/>
        <w:rPr>
          <w:sz w:val="22"/>
          <w:szCs w:val="22"/>
        </w:rPr>
      </w:pPr>
      <w:r w:rsidRPr="0021772B">
        <w:rPr>
          <w:color w:val="0D0D0D"/>
          <w:sz w:val="22"/>
          <w:szCs w:val="22"/>
        </w:rPr>
        <w:t xml:space="preserve">Con la finalidad de garantizar el cumplimiento al Plan Sectorial de Desarrollo de la Rama Judicial 2019-2022, conforme a los principios correspondientes a </w:t>
      </w:r>
      <w:r>
        <w:rPr>
          <w:color w:val="0D0D0D"/>
          <w:sz w:val="22"/>
          <w:szCs w:val="22"/>
        </w:rPr>
        <w:t>Celeridad y Oralidad, Eficiencia</w:t>
      </w:r>
      <w:r w:rsidRPr="0021772B">
        <w:rPr>
          <w:color w:val="0D0D0D"/>
          <w:sz w:val="22"/>
          <w:szCs w:val="22"/>
        </w:rPr>
        <w:t xml:space="preserve">; así como los valores de la rama judicial relativos al 1.4.1. Diligencia y compromiso, </w:t>
      </w:r>
      <w:r w:rsidRPr="00583864">
        <w:rPr>
          <w:bCs/>
          <w:iCs/>
          <w:sz w:val="22"/>
          <w:szCs w:val="22"/>
          <w:lang w:val="es-CO" w:eastAsia="es-CO"/>
        </w:rPr>
        <w:t xml:space="preserve">que hace relación al fortalecimiento de la eficiencia y eficacia de la gestión judicial, se </w:t>
      </w:r>
      <w:r w:rsidRPr="00583864">
        <w:rPr>
          <w:sz w:val="22"/>
          <w:szCs w:val="22"/>
        </w:rPr>
        <w:t xml:space="preserve">considera procedente realizar la mencionada jornada de descongestión para lograr un mejor acceso a la administración de justicia, dando cumplimiento a las gestiones encomendadas por las demás autoridades con el objetivo de dar celeridad a </w:t>
      </w:r>
      <w:r>
        <w:rPr>
          <w:sz w:val="22"/>
          <w:szCs w:val="22"/>
        </w:rPr>
        <w:t>la prestación del servicio de justicia en el Sistema Penal Acusatorio</w:t>
      </w:r>
      <w:r w:rsidRPr="00583864">
        <w:rPr>
          <w:sz w:val="22"/>
          <w:szCs w:val="22"/>
        </w:rPr>
        <w:t xml:space="preserve">. </w:t>
      </w:r>
    </w:p>
    <w:p w:rsidR="000360F3" w:rsidRDefault="000360F3" w:rsidP="000360F3">
      <w:pPr>
        <w:autoSpaceDE w:val="0"/>
        <w:autoSpaceDN w:val="0"/>
        <w:adjustRightInd w:val="0"/>
        <w:ind w:right="-91"/>
        <w:jc w:val="both"/>
        <w:rPr>
          <w:rFonts w:ascii="Arial" w:hAnsi="Arial" w:cs="Arial"/>
          <w:color w:val="0D0D0D"/>
          <w:sz w:val="22"/>
          <w:szCs w:val="22"/>
        </w:rPr>
      </w:pPr>
    </w:p>
    <w:p w:rsidR="000360F3" w:rsidRDefault="000360F3" w:rsidP="000360F3">
      <w:pPr>
        <w:pStyle w:val="Default"/>
        <w:jc w:val="both"/>
        <w:rPr>
          <w:sz w:val="22"/>
          <w:szCs w:val="22"/>
        </w:rPr>
      </w:pPr>
    </w:p>
    <w:p w:rsidR="000360F3" w:rsidRPr="00583864" w:rsidRDefault="000360F3" w:rsidP="000360F3">
      <w:pPr>
        <w:pStyle w:val="Default"/>
        <w:jc w:val="both"/>
        <w:rPr>
          <w:i/>
          <w:sz w:val="22"/>
          <w:szCs w:val="22"/>
        </w:rPr>
      </w:pPr>
      <w:r w:rsidRPr="00583864">
        <w:rPr>
          <w:sz w:val="22"/>
          <w:szCs w:val="22"/>
        </w:rPr>
        <w:t>En mérito de lo expuesto, este Consejo Secci</w:t>
      </w:r>
      <w:r>
        <w:rPr>
          <w:sz w:val="22"/>
          <w:szCs w:val="22"/>
        </w:rPr>
        <w:t xml:space="preserve">onal de la Judicatura del Meta, </w:t>
      </w:r>
    </w:p>
    <w:p w:rsidR="000360F3" w:rsidRPr="00F56F1D" w:rsidRDefault="000360F3" w:rsidP="000360F3">
      <w:pPr>
        <w:jc w:val="center"/>
        <w:rPr>
          <w:rFonts w:ascii="Arial" w:hAnsi="Arial" w:cs="Arial"/>
          <w:b/>
          <w:color w:val="000000"/>
          <w:sz w:val="22"/>
          <w:szCs w:val="22"/>
          <w:lang w:val="es-CO"/>
        </w:rPr>
      </w:pPr>
      <w:r w:rsidRPr="00F56F1D">
        <w:rPr>
          <w:rFonts w:ascii="Arial" w:hAnsi="Arial" w:cs="Arial"/>
          <w:b/>
          <w:color w:val="000000"/>
          <w:sz w:val="22"/>
          <w:szCs w:val="22"/>
          <w:lang w:val="es-CO"/>
        </w:rPr>
        <w:t>ACUERDA:</w:t>
      </w:r>
    </w:p>
    <w:p w:rsidR="000360F3" w:rsidRPr="00757F65" w:rsidRDefault="000360F3" w:rsidP="000360F3">
      <w:pPr>
        <w:rPr>
          <w:rFonts w:ascii="Arial" w:hAnsi="Arial" w:cs="Arial"/>
          <w:color w:val="000000"/>
          <w:sz w:val="22"/>
          <w:szCs w:val="22"/>
          <w:lang w:val="es-CO"/>
        </w:rPr>
      </w:pPr>
    </w:p>
    <w:p w:rsidR="000360F3" w:rsidRDefault="000360F3" w:rsidP="000360F3">
      <w:pPr>
        <w:pStyle w:val="Default"/>
        <w:jc w:val="both"/>
        <w:rPr>
          <w:sz w:val="22"/>
          <w:szCs w:val="22"/>
        </w:rPr>
      </w:pPr>
      <w:r w:rsidRPr="00757F65">
        <w:rPr>
          <w:b/>
          <w:sz w:val="22"/>
          <w:szCs w:val="22"/>
        </w:rPr>
        <w:t>ARTÍCULO 1°.</w:t>
      </w:r>
      <w:r>
        <w:rPr>
          <w:b/>
          <w:sz w:val="22"/>
          <w:szCs w:val="22"/>
        </w:rPr>
        <w:t xml:space="preserve"> </w:t>
      </w:r>
      <w:r w:rsidRPr="00813EC6">
        <w:rPr>
          <w:sz w:val="22"/>
          <w:szCs w:val="22"/>
        </w:rPr>
        <w:t xml:space="preserve"> </w:t>
      </w:r>
      <w:r>
        <w:rPr>
          <w:sz w:val="22"/>
          <w:szCs w:val="22"/>
        </w:rPr>
        <w:t>Ordenar el cierre de puertas en el sistema de reparto ordinario</w:t>
      </w:r>
      <w:r>
        <w:rPr>
          <w:i/>
          <w:sz w:val="22"/>
          <w:szCs w:val="22"/>
          <w:lang w:val="es-CO"/>
        </w:rPr>
        <w:t xml:space="preserve"> </w:t>
      </w:r>
      <w:r w:rsidRPr="00365DE0">
        <w:rPr>
          <w:sz w:val="22"/>
          <w:szCs w:val="22"/>
          <w:lang w:val="es-CO"/>
        </w:rPr>
        <w:t>de</w:t>
      </w:r>
      <w:r>
        <w:rPr>
          <w:i/>
          <w:sz w:val="22"/>
          <w:szCs w:val="22"/>
          <w:lang w:val="es-CO"/>
        </w:rPr>
        <w:t xml:space="preserve"> </w:t>
      </w:r>
      <w:r w:rsidRPr="00F56F1D">
        <w:rPr>
          <w:sz w:val="22"/>
          <w:szCs w:val="22"/>
          <w:lang w:val="es-CO"/>
        </w:rPr>
        <w:t>los Juzgados Primero, Segundo, Tercero, Cuarto, Quinto, Sexto, Séptimo y Octavo Administrativo orales de Villavicencio</w:t>
      </w:r>
      <w:r>
        <w:rPr>
          <w:sz w:val="22"/>
          <w:szCs w:val="22"/>
        </w:rPr>
        <w:t xml:space="preserve">, entre el 12 de agosto al 30 de septiembre de 2019, de conformidad con lo expuesto en la parte motiva. </w:t>
      </w:r>
    </w:p>
    <w:p w:rsidR="000360F3" w:rsidRDefault="000360F3" w:rsidP="000360F3">
      <w:pPr>
        <w:pStyle w:val="Default"/>
        <w:jc w:val="both"/>
        <w:rPr>
          <w:sz w:val="22"/>
          <w:szCs w:val="22"/>
        </w:rPr>
      </w:pPr>
    </w:p>
    <w:p w:rsidR="000360F3" w:rsidRPr="009572D6" w:rsidRDefault="000360F3" w:rsidP="000360F3">
      <w:pPr>
        <w:pStyle w:val="Default"/>
        <w:jc w:val="both"/>
        <w:rPr>
          <w:bCs/>
          <w:sz w:val="22"/>
          <w:szCs w:val="22"/>
        </w:rPr>
      </w:pPr>
      <w:r>
        <w:rPr>
          <w:b/>
          <w:sz w:val="22"/>
          <w:szCs w:val="22"/>
        </w:rPr>
        <w:t xml:space="preserve">ARTÍCULO 2º. </w:t>
      </w:r>
      <w:r>
        <w:rPr>
          <w:sz w:val="22"/>
          <w:szCs w:val="22"/>
        </w:rPr>
        <w:t xml:space="preserve">Comuníquese este Acuerdo de manera inmediata al Consejo Superior de la Judicatura, al Presidente Tribunal Administrativo del Meta, a los </w:t>
      </w:r>
      <w:r>
        <w:rPr>
          <w:sz w:val="22"/>
          <w:szCs w:val="22"/>
        </w:rPr>
        <w:lastRenderedPageBreak/>
        <w:t>Jueces mencionados en el presente Acuerdo, al Jefe de Oficina Judicial y Soporte Tecnológico, para su conocimiento y demás fines pertinentes.</w:t>
      </w:r>
    </w:p>
    <w:p w:rsidR="000360F3" w:rsidRPr="00757F65" w:rsidRDefault="000360F3" w:rsidP="000360F3">
      <w:pPr>
        <w:pStyle w:val="Textoindependiente31"/>
        <w:ind w:left="708"/>
        <w:rPr>
          <w:rFonts w:cs="Arial"/>
          <w:color w:val="000000"/>
          <w:sz w:val="22"/>
          <w:szCs w:val="22"/>
          <w:lang w:val="es-ES"/>
        </w:rPr>
      </w:pPr>
    </w:p>
    <w:p w:rsidR="000360F3" w:rsidRDefault="000360F3" w:rsidP="000360F3">
      <w:pPr>
        <w:pStyle w:val="Textoindependiente31"/>
        <w:rPr>
          <w:rFonts w:cs="Arial"/>
          <w:color w:val="000000"/>
          <w:sz w:val="22"/>
          <w:szCs w:val="22"/>
          <w:lang w:val="es-ES"/>
        </w:rPr>
      </w:pPr>
      <w:r>
        <w:rPr>
          <w:rFonts w:cs="Arial"/>
          <w:b/>
          <w:color w:val="000000"/>
          <w:sz w:val="22"/>
          <w:szCs w:val="22"/>
          <w:lang w:val="es-ES"/>
        </w:rPr>
        <w:t>ARTÍCULO 3</w:t>
      </w:r>
      <w:r w:rsidRPr="00757F65">
        <w:rPr>
          <w:rFonts w:cs="Arial"/>
          <w:b/>
          <w:color w:val="000000"/>
          <w:sz w:val="22"/>
          <w:szCs w:val="22"/>
          <w:lang w:val="es-ES"/>
        </w:rPr>
        <w:t>°:</w:t>
      </w:r>
      <w:r w:rsidRPr="00757F65">
        <w:rPr>
          <w:rFonts w:cs="Arial"/>
          <w:color w:val="000000"/>
          <w:sz w:val="22"/>
          <w:szCs w:val="22"/>
          <w:lang w:val="es-ES"/>
        </w:rPr>
        <w:t xml:space="preserve"> El presente Acuerdo rige a part</w:t>
      </w:r>
      <w:r>
        <w:rPr>
          <w:rFonts w:cs="Arial"/>
          <w:color w:val="000000"/>
          <w:sz w:val="22"/>
          <w:szCs w:val="22"/>
          <w:lang w:val="es-ES"/>
        </w:rPr>
        <w:t>ir de su expedición.</w:t>
      </w:r>
    </w:p>
    <w:p w:rsidR="000360F3" w:rsidRDefault="000360F3" w:rsidP="000360F3">
      <w:pPr>
        <w:pStyle w:val="Textoindependiente31"/>
        <w:rPr>
          <w:rFonts w:cs="Arial"/>
          <w:color w:val="000000"/>
          <w:sz w:val="22"/>
          <w:szCs w:val="22"/>
          <w:lang w:val="es-ES"/>
        </w:rPr>
      </w:pPr>
    </w:p>
    <w:p w:rsidR="000360F3" w:rsidRDefault="000360F3" w:rsidP="000360F3">
      <w:pPr>
        <w:pStyle w:val="Textoindependiente31"/>
        <w:rPr>
          <w:rFonts w:cs="Arial"/>
          <w:color w:val="000000"/>
          <w:sz w:val="22"/>
          <w:szCs w:val="22"/>
          <w:lang w:val="es-ES"/>
        </w:rPr>
      </w:pPr>
    </w:p>
    <w:p w:rsidR="000360F3" w:rsidRPr="00757F65" w:rsidRDefault="000360F3" w:rsidP="000360F3">
      <w:pPr>
        <w:pStyle w:val="Textoindependiente31"/>
        <w:rPr>
          <w:rFonts w:cs="Arial"/>
          <w:color w:val="000000"/>
          <w:sz w:val="22"/>
          <w:szCs w:val="22"/>
          <w:lang w:val="es-ES"/>
        </w:rPr>
      </w:pPr>
      <w:r>
        <w:rPr>
          <w:rFonts w:cs="Arial"/>
          <w:color w:val="000000"/>
          <w:sz w:val="22"/>
          <w:szCs w:val="22"/>
          <w:lang w:val="es-ES"/>
        </w:rPr>
        <w:t>D</w:t>
      </w:r>
      <w:r w:rsidRPr="004A22DA">
        <w:rPr>
          <w:rFonts w:cs="Arial"/>
          <w:color w:val="000000"/>
          <w:sz w:val="22"/>
          <w:szCs w:val="22"/>
          <w:lang w:val="es-ES"/>
        </w:rPr>
        <w:t>ad</w:t>
      </w:r>
      <w:r>
        <w:rPr>
          <w:rFonts w:cs="Arial"/>
          <w:color w:val="000000"/>
          <w:sz w:val="22"/>
          <w:szCs w:val="22"/>
          <w:lang w:val="es-ES"/>
        </w:rPr>
        <w:t>o</w:t>
      </w:r>
      <w:r w:rsidRPr="004A22DA">
        <w:rPr>
          <w:rFonts w:cs="Arial"/>
          <w:color w:val="000000"/>
          <w:sz w:val="22"/>
          <w:szCs w:val="22"/>
          <w:lang w:val="es-ES"/>
        </w:rPr>
        <w:t xml:space="preserve"> en Villavicencio, a</w:t>
      </w:r>
      <w:r>
        <w:rPr>
          <w:rFonts w:cs="Arial"/>
          <w:color w:val="000000"/>
          <w:sz w:val="22"/>
          <w:szCs w:val="22"/>
          <w:lang w:val="es-ES"/>
        </w:rPr>
        <w:t xml:space="preserve"> los nueve (09</w:t>
      </w:r>
      <w:r w:rsidRPr="00D37590">
        <w:rPr>
          <w:rFonts w:cs="Arial"/>
          <w:color w:val="000000"/>
          <w:sz w:val="22"/>
          <w:szCs w:val="22"/>
          <w:lang w:val="es-ES"/>
        </w:rPr>
        <w:t>) día</w:t>
      </w:r>
      <w:r>
        <w:rPr>
          <w:rFonts w:cs="Arial"/>
          <w:color w:val="000000"/>
          <w:sz w:val="22"/>
          <w:szCs w:val="22"/>
          <w:lang w:val="es-ES"/>
        </w:rPr>
        <w:t>s</w:t>
      </w:r>
      <w:r w:rsidRPr="004A22DA">
        <w:rPr>
          <w:rFonts w:cs="Arial"/>
          <w:color w:val="000000"/>
          <w:sz w:val="22"/>
          <w:szCs w:val="22"/>
          <w:lang w:val="es-ES"/>
        </w:rPr>
        <w:t xml:space="preserve"> del mes de</w:t>
      </w:r>
      <w:r>
        <w:rPr>
          <w:rFonts w:cs="Arial"/>
          <w:color w:val="000000"/>
          <w:sz w:val="22"/>
          <w:szCs w:val="22"/>
          <w:lang w:val="es-ES"/>
        </w:rPr>
        <w:t xml:space="preserve"> Agosto del año dos mil diecinueve (2019</w:t>
      </w:r>
      <w:r w:rsidRPr="004A22DA">
        <w:rPr>
          <w:rFonts w:cs="Arial"/>
          <w:color w:val="000000"/>
          <w:sz w:val="22"/>
          <w:szCs w:val="22"/>
          <w:lang w:val="es-ES"/>
        </w:rPr>
        <w:t>)</w:t>
      </w:r>
      <w:r>
        <w:rPr>
          <w:rFonts w:cs="Arial"/>
          <w:color w:val="000000"/>
          <w:sz w:val="22"/>
          <w:szCs w:val="22"/>
          <w:lang w:val="es-ES"/>
        </w:rPr>
        <w:t>.</w:t>
      </w:r>
    </w:p>
    <w:p w:rsidR="000360F3" w:rsidRDefault="000360F3" w:rsidP="000360F3">
      <w:pPr>
        <w:spacing w:line="259" w:lineRule="auto"/>
        <w:jc w:val="both"/>
        <w:rPr>
          <w:rFonts w:ascii="Arial" w:hAnsi="Arial" w:cs="Arial"/>
          <w:color w:val="000000"/>
          <w:sz w:val="22"/>
          <w:szCs w:val="22"/>
        </w:rPr>
      </w:pPr>
    </w:p>
    <w:p w:rsidR="000360F3" w:rsidRDefault="000360F3" w:rsidP="000360F3">
      <w:pPr>
        <w:spacing w:line="259" w:lineRule="auto"/>
        <w:jc w:val="both"/>
        <w:rPr>
          <w:rFonts w:ascii="Arial" w:hAnsi="Arial" w:cs="Arial"/>
          <w:color w:val="000000"/>
          <w:sz w:val="22"/>
          <w:szCs w:val="22"/>
        </w:rPr>
      </w:pPr>
    </w:p>
    <w:p w:rsidR="000360F3" w:rsidRPr="00365DE0" w:rsidRDefault="000360F3" w:rsidP="000360F3">
      <w:pPr>
        <w:spacing w:line="249" w:lineRule="auto"/>
        <w:ind w:left="10" w:right="7"/>
        <w:jc w:val="center"/>
        <w:rPr>
          <w:rFonts w:ascii="Arial" w:hAnsi="Arial" w:cs="Arial"/>
          <w:b/>
          <w:color w:val="000000"/>
          <w:sz w:val="22"/>
          <w:szCs w:val="22"/>
        </w:rPr>
      </w:pPr>
      <w:r w:rsidRPr="00365DE0">
        <w:rPr>
          <w:rFonts w:ascii="Arial" w:hAnsi="Arial" w:cs="Arial"/>
          <w:b/>
          <w:color w:val="000000"/>
          <w:sz w:val="22"/>
          <w:szCs w:val="22"/>
        </w:rPr>
        <w:t>COMUNÍQUESE, COMUNIQUESE Y CÚMPLASE</w:t>
      </w:r>
    </w:p>
    <w:p w:rsidR="000360F3" w:rsidRDefault="000360F3" w:rsidP="000360F3">
      <w:pPr>
        <w:spacing w:line="249" w:lineRule="auto"/>
        <w:ind w:left="10" w:right="7"/>
        <w:jc w:val="center"/>
        <w:rPr>
          <w:rFonts w:ascii="Arial" w:hAnsi="Arial" w:cs="Arial"/>
          <w:color w:val="000000"/>
          <w:sz w:val="22"/>
          <w:szCs w:val="22"/>
        </w:rPr>
      </w:pPr>
    </w:p>
    <w:p w:rsidR="000360F3" w:rsidRDefault="000360F3" w:rsidP="000360F3">
      <w:pPr>
        <w:rPr>
          <w:rFonts w:ascii="Arial" w:hAnsi="Arial" w:cs="Arial"/>
          <w:b/>
          <w:color w:val="000000"/>
          <w:sz w:val="22"/>
          <w:szCs w:val="22"/>
          <w:lang w:val="es-CO"/>
        </w:rPr>
      </w:pPr>
    </w:p>
    <w:p w:rsidR="000360F3" w:rsidRDefault="000360F3" w:rsidP="000360F3">
      <w:pPr>
        <w:rPr>
          <w:rFonts w:ascii="Arial" w:hAnsi="Arial" w:cs="Arial"/>
          <w:b/>
          <w:color w:val="000000"/>
          <w:sz w:val="22"/>
          <w:szCs w:val="22"/>
          <w:lang w:val="es-CO"/>
        </w:rPr>
      </w:pPr>
    </w:p>
    <w:p w:rsidR="000360F3" w:rsidRDefault="000360F3" w:rsidP="000360F3">
      <w:pPr>
        <w:rPr>
          <w:rFonts w:ascii="Arial" w:hAnsi="Arial" w:cs="Arial"/>
          <w:b/>
          <w:color w:val="000000"/>
          <w:sz w:val="22"/>
          <w:szCs w:val="22"/>
          <w:lang w:val="es-CO"/>
        </w:rPr>
      </w:pPr>
    </w:p>
    <w:p w:rsidR="000360F3" w:rsidRDefault="000360F3" w:rsidP="000360F3">
      <w:pPr>
        <w:rPr>
          <w:rFonts w:ascii="Arial" w:hAnsi="Arial" w:cs="Arial"/>
          <w:b/>
          <w:color w:val="000000"/>
          <w:sz w:val="22"/>
          <w:szCs w:val="22"/>
          <w:lang w:val="es-CO"/>
        </w:rPr>
      </w:pPr>
    </w:p>
    <w:p w:rsidR="000360F3" w:rsidRPr="00757F65" w:rsidRDefault="000360F3" w:rsidP="000360F3">
      <w:pPr>
        <w:rPr>
          <w:rFonts w:ascii="Arial" w:hAnsi="Arial" w:cs="Arial"/>
          <w:caps/>
          <w:color w:val="000000"/>
          <w:sz w:val="22"/>
          <w:szCs w:val="22"/>
          <w:lang w:val="es-CO"/>
        </w:rPr>
      </w:pPr>
      <w:r>
        <w:rPr>
          <w:rFonts w:ascii="Arial" w:hAnsi="Arial" w:cs="Arial"/>
          <w:b/>
          <w:color w:val="000000"/>
          <w:sz w:val="22"/>
          <w:szCs w:val="22"/>
          <w:lang w:val="es-CO"/>
        </w:rPr>
        <w:t>ROMELIO ELIAS DAZA MOLINA</w:t>
      </w:r>
    </w:p>
    <w:p w:rsidR="000360F3" w:rsidRDefault="000360F3" w:rsidP="000360F3">
      <w:pPr>
        <w:jc w:val="both"/>
        <w:rPr>
          <w:rFonts w:ascii="Arial" w:hAnsi="Arial" w:cs="Arial"/>
          <w:color w:val="000000"/>
          <w:sz w:val="22"/>
          <w:szCs w:val="22"/>
          <w:lang w:val="es-CO"/>
        </w:rPr>
      </w:pPr>
      <w:r>
        <w:rPr>
          <w:rFonts w:ascii="Arial" w:hAnsi="Arial" w:cs="Arial"/>
          <w:color w:val="000000"/>
          <w:sz w:val="22"/>
          <w:szCs w:val="22"/>
          <w:lang w:val="es-CO"/>
        </w:rPr>
        <w:t>P</w:t>
      </w:r>
      <w:r w:rsidRPr="00757F65">
        <w:rPr>
          <w:rFonts w:ascii="Arial" w:hAnsi="Arial" w:cs="Arial"/>
          <w:color w:val="000000"/>
          <w:sz w:val="22"/>
          <w:szCs w:val="22"/>
          <w:lang w:val="es-CO"/>
        </w:rPr>
        <w:t>residente</w:t>
      </w:r>
    </w:p>
    <w:p w:rsidR="000360F3" w:rsidRDefault="000360F3" w:rsidP="000360F3">
      <w:pPr>
        <w:jc w:val="both"/>
        <w:rPr>
          <w:rFonts w:ascii="Arial" w:hAnsi="Arial" w:cs="Arial"/>
          <w:color w:val="000000"/>
          <w:sz w:val="22"/>
          <w:szCs w:val="22"/>
          <w:lang w:val="es-CO"/>
        </w:rPr>
      </w:pPr>
    </w:p>
    <w:p w:rsidR="000360F3" w:rsidRPr="007C2C09" w:rsidRDefault="000360F3" w:rsidP="000360F3">
      <w:pPr>
        <w:jc w:val="both"/>
        <w:rPr>
          <w:rFonts w:ascii="Arial" w:hAnsi="Arial" w:cs="Arial"/>
          <w:color w:val="000000"/>
          <w:sz w:val="14"/>
          <w:szCs w:val="22"/>
          <w:lang w:val="es-CO"/>
        </w:rPr>
      </w:pPr>
      <w:r>
        <w:rPr>
          <w:rFonts w:ascii="Arial" w:hAnsi="Arial" w:cs="Arial"/>
          <w:color w:val="000000"/>
          <w:sz w:val="14"/>
          <w:szCs w:val="22"/>
          <w:lang w:val="es-CO"/>
        </w:rPr>
        <w:t>LGR/CPCR</w:t>
      </w:r>
    </w:p>
    <w:p w:rsidR="000360F3" w:rsidRPr="007C2C09" w:rsidRDefault="000360F3" w:rsidP="000360F3">
      <w:pPr>
        <w:rPr>
          <w:rFonts w:ascii="Arial" w:hAnsi="Arial" w:cs="Arial"/>
          <w:i/>
          <w:sz w:val="20"/>
          <w:szCs w:val="22"/>
          <w:lang w:val="es-CO"/>
        </w:rPr>
      </w:pPr>
      <w:r>
        <w:rPr>
          <w:rFonts w:ascii="Arial" w:hAnsi="Arial" w:cs="Arial"/>
          <w:iCs/>
          <w:color w:val="000000"/>
          <w:sz w:val="14"/>
          <w:szCs w:val="22"/>
        </w:rPr>
        <w:t>EXTCSJME19-1110.</w:t>
      </w:r>
    </w:p>
    <w:p w:rsidR="000360F3" w:rsidRPr="0037061C" w:rsidRDefault="000360F3" w:rsidP="000360F3"/>
    <w:p w:rsidR="006E56B5" w:rsidRPr="00ED5B1A" w:rsidRDefault="006E56B5" w:rsidP="000360F3">
      <w:pPr>
        <w:jc w:val="center"/>
        <w:rPr>
          <w:rFonts w:ascii="Arial" w:hAnsi="Arial" w:cs="Arial"/>
          <w:sz w:val="16"/>
          <w:szCs w:val="16"/>
          <w:lang w:val="es-CO"/>
        </w:rPr>
      </w:pPr>
    </w:p>
    <w:sectPr w:rsidR="006E56B5" w:rsidRPr="00ED5B1A" w:rsidSect="00AC50DF">
      <w:headerReference w:type="default" r:id="rId6"/>
      <w:footerReference w:type="default" r:id="rId7"/>
      <w:headerReference w:type="first" r:id="rId8"/>
      <w:footerReference w:type="first" r:id="rId9"/>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A9" w:rsidRDefault="00EA15A9">
      <w:r>
        <w:separator/>
      </w:r>
    </w:p>
  </w:endnote>
  <w:endnote w:type="continuationSeparator" w:id="0">
    <w:p w:rsidR="00EA15A9" w:rsidRDefault="00EA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BB" w:rsidRDefault="000669BB" w:rsidP="000669BB">
    <w:pPr>
      <w:pStyle w:val="Piedepgina"/>
      <w:jc w:val="center"/>
      <w:rPr>
        <w:rFonts w:ascii="Berylum" w:hAnsi="Berylum"/>
        <w:bCs/>
        <w:iCs/>
        <w:sz w:val="22"/>
        <w:szCs w:val="22"/>
      </w:rPr>
    </w:pPr>
    <w:r w:rsidRPr="009D10D5">
      <w:rPr>
        <w:rFonts w:ascii="Berylum" w:hAnsi="Berylum"/>
        <w:bCs/>
        <w:iCs/>
        <w:sz w:val="22"/>
        <w:szCs w:val="22"/>
      </w:rPr>
      <w:t xml:space="preserve">Carrera </w:t>
    </w:r>
    <w:r>
      <w:rPr>
        <w:rFonts w:ascii="Berylum" w:hAnsi="Berylum"/>
        <w:bCs/>
        <w:iCs/>
        <w:sz w:val="22"/>
        <w:szCs w:val="22"/>
      </w:rPr>
      <w:t>29</w:t>
    </w:r>
    <w:r w:rsidRPr="009D10D5">
      <w:rPr>
        <w:rFonts w:ascii="Berylum" w:hAnsi="Berylum"/>
        <w:bCs/>
        <w:iCs/>
        <w:sz w:val="22"/>
        <w:szCs w:val="22"/>
      </w:rPr>
      <w:t xml:space="preserve"> No. </w:t>
    </w:r>
    <w:r>
      <w:rPr>
        <w:rFonts w:ascii="Berylum" w:hAnsi="Berylum"/>
        <w:bCs/>
        <w:iCs/>
        <w:sz w:val="22"/>
        <w:szCs w:val="22"/>
      </w:rPr>
      <w:t>33B</w:t>
    </w:r>
    <w:r w:rsidRPr="009D10D5">
      <w:rPr>
        <w:rFonts w:ascii="Berylum" w:hAnsi="Berylum"/>
        <w:bCs/>
        <w:iCs/>
        <w:sz w:val="22"/>
        <w:szCs w:val="22"/>
      </w:rPr>
      <w:t xml:space="preserve"> – </w:t>
    </w:r>
    <w:r>
      <w:rPr>
        <w:rFonts w:ascii="Berylum" w:hAnsi="Berylum"/>
        <w:bCs/>
        <w:iCs/>
        <w:sz w:val="22"/>
        <w:szCs w:val="22"/>
      </w:rPr>
      <w:t>79</w:t>
    </w:r>
    <w:r w:rsidRPr="009D10D5">
      <w:rPr>
        <w:rFonts w:ascii="Berylum" w:hAnsi="Berylum"/>
        <w:bCs/>
        <w:iCs/>
        <w:sz w:val="22"/>
        <w:szCs w:val="22"/>
      </w:rPr>
      <w:t xml:space="preserve"> </w:t>
    </w:r>
    <w:r>
      <w:rPr>
        <w:rFonts w:ascii="Berylum" w:hAnsi="Berylum"/>
        <w:bCs/>
        <w:iCs/>
        <w:sz w:val="22"/>
        <w:szCs w:val="22"/>
      </w:rPr>
      <w:t xml:space="preserve">Palacio de Justicia, Torre B </w:t>
    </w:r>
    <w:r w:rsidRPr="009D10D5">
      <w:rPr>
        <w:rFonts w:ascii="Berylum" w:hAnsi="Berylum"/>
        <w:bCs/>
        <w:iCs/>
        <w:sz w:val="22"/>
        <w:szCs w:val="22"/>
      </w:rPr>
      <w:t>Tel: (</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 xml:space="preserve">6622899 Fax. </w:t>
    </w:r>
    <w:r w:rsidRPr="009D10D5">
      <w:rPr>
        <w:rFonts w:ascii="Berylum" w:hAnsi="Berylum"/>
        <w:bCs/>
        <w:iCs/>
        <w:sz w:val="22"/>
        <w:szCs w:val="22"/>
      </w:rPr>
      <w:t>(</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6629503</w:t>
    </w:r>
  </w:p>
  <w:p w:rsidR="000669BB" w:rsidRPr="007F3D4B" w:rsidRDefault="00EA15A9" w:rsidP="000669BB">
    <w:pPr>
      <w:pStyle w:val="Piedepgina"/>
      <w:jc w:val="center"/>
      <w:rPr>
        <w:rFonts w:ascii="Berylum" w:hAnsi="Berylum"/>
        <w:bCs/>
        <w:iCs/>
        <w:sz w:val="22"/>
        <w:szCs w:val="22"/>
      </w:rPr>
    </w:pPr>
    <w:hyperlink r:id="rId1"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E mail: psameta@cendoj.ramajudicial.gov.co</w:t>
    </w:r>
  </w:p>
  <w:p w:rsidR="00EB57BB" w:rsidRPr="000669BB" w:rsidRDefault="00EB57BB" w:rsidP="000669BB">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B" w:rsidRDefault="00BB4827" w:rsidP="00AA428E">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-447040</wp:posOffset>
          </wp:positionV>
          <wp:extent cx="1587500" cy="9201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7F3D4B" w:rsidRPr="009D10D5">
      <w:rPr>
        <w:rFonts w:ascii="Berylum" w:hAnsi="Berylum"/>
        <w:bCs/>
        <w:iCs/>
        <w:sz w:val="22"/>
        <w:szCs w:val="22"/>
      </w:rPr>
      <w:t xml:space="preserve">Carrera </w:t>
    </w:r>
    <w:r w:rsidR="007F3D4B">
      <w:rPr>
        <w:rFonts w:ascii="Berylum" w:hAnsi="Berylum"/>
        <w:bCs/>
        <w:iCs/>
        <w:sz w:val="22"/>
        <w:szCs w:val="22"/>
      </w:rPr>
      <w:t>2</w:t>
    </w:r>
    <w:r w:rsidR="00A13CB6">
      <w:rPr>
        <w:rFonts w:ascii="Berylum" w:hAnsi="Berylum"/>
        <w:bCs/>
        <w:iCs/>
        <w:sz w:val="22"/>
        <w:szCs w:val="22"/>
      </w:rPr>
      <w:t>9</w:t>
    </w:r>
    <w:r w:rsidR="007F3D4B" w:rsidRPr="009D10D5">
      <w:rPr>
        <w:rFonts w:ascii="Berylum" w:hAnsi="Berylum"/>
        <w:bCs/>
        <w:iCs/>
        <w:sz w:val="22"/>
        <w:szCs w:val="22"/>
      </w:rPr>
      <w:t xml:space="preserve"> No. </w:t>
    </w:r>
    <w:r w:rsidR="00A13CB6">
      <w:rPr>
        <w:rFonts w:ascii="Berylum" w:hAnsi="Berylum"/>
        <w:bCs/>
        <w:iCs/>
        <w:sz w:val="22"/>
        <w:szCs w:val="22"/>
      </w:rPr>
      <w:t>33</w:t>
    </w:r>
    <w:r w:rsidR="000669BB">
      <w:rPr>
        <w:rFonts w:ascii="Berylum" w:hAnsi="Berylum"/>
        <w:bCs/>
        <w:iCs/>
        <w:sz w:val="22"/>
        <w:szCs w:val="22"/>
      </w:rPr>
      <w:t>B</w:t>
    </w:r>
    <w:r w:rsidR="007F3D4B" w:rsidRPr="009D10D5">
      <w:rPr>
        <w:rFonts w:ascii="Berylum" w:hAnsi="Berylum"/>
        <w:bCs/>
        <w:iCs/>
        <w:sz w:val="22"/>
        <w:szCs w:val="22"/>
      </w:rPr>
      <w:t xml:space="preserve"> – </w:t>
    </w:r>
    <w:r w:rsidR="00A13CB6">
      <w:rPr>
        <w:rFonts w:ascii="Berylum" w:hAnsi="Berylum"/>
        <w:bCs/>
        <w:iCs/>
        <w:sz w:val="22"/>
        <w:szCs w:val="22"/>
      </w:rPr>
      <w:t>79</w:t>
    </w:r>
    <w:r w:rsidR="007F3D4B" w:rsidRPr="009D10D5">
      <w:rPr>
        <w:rFonts w:ascii="Berylum" w:hAnsi="Berylum"/>
        <w:bCs/>
        <w:iCs/>
        <w:sz w:val="22"/>
        <w:szCs w:val="22"/>
      </w:rPr>
      <w:t xml:space="preserve"> </w:t>
    </w:r>
    <w:r w:rsidR="00A13CB6">
      <w:rPr>
        <w:rFonts w:ascii="Berylum" w:hAnsi="Berylum"/>
        <w:bCs/>
        <w:iCs/>
        <w:sz w:val="22"/>
        <w:szCs w:val="22"/>
      </w:rPr>
      <w:t>Palacio de Justicia</w:t>
    </w:r>
    <w:r w:rsidR="000669BB">
      <w:rPr>
        <w:rFonts w:ascii="Berylum" w:hAnsi="Berylum"/>
        <w:bCs/>
        <w:iCs/>
        <w:sz w:val="22"/>
        <w:szCs w:val="22"/>
      </w:rPr>
      <w:t>, Torre B</w:t>
    </w:r>
    <w:r w:rsidR="00A13CB6">
      <w:rPr>
        <w:rFonts w:ascii="Berylum" w:hAnsi="Berylum"/>
        <w:bCs/>
        <w:iCs/>
        <w:sz w:val="22"/>
        <w:szCs w:val="22"/>
      </w:rPr>
      <w:t xml:space="preserve"> </w:t>
    </w:r>
    <w:r w:rsidR="007F3D4B" w:rsidRPr="009D10D5">
      <w:rPr>
        <w:rFonts w:ascii="Berylum" w:hAnsi="Berylum"/>
        <w:bCs/>
        <w:iCs/>
        <w:sz w:val="22"/>
        <w:szCs w:val="22"/>
      </w:rPr>
      <w:t>Tel: (</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6622899</w:t>
    </w:r>
    <w:r w:rsidR="007F3D4B">
      <w:rPr>
        <w:rFonts w:ascii="Berylum" w:hAnsi="Berylum"/>
        <w:bCs/>
        <w:iCs/>
        <w:sz w:val="22"/>
        <w:szCs w:val="22"/>
      </w:rPr>
      <w:t xml:space="preserve"> Fax. </w:t>
    </w:r>
    <w:r w:rsidR="007F3D4B" w:rsidRPr="009D10D5">
      <w:rPr>
        <w:rFonts w:ascii="Berylum" w:hAnsi="Berylum"/>
        <w:bCs/>
        <w:iCs/>
        <w:sz w:val="22"/>
        <w:szCs w:val="22"/>
      </w:rPr>
      <w:t>(</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6629503</w:t>
    </w:r>
  </w:p>
  <w:p w:rsidR="00FC4A19" w:rsidRPr="007F3D4B" w:rsidRDefault="00EA15A9" w:rsidP="00AA428E">
    <w:pPr>
      <w:pStyle w:val="Piedepgina"/>
      <w:rPr>
        <w:rFonts w:ascii="Berylum" w:hAnsi="Berylum"/>
        <w:bCs/>
        <w:iCs/>
        <w:sz w:val="22"/>
        <w:szCs w:val="22"/>
      </w:rPr>
    </w:pPr>
    <w:hyperlink r:id="rId2"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 xml:space="preserve">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A9" w:rsidRDefault="00EA15A9">
      <w:r>
        <w:separator/>
      </w:r>
    </w:p>
  </w:footnote>
  <w:footnote w:type="continuationSeparator" w:id="0">
    <w:p w:rsidR="00EA15A9" w:rsidRDefault="00EA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48" w:rsidRPr="008B5ADA" w:rsidRDefault="006E56B5">
    <w:pPr>
      <w:pStyle w:val="Encabezado"/>
      <w:rPr>
        <w:rFonts w:ascii="Berylium" w:hAnsi="Berylium"/>
        <w:bCs/>
        <w:iCs/>
        <w:sz w:val="22"/>
        <w:szCs w:val="22"/>
      </w:rPr>
    </w:pPr>
    <w:r>
      <w:rPr>
        <w:rFonts w:ascii="Berylium" w:hAnsi="Berylium"/>
        <w:bCs/>
        <w:iCs/>
        <w:sz w:val="22"/>
        <w:szCs w:val="22"/>
      </w:rPr>
      <w:t>Acuerdo 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BB4827">
      <w:rPr>
        <w:rFonts w:ascii="Berylium" w:hAnsi="Berylium"/>
        <w:bCs/>
        <w:iCs/>
        <w:noProof/>
        <w:sz w:val="22"/>
        <w:szCs w:val="22"/>
      </w:rPr>
      <w:t>2</w:t>
    </w:r>
    <w:r w:rsidR="002F6D48" w:rsidRPr="008B5ADA">
      <w:rPr>
        <w:rFonts w:ascii="Berylium" w:hAnsi="Berylium"/>
        <w:bCs/>
        <w:iCs/>
        <w:sz w:val="22"/>
        <w:szCs w:val="22"/>
      </w:rPr>
      <w:fldChar w:fldCharType="end"/>
    </w:r>
  </w:p>
  <w:p w:rsidR="00EB57BB" w:rsidRPr="002F6D48" w:rsidRDefault="00EB57BB" w:rsidP="002F6D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12" w:rsidRDefault="00BB4827" w:rsidP="00690412">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8255" b="8255"/>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690412" w:rsidRPr="008B5ADA" w:rsidRDefault="00690412" w:rsidP="00690412">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690412" w:rsidRDefault="00690412" w:rsidP="00690412">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E85"/>
    <w:rsid w:val="000314BA"/>
    <w:rsid w:val="000360F3"/>
    <w:rsid w:val="000669BB"/>
    <w:rsid w:val="0006744B"/>
    <w:rsid w:val="000A3EF5"/>
    <w:rsid w:val="000B2BDE"/>
    <w:rsid w:val="000D6B46"/>
    <w:rsid w:val="001158D9"/>
    <w:rsid w:val="00130C72"/>
    <w:rsid w:val="00133C58"/>
    <w:rsid w:val="00141C2B"/>
    <w:rsid w:val="00154C7A"/>
    <w:rsid w:val="00177309"/>
    <w:rsid w:val="00181165"/>
    <w:rsid w:val="001D22F5"/>
    <w:rsid w:val="0021036F"/>
    <w:rsid w:val="00210A25"/>
    <w:rsid w:val="0024764D"/>
    <w:rsid w:val="00282055"/>
    <w:rsid w:val="002A41E6"/>
    <w:rsid w:val="002B2ADA"/>
    <w:rsid w:val="002E21FC"/>
    <w:rsid w:val="002E2DED"/>
    <w:rsid w:val="002F6D48"/>
    <w:rsid w:val="00333FBC"/>
    <w:rsid w:val="00365D50"/>
    <w:rsid w:val="003933B8"/>
    <w:rsid w:val="003A375E"/>
    <w:rsid w:val="003C4F5B"/>
    <w:rsid w:val="003D0559"/>
    <w:rsid w:val="003D7B78"/>
    <w:rsid w:val="003E1C1C"/>
    <w:rsid w:val="00423F7D"/>
    <w:rsid w:val="0047231F"/>
    <w:rsid w:val="004746A3"/>
    <w:rsid w:val="004766AE"/>
    <w:rsid w:val="004C2684"/>
    <w:rsid w:val="004D1C96"/>
    <w:rsid w:val="004D216F"/>
    <w:rsid w:val="004E24BB"/>
    <w:rsid w:val="00550E43"/>
    <w:rsid w:val="0057767D"/>
    <w:rsid w:val="005A442C"/>
    <w:rsid w:val="005D3F86"/>
    <w:rsid w:val="005E71A5"/>
    <w:rsid w:val="00603F00"/>
    <w:rsid w:val="00633B83"/>
    <w:rsid w:val="00663ECA"/>
    <w:rsid w:val="0068568E"/>
    <w:rsid w:val="00690412"/>
    <w:rsid w:val="006E56B5"/>
    <w:rsid w:val="00705C84"/>
    <w:rsid w:val="00706BBA"/>
    <w:rsid w:val="0071695D"/>
    <w:rsid w:val="00723D39"/>
    <w:rsid w:val="007353F8"/>
    <w:rsid w:val="00761640"/>
    <w:rsid w:val="007B6693"/>
    <w:rsid w:val="007F3C75"/>
    <w:rsid w:val="007F3D4B"/>
    <w:rsid w:val="00800C51"/>
    <w:rsid w:val="00841EE1"/>
    <w:rsid w:val="008B5ADA"/>
    <w:rsid w:val="008B6FDD"/>
    <w:rsid w:val="008E4941"/>
    <w:rsid w:val="008E6048"/>
    <w:rsid w:val="008F33F5"/>
    <w:rsid w:val="008F3FF1"/>
    <w:rsid w:val="00900415"/>
    <w:rsid w:val="00910221"/>
    <w:rsid w:val="00936DBD"/>
    <w:rsid w:val="00947C78"/>
    <w:rsid w:val="00987794"/>
    <w:rsid w:val="00A05DA7"/>
    <w:rsid w:val="00A13CB6"/>
    <w:rsid w:val="00A31FA3"/>
    <w:rsid w:val="00A373D0"/>
    <w:rsid w:val="00A71342"/>
    <w:rsid w:val="00AA428E"/>
    <w:rsid w:val="00AC10CF"/>
    <w:rsid w:val="00AC50DF"/>
    <w:rsid w:val="00AF4BF8"/>
    <w:rsid w:val="00B041BB"/>
    <w:rsid w:val="00B30BEA"/>
    <w:rsid w:val="00B61BFA"/>
    <w:rsid w:val="00B730BF"/>
    <w:rsid w:val="00B82935"/>
    <w:rsid w:val="00BA2A44"/>
    <w:rsid w:val="00BA6DA6"/>
    <w:rsid w:val="00BB4827"/>
    <w:rsid w:val="00BC5084"/>
    <w:rsid w:val="00BD451D"/>
    <w:rsid w:val="00BF3C11"/>
    <w:rsid w:val="00C045CB"/>
    <w:rsid w:val="00C267DD"/>
    <w:rsid w:val="00C66109"/>
    <w:rsid w:val="00C67BB9"/>
    <w:rsid w:val="00CC1F2C"/>
    <w:rsid w:val="00D11EAC"/>
    <w:rsid w:val="00D162A6"/>
    <w:rsid w:val="00D5705C"/>
    <w:rsid w:val="00D62DCA"/>
    <w:rsid w:val="00DC1D58"/>
    <w:rsid w:val="00DC3E2C"/>
    <w:rsid w:val="00DC7CD9"/>
    <w:rsid w:val="00E25B63"/>
    <w:rsid w:val="00E747EC"/>
    <w:rsid w:val="00E84C5F"/>
    <w:rsid w:val="00EA15A9"/>
    <w:rsid w:val="00EB1FA2"/>
    <w:rsid w:val="00EB57BB"/>
    <w:rsid w:val="00ED5B1A"/>
    <w:rsid w:val="00EE0EBC"/>
    <w:rsid w:val="00EE7DD7"/>
    <w:rsid w:val="00EF0ECF"/>
    <w:rsid w:val="00EF7E5F"/>
    <w:rsid w:val="00F20731"/>
    <w:rsid w:val="00F31B69"/>
    <w:rsid w:val="00F548CE"/>
    <w:rsid w:val="00F8618F"/>
    <w:rsid w:val="00FA2CF0"/>
    <w:rsid w:val="00FC4A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2203AA6-628A-4F57-B132-C80FD7B3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customStyle="1" w:styleId="Default">
    <w:name w:val="Default"/>
    <w:rsid w:val="000360F3"/>
    <w:pPr>
      <w:autoSpaceDE w:val="0"/>
      <w:autoSpaceDN w:val="0"/>
      <w:adjustRightInd w:val="0"/>
    </w:pPr>
    <w:rPr>
      <w:rFonts w:ascii="Arial" w:hAnsi="Arial" w:cs="Arial"/>
      <w:color w:val="000000"/>
      <w:sz w:val="24"/>
      <w:szCs w:val="24"/>
      <w:lang w:val="es-ES" w:eastAsia="es-ES"/>
    </w:rPr>
  </w:style>
  <w:style w:type="paragraph" w:customStyle="1" w:styleId="Textoindependiente31">
    <w:name w:val="Texto independiente 31"/>
    <w:basedOn w:val="Normal"/>
    <w:rsid w:val="000360F3"/>
    <w:pPr>
      <w:overflowPunct w:val="0"/>
      <w:autoSpaceDE w:val="0"/>
      <w:autoSpaceDN w:val="0"/>
      <w:adjustRightInd w:val="0"/>
      <w:jc w:val="both"/>
      <w:textAlignment w:val="baseline"/>
    </w:pPr>
    <w:rPr>
      <w:rFonts w:ascii="Arial" w:hAnsi="Arial"/>
      <w:sz w:val="14"/>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3382</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2019-08-14T19:56:00Z</dcterms:created>
  <dcterms:modified xsi:type="dcterms:W3CDTF">2019-08-14T19:56:00Z</dcterms:modified>
</cp:coreProperties>
</file>