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CF" w:rsidRPr="00ED5B1A" w:rsidRDefault="00EF0ECF" w:rsidP="00EF0ECF">
      <w:pPr>
        <w:pStyle w:val="Encabezado"/>
        <w:rPr>
          <w:lang w:val="es-CO"/>
        </w:rPr>
      </w:pPr>
    </w:p>
    <w:p w:rsidR="00AC50DF" w:rsidRPr="00ED5B1A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D5B1A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083299">
        <w:rPr>
          <w:rFonts w:ascii="Arial" w:hAnsi="Arial" w:cs="Arial"/>
          <w:sz w:val="22"/>
          <w:szCs w:val="22"/>
          <w:lang w:val="es-CO"/>
        </w:rPr>
        <w:t>CSJMEA18-211</w:t>
      </w:r>
    </w:p>
    <w:p w:rsidR="00AC50DF" w:rsidRPr="00ED5B1A" w:rsidRDefault="00083299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20 de diciembre de 2018</w:t>
      </w:r>
    </w:p>
    <w:p w:rsidR="00AC50DF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D5B1A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66374C" w:rsidRPr="009D269E" w:rsidRDefault="0066374C" w:rsidP="0066374C">
      <w:pPr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0" w:name="_GoBack"/>
      <w:r w:rsidRPr="009D269E">
        <w:rPr>
          <w:rFonts w:ascii="Arial" w:hAnsi="Arial" w:cs="Arial"/>
          <w:i/>
          <w:sz w:val="22"/>
          <w:szCs w:val="22"/>
          <w:lang w:val="es-CO"/>
        </w:rPr>
        <w:t>“</w:t>
      </w:r>
      <w:r w:rsidRPr="009D269E">
        <w:rPr>
          <w:rFonts w:ascii="Arial" w:hAnsi="Arial" w:cs="Arial"/>
          <w:sz w:val="22"/>
          <w:szCs w:val="22"/>
          <w:lang w:val="es-CO"/>
        </w:rPr>
        <w:t xml:space="preserve">Por </w:t>
      </w:r>
      <w:r>
        <w:rPr>
          <w:rFonts w:ascii="Arial" w:hAnsi="Arial" w:cs="Arial"/>
          <w:sz w:val="22"/>
          <w:szCs w:val="22"/>
          <w:lang w:val="es-CO"/>
        </w:rPr>
        <w:t xml:space="preserve">medio del </w:t>
      </w:r>
      <w:r w:rsidRPr="009D269E">
        <w:rPr>
          <w:rFonts w:ascii="Arial" w:hAnsi="Arial" w:cs="Arial"/>
          <w:sz w:val="22"/>
          <w:szCs w:val="22"/>
          <w:lang w:val="es-CO"/>
        </w:rPr>
        <w:t>cual</w:t>
      </w:r>
      <w:r>
        <w:rPr>
          <w:rFonts w:ascii="Arial" w:hAnsi="Arial" w:cs="Arial"/>
          <w:sz w:val="22"/>
          <w:szCs w:val="22"/>
          <w:lang w:val="es-CO"/>
        </w:rPr>
        <w:t xml:space="preserve"> se autoriza la compensación de procesos por aceptación de impedimento</w:t>
      </w:r>
      <w:r w:rsidRPr="009D269E">
        <w:rPr>
          <w:rFonts w:ascii="Arial" w:hAnsi="Arial" w:cs="Arial"/>
          <w:i/>
          <w:sz w:val="22"/>
          <w:szCs w:val="22"/>
          <w:lang w:val="es-CO"/>
        </w:rPr>
        <w:t>”</w:t>
      </w:r>
    </w:p>
    <w:bookmarkEnd w:id="0"/>
    <w:p w:rsidR="0066374C" w:rsidRDefault="0066374C" w:rsidP="0066374C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66374C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93525">
        <w:rPr>
          <w:rFonts w:ascii="Arial" w:hAnsi="Arial" w:cs="Arial"/>
          <w:b/>
          <w:sz w:val="22"/>
          <w:szCs w:val="22"/>
          <w:lang w:val="es-CO"/>
        </w:rPr>
        <w:t xml:space="preserve">EL CONSEJO SECCIONAL DE </w:t>
      </w:r>
      <w:smartTag w:uri="urn:schemas-microsoft-com:office:smarttags" w:element="PersonName">
        <w:smartTagPr>
          <w:attr w:name="ProductID" w:val="LA JUDICATURA DE"/>
        </w:smartTagPr>
        <w:r w:rsidRPr="00193525">
          <w:rPr>
            <w:rFonts w:ascii="Arial" w:hAnsi="Arial" w:cs="Arial"/>
            <w:b/>
            <w:sz w:val="22"/>
            <w:szCs w:val="22"/>
            <w:lang w:val="es-CO"/>
          </w:rPr>
          <w:t>LA JUDICATURA DE</w:t>
        </w:r>
      </w:smartTag>
      <w:r w:rsidRPr="00193525">
        <w:rPr>
          <w:rFonts w:ascii="Arial" w:hAnsi="Arial" w:cs="Arial"/>
          <w:b/>
          <w:sz w:val="22"/>
          <w:szCs w:val="22"/>
          <w:lang w:val="es-CO"/>
        </w:rPr>
        <w:t xml:space="preserve">L META </w:t>
      </w:r>
    </w:p>
    <w:p w:rsidR="0066374C" w:rsidRPr="00193525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6374C" w:rsidRDefault="0066374C" w:rsidP="0066374C">
      <w:pPr>
        <w:jc w:val="both"/>
        <w:rPr>
          <w:rFonts w:cs="Arial"/>
          <w:sz w:val="22"/>
          <w:szCs w:val="22"/>
          <w:lang w:val="es-CO"/>
        </w:rPr>
      </w:pPr>
      <w:r w:rsidRPr="00B36EE6">
        <w:rPr>
          <w:rFonts w:ascii="Arial" w:hAnsi="Arial" w:cs="Arial"/>
          <w:sz w:val="22"/>
          <w:szCs w:val="22"/>
          <w:lang w:val="es-CO"/>
        </w:rPr>
        <w:t>En ejercicio de sus facultades legales, contenidas en la Ley 270 de 1996</w:t>
      </w:r>
      <w:r>
        <w:rPr>
          <w:rFonts w:ascii="Arial" w:hAnsi="Arial" w:cs="Arial"/>
          <w:sz w:val="22"/>
          <w:szCs w:val="22"/>
          <w:lang w:val="es-CO"/>
        </w:rPr>
        <w:t xml:space="preserve">, Acuerdo PSAA16-10561 de 2016 emitido por </w:t>
      </w:r>
      <w:r w:rsidRPr="00B36EE6">
        <w:rPr>
          <w:rFonts w:ascii="Arial" w:hAnsi="Arial" w:cs="Arial"/>
          <w:sz w:val="22"/>
          <w:szCs w:val="22"/>
          <w:lang w:val="es-CO"/>
        </w:rPr>
        <w:t>el Co</w:t>
      </w:r>
      <w:r>
        <w:rPr>
          <w:rFonts w:ascii="Arial" w:hAnsi="Arial" w:cs="Arial"/>
          <w:sz w:val="22"/>
          <w:szCs w:val="22"/>
          <w:lang w:val="es-CO"/>
        </w:rPr>
        <w:t xml:space="preserve">nsejo Superior de la Judicatura y de conformidad con lo aprobado en sesión de Sala ordinaria del 14 de marzo de 2018. </w:t>
      </w:r>
    </w:p>
    <w:p w:rsidR="0066374C" w:rsidRPr="009D269E" w:rsidRDefault="0066374C" w:rsidP="0066374C">
      <w:pPr>
        <w:pStyle w:val="Textoindependiente"/>
        <w:rPr>
          <w:rFonts w:cs="Arial"/>
          <w:sz w:val="22"/>
          <w:szCs w:val="22"/>
        </w:rPr>
      </w:pPr>
    </w:p>
    <w:p w:rsidR="0066374C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6374C" w:rsidRPr="00193525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93525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:rsidR="0066374C" w:rsidRDefault="0066374C" w:rsidP="0066374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66374C" w:rsidRDefault="0066374C" w:rsidP="0066374C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Mediante Acuerdo CSJMA16-709 de julio 27 de 2016, se e</w:t>
      </w:r>
      <w:r w:rsidRPr="002368D1">
        <w:rPr>
          <w:rFonts w:ascii="Arial" w:hAnsi="Arial" w:cs="Arial"/>
          <w:bCs/>
          <w:iCs/>
          <w:sz w:val="22"/>
          <w:szCs w:val="22"/>
        </w:rPr>
        <w:t>stablec</w:t>
      </w:r>
      <w:r>
        <w:rPr>
          <w:rFonts w:ascii="Arial" w:hAnsi="Arial" w:cs="Arial"/>
          <w:bCs/>
          <w:iCs/>
          <w:sz w:val="22"/>
          <w:szCs w:val="22"/>
        </w:rPr>
        <w:t xml:space="preserve">ió que </w:t>
      </w:r>
      <w:r w:rsidRPr="002368D1">
        <w:rPr>
          <w:rFonts w:ascii="Arial" w:hAnsi="Arial" w:cs="Arial"/>
          <w:bCs/>
          <w:iCs/>
          <w:sz w:val="22"/>
          <w:szCs w:val="22"/>
        </w:rPr>
        <w:t>cuando el Juez Civil del Circuito de Acacias, Jaime Alonso Reyes Velandia, se declare impedido en algún proceso a su cargo, lo enviará, en forma directa, al Juzgado Promi</w:t>
      </w:r>
      <w:r>
        <w:rPr>
          <w:rFonts w:ascii="Arial" w:hAnsi="Arial" w:cs="Arial"/>
          <w:bCs/>
          <w:iCs/>
          <w:sz w:val="22"/>
          <w:szCs w:val="22"/>
        </w:rPr>
        <w:t xml:space="preserve">scuo del Circuito de San Martín y de ser aceptado </w:t>
      </w:r>
      <w:r w:rsidRPr="002368D1">
        <w:rPr>
          <w:rFonts w:ascii="Arial" w:hAnsi="Arial" w:cs="Arial"/>
          <w:bCs/>
          <w:iCs/>
          <w:sz w:val="22"/>
          <w:szCs w:val="22"/>
        </w:rPr>
        <w:t>el imped</w:t>
      </w:r>
      <w:r>
        <w:rPr>
          <w:rFonts w:ascii="Arial" w:hAnsi="Arial" w:cs="Arial"/>
          <w:bCs/>
          <w:iCs/>
          <w:sz w:val="22"/>
          <w:szCs w:val="22"/>
        </w:rPr>
        <w:t xml:space="preserve">imento, el funcionario del despacho </w:t>
      </w:r>
      <w:r w:rsidRPr="002368D1">
        <w:rPr>
          <w:rFonts w:ascii="Arial" w:hAnsi="Arial" w:cs="Arial"/>
          <w:bCs/>
          <w:iCs/>
          <w:sz w:val="22"/>
          <w:szCs w:val="22"/>
        </w:rPr>
        <w:t>Civil del Circuito de Acacias,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368D1">
        <w:rPr>
          <w:rFonts w:ascii="Arial" w:hAnsi="Arial" w:cs="Arial"/>
          <w:bCs/>
          <w:iCs/>
          <w:sz w:val="22"/>
          <w:szCs w:val="22"/>
        </w:rPr>
        <w:t>recibirá por compensación otro proceso del Juzgado Promi</w:t>
      </w:r>
      <w:r>
        <w:rPr>
          <w:rFonts w:ascii="Arial" w:hAnsi="Arial" w:cs="Arial"/>
          <w:bCs/>
          <w:iCs/>
          <w:sz w:val="22"/>
          <w:szCs w:val="22"/>
        </w:rPr>
        <w:t>scuo del Circuito de San Martín, previo informe a esta corporación</w:t>
      </w:r>
      <w:r w:rsidRPr="002368D1">
        <w:rPr>
          <w:rFonts w:ascii="Arial" w:hAnsi="Arial" w:cs="Arial"/>
          <w:bCs/>
          <w:iCs/>
          <w:sz w:val="22"/>
          <w:szCs w:val="22"/>
        </w:rPr>
        <w:t>.</w:t>
      </w:r>
    </w:p>
    <w:p w:rsidR="0066374C" w:rsidRDefault="0066374C" w:rsidP="0066374C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66374C" w:rsidRDefault="0066374C" w:rsidP="0066374C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El </w:t>
      </w:r>
      <w:r w:rsidRPr="002368D1">
        <w:rPr>
          <w:rFonts w:ascii="Arial" w:hAnsi="Arial" w:cs="Arial"/>
          <w:bCs/>
          <w:iCs/>
          <w:sz w:val="22"/>
          <w:szCs w:val="22"/>
        </w:rPr>
        <w:t>Ju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Pr="002368D1">
        <w:rPr>
          <w:rFonts w:ascii="Arial" w:hAnsi="Arial" w:cs="Arial"/>
          <w:bCs/>
          <w:iCs/>
          <w:sz w:val="22"/>
          <w:szCs w:val="22"/>
        </w:rPr>
        <w:t>z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368D1">
        <w:rPr>
          <w:rFonts w:ascii="Arial" w:hAnsi="Arial" w:cs="Arial"/>
          <w:bCs/>
          <w:iCs/>
          <w:sz w:val="22"/>
          <w:szCs w:val="22"/>
        </w:rPr>
        <w:t>Promi</w:t>
      </w:r>
      <w:r>
        <w:rPr>
          <w:rFonts w:ascii="Arial" w:hAnsi="Arial" w:cs="Arial"/>
          <w:bCs/>
          <w:iCs/>
          <w:sz w:val="22"/>
          <w:szCs w:val="22"/>
        </w:rPr>
        <w:t xml:space="preserve">scuo del Circuito de San Martín, León José Jaramillo Zuleta, a través del Oficio 1562 de diciembre 14 de 2018, comunica al Consejo Seccional sobre la aceptación de ocho (8) impedimentos de procesos remitidos por el </w:t>
      </w:r>
      <w:r w:rsidRPr="002368D1">
        <w:rPr>
          <w:rFonts w:ascii="Arial" w:hAnsi="Arial" w:cs="Arial"/>
          <w:bCs/>
          <w:iCs/>
          <w:sz w:val="22"/>
          <w:szCs w:val="22"/>
        </w:rPr>
        <w:t>Juez Civil del Circuito de Acacias</w:t>
      </w:r>
      <w:r>
        <w:rPr>
          <w:rFonts w:ascii="Arial" w:hAnsi="Arial" w:cs="Arial"/>
          <w:bCs/>
          <w:iCs/>
          <w:sz w:val="22"/>
          <w:szCs w:val="22"/>
        </w:rPr>
        <w:t xml:space="preserve"> los cuales aparecen relacionados en su escrito y su vez, solicita se le autorice enviar un (1) proceso al Circuito de Acacias en calidad de compensación. </w:t>
      </w:r>
    </w:p>
    <w:p w:rsidR="0066374C" w:rsidRDefault="0066374C" w:rsidP="0066374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66374C" w:rsidRDefault="0066374C" w:rsidP="006637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153E">
        <w:rPr>
          <w:rFonts w:ascii="Arial" w:hAnsi="Arial" w:cs="Arial"/>
          <w:sz w:val="22"/>
          <w:szCs w:val="22"/>
          <w:lang w:val="es-CO"/>
        </w:rPr>
        <w:t xml:space="preserve">Con la finalidad de garantizar el cumplimiento  al Plan Sectorial de Desarrollo de la Rama Judicial 2015-2018 conforme a los  Principios correspondientes a la administración de justicia 1.3.1, </w:t>
      </w:r>
      <w:r>
        <w:rPr>
          <w:rFonts w:ascii="Arial" w:hAnsi="Arial" w:cs="Arial"/>
          <w:sz w:val="22"/>
          <w:szCs w:val="22"/>
          <w:lang w:val="es-CO"/>
        </w:rPr>
        <w:t xml:space="preserve">celeridad y oralidad 1.3.2, </w:t>
      </w:r>
      <w:r w:rsidRPr="001E153E">
        <w:rPr>
          <w:rFonts w:ascii="Arial" w:hAnsi="Arial" w:cs="Arial"/>
          <w:sz w:val="22"/>
          <w:szCs w:val="22"/>
          <w:lang w:val="es-CO"/>
        </w:rPr>
        <w:t xml:space="preserve">al relativo a la eficiencia </w:t>
      </w:r>
      <w:r>
        <w:rPr>
          <w:rFonts w:ascii="Arial" w:hAnsi="Arial" w:cs="Arial"/>
          <w:sz w:val="22"/>
          <w:szCs w:val="22"/>
          <w:lang w:val="es-CO"/>
        </w:rPr>
        <w:t xml:space="preserve">1.3.7 y al Objetivo específico </w:t>
      </w:r>
      <w:r w:rsidRPr="0060603D">
        <w:rPr>
          <w:rFonts w:ascii="Arial" w:hAnsi="Arial" w:cs="Arial"/>
          <w:sz w:val="22"/>
          <w:szCs w:val="22"/>
          <w:lang w:val="es-CO"/>
        </w:rPr>
        <w:t>1 q</w:t>
      </w:r>
      <w:r w:rsidRPr="001E153E">
        <w:rPr>
          <w:rFonts w:ascii="Arial" w:hAnsi="Arial" w:cs="Arial"/>
          <w:sz w:val="22"/>
          <w:szCs w:val="22"/>
          <w:lang w:val="es-CO"/>
        </w:rPr>
        <w:t xml:space="preserve">ue hace relación a </w:t>
      </w:r>
      <w:r w:rsidRPr="008666E5">
        <w:rPr>
          <w:rFonts w:ascii="Arial" w:hAnsi="Arial" w:cs="Arial"/>
          <w:sz w:val="22"/>
          <w:szCs w:val="22"/>
          <w:lang w:val="es-CO"/>
        </w:rPr>
        <w:t xml:space="preserve">Fortalecer la eficiencia y eficacia de la gestión judicial </w:t>
      </w:r>
      <w:r w:rsidRPr="001E153E">
        <w:rPr>
          <w:rFonts w:ascii="Arial" w:hAnsi="Arial" w:cs="Arial"/>
          <w:sz w:val="22"/>
          <w:szCs w:val="22"/>
          <w:lang w:val="es-CO"/>
        </w:rPr>
        <w:t xml:space="preserve"> que desarrolla las Políticas consistentes en </w:t>
      </w:r>
      <w:r>
        <w:rPr>
          <w:rFonts w:ascii="Arial" w:hAnsi="Arial" w:cs="Arial"/>
          <w:sz w:val="22"/>
          <w:szCs w:val="22"/>
          <w:lang w:val="es-CO"/>
        </w:rPr>
        <w:t>l</w:t>
      </w:r>
      <w:r w:rsidRPr="008666E5">
        <w:rPr>
          <w:rFonts w:ascii="Arial" w:hAnsi="Arial" w:cs="Arial"/>
          <w:sz w:val="22"/>
          <w:szCs w:val="22"/>
          <w:lang w:val="es-CO"/>
        </w:rPr>
        <w:t xml:space="preserve">levar a cabo los mandatos legales de la Oralidad </w:t>
      </w:r>
      <w:r>
        <w:rPr>
          <w:rFonts w:ascii="Arial" w:hAnsi="Arial" w:cs="Arial"/>
          <w:sz w:val="22"/>
          <w:szCs w:val="22"/>
          <w:lang w:val="es-CO"/>
        </w:rPr>
        <w:t>2</w:t>
      </w:r>
      <w:r w:rsidRPr="001E153E">
        <w:rPr>
          <w:rFonts w:ascii="Arial" w:hAnsi="Arial" w:cs="Arial"/>
          <w:sz w:val="22"/>
          <w:szCs w:val="22"/>
          <w:lang w:val="es-CO"/>
        </w:rPr>
        <w:t>.1.1.</w:t>
      </w:r>
      <w:r>
        <w:rPr>
          <w:rFonts w:ascii="Arial" w:hAnsi="Arial" w:cs="Arial"/>
          <w:sz w:val="22"/>
          <w:szCs w:val="22"/>
          <w:lang w:val="es-CO"/>
        </w:rPr>
        <w:t>1</w:t>
      </w:r>
      <w:r w:rsidRPr="001E153E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y al de p</w:t>
      </w:r>
      <w:r w:rsidRPr="008666E5">
        <w:rPr>
          <w:rFonts w:ascii="Arial" w:hAnsi="Arial" w:cs="Arial"/>
          <w:sz w:val="22"/>
          <w:szCs w:val="22"/>
          <w:lang w:val="es-CO"/>
        </w:rPr>
        <w:t>ropender por mantener la administración de justicia al día</w:t>
      </w:r>
      <w:r>
        <w:rPr>
          <w:rFonts w:ascii="Arial" w:hAnsi="Arial" w:cs="Arial"/>
          <w:sz w:val="22"/>
          <w:szCs w:val="22"/>
          <w:lang w:val="es-CO"/>
        </w:rPr>
        <w:t xml:space="preserve"> 2</w:t>
      </w:r>
      <w:r w:rsidRPr="001E153E">
        <w:rPr>
          <w:rFonts w:ascii="Arial" w:hAnsi="Arial" w:cs="Arial"/>
          <w:sz w:val="22"/>
          <w:szCs w:val="22"/>
          <w:lang w:val="es-CO"/>
        </w:rPr>
        <w:t>.1.1.</w:t>
      </w:r>
      <w:r>
        <w:rPr>
          <w:rFonts w:ascii="Arial" w:hAnsi="Arial" w:cs="Arial"/>
          <w:sz w:val="22"/>
          <w:szCs w:val="22"/>
          <w:lang w:val="es-CO"/>
        </w:rPr>
        <w:t xml:space="preserve">2, </w:t>
      </w:r>
      <w:r w:rsidRPr="00C42678">
        <w:rPr>
          <w:rFonts w:ascii="Arial" w:hAnsi="Arial" w:cs="Arial"/>
          <w:sz w:val="22"/>
          <w:szCs w:val="22"/>
          <w:lang w:val="es-CO"/>
        </w:rPr>
        <w:t>prestar un mejor servicio y acentuar la credibilidad institucional; Los Valores 1.4.1. Compromiso, 1.4.3. La cultura de servicio,   1.4.4. La coordinación interinstitucional, 1.4.6. Honestidad, 1.4.7. Creatividad</w:t>
      </w:r>
      <w:r>
        <w:rPr>
          <w:rFonts w:ascii="Arial" w:hAnsi="Arial" w:cs="Arial"/>
          <w:color w:val="000000"/>
          <w:sz w:val="22"/>
          <w:szCs w:val="22"/>
        </w:rPr>
        <w:t xml:space="preserve">, este Consejo Seccional considera necesario autorizar el envió de un (1) proceso del Juzgado  </w:t>
      </w:r>
      <w:r w:rsidRPr="002368D1">
        <w:rPr>
          <w:rFonts w:ascii="Arial" w:hAnsi="Arial" w:cs="Arial"/>
          <w:bCs/>
          <w:iCs/>
          <w:sz w:val="22"/>
          <w:szCs w:val="22"/>
        </w:rPr>
        <w:t>Promi</w:t>
      </w:r>
      <w:r>
        <w:rPr>
          <w:rFonts w:ascii="Arial" w:hAnsi="Arial" w:cs="Arial"/>
          <w:bCs/>
          <w:iCs/>
          <w:sz w:val="22"/>
          <w:szCs w:val="22"/>
        </w:rPr>
        <w:t>scuo del Circuito de San Martín</w:t>
      </w:r>
      <w:r>
        <w:rPr>
          <w:rFonts w:ascii="Arial" w:hAnsi="Arial" w:cs="Arial"/>
          <w:color w:val="000000"/>
          <w:sz w:val="22"/>
          <w:szCs w:val="22"/>
        </w:rPr>
        <w:t xml:space="preserve"> al </w:t>
      </w:r>
      <w:r>
        <w:rPr>
          <w:rFonts w:ascii="Arial" w:hAnsi="Arial" w:cs="Arial"/>
          <w:bCs/>
          <w:iCs/>
          <w:sz w:val="22"/>
          <w:szCs w:val="22"/>
        </w:rPr>
        <w:t xml:space="preserve">Juzgado Civil del Circuito de </w:t>
      </w:r>
      <w:r>
        <w:rPr>
          <w:rFonts w:ascii="Arial" w:hAnsi="Arial" w:cs="Arial"/>
          <w:color w:val="000000"/>
          <w:sz w:val="22"/>
          <w:szCs w:val="22"/>
        </w:rPr>
        <w:t xml:space="preserve">Acacias Meta, con el fin de compensar la aceptación de ochos (8) impedimentos.  </w:t>
      </w:r>
    </w:p>
    <w:p w:rsidR="0066374C" w:rsidRDefault="0066374C" w:rsidP="0066374C">
      <w:pPr>
        <w:jc w:val="both"/>
        <w:rPr>
          <w:rFonts w:ascii="Arial" w:hAnsi="Arial" w:cs="Arial"/>
          <w:bCs/>
          <w:iCs/>
          <w:color w:val="000000"/>
          <w:sz w:val="22"/>
          <w:szCs w:val="22"/>
          <w:lang w:val="es-CO" w:eastAsia="es-CO"/>
        </w:rPr>
      </w:pPr>
    </w:p>
    <w:p w:rsidR="0066374C" w:rsidRPr="009D269E" w:rsidRDefault="0066374C" w:rsidP="006637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-CO"/>
        </w:rPr>
        <w:t>Este Consejo Seccional de la Judicatura del Meta, e</w:t>
      </w:r>
      <w:r w:rsidRPr="009D269E">
        <w:rPr>
          <w:rFonts w:ascii="Arial" w:hAnsi="Arial" w:cs="Arial"/>
          <w:sz w:val="22"/>
          <w:szCs w:val="22"/>
          <w:lang w:val="es-CO"/>
        </w:rPr>
        <w:t>n mérito de lo expuesto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6374C" w:rsidRDefault="0066374C" w:rsidP="0066374C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66374C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6374C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6374C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6374C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66374C" w:rsidRPr="00193525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93525">
        <w:rPr>
          <w:rFonts w:ascii="Arial" w:hAnsi="Arial" w:cs="Arial"/>
          <w:b/>
          <w:sz w:val="22"/>
          <w:szCs w:val="22"/>
          <w:lang w:val="es-CO"/>
        </w:rPr>
        <w:t>ACUERDA:</w:t>
      </w:r>
    </w:p>
    <w:p w:rsidR="0066374C" w:rsidRPr="009D269E" w:rsidRDefault="0066374C" w:rsidP="0066374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66374C" w:rsidRDefault="0066374C" w:rsidP="0066374C">
      <w:pPr>
        <w:pStyle w:val="Textoindependiente31"/>
        <w:tabs>
          <w:tab w:val="left" w:pos="2700"/>
          <w:tab w:val="left" w:pos="3060"/>
        </w:tabs>
        <w:rPr>
          <w:rFonts w:cs="Arial"/>
          <w:color w:val="000000"/>
          <w:sz w:val="22"/>
          <w:szCs w:val="22"/>
        </w:rPr>
      </w:pPr>
      <w:r w:rsidRPr="009D269E">
        <w:rPr>
          <w:rFonts w:cs="Arial"/>
          <w:b/>
          <w:sz w:val="22"/>
          <w:szCs w:val="22"/>
        </w:rPr>
        <w:t>ARTÍCULO 1°.</w:t>
      </w:r>
      <w:r>
        <w:rPr>
          <w:rFonts w:cs="Arial"/>
          <w:bCs/>
          <w:iCs/>
          <w:sz w:val="22"/>
          <w:szCs w:val="22"/>
        </w:rPr>
        <w:t xml:space="preserve"> Autorizar el envío de</w:t>
      </w:r>
      <w:r>
        <w:rPr>
          <w:rFonts w:cs="Arial"/>
          <w:color w:val="000000"/>
          <w:sz w:val="22"/>
          <w:szCs w:val="22"/>
        </w:rPr>
        <w:t xml:space="preserve"> un (1) proceso del Juzgado  </w:t>
      </w:r>
      <w:r w:rsidRPr="002368D1">
        <w:rPr>
          <w:rFonts w:cs="Arial"/>
          <w:bCs/>
          <w:iCs/>
          <w:sz w:val="22"/>
          <w:szCs w:val="22"/>
        </w:rPr>
        <w:t>Promi</w:t>
      </w:r>
      <w:r>
        <w:rPr>
          <w:rFonts w:cs="Arial"/>
          <w:bCs/>
          <w:iCs/>
          <w:sz w:val="22"/>
          <w:szCs w:val="22"/>
        </w:rPr>
        <w:t>scuo del Circuito de San Martín</w:t>
      </w:r>
      <w:r>
        <w:rPr>
          <w:rFonts w:cs="Arial"/>
          <w:color w:val="000000"/>
          <w:sz w:val="22"/>
          <w:szCs w:val="22"/>
        </w:rPr>
        <w:t xml:space="preserve"> al </w:t>
      </w:r>
      <w:r>
        <w:rPr>
          <w:rFonts w:cs="Arial"/>
          <w:bCs/>
          <w:iCs/>
          <w:sz w:val="22"/>
          <w:szCs w:val="22"/>
        </w:rPr>
        <w:t xml:space="preserve">Juzgado Civil del Circuito de </w:t>
      </w:r>
      <w:r>
        <w:rPr>
          <w:rFonts w:cs="Arial"/>
          <w:color w:val="000000"/>
          <w:sz w:val="22"/>
          <w:szCs w:val="22"/>
        </w:rPr>
        <w:t xml:space="preserve">Acacias Meta, con el fin de compensar la aceptación de ochos (8) impedimentos y se tramite la alzada interpuesta, así: </w:t>
      </w:r>
    </w:p>
    <w:p w:rsidR="0066374C" w:rsidRDefault="0066374C" w:rsidP="0066374C">
      <w:pPr>
        <w:pStyle w:val="Textoindependiente31"/>
        <w:tabs>
          <w:tab w:val="left" w:pos="2700"/>
          <w:tab w:val="left" w:pos="3060"/>
        </w:tabs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2127"/>
        <w:gridCol w:w="2774"/>
      </w:tblGrid>
      <w:tr w:rsidR="0066374C" w:rsidRPr="007C2A83" w:rsidTr="00ED54DC">
        <w:trPr>
          <w:trHeight w:val="223"/>
        </w:trPr>
        <w:tc>
          <w:tcPr>
            <w:tcW w:w="1242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2A83">
              <w:rPr>
                <w:rFonts w:cs="Arial"/>
                <w:b/>
                <w:color w:val="000000"/>
                <w:sz w:val="18"/>
                <w:szCs w:val="18"/>
              </w:rPr>
              <w:t>PROCESO</w:t>
            </w:r>
          </w:p>
        </w:tc>
        <w:tc>
          <w:tcPr>
            <w:tcW w:w="2835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2A83">
              <w:rPr>
                <w:rFonts w:cs="Arial"/>
                <w:b/>
                <w:color w:val="000000"/>
                <w:sz w:val="18"/>
                <w:szCs w:val="18"/>
              </w:rPr>
              <w:t>RADICACIÓN</w:t>
            </w:r>
          </w:p>
        </w:tc>
        <w:tc>
          <w:tcPr>
            <w:tcW w:w="2127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2A83">
              <w:rPr>
                <w:rFonts w:cs="Arial"/>
                <w:b/>
                <w:color w:val="000000"/>
                <w:sz w:val="18"/>
                <w:szCs w:val="18"/>
              </w:rPr>
              <w:t>DEMANDANTE</w:t>
            </w:r>
          </w:p>
        </w:tc>
        <w:tc>
          <w:tcPr>
            <w:tcW w:w="2774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7C2A83">
              <w:rPr>
                <w:rFonts w:cs="Arial"/>
                <w:b/>
                <w:color w:val="000000"/>
                <w:sz w:val="18"/>
                <w:szCs w:val="18"/>
              </w:rPr>
              <w:t>DEMANDADO</w:t>
            </w:r>
          </w:p>
        </w:tc>
      </w:tr>
      <w:tr w:rsidR="0066374C" w:rsidRPr="007C2A83" w:rsidTr="00ED54DC">
        <w:tc>
          <w:tcPr>
            <w:tcW w:w="1242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Divisorio </w:t>
            </w:r>
          </w:p>
        </w:tc>
        <w:tc>
          <w:tcPr>
            <w:tcW w:w="2835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7C2A83">
              <w:rPr>
                <w:rFonts w:cs="Arial"/>
                <w:color w:val="000000"/>
                <w:sz w:val="18"/>
                <w:szCs w:val="18"/>
              </w:rPr>
              <w:t>5068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9 3189 </w:t>
            </w:r>
            <w:r w:rsidRPr="007C2A83">
              <w:rPr>
                <w:rFonts w:cs="Arial"/>
                <w:color w:val="000000"/>
                <w:sz w:val="18"/>
                <w:szCs w:val="18"/>
              </w:rPr>
              <w:t>001-2018-00</w:t>
            </w:r>
            <w:r>
              <w:rPr>
                <w:rFonts w:cs="Arial"/>
                <w:color w:val="000000"/>
                <w:sz w:val="18"/>
                <w:szCs w:val="18"/>
              </w:rPr>
              <w:t>173</w:t>
            </w:r>
            <w:r w:rsidRPr="007C2A83">
              <w:rPr>
                <w:rFonts w:cs="Arial"/>
                <w:color w:val="000000"/>
                <w:sz w:val="18"/>
                <w:szCs w:val="18"/>
              </w:rPr>
              <w:t>-01</w:t>
            </w:r>
          </w:p>
        </w:tc>
        <w:tc>
          <w:tcPr>
            <w:tcW w:w="2127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Ferney Toro Saavedra </w:t>
            </w:r>
          </w:p>
        </w:tc>
        <w:tc>
          <w:tcPr>
            <w:tcW w:w="2774" w:type="dxa"/>
            <w:shd w:val="clear" w:color="auto" w:fill="auto"/>
          </w:tcPr>
          <w:p w:rsidR="0066374C" w:rsidRPr="007C2A83" w:rsidRDefault="0066374C" w:rsidP="00ED54DC">
            <w:pPr>
              <w:pStyle w:val="Textoindependiente31"/>
              <w:tabs>
                <w:tab w:val="left" w:pos="2700"/>
                <w:tab w:val="left" w:pos="3060"/>
              </w:tabs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Andelmo Antonio Muñoz Vega</w:t>
            </w:r>
          </w:p>
        </w:tc>
      </w:tr>
    </w:tbl>
    <w:p w:rsidR="0066374C" w:rsidRDefault="0066374C" w:rsidP="0066374C">
      <w:pPr>
        <w:pStyle w:val="Textoindependiente31"/>
        <w:tabs>
          <w:tab w:val="left" w:pos="2700"/>
          <w:tab w:val="left" w:pos="3060"/>
        </w:tabs>
        <w:rPr>
          <w:rFonts w:cs="Arial"/>
          <w:color w:val="000000"/>
          <w:sz w:val="22"/>
          <w:szCs w:val="22"/>
        </w:rPr>
      </w:pPr>
    </w:p>
    <w:p w:rsidR="0066374C" w:rsidRDefault="0066374C" w:rsidP="0066374C">
      <w:pPr>
        <w:tabs>
          <w:tab w:val="left" w:pos="2880"/>
          <w:tab w:val="left" w:pos="3240"/>
        </w:tabs>
        <w:jc w:val="both"/>
        <w:rPr>
          <w:rFonts w:ascii="Arial" w:hAnsi="Arial" w:cs="Arial"/>
          <w:iCs/>
          <w:sz w:val="22"/>
          <w:szCs w:val="22"/>
        </w:rPr>
      </w:pPr>
      <w:r w:rsidRPr="000412B5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ARTÍCULO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0412B5">
        <w:rPr>
          <w:rFonts w:ascii="Arial" w:hAnsi="Arial" w:cs="Arial"/>
          <w:b/>
          <w:color w:val="000000"/>
          <w:sz w:val="22"/>
          <w:szCs w:val="22"/>
        </w:rPr>
        <w:t>º:</w:t>
      </w:r>
      <w:r w:rsidRPr="00041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7357">
        <w:rPr>
          <w:rFonts w:ascii="Arial" w:hAnsi="Arial" w:cs="Arial"/>
          <w:sz w:val="22"/>
          <w:szCs w:val="22"/>
        </w:rPr>
        <w:t>Comuni</w:t>
      </w:r>
      <w:r>
        <w:rPr>
          <w:rFonts w:ascii="Arial" w:hAnsi="Arial" w:cs="Arial"/>
          <w:sz w:val="22"/>
          <w:szCs w:val="22"/>
        </w:rPr>
        <w:t xml:space="preserve">car </w:t>
      </w:r>
      <w:r w:rsidRPr="0059212F">
        <w:rPr>
          <w:rFonts w:ascii="Arial" w:hAnsi="Arial" w:cs="Arial"/>
          <w:sz w:val="22"/>
          <w:szCs w:val="22"/>
        </w:rPr>
        <w:t xml:space="preserve">al </w:t>
      </w:r>
      <w:r>
        <w:rPr>
          <w:rFonts w:ascii="Arial" w:hAnsi="Arial" w:cs="Arial"/>
          <w:sz w:val="22"/>
          <w:szCs w:val="22"/>
        </w:rPr>
        <w:t xml:space="preserve">Tribunal Superior del Distrito Judicial de Villavicencio, al </w:t>
      </w:r>
      <w:r w:rsidRPr="0059212F">
        <w:rPr>
          <w:rFonts w:ascii="Arial" w:hAnsi="Arial" w:cs="Arial"/>
          <w:sz w:val="22"/>
          <w:szCs w:val="22"/>
        </w:rPr>
        <w:t>Juzgad</w:t>
      </w:r>
      <w:r>
        <w:rPr>
          <w:rFonts w:ascii="Arial" w:hAnsi="Arial" w:cs="Arial"/>
          <w:sz w:val="22"/>
          <w:szCs w:val="22"/>
        </w:rPr>
        <w:t xml:space="preserve">o Civil del Circuito de Acacias y al Juzgado Promiscuo del Circuito de San Martín. </w:t>
      </w:r>
    </w:p>
    <w:p w:rsidR="0066374C" w:rsidRPr="009D269E" w:rsidRDefault="0066374C" w:rsidP="0066374C">
      <w:pPr>
        <w:tabs>
          <w:tab w:val="left" w:pos="2880"/>
          <w:tab w:val="left" w:pos="3240"/>
        </w:tabs>
        <w:jc w:val="both"/>
        <w:rPr>
          <w:rFonts w:ascii="Arial" w:hAnsi="Arial" w:cs="Arial"/>
          <w:iCs/>
          <w:sz w:val="22"/>
          <w:szCs w:val="22"/>
        </w:rPr>
      </w:pPr>
    </w:p>
    <w:p w:rsidR="0066374C" w:rsidRDefault="0066374C" w:rsidP="0066374C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D269E">
        <w:rPr>
          <w:rFonts w:ascii="Arial" w:hAnsi="Arial" w:cs="Arial"/>
          <w:b/>
          <w:iCs/>
          <w:sz w:val="22"/>
          <w:szCs w:val="22"/>
        </w:rPr>
        <w:t>ART</w:t>
      </w:r>
      <w:r>
        <w:rPr>
          <w:rFonts w:ascii="Arial" w:hAnsi="Arial" w:cs="Arial"/>
          <w:b/>
          <w:iCs/>
          <w:sz w:val="22"/>
          <w:szCs w:val="22"/>
        </w:rPr>
        <w:t>Í</w:t>
      </w:r>
      <w:r w:rsidRPr="009D269E">
        <w:rPr>
          <w:rFonts w:ascii="Arial" w:hAnsi="Arial" w:cs="Arial"/>
          <w:b/>
          <w:iCs/>
          <w:sz w:val="22"/>
          <w:szCs w:val="22"/>
        </w:rPr>
        <w:t xml:space="preserve">CULO </w:t>
      </w:r>
      <w:r>
        <w:rPr>
          <w:rFonts w:ascii="Arial" w:hAnsi="Arial" w:cs="Arial"/>
          <w:b/>
          <w:iCs/>
          <w:sz w:val="22"/>
          <w:szCs w:val="22"/>
        </w:rPr>
        <w:t>3</w:t>
      </w:r>
      <w:r w:rsidRPr="009D269E">
        <w:rPr>
          <w:rFonts w:ascii="Arial" w:hAnsi="Arial" w:cs="Arial"/>
          <w:b/>
          <w:iCs/>
          <w:sz w:val="22"/>
          <w:szCs w:val="22"/>
        </w:rPr>
        <w:t>º</w:t>
      </w:r>
      <w:r>
        <w:rPr>
          <w:rFonts w:ascii="Arial" w:hAnsi="Arial" w:cs="Arial"/>
          <w:b/>
          <w:iCs/>
          <w:sz w:val="22"/>
          <w:szCs w:val="22"/>
        </w:rPr>
        <w:t xml:space="preserve">. </w:t>
      </w:r>
      <w:r w:rsidRPr="009D269E">
        <w:rPr>
          <w:rFonts w:ascii="Arial" w:hAnsi="Arial" w:cs="Arial"/>
          <w:iCs/>
          <w:sz w:val="22"/>
          <w:szCs w:val="22"/>
        </w:rPr>
        <w:t>El presente acuerdo rige a part</w:t>
      </w:r>
      <w:r>
        <w:rPr>
          <w:rFonts w:ascii="Arial" w:hAnsi="Arial" w:cs="Arial"/>
          <w:iCs/>
          <w:sz w:val="22"/>
          <w:szCs w:val="22"/>
        </w:rPr>
        <w:t xml:space="preserve">ir del 11 de enero de 2019, </w:t>
      </w:r>
      <w:r w:rsidRPr="00B00F86">
        <w:rPr>
          <w:rFonts w:ascii="Arial" w:hAnsi="Arial" w:cs="Arial"/>
          <w:sz w:val="22"/>
          <w:szCs w:val="22"/>
          <w:lang w:val="es-CO"/>
        </w:rPr>
        <w:t>dado en Villavicencio a los veinte (20) días del mes diciembre de dos mil dieciocho (2018).</w:t>
      </w:r>
    </w:p>
    <w:p w:rsidR="0066374C" w:rsidRPr="009D269E" w:rsidRDefault="0066374C" w:rsidP="0066374C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66374C" w:rsidRPr="00193525" w:rsidRDefault="0066374C" w:rsidP="0066374C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193525">
        <w:rPr>
          <w:rFonts w:ascii="Arial" w:hAnsi="Arial" w:cs="Arial"/>
          <w:b/>
          <w:sz w:val="22"/>
          <w:szCs w:val="22"/>
          <w:lang w:val="es-CO"/>
        </w:rPr>
        <w:t xml:space="preserve"> COMUNÍQUESE, PUBLÍQUESE Y CÚMPLASE</w:t>
      </w:r>
    </w:p>
    <w:p w:rsidR="0066374C" w:rsidRDefault="0066374C" w:rsidP="0066374C">
      <w:pPr>
        <w:jc w:val="center"/>
        <w:rPr>
          <w:rFonts w:ascii="Arial" w:hAnsi="Arial" w:cs="Arial"/>
          <w:sz w:val="16"/>
          <w:szCs w:val="16"/>
          <w:lang w:val="es-CO"/>
        </w:rPr>
      </w:pPr>
    </w:p>
    <w:p w:rsidR="0066374C" w:rsidRPr="009D269E" w:rsidRDefault="0066374C" w:rsidP="0066374C">
      <w:pPr>
        <w:jc w:val="center"/>
        <w:rPr>
          <w:rFonts w:ascii="Arial" w:hAnsi="Arial" w:cs="Arial"/>
          <w:sz w:val="16"/>
          <w:szCs w:val="16"/>
          <w:lang w:val="es-CO"/>
        </w:rPr>
      </w:pPr>
    </w:p>
    <w:p w:rsidR="0066374C" w:rsidRDefault="0066374C" w:rsidP="0066374C">
      <w:pPr>
        <w:rPr>
          <w:lang w:val="es-CO"/>
        </w:rPr>
      </w:pPr>
    </w:p>
    <w:p w:rsidR="0066374C" w:rsidRPr="00D0437A" w:rsidRDefault="0066374C" w:rsidP="0066374C">
      <w:pPr>
        <w:rPr>
          <w:lang w:val="es-CO"/>
        </w:rPr>
      </w:pPr>
    </w:p>
    <w:p w:rsidR="0066374C" w:rsidRPr="009D269E" w:rsidRDefault="0066374C" w:rsidP="0066374C">
      <w:pPr>
        <w:pStyle w:val="Ttulo5"/>
        <w:jc w:val="lef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LORENA GÓMEZ ROA</w:t>
      </w:r>
    </w:p>
    <w:p w:rsidR="0066374C" w:rsidRPr="009D269E" w:rsidRDefault="0066374C" w:rsidP="0066374C">
      <w:pPr>
        <w:rPr>
          <w:rFonts w:ascii="Arial" w:hAnsi="Arial" w:cs="Arial"/>
          <w:sz w:val="22"/>
          <w:szCs w:val="22"/>
          <w:lang w:val="es-CO"/>
        </w:rPr>
      </w:pPr>
      <w:r w:rsidRPr="009D269E">
        <w:rPr>
          <w:rFonts w:ascii="Arial" w:hAnsi="Arial" w:cs="Arial"/>
          <w:sz w:val="22"/>
          <w:szCs w:val="22"/>
          <w:lang w:val="es-CO"/>
        </w:rPr>
        <w:t>Presidente</w:t>
      </w:r>
    </w:p>
    <w:p w:rsidR="0066374C" w:rsidRPr="009D269E" w:rsidRDefault="0066374C" w:rsidP="0066374C">
      <w:pPr>
        <w:pStyle w:val="Ttulo4"/>
        <w:spacing w:before="0" w:after="0"/>
        <w:rPr>
          <w:rFonts w:ascii="Arial" w:hAnsi="Arial" w:cs="Arial"/>
          <w:b w:val="0"/>
          <w:sz w:val="12"/>
          <w:szCs w:val="12"/>
          <w:lang w:val="es-CO"/>
        </w:rPr>
      </w:pPr>
    </w:p>
    <w:p w:rsidR="0066374C" w:rsidRPr="006B019A" w:rsidRDefault="0066374C" w:rsidP="0066374C">
      <w:pPr>
        <w:pStyle w:val="Ttulo4"/>
        <w:spacing w:before="0" w:after="0"/>
        <w:rPr>
          <w:rFonts w:ascii="Arial" w:hAnsi="Arial" w:cs="Arial"/>
          <w:b w:val="0"/>
          <w:sz w:val="12"/>
          <w:szCs w:val="18"/>
        </w:rPr>
      </w:pPr>
      <w:r w:rsidRPr="006B019A">
        <w:rPr>
          <w:rFonts w:ascii="Arial" w:hAnsi="Arial" w:cs="Arial"/>
          <w:b w:val="0"/>
          <w:sz w:val="12"/>
          <w:szCs w:val="18"/>
        </w:rPr>
        <w:t>REDM/CEBC</w:t>
      </w:r>
    </w:p>
    <w:p w:rsidR="0066374C" w:rsidRPr="006B019A" w:rsidRDefault="0066374C" w:rsidP="0066374C">
      <w:pPr>
        <w:rPr>
          <w:rFonts w:ascii="Arial" w:hAnsi="Arial" w:cs="Arial"/>
          <w:b/>
          <w:sz w:val="12"/>
          <w:szCs w:val="16"/>
        </w:rPr>
      </w:pPr>
      <w:r>
        <w:rPr>
          <w:rFonts w:ascii="Arial" w:hAnsi="Arial" w:cs="Arial"/>
          <w:sz w:val="12"/>
          <w:szCs w:val="18"/>
        </w:rPr>
        <w:t>EXTCSJME18-1675</w:t>
      </w:r>
      <w:r w:rsidRPr="006B019A">
        <w:rPr>
          <w:rFonts w:ascii="Arial" w:hAnsi="Arial" w:cs="Arial"/>
          <w:sz w:val="12"/>
          <w:szCs w:val="18"/>
        </w:rPr>
        <w:t xml:space="preserve"> / </w:t>
      </w:r>
      <w:r>
        <w:rPr>
          <w:rFonts w:ascii="Arial" w:hAnsi="Arial" w:cs="Arial"/>
          <w:sz w:val="12"/>
          <w:szCs w:val="18"/>
        </w:rPr>
        <w:t>DICIEMBRE 18</w:t>
      </w:r>
      <w:r w:rsidRPr="006B019A">
        <w:rPr>
          <w:rFonts w:ascii="Arial" w:hAnsi="Arial" w:cs="Arial"/>
          <w:sz w:val="12"/>
          <w:szCs w:val="18"/>
        </w:rPr>
        <w:t xml:space="preserve"> DE 2018</w:t>
      </w:r>
    </w:p>
    <w:p w:rsidR="00040670" w:rsidRPr="006B019A" w:rsidRDefault="00040670" w:rsidP="0066374C">
      <w:pPr>
        <w:jc w:val="center"/>
        <w:rPr>
          <w:rFonts w:ascii="Arial" w:hAnsi="Arial" w:cs="Arial"/>
          <w:b/>
          <w:sz w:val="12"/>
          <w:szCs w:val="16"/>
        </w:rPr>
      </w:pPr>
    </w:p>
    <w:p w:rsidR="00040670" w:rsidRPr="00ED5B1A" w:rsidRDefault="00040670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</w:p>
    <w:sectPr w:rsidR="00040670" w:rsidRPr="00ED5B1A" w:rsidSect="00AC50DF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C8" w:rsidRDefault="00CD56C8">
      <w:r>
        <w:separator/>
      </w:r>
    </w:p>
  </w:endnote>
  <w:endnote w:type="continuationSeparator" w:id="0">
    <w:p w:rsidR="00CD56C8" w:rsidRDefault="00CD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BB" w:rsidRDefault="000669BB" w:rsidP="000669BB">
    <w:pPr>
      <w:pStyle w:val="Piedepgina"/>
      <w:jc w:val="center"/>
      <w:rPr>
        <w:rFonts w:ascii="Berylum" w:hAnsi="Berylum"/>
        <w:bCs/>
        <w:iCs/>
        <w:sz w:val="22"/>
        <w:szCs w:val="22"/>
      </w:rPr>
    </w:pPr>
    <w:r w:rsidRPr="009D10D5">
      <w:rPr>
        <w:rFonts w:ascii="Berylum" w:hAnsi="Berylum"/>
        <w:bCs/>
        <w:iCs/>
        <w:sz w:val="22"/>
        <w:szCs w:val="22"/>
      </w:rPr>
      <w:t xml:space="preserve">Carrera </w:t>
    </w:r>
    <w:r>
      <w:rPr>
        <w:rFonts w:ascii="Berylum" w:hAnsi="Berylum"/>
        <w:bCs/>
        <w:iCs/>
        <w:sz w:val="22"/>
        <w:szCs w:val="22"/>
      </w:rPr>
      <w:t>29</w:t>
    </w:r>
    <w:r w:rsidRPr="009D10D5">
      <w:rPr>
        <w:rFonts w:ascii="Berylum" w:hAnsi="Berylum"/>
        <w:bCs/>
        <w:iCs/>
        <w:sz w:val="22"/>
        <w:szCs w:val="22"/>
      </w:rPr>
      <w:t xml:space="preserve"> No. </w:t>
    </w:r>
    <w:r>
      <w:rPr>
        <w:rFonts w:ascii="Berylum" w:hAnsi="Berylum"/>
        <w:bCs/>
        <w:iCs/>
        <w:sz w:val="22"/>
        <w:szCs w:val="22"/>
      </w:rPr>
      <w:t>33B</w:t>
    </w:r>
    <w:r w:rsidRPr="009D10D5">
      <w:rPr>
        <w:rFonts w:ascii="Berylum" w:hAnsi="Berylum"/>
        <w:bCs/>
        <w:iCs/>
        <w:sz w:val="22"/>
        <w:szCs w:val="22"/>
      </w:rPr>
      <w:t xml:space="preserve"> – </w:t>
    </w:r>
    <w:r>
      <w:rPr>
        <w:rFonts w:ascii="Berylum" w:hAnsi="Berylum"/>
        <w:bCs/>
        <w:iCs/>
        <w:sz w:val="22"/>
        <w:szCs w:val="22"/>
      </w:rPr>
      <w:t>79</w:t>
    </w:r>
    <w:r w:rsidRPr="009D10D5">
      <w:rPr>
        <w:rFonts w:ascii="Berylum" w:hAnsi="Berylum"/>
        <w:bCs/>
        <w:iCs/>
        <w:sz w:val="22"/>
        <w:szCs w:val="22"/>
      </w:rPr>
      <w:t xml:space="preserve"> </w:t>
    </w:r>
    <w:r>
      <w:rPr>
        <w:rFonts w:ascii="Berylum" w:hAnsi="Berylum"/>
        <w:bCs/>
        <w:iCs/>
        <w:sz w:val="22"/>
        <w:szCs w:val="22"/>
      </w:rPr>
      <w:t xml:space="preserve">Palacio de Justicia, Torre B </w:t>
    </w:r>
    <w:r w:rsidRPr="009D10D5">
      <w:rPr>
        <w:rFonts w:ascii="Berylum" w:hAnsi="Berylum"/>
        <w:bCs/>
        <w:iCs/>
        <w:sz w:val="22"/>
        <w:szCs w:val="22"/>
      </w:rPr>
      <w:t>Tel: (</w:t>
    </w:r>
    <w:r>
      <w:rPr>
        <w:rFonts w:ascii="Berylum" w:hAnsi="Berylum"/>
        <w:bCs/>
        <w:iCs/>
        <w:sz w:val="22"/>
        <w:szCs w:val="22"/>
      </w:rPr>
      <w:t>8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 xml:space="preserve">6622899 Fax. </w:t>
    </w:r>
    <w:r w:rsidRPr="009D10D5">
      <w:rPr>
        <w:rFonts w:ascii="Berylum" w:hAnsi="Berylum"/>
        <w:bCs/>
        <w:iCs/>
        <w:sz w:val="22"/>
        <w:szCs w:val="22"/>
      </w:rPr>
      <w:t>(</w:t>
    </w:r>
    <w:r>
      <w:rPr>
        <w:rFonts w:ascii="Berylum" w:hAnsi="Berylum"/>
        <w:bCs/>
        <w:iCs/>
        <w:sz w:val="22"/>
        <w:szCs w:val="22"/>
      </w:rPr>
      <w:t>8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>6629503</w:t>
    </w:r>
  </w:p>
  <w:p w:rsidR="000669BB" w:rsidRPr="007F3D4B" w:rsidRDefault="00CD56C8" w:rsidP="000669BB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0669BB" w:rsidRPr="00AC41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0669BB">
      <w:rPr>
        <w:rFonts w:ascii="Berylum" w:hAnsi="Berylum"/>
        <w:bCs/>
        <w:iCs/>
        <w:sz w:val="22"/>
        <w:szCs w:val="22"/>
      </w:rPr>
      <w:t xml:space="preserve"> - </w:t>
    </w:r>
    <w:r w:rsidR="000669BB" w:rsidRPr="000669BB">
      <w:rPr>
        <w:rFonts w:ascii="Berylum" w:hAnsi="Berylum"/>
        <w:bCs/>
        <w:iCs/>
        <w:sz w:val="22"/>
        <w:szCs w:val="22"/>
      </w:rPr>
      <w:t>E mail: psameta@cendoj.ramajudicial.gov.co</w:t>
    </w:r>
  </w:p>
  <w:p w:rsidR="00EB57BB" w:rsidRPr="000669BB" w:rsidRDefault="00EB57BB" w:rsidP="000669BB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4B" w:rsidRDefault="00E456BE" w:rsidP="00AA428E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-447040</wp:posOffset>
          </wp:positionV>
          <wp:extent cx="1587500" cy="920115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4B" w:rsidRPr="009D10D5">
      <w:rPr>
        <w:rFonts w:ascii="Berylum" w:hAnsi="Berylum"/>
        <w:bCs/>
        <w:iCs/>
        <w:sz w:val="22"/>
        <w:szCs w:val="22"/>
      </w:rPr>
      <w:t xml:space="preserve">Carrera </w:t>
    </w:r>
    <w:r w:rsidR="007F3D4B">
      <w:rPr>
        <w:rFonts w:ascii="Berylum" w:hAnsi="Berylum"/>
        <w:bCs/>
        <w:iCs/>
        <w:sz w:val="22"/>
        <w:szCs w:val="22"/>
      </w:rPr>
      <w:t>2</w:t>
    </w:r>
    <w:r w:rsidR="00A13CB6">
      <w:rPr>
        <w:rFonts w:ascii="Berylum" w:hAnsi="Berylum"/>
        <w:bCs/>
        <w:iCs/>
        <w:sz w:val="22"/>
        <w:szCs w:val="22"/>
      </w:rPr>
      <w:t>9</w:t>
    </w:r>
    <w:r w:rsidR="007F3D4B" w:rsidRPr="009D10D5">
      <w:rPr>
        <w:rFonts w:ascii="Berylum" w:hAnsi="Berylum"/>
        <w:bCs/>
        <w:iCs/>
        <w:sz w:val="22"/>
        <w:szCs w:val="22"/>
      </w:rPr>
      <w:t xml:space="preserve"> No. </w:t>
    </w:r>
    <w:r w:rsidR="00A13CB6">
      <w:rPr>
        <w:rFonts w:ascii="Berylum" w:hAnsi="Berylum"/>
        <w:bCs/>
        <w:iCs/>
        <w:sz w:val="22"/>
        <w:szCs w:val="22"/>
      </w:rPr>
      <w:t>33</w:t>
    </w:r>
    <w:r w:rsidR="000669BB">
      <w:rPr>
        <w:rFonts w:ascii="Berylum" w:hAnsi="Berylum"/>
        <w:bCs/>
        <w:iCs/>
        <w:sz w:val="22"/>
        <w:szCs w:val="22"/>
      </w:rPr>
      <w:t>B</w:t>
    </w:r>
    <w:r w:rsidR="007F3D4B" w:rsidRPr="009D10D5">
      <w:rPr>
        <w:rFonts w:ascii="Berylum" w:hAnsi="Berylum"/>
        <w:bCs/>
        <w:iCs/>
        <w:sz w:val="22"/>
        <w:szCs w:val="22"/>
      </w:rPr>
      <w:t xml:space="preserve"> – </w:t>
    </w:r>
    <w:r w:rsidR="00A13CB6">
      <w:rPr>
        <w:rFonts w:ascii="Berylum" w:hAnsi="Berylum"/>
        <w:bCs/>
        <w:iCs/>
        <w:sz w:val="22"/>
        <w:szCs w:val="22"/>
      </w:rPr>
      <w:t>79</w:t>
    </w:r>
    <w:r w:rsidR="007F3D4B" w:rsidRPr="009D10D5">
      <w:rPr>
        <w:rFonts w:ascii="Berylum" w:hAnsi="Berylum"/>
        <w:bCs/>
        <w:iCs/>
        <w:sz w:val="22"/>
        <w:szCs w:val="22"/>
      </w:rPr>
      <w:t xml:space="preserve"> </w:t>
    </w:r>
    <w:r w:rsidR="00A13CB6">
      <w:rPr>
        <w:rFonts w:ascii="Berylum" w:hAnsi="Berylum"/>
        <w:bCs/>
        <w:iCs/>
        <w:sz w:val="22"/>
        <w:szCs w:val="22"/>
      </w:rPr>
      <w:t>Palacio de Justicia</w:t>
    </w:r>
    <w:r w:rsidR="000669BB">
      <w:rPr>
        <w:rFonts w:ascii="Berylum" w:hAnsi="Berylum"/>
        <w:bCs/>
        <w:iCs/>
        <w:sz w:val="22"/>
        <w:szCs w:val="22"/>
      </w:rPr>
      <w:t>, Torre B</w:t>
    </w:r>
    <w:r w:rsidR="00A13CB6">
      <w:rPr>
        <w:rFonts w:ascii="Berylum" w:hAnsi="Berylum"/>
        <w:bCs/>
        <w:iCs/>
        <w:sz w:val="22"/>
        <w:szCs w:val="22"/>
      </w:rPr>
      <w:t xml:space="preserve"> </w:t>
    </w:r>
    <w:r w:rsidR="007F3D4B" w:rsidRPr="009D10D5">
      <w:rPr>
        <w:rFonts w:ascii="Berylum" w:hAnsi="Berylum"/>
        <w:bCs/>
        <w:iCs/>
        <w:sz w:val="22"/>
        <w:szCs w:val="22"/>
      </w:rPr>
      <w:t>Tel: (</w:t>
    </w:r>
    <w:r w:rsidR="00A13CB6">
      <w:rPr>
        <w:rFonts w:ascii="Berylum" w:hAnsi="Berylum"/>
        <w:bCs/>
        <w:iCs/>
        <w:sz w:val="22"/>
        <w:szCs w:val="22"/>
      </w:rPr>
      <w:t>8</w:t>
    </w:r>
    <w:r w:rsidR="007F3D4B" w:rsidRPr="009D10D5">
      <w:rPr>
        <w:rFonts w:ascii="Berylum" w:hAnsi="Berylum"/>
        <w:bCs/>
        <w:iCs/>
        <w:sz w:val="22"/>
        <w:szCs w:val="22"/>
      </w:rPr>
      <w:t xml:space="preserve">) </w:t>
    </w:r>
    <w:r w:rsidR="00A13CB6">
      <w:rPr>
        <w:rFonts w:ascii="Berylum" w:hAnsi="Berylum"/>
        <w:bCs/>
        <w:iCs/>
        <w:sz w:val="22"/>
        <w:szCs w:val="22"/>
      </w:rPr>
      <w:t>6622899</w:t>
    </w:r>
    <w:r w:rsidR="007F3D4B">
      <w:rPr>
        <w:rFonts w:ascii="Berylum" w:hAnsi="Berylum"/>
        <w:bCs/>
        <w:iCs/>
        <w:sz w:val="22"/>
        <w:szCs w:val="22"/>
      </w:rPr>
      <w:t xml:space="preserve"> Fax. </w:t>
    </w:r>
    <w:r w:rsidR="007F3D4B" w:rsidRPr="009D10D5">
      <w:rPr>
        <w:rFonts w:ascii="Berylum" w:hAnsi="Berylum"/>
        <w:bCs/>
        <w:iCs/>
        <w:sz w:val="22"/>
        <w:szCs w:val="22"/>
      </w:rPr>
      <w:t>(</w:t>
    </w:r>
    <w:r w:rsidR="00A13CB6">
      <w:rPr>
        <w:rFonts w:ascii="Berylum" w:hAnsi="Berylum"/>
        <w:bCs/>
        <w:iCs/>
        <w:sz w:val="22"/>
        <w:szCs w:val="22"/>
      </w:rPr>
      <w:t>8</w:t>
    </w:r>
    <w:r w:rsidR="007F3D4B" w:rsidRPr="009D10D5">
      <w:rPr>
        <w:rFonts w:ascii="Berylum" w:hAnsi="Berylum"/>
        <w:bCs/>
        <w:iCs/>
        <w:sz w:val="22"/>
        <w:szCs w:val="22"/>
      </w:rPr>
      <w:t xml:space="preserve">) </w:t>
    </w:r>
    <w:r w:rsidR="00A13CB6">
      <w:rPr>
        <w:rFonts w:ascii="Berylum" w:hAnsi="Berylum"/>
        <w:bCs/>
        <w:iCs/>
        <w:sz w:val="22"/>
        <w:szCs w:val="22"/>
      </w:rPr>
      <w:t>6629503</w:t>
    </w:r>
  </w:p>
  <w:p w:rsidR="00FC4A19" w:rsidRPr="007F3D4B" w:rsidRDefault="00CD56C8" w:rsidP="00AA428E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0669BB" w:rsidRPr="00AC41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0669BB">
      <w:rPr>
        <w:rFonts w:ascii="Berylum" w:hAnsi="Berylum"/>
        <w:bCs/>
        <w:iCs/>
        <w:sz w:val="22"/>
        <w:szCs w:val="22"/>
      </w:rPr>
      <w:t xml:space="preserve"> - </w:t>
    </w:r>
    <w:r w:rsidR="000669BB" w:rsidRPr="000669BB">
      <w:rPr>
        <w:rFonts w:ascii="Berylum" w:hAnsi="Berylum"/>
        <w:bCs/>
        <w:iCs/>
        <w:sz w:val="22"/>
        <w:szCs w:val="22"/>
      </w:rPr>
      <w:t xml:space="preserve">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C8" w:rsidRDefault="00CD56C8">
      <w:r>
        <w:separator/>
      </w:r>
    </w:p>
  </w:footnote>
  <w:footnote w:type="continuationSeparator" w:id="0">
    <w:p w:rsidR="00CD56C8" w:rsidRDefault="00CD5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E456BE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412" w:rsidRDefault="00E456BE" w:rsidP="00690412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8255" b="8255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412" w:rsidRPr="008B5ADA" w:rsidRDefault="00690412" w:rsidP="0069041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690412" w:rsidRDefault="00690412" w:rsidP="00690412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E85"/>
    <w:rsid w:val="000314BA"/>
    <w:rsid w:val="00040670"/>
    <w:rsid w:val="000669BB"/>
    <w:rsid w:val="0006744B"/>
    <w:rsid w:val="00083299"/>
    <w:rsid w:val="000A3EF5"/>
    <w:rsid w:val="000B2BDE"/>
    <w:rsid w:val="000D6B46"/>
    <w:rsid w:val="001158D9"/>
    <w:rsid w:val="00130C72"/>
    <w:rsid w:val="00133C58"/>
    <w:rsid w:val="00141C2B"/>
    <w:rsid w:val="00154C7A"/>
    <w:rsid w:val="00177309"/>
    <w:rsid w:val="00181165"/>
    <w:rsid w:val="001D22F5"/>
    <w:rsid w:val="0021036F"/>
    <w:rsid w:val="00210A25"/>
    <w:rsid w:val="0024764D"/>
    <w:rsid w:val="00282055"/>
    <w:rsid w:val="002B2ADA"/>
    <w:rsid w:val="002E21FC"/>
    <w:rsid w:val="002E2DED"/>
    <w:rsid w:val="002F6D48"/>
    <w:rsid w:val="00333FBC"/>
    <w:rsid w:val="003414B6"/>
    <w:rsid w:val="00365D50"/>
    <w:rsid w:val="003933B8"/>
    <w:rsid w:val="003A375E"/>
    <w:rsid w:val="003C4F5B"/>
    <w:rsid w:val="003D0559"/>
    <w:rsid w:val="003D7B78"/>
    <w:rsid w:val="003E1C1C"/>
    <w:rsid w:val="003E1C3D"/>
    <w:rsid w:val="00423F7D"/>
    <w:rsid w:val="0047231F"/>
    <w:rsid w:val="004746A3"/>
    <w:rsid w:val="004766AE"/>
    <w:rsid w:val="004C2684"/>
    <w:rsid w:val="004D1C96"/>
    <w:rsid w:val="004D216F"/>
    <w:rsid w:val="004E24BB"/>
    <w:rsid w:val="005100A7"/>
    <w:rsid w:val="00550E43"/>
    <w:rsid w:val="00556483"/>
    <w:rsid w:val="0057767D"/>
    <w:rsid w:val="005A442C"/>
    <w:rsid w:val="005D3F86"/>
    <w:rsid w:val="00633B83"/>
    <w:rsid w:val="0066374C"/>
    <w:rsid w:val="00663ECA"/>
    <w:rsid w:val="0068568E"/>
    <w:rsid w:val="00690412"/>
    <w:rsid w:val="006E56B5"/>
    <w:rsid w:val="00705C84"/>
    <w:rsid w:val="00706BBA"/>
    <w:rsid w:val="0071695D"/>
    <w:rsid w:val="00723D39"/>
    <w:rsid w:val="007353F8"/>
    <w:rsid w:val="00761640"/>
    <w:rsid w:val="007B6693"/>
    <w:rsid w:val="007F3C75"/>
    <w:rsid w:val="007F3D4B"/>
    <w:rsid w:val="00800C51"/>
    <w:rsid w:val="00841EE1"/>
    <w:rsid w:val="008B5ADA"/>
    <w:rsid w:val="008B6FDD"/>
    <w:rsid w:val="008E4941"/>
    <w:rsid w:val="008E6048"/>
    <w:rsid w:val="008F33F5"/>
    <w:rsid w:val="008F3FF1"/>
    <w:rsid w:val="00900415"/>
    <w:rsid w:val="00910221"/>
    <w:rsid w:val="00936DBD"/>
    <w:rsid w:val="00987794"/>
    <w:rsid w:val="009D0DC6"/>
    <w:rsid w:val="00A05DA7"/>
    <w:rsid w:val="00A13CB6"/>
    <w:rsid w:val="00A31FA3"/>
    <w:rsid w:val="00A373D0"/>
    <w:rsid w:val="00A71342"/>
    <w:rsid w:val="00AA428E"/>
    <w:rsid w:val="00AC10CF"/>
    <w:rsid w:val="00AC50DF"/>
    <w:rsid w:val="00AF4BF8"/>
    <w:rsid w:val="00B041BB"/>
    <w:rsid w:val="00B30BEA"/>
    <w:rsid w:val="00B61BFA"/>
    <w:rsid w:val="00B730BF"/>
    <w:rsid w:val="00B82935"/>
    <w:rsid w:val="00BA2A44"/>
    <w:rsid w:val="00BA6DA6"/>
    <w:rsid w:val="00BD451D"/>
    <w:rsid w:val="00BF3C11"/>
    <w:rsid w:val="00C045CB"/>
    <w:rsid w:val="00C267DD"/>
    <w:rsid w:val="00C66109"/>
    <w:rsid w:val="00C67BB9"/>
    <w:rsid w:val="00CC1F2C"/>
    <w:rsid w:val="00CD56C8"/>
    <w:rsid w:val="00D11EAC"/>
    <w:rsid w:val="00D162A6"/>
    <w:rsid w:val="00D5705C"/>
    <w:rsid w:val="00D62DCA"/>
    <w:rsid w:val="00DC1D58"/>
    <w:rsid w:val="00DC3E2C"/>
    <w:rsid w:val="00DC7CD9"/>
    <w:rsid w:val="00E25B63"/>
    <w:rsid w:val="00E456BE"/>
    <w:rsid w:val="00E747EC"/>
    <w:rsid w:val="00E84C5F"/>
    <w:rsid w:val="00EB1FA2"/>
    <w:rsid w:val="00EB57BB"/>
    <w:rsid w:val="00ED54DC"/>
    <w:rsid w:val="00ED5B1A"/>
    <w:rsid w:val="00EE0EBC"/>
    <w:rsid w:val="00EE7DD7"/>
    <w:rsid w:val="00EF0ECF"/>
    <w:rsid w:val="00EF7E5F"/>
    <w:rsid w:val="00F20731"/>
    <w:rsid w:val="00F31B69"/>
    <w:rsid w:val="00F548CE"/>
    <w:rsid w:val="00F8618F"/>
    <w:rsid w:val="00FA2CF0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C90BEBA-B543-4D46-AC17-7E19C08B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406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character" w:customStyle="1" w:styleId="Ttulo4Car">
    <w:name w:val="Título 4 Car"/>
    <w:link w:val="Ttulo4"/>
    <w:semiHidden/>
    <w:rsid w:val="00040670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040670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link w:val="Textoindependiente"/>
    <w:rsid w:val="00040670"/>
    <w:rPr>
      <w:rFonts w:ascii="Arial" w:hAnsi="Arial"/>
      <w:sz w:val="24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0406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4"/>
      <w:szCs w:val="20"/>
      <w:lang w:val="es-CO"/>
    </w:rPr>
  </w:style>
  <w:style w:type="character" w:customStyle="1" w:styleId="Ttulo5Car">
    <w:name w:val="Título 5 Car"/>
    <w:link w:val="Ttulo5"/>
    <w:rsid w:val="00040670"/>
    <w:rPr>
      <w:rFonts w:ascii="Tahoma" w:eastAsia="Arial Unicode MS" w:hAnsi="Tahoma" w:cs="Tahoma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3298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2019-03-12T17:01:00Z</dcterms:created>
  <dcterms:modified xsi:type="dcterms:W3CDTF">2019-03-12T17:01:00Z</dcterms:modified>
</cp:coreProperties>
</file>