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4C" w:rsidRPr="00CE6E4C" w:rsidRDefault="00CE6E4C" w:rsidP="00CE6E4C">
      <w:pPr>
        <w:rPr>
          <w:rFonts w:ascii="Arial" w:hAnsi="Arial" w:cs="Arial"/>
          <w:b/>
          <w:sz w:val="28"/>
          <w:szCs w:val="28"/>
        </w:rPr>
      </w:pPr>
      <w:r w:rsidRPr="00CE6E4C">
        <w:rPr>
          <w:rFonts w:ascii="Arial" w:hAnsi="Arial" w:cs="Arial"/>
          <w:b/>
          <w:noProof/>
          <w:sz w:val="28"/>
          <w:szCs w:val="28"/>
          <w:lang w:eastAsia="es-CO"/>
        </w:rPr>
        <w:drawing>
          <wp:inline distT="0" distB="0" distL="0" distR="0">
            <wp:extent cx="4549775" cy="1322577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584" cy="13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4C" w:rsidRDefault="00CE6E4C" w:rsidP="00CE6E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E6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4C">
        <w:rPr>
          <w:rFonts w:ascii="Arial" w:hAnsi="Arial" w:cs="Arial"/>
          <w:b/>
          <w:sz w:val="28"/>
          <w:szCs w:val="28"/>
        </w:rPr>
        <w:t xml:space="preserve">Consejo Superior de la Judicatura </w:t>
      </w:r>
    </w:p>
    <w:p w:rsidR="00CE6E4C" w:rsidRDefault="00CE6E4C" w:rsidP="00CE6E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E6E4C">
        <w:rPr>
          <w:rFonts w:ascii="Arial" w:hAnsi="Arial" w:cs="Arial"/>
          <w:b/>
          <w:sz w:val="28"/>
          <w:szCs w:val="28"/>
        </w:rPr>
        <w:t>Consejo Seccional de la Judicatura del Meta</w:t>
      </w:r>
    </w:p>
    <w:p w:rsidR="00CE6E4C" w:rsidRDefault="00CE6E4C" w:rsidP="00CE6E4C">
      <w:pPr>
        <w:jc w:val="center"/>
        <w:rPr>
          <w:rFonts w:ascii="Arial" w:hAnsi="Arial" w:cs="Arial"/>
          <w:b/>
          <w:sz w:val="28"/>
          <w:szCs w:val="28"/>
        </w:rPr>
      </w:pPr>
    </w:p>
    <w:p w:rsidR="00CE6E4C" w:rsidRPr="00CE6E4C" w:rsidRDefault="00CE6E4C" w:rsidP="00CE6E4C">
      <w:pPr>
        <w:jc w:val="center"/>
        <w:rPr>
          <w:rFonts w:ascii="Arial" w:hAnsi="Arial" w:cs="Arial"/>
          <w:b/>
          <w:sz w:val="28"/>
          <w:szCs w:val="28"/>
        </w:rPr>
      </w:pPr>
      <w:r w:rsidRPr="00CE6E4C">
        <w:rPr>
          <w:rFonts w:ascii="Arial" w:hAnsi="Arial" w:cs="Arial"/>
          <w:b/>
          <w:sz w:val="28"/>
          <w:szCs w:val="28"/>
        </w:rPr>
        <w:t>CONSTANCIA DE FIJACIÓN</w:t>
      </w:r>
      <w:bookmarkStart w:id="0" w:name="_GoBack"/>
      <w:bookmarkEnd w:id="0"/>
    </w:p>
    <w:p w:rsidR="00CE6E4C" w:rsidRDefault="00CE6E4C"/>
    <w:p w:rsidR="00CE6E4C" w:rsidRPr="00CE6E4C" w:rsidRDefault="00CE6E4C" w:rsidP="00CE6E4C">
      <w:pPr>
        <w:jc w:val="both"/>
        <w:rPr>
          <w:rFonts w:ascii="Arial" w:hAnsi="Arial" w:cs="Arial"/>
          <w:sz w:val="28"/>
          <w:szCs w:val="28"/>
        </w:rPr>
      </w:pPr>
      <w:r w:rsidRPr="00CE6E4C">
        <w:rPr>
          <w:rFonts w:ascii="Arial" w:hAnsi="Arial" w:cs="Arial"/>
          <w:sz w:val="28"/>
          <w:szCs w:val="28"/>
        </w:rPr>
        <w:t xml:space="preserve">Siendo las 08:00 a.m., del 24 de mayo de 2021, se publica la siguiente Resolución: </w:t>
      </w:r>
    </w:p>
    <w:p w:rsidR="00CE6E4C" w:rsidRDefault="00CE6E4C" w:rsidP="00CE6E4C">
      <w:pPr>
        <w:pStyle w:val="Default"/>
        <w:jc w:val="both"/>
        <w:rPr>
          <w:i/>
          <w:iCs/>
          <w:sz w:val="28"/>
          <w:szCs w:val="28"/>
        </w:rPr>
      </w:pPr>
      <w:r w:rsidRPr="00CE6E4C">
        <w:rPr>
          <w:sz w:val="28"/>
          <w:szCs w:val="28"/>
        </w:rPr>
        <w:sym w:font="Symbol" w:char="F0B7"/>
      </w:r>
      <w:r w:rsidRPr="00CE6E4C">
        <w:rPr>
          <w:sz w:val="28"/>
          <w:szCs w:val="28"/>
        </w:rPr>
        <w:t xml:space="preserve"> </w:t>
      </w:r>
      <w:r w:rsidRPr="00CE6E4C">
        <w:rPr>
          <w:b/>
          <w:sz w:val="28"/>
          <w:szCs w:val="28"/>
        </w:rPr>
        <w:t>Resolución No. CSJ</w:t>
      </w:r>
      <w:r w:rsidRPr="00CE6E4C">
        <w:rPr>
          <w:b/>
          <w:sz w:val="28"/>
          <w:szCs w:val="28"/>
        </w:rPr>
        <w:t>MER</w:t>
      </w:r>
      <w:r w:rsidRPr="00CE6E4C">
        <w:rPr>
          <w:b/>
          <w:sz w:val="28"/>
          <w:szCs w:val="28"/>
        </w:rPr>
        <w:t>21-</w:t>
      </w:r>
      <w:r w:rsidRPr="00CE6E4C">
        <w:rPr>
          <w:b/>
          <w:sz w:val="28"/>
          <w:szCs w:val="28"/>
        </w:rPr>
        <w:t>73</w:t>
      </w:r>
      <w:r w:rsidRPr="00CE6E4C">
        <w:rPr>
          <w:sz w:val="28"/>
          <w:szCs w:val="28"/>
        </w:rPr>
        <w:t xml:space="preserve"> del 24 de mayo de 2021 “</w:t>
      </w:r>
      <w:r>
        <w:rPr>
          <w:sz w:val="28"/>
          <w:szCs w:val="28"/>
        </w:rPr>
        <w:t xml:space="preserve"> </w:t>
      </w:r>
      <w:r w:rsidRPr="00CE6E4C">
        <w:rPr>
          <w:i/>
          <w:iCs/>
          <w:sz w:val="28"/>
          <w:szCs w:val="28"/>
        </w:rPr>
        <w:t xml:space="preserve">Por medio de la cual se conforman los Registros Seccionales de Elegibles correspondiente al Concurso de Méritos para cargos de empleados de carrera de Tribunales, Juzgados y Centros de Servicios del Distrito Judicial de Villavicencio y Administrativo del Meta, convocado mediante Acuerdos CSJMEA17-930 de octubre 05 y CSJMEA17-931 de octubre 09 de 2017 </w:t>
      </w:r>
    </w:p>
    <w:p w:rsidR="00CE6E4C" w:rsidRDefault="00CE6E4C" w:rsidP="00CE6E4C">
      <w:pPr>
        <w:pStyle w:val="Default"/>
        <w:jc w:val="both"/>
        <w:rPr>
          <w:i/>
          <w:iCs/>
          <w:sz w:val="28"/>
          <w:szCs w:val="28"/>
        </w:rPr>
      </w:pPr>
    </w:p>
    <w:p w:rsidR="00CE6E4C" w:rsidRDefault="00CE6E4C" w:rsidP="00CE6E4C">
      <w:pPr>
        <w:pStyle w:val="Default"/>
        <w:jc w:val="both"/>
        <w:rPr>
          <w:sz w:val="28"/>
          <w:szCs w:val="28"/>
        </w:rPr>
      </w:pPr>
      <w:r w:rsidRPr="00CE6E4C">
        <w:rPr>
          <w:sz w:val="28"/>
          <w:szCs w:val="28"/>
        </w:rPr>
        <w:t xml:space="preserve">La cual, de conformidad con el cronograma de la convocatoria, tiene un término de notificación del 25 al 31 de mayo de 2021. </w:t>
      </w:r>
    </w:p>
    <w:p w:rsidR="00CE6E4C" w:rsidRDefault="00CE6E4C" w:rsidP="00CE6E4C">
      <w:pPr>
        <w:pStyle w:val="Default"/>
        <w:jc w:val="both"/>
        <w:rPr>
          <w:sz w:val="28"/>
          <w:szCs w:val="28"/>
        </w:rPr>
      </w:pPr>
    </w:p>
    <w:p w:rsidR="00145450" w:rsidRDefault="00CE6E4C" w:rsidP="00CE6E4C">
      <w:pPr>
        <w:pStyle w:val="Default"/>
        <w:jc w:val="both"/>
        <w:rPr>
          <w:sz w:val="28"/>
          <w:szCs w:val="28"/>
        </w:rPr>
      </w:pPr>
      <w:r w:rsidRPr="00CE6E4C">
        <w:rPr>
          <w:sz w:val="28"/>
          <w:szCs w:val="28"/>
        </w:rPr>
        <w:t>Frente al citado acto administrativo, se pueden interponer los recursos de reposición y apelación del 01 al 16 de junio de 2021, tal y como lo establece el referido cronograma.</w:t>
      </w:r>
    </w:p>
    <w:p w:rsidR="00CE6E4C" w:rsidRDefault="00CE6E4C" w:rsidP="00CE6E4C">
      <w:pPr>
        <w:pStyle w:val="Default"/>
        <w:jc w:val="both"/>
        <w:rPr>
          <w:sz w:val="28"/>
          <w:szCs w:val="28"/>
        </w:rPr>
      </w:pPr>
    </w:p>
    <w:p w:rsidR="00CE6E4C" w:rsidRDefault="00CE6E4C" w:rsidP="00CE6E4C">
      <w:pPr>
        <w:pStyle w:val="Default"/>
        <w:jc w:val="both"/>
        <w:rPr>
          <w:sz w:val="28"/>
          <w:szCs w:val="28"/>
        </w:rPr>
      </w:pPr>
    </w:p>
    <w:p w:rsidR="00CE6E4C" w:rsidRDefault="00CE6E4C" w:rsidP="00CE6E4C">
      <w:pPr>
        <w:pStyle w:val="Default"/>
        <w:jc w:val="both"/>
        <w:rPr>
          <w:sz w:val="28"/>
          <w:szCs w:val="28"/>
        </w:rPr>
      </w:pPr>
    </w:p>
    <w:p w:rsidR="00CE6E4C" w:rsidRDefault="00CE6E4C" w:rsidP="00CE6E4C">
      <w:pPr>
        <w:pStyle w:val="Default"/>
        <w:jc w:val="both"/>
        <w:rPr>
          <w:sz w:val="28"/>
          <w:szCs w:val="28"/>
        </w:rPr>
      </w:pPr>
    </w:p>
    <w:p w:rsidR="00CE6E4C" w:rsidRDefault="00CE6E4C" w:rsidP="00CE6E4C">
      <w:pPr>
        <w:pStyle w:val="Default"/>
        <w:jc w:val="both"/>
        <w:rPr>
          <w:sz w:val="28"/>
          <w:szCs w:val="28"/>
        </w:rPr>
      </w:pPr>
    </w:p>
    <w:p w:rsidR="00CE6E4C" w:rsidRPr="00CE6E4C" w:rsidRDefault="00CE6E4C" w:rsidP="00CE6E4C">
      <w:pPr>
        <w:pStyle w:val="Default"/>
        <w:jc w:val="center"/>
        <w:rPr>
          <w:b/>
          <w:sz w:val="28"/>
          <w:szCs w:val="28"/>
        </w:rPr>
      </w:pPr>
      <w:r w:rsidRPr="00CE6E4C">
        <w:rPr>
          <w:b/>
          <w:sz w:val="28"/>
          <w:szCs w:val="28"/>
        </w:rPr>
        <w:t>ANA MARGOTH RAMIREZ COLON</w:t>
      </w:r>
    </w:p>
    <w:p w:rsidR="00CE6E4C" w:rsidRPr="00CE6E4C" w:rsidRDefault="00CE6E4C" w:rsidP="00CE6E4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Secretaria Ad-Hoc</w:t>
      </w:r>
    </w:p>
    <w:sectPr w:rsidR="00CE6E4C" w:rsidRPr="00CE6E4C" w:rsidSect="00CE6E4C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4C"/>
    <w:rsid w:val="00145450"/>
    <w:rsid w:val="004C1539"/>
    <w:rsid w:val="00C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DFC348-7035-4C9B-A9C3-59A5A71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6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MARGOTH RAMIREZ COLON</dc:creator>
  <cp:keywords/>
  <dc:description/>
  <cp:lastModifiedBy>ANA MARGOTH RAMIREZ COLON</cp:lastModifiedBy>
  <cp:revision>2</cp:revision>
  <dcterms:created xsi:type="dcterms:W3CDTF">2021-05-24T15:29:00Z</dcterms:created>
  <dcterms:modified xsi:type="dcterms:W3CDTF">2021-05-24T15:39:00Z</dcterms:modified>
</cp:coreProperties>
</file>