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252095C9"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EA0A6C">
        <w:rPr>
          <w:rFonts w:ascii="Maiandra GD" w:hAnsi="Maiandra GD" w:cs="Arial"/>
          <w:sz w:val="22"/>
          <w:szCs w:val="22"/>
          <w:lang w:val="es-ES"/>
        </w:rPr>
        <w:t>SANDRA PATRICIA TORRES RUIZ</w:t>
      </w:r>
      <w:r w:rsidR="004E5484">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2E7AD1">
        <w:rPr>
          <w:rFonts w:ascii="Helvetica" w:hAnsi="Helvetica" w:cs="Helvetica"/>
          <w:color w:val="000000"/>
          <w:shd w:val="clear" w:color="auto" w:fill="FFFFFF"/>
        </w:rPr>
        <w:t xml:space="preserve"> </w:t>
      </w:r>
      <w:r w:rsidR="00EA0A6C">
        <w:rPr>
          <w:rFonts w:ascii="Helvetica" w:hAnsi="Helvetica" w:cs="Helvetica"/>
          <w:color w:val="000000"/>
          <w:shd w:val="clear" w:color="auto" w:fill="FFFFFF"/>
        </w:rPr>
        <w:t>1.012.405.360</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3769DE8A"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EA0A6C">
        <w:rPr>
          <w:rFonts w:ascii="Maiandra GD" w:hAnsi="Maiandra GD" w:cs="Arial"/>
          <w:sz w:val="22"/>
          <w:szCs w:val="22"/>
          <w:lang w:val="es-ES"/>
        </w:rPr>
        <w:t>a</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30732" w14:textId="77777777" w:rsidR="00703E8E" w:rsidRDefault="00703E8E" w:rsidP="00FC3882">
      <w:r>
        <w:separator/>
      </w:r>
    </w:p>
  </w:endnote>
  <w:endnote w:type="continuationSeparator" w:id="0">
    <w:p w14:paraId="6164D295" w14:textId="77777777" w:rsidR="00703E8E" w:rsidRDefault="00703E8E"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703E8E"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B1D60" w14:textId="77777777" w:rsidR="00703E8E" w:rsidRDefault="00703E8E" w:rsidP="00FC3882">
      <w:r>
        <w:separator/>
      </w:r>
    </w:p>
  </w:footnote>
  <w:footnote w:type="continuationSeparator" w:id="0">
    <w:p w14:paraId="0F60137F" w14:textId="77777777" w:rsidR="00703E8E" w:rsidRDefault="00703E8E"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657F4"/>
    <w:rsid w:val="002A1892"/>
    <w:rsid w:val="002E7AD1"/>
    <w:rsid w:val="00326C4C"/>
    <w:rsid w:val="00326E06"/>
    <w:rsid w:val="003321D0"/>
    <w:rsid w:val="0034193D"/>
    <w:rsid w:val="003453D8"/>
    <w:rsid w:val="00417F88"/>
    <w:rsid w:val="00422331"/>
    <w:rsid w:val="004A778B"/>
    <w:rsid w:val="004B01AE"/>
    <w:rsid w:val="004E0444"/>
    <w:rsid w:val="004E5484"/>
    <w:rsid w:val="00530857"/>
    <w:rsid w:val="0056261E"/>
    <w:rsid w:val="005667ED"/>
    <w:rsid w:val="00575A3C"/>
    <w:rsid w:val="00594A5C"/>
    <w:rsid w:val="005B6647"/>
    <w:rsid w:val="006A171E"/>
    <w:rsid w:val="006B16C4"/>
    <w:rsid w:val="006D2E06"/>
    <w:rsid w:val="006D5CBB"/>
    <w:rsid w:val="00703E8E"/>
    <w:rsid w:val="00707EDD"/>
    <w:rsid w:val="0071368F"/>
    <w:rsid w:val="00721563"/>
    <w:rsid w:val="007663E3"/>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D40C7"/>
    <w:rsid w:val="00AD4245"/>
    <w:rsid w:val="00B11F1D"/>
    <w:rsid w:val="00B338C9"/>
    <w:rsid w:val="00B631A0"/>
    <w:rsid w:val="00B946C8"/>
    <w:rsid w:val="00C00A86"/>
    <w:rsid w:val="00C062E2"/>
    <w:rsid w:val="00C45CB3"/>
    <w:rsid w:val="00C7142D"/>
    <w:rsid w:val="00C71AC6"/>
    <w:rsid w:val="00C81991"/>
    <w:rsid w:val="00D12513"/>
    <w:rsid w:val="00D50AA1"/>
    <w:rsid w:val="00DF64C5"/>
    <w:rsid w:val="00E34775"/>
    <w:rsid w:val="00E4108E"/>
    <w:rsid w:val="00E43311"/>
    <w:rsid w:val="00E47D62"/>
    <w:rsid w:val="00E543C6"/>
    <w:rsid w:val="00E64585"/>
    <w:rsid w:val="00E8078F"/>
    <w:rsid w:val="00E97961"/>
    <w:rsid w:val="00EA0A6C"/>
    <w:rsid w:val="00ED08E0"/>
    <w:rsid w:val="00FA10CA"/>
    <w:rsid w:val="00FA31F2"/>
    <w:rsid w:val="00FC3882"/>
    <w:rsid w:val="00FC47D7"/>
    <w:rsid w:val="00FE6864"/>
    <w:rsid w:val="00FF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2020-09-02T23:59:00Z</dcterms:created>
  <dcterms:modified xsi:type="dcterms:W3CDTF">2020-09-02T23:59:00Z</dcterms:modified>
</cp:coreProperties>
</file>