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95818" w14:textId="77777777" w:rsidR="00911CE6" w:rsidRPr="00C05343" w:rsidRDefault="00911CE6" w:rsidP="00911CE6">
      <w:pPr>
        <w:tabs>
          <w:tab w:val="left" w:pos="960"/>
          <w:tab w:val="left" w:pos="1680"/>
        </w:tabs>
        <w:rPr>
          <w:rFonts w:ascii="Tahoma" w:hAnsi="Tahoma" w:cs="Tahoma"/>
          <w:b/>
          <w:lang w:val="es-CO"/>
        </w:rPr>
      </w:pPr>
      <w:bookmarkStart w:id="0" w:name="_GoBack"/>
      <w:bookmarkEnd w:id="0"/>
    </w:p>
    <w:p w14:paraId="1D2546D2" w14:textId="77777777" w:rsidR="00842A53" w:rsidRPr="00837AD1" w:rsidRDefault="00911CE6" w:rsidP="00842A53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837AD1">
        <w:rPr>
          <w:rFonts w:ascii="Arial" w:hAnsi="Arial" w:cs="Arial"/>
          <w:sz w:val="22"/>
          <w:szCs w:val="22"/>
          <w:lang w:val="es-CO"/>
        </w:rPr>
        <w:t xml:space="preserve">C I R C U L A R </w:t>
      </w:r>
      <w:r w:rsidR="00842A53" w:rsidRPr="00837AD1">
        <w:rPr>
          <w:rFonts w:ascii="Arial" w:hAnsi="Arial" w:cs="Arial"/>
          <w:sz w:val="22"/>
          <w:szCs w:val="22"/>
          <w:lang w:val="es-CO"/>
        </w:rPr>
        <w:t xml:space="preserve"> </w:t>
      </w:r>
      <w:r w:rsidR="004854FF">
        <w:rPr>
          <w:rFonts w:ascii="Arial" w:hAnsi="Arial" w:cs="Arial"/>
          <w:sz w:val="22"/>
          <w:szCs w:val="22"/>
          <w:lang w:val="es-CO"/>
        </w:rPr>
        <w:t>DEAJC20-15</w:t>
      </w:r>
    </w:p>
    <w:p w14:paraId="3A1A9F4F" w14:textId="77777777" w:rsidR="00911CE6" w:rsidRPr="00837AD1" w:rsidRDefault="00911CE6" w:rsidP="00911CE6">
      <w:pPr>
        <w:tabs>
          <w:tab w:val="left" w:pos="960"/>
          <w:tab w:val="left" w:pos="1680"/>
        </w:tabs>
        <w:jc w:val="center"/>
        <w:rPr>
          <w:rFonts w:ascii="Arial" w:hAnsi="Arial" w:cs="Arial"/>
          <w:sz w:val="22"/>
          <w:szCs w:val="22"/>
          <w:lang w:val="es-CO"/>
        </w:rPr>
      </w:pPr>
    </w:p>
    <w:p w14:paraId="2A5E7C4E" w14:textId="77777777" w:rsidR="00911CE6" w:rsidRPr="00837AD1" w:rsidRDefault="00911CE6" w:rsidP="00911CE6">
      <w:pPr>
        <w:tabs>
          <w:tab w:val="left" w:pos="960"/>
          <w:tab w:val="left" w:pos="1680"/>
        </w:tabs>
        <w:rPr>
          <w:rFonts w:ascii="Arial" w:hAnsi="Arial" w:cs="Arial"/>
          <w:sz w:val="22"/>
          <w:szCs w:val="22"/>
          <w:lang w:val="es-CO"/>
        </w:rPr>
      </w:pPr>
    </w:p>
    <w:p w14:paraId="05D397AD" w14:textId="77777777" w:rsidR="00911CE6" w:rsidRPr="00837AD1" w:rsidRDefault="00911CE6" w:rsidP="00911CE6">
      <w:pPr>
        <w:tabs>
          <w:tab w:val="left" w:pos="960"/>
          <w:tab w:val="left" w:pos="1680"/>
        </w:tabs>
        <w:rPr>
          <w:rFonts w:ascii="Arial" w:hAnsi="Arial" w:cs="Arial"/>
          <w:sz w:val="22"/>
          <w:szCs w:val="22"/>
          <w:lang w:val="es-CO"/>
        </w:rPr>
      </w:pPr>
    </w:p>
    <w:p w14:paraId="216E8B6F" w14:textId="77777777" w:rsidR="00911CE6" w:rsidRPr="00837AD1" w:rsidRDefault="009D5626" w:rsidP="009D5626">
      <w:pPr>
        <w:rPr>
          <w:rFonts w:ascii="Arial" w:hAnsi="Arial" w:cs="Arial"/>
          <w:sz w:val="22"/>
          <w:szCs w:val="22"/>
          <w:lang w:val="es-CO"/>
        </w:rPr>
      </w:pPr>
      <w:r w:rsidRPr="00837AD1">
        <w:rPr>
          <w:rFonts w:ascii="Arial" w:hAnsi="Arial" w:cs="Arial"/>
          <w:sz w:val="22"/>
          <w:szCs w:val="22"/>
          <w:lang w:val="es-CO"/>
        </w:rPr>
        <w:t>Fecha</w:t>
      </w:r>
      <w:r w:rsidR="00911CE6" w:rsidRPr="00837AD1">
        <w:rPr>
          <w:rFonts w:ascii="Arial" w:hAnsi="Arial" w:cs="Arial"/>
          <w:sz w:val="22"/>
          <w:szCs w:val="22"/>
          <w:lang w:val="es-CO"/>
        </w:rPr>
        <w:t>:</w:t>
      </w:r>
      <w:r w:rsidR="00911CE6" w:rsidRPr="00837AD1">
        <w:rPr>
          <w:rFonts w:ascii="Arial" w:hAnsi="Arial" w:cs="Arial"/>
          <w:sz w:val="22"/>
          <w:szCs w:val="22"/>
          <w:lang w:val="es-CO"/>
        </w:rPr>
        <w:tab/>
      </w:r>
      <w:r w:rsidR="00911CE6" w:rsidRPr="00837AD1">
        <w:rPr>
          <w:rFonts w:ascii="Arial" w:hAnsi="Arial" w:cs="Arial"/>
          <w:sz w:val="22"/>
          <w:szCs w:val="22"/>
          <w:lang w:val="es-CO"/>
        </w:rPr>
        <w:tab/>
      </w:r>
      <w:r w:rsidR="004854FF">
        <w:rPr>
          <w:rFonts w:ascii="Arial" w:hAnsi="Arial" w:cs="Arial"/>
          <w:sz w:val="22"/>
          <w:szCs w:val="22"/>
          <w:lang w:val="es-CO"/>
        </w:rPr>
        <w:t>4 de marzo de 2020</w:t>
      </w:r>
    </w:p>
    <w:p w14:paraId="28E7F505" w14:textId="77777777" w:rsidR="00911CE6" w:rsidRPr="00837AD1" w:rsidRDefault="00911CE6" w:rsidP="00911CE6">
      <w:pPr>
        <w:tabs>
          <w:tab w:val="left" w:pos="960"/>
          <w:tab w:val="left" w:pos="1680"/>
        </w:tabs>
        <w:rPr>
          <w:rFonts w:ascii="Arial" w:hAnsi="Arial" w:cs="Arial"/>
          <w:sz w:val="22"/>
          <w:szCs w:val="22"/>
          <w:lang w:val="es-CO"/>
        </w:rPr>
      </w:pPr>
    </w:p>
    <w:p w14:paraId="65AF9688" w14:textId="77777777" w:rsidR="00656DF4" w:rsidRPr="00392F2E" w:rsidRDefault="00656DF4" w:rsidP="00656DF4">
      <w:pPr>
        <w:ind w:left="1410" w:hanging="1410"/>
        <w:jc w:val="both"/>
        <w:rPr>
          <w:rFonts w:ascii="Arial" w:hAnsi="Arial" w:cs="Arial"/>
          <w:b/>
          <w:caps/>
          <w:sz w:val="22"/>
          <w:szCs w:val="22"/>
          <w:lang w:val="es-CO"/>
        </w:rPr>
      </w:pPr>
      <w:r w:rsidRPr="00392F2E">
        <w:rPr>
          <w:rFonts w:ascii="Arial" w:hAnsi="Arial" w:cs="Arial"/>
          <w:sz w:val="22"/>
          <w:szCs w:val="22"/>
          <w:lang w:val="es-CO"/>
        </w:rPr>
        <w:t>Para:</w:t>
      </w:r>
      <w:r w:rsidRPr="00392F2E">
        <w:rPr>
          <w:rFonts w:ascii="Arial" w:hAnsi="Arial" w:cs="Arial"/>
          <w:sz w:val="22"/>
          <w:szCs w:val="22"/>
          <w:lang w:val="es-CO"/>
        </w:rPr>
        <w:tab/>
      </w:r>
      <w:r w:rsidRPr="00392F2E">
        <w:rPr>
          <w:rFonts w:ascii="Arial" w:hAnsi="Arial" w:cs="Arial"/>
          <w:sz w:val="22"/>
          <w:szCs w:val="22"/>
          <w:lang w:val="es-CO"/>
        </w:rPr>
        <w:tab/>
      </w:r>
      <w:r w:rsidRPr="00392F2E">
        <w:rPr>
          <w:rFonts w:ascii="Arial" w:hAnsi="Arial" w:cs="Arial"/>
          <w:caps/>
          <w:sz w:val="22"/>
          <w:szCs w:val="22"/>
          <w:lang w:val="es-CO"/>
        </w:rPr>
        <w:t xml:space="preserve">DIRECTORES sECCIONALEs de administración judicial y </w:t>
      </w:r>
      <w:r>
        <w:rPr>
          <w:rFonts w:ascii="Arial" w:hAnsi="Arial" w:cs="Arial"/>
          <w:caps/>
          <w:sz w:val="22"/>
          <w:szCs w:val="22"/>
          <w:lang w:val="es-CO"/>
        </w:rPr>
        <w:t>servidores judiciales</w:t>
      </w:r>
    </w:p>
    <w:p w14:paraId="1C2ED7D2" w14:textId="77777777" w:rsidR="00656DF4" w:rsidRPr="00392F2E" w:rsidRDefault="00656DF4" w:rsidP="00656DF4">
      <w:pPr>
        <w:rPr>
          <w:rFonts w:ascii="Arial" w:hAnsi="Arial" w:cs="Arial"/>
          <w:sz w:val="22"/>
          <w:szCs w:val="22"/>
          <w:lang w:val="es-CO"/>
        </w:rPr>
      </w:pPr>
    </w:p>
    <w:p w14:paraId="4C1A42CB" w14:textId="77777777" w:rsidR="00656DF4" w:rsidRPr="00392F2E" w:rsidRDefault="00656DF4" w:rsidP="00656DF4">
      <w:pPr>
        <w:rPr>
          <w:rFonts w:ascii="Arial" w:hAnsi="Arial" w:cs="Arial"/>
          <w:sz w:val="22"/>
          <w:szCs w:val="22"/>
          <w:lang w:val="es-CO"/>
        </w:rPr>
      </w:pPr>
      <w:r w:rsidRPr="00392F2E">
        <w:rPr>
          <w:rFonts w:ascii="Arial" w:hAnsi="Arial" w:cs="Arial"/>
          <w:sz w:val="22"/>
          <w:szCs w:val="22"/>
          <w:lang w:val="es-CO"/>
        </w:rPr>
        <w:t>De:</w:t>
      </w:r>
      <w:r w:rsidRPr="00392F2E">
        <w:rPr>
          <w:rFonts w:ascii="Arial" w:hAnsi="Arial" w:cs="Arial"/>
          <w:sz w:val="22"/>
          <w:szCs w:val="22"/>
          <w:lang w:val="es-CO"/>
        </w:rPr>
        <w:tab/>
      </w:r>
      <w:r w:rsidRPr="00392F2E">
        <w:rPr>
          <w:rFonts w:ascii="Arial" w:hAnsi="Arial" w:cs="Arial"/>
          <w:sz w:val="22"/>
          <w:szCs w:val="22"/>
          <w:lang w:val="es-CO"/>
        </w:rPr>
        <w:tab/>
        <w:t>DIRECTOR EJECUTIVO DE ADMINISTRACIÓN JUDICIAL</w:t>
      </w:r>
    </w:p>
    <w:p w14:paraId="268145BB" w14:textId="77777777" w:rsidR="00656DF4" w:rsidRPr="00392F2E" w:rsidRDefault="00656DF4" w:rsidP="00656DF4">
      <w:pPr>
        <w:rPr>
          <w:rFonts w:ascii="Arial" w:hAnsi="Arial" w:cs="Arial"/>
          <w:sz w:val="22"/>
          <w:szCs w:val="22"/>
          <w:lang w:val="es-CO"/>
        </w:rPr>
      </w:pPr>
      <w:r w:rsidRPr="00392F2E">
        <w:rPr>
          <w:rFonts w:ascii="Arial" w:hAnsi="Arial" w:cs="Arial"/>
          <w:sz w:val="22"/>
          <w:szCs w:val="22"/>
          <w:lang w:val="es-CO"/>
        </w:rPr>
        <w:tab/>
      </w:r>
    </w:p>
    <w:p w14:paraId="485CE48F" w14:textId="77777777" w:rsidR="00656DF4" w:rsidRPr="00392F2E" w:rsidRDefault="00656DF4" w:rsidP="00656DF4">
      <w:pPr>
        <w:ind w:left="1410" w:hanging="1410"/>
        <w:jc w:val="both"/>
        <w:rPr>
          <w:rFonts w:ascii="Arial" w:hAnsi="Arial" w:cs="Arial"/>
          <w:sz w:val="22"/>
          <w:szCs w:val="22"/>
          <w:lang w:val="es-CO"/>
        </w:rPr>
      </w:pPr>
      <w:r w:rsidRPr="00392F2E">
        <w:rPr>
          <w:rFonts w:ascii="Arial" w:hAnsi="Arial" w:cs="Arial"/>
          <w:sz w:val="22"/>
          <w:szCs w:val="22"/>
          <w:lang w:val="es-CO"/>
        </w:rPr>
        <w:t>Asunto:</w:t>
      </w:r>
      <w:r w:rsidRPr="00392F2E">
        <w:rPr>
          <w:rFonts w:ascii="Arial" w:hAnsi="Arial" w:cs="Arial"/>
          <w:sz w:val="22"/>
          <w:szCs w:val="22"/>
          <w:lang w:val="es-CO"/>
        </w:rPr>
        <w:tab/>
        <w:t>“</w:t>
      </w:r>
      <w:r w:rsidRPr="00392F2E">
        <w:rPr>
          <w:rFonts w:ascii="Arial" w:hAnsi="Arial" w:cs="Arial"/>
          <w:i/>
          <w:iCs/>
          <w:sz w:val="22"/>
          <w:szCs w:val="22"/>
          <w:lang w:val="es-CO"/>
        </w:rPr>
        <w:t>Lineamientos para la prevención del contagio del virus COVID 19 (Coronovirus)”</w:t>
      </w:r>
    </w:p>
    <w:p w14:paraId="2EB922AF" w14:textId="77777777" w:rsidR="00656DF4" w:rsidRPr="00392F2E" w:rsidRDefault="00656DF4" w:rsidP="00656DF4">
      <w:pPr>
        <w:tabs>
          <w:tab w:val="left" w:pos="960"/>
          <w:tab w:val="left" w:pos="1680"/>
        </w:tabs>
        <w:jc w:val="both"/>
        <w:rPr>
          <w:rFonts w:ascii="Arial" w:hAnsi="Arial" w:cs="Arial"/>
          <w:sz w:val="22"/>
          <w:szCs w:val="22"/>
          <w:lang w:val="es-CO"/>
        </w:rPr>
      </w:pPr>
    </w:p>
    <w:p w14:paraId="0F745A29" w14:textId="77777777" w:rsidR="00656DF4" w:rsidRPr="00392F2E" w:rsidRDefault="00656DF4" w:rsidP="00656DF4">
      <w:pPr>
        <w:tabs>
          <w:tab w:val="left" w:pos="960"/>
          <w:tab w:val="left" w:pos="1680"/>
        </w:tabs>
        <w:jc w:val="both"/>
        <w:rPr>
          <w:rFonts w:ascii="Arial" w:hAnsi="Arial" w:cs="Arial"/>
          <w:sz w:val="22"/>
          <w:szCs w:val="22"/>
          <w:lang w:val="es-CO"/>
        </w:rPr>
      </w:pPr>
    </w:p>
    <w:p w14:paraId="7DB38E6A" w14:textId="77777777" w:rsidR="00656DF4" w:rsidRPr="003A6E1B" w:rsidRDefault="00656DF4" w:rsidP="00656DF4">
      <w:pPr>
        <w:jc w:val="both"/>
        <w:rPr>
          <w:rFonts w:ascii="Arial" w:hAnsi="Arial" w:cs="Arial"/>
          <w:sz w:val="22"/>
          <w:szCs w:val="22"/>
          <w:lang w:val="es-MX"/>
        </w:rPr>
      </w:pPr>
      <w:r w:rsidRPr="00392F2E">
        <w:rPr>
          <w:rFonts w:ascii="Arial" w:hAnsi="Arial" w:cs="Arial"/>
          <w:sz w:val="22"/>
          <w:szCs w:val="22"/>
          <w:lang w:val="es-MX"/>
        </w:rPr>
        <w:t>Con ocasión de la aparición del nuevo</w:t>
      </w:r>
      <w:r w:rsidRPr="003A6E1B">
        <w:rPr>
          <w:rFonts w:ascii="Arial" w:hAnsi="Arial" w:cs="Arial"/>
          <w:sz w:val="22"/>
          <w:szCs w:val="22"/>
          <w:lang w:val="es-MX"/>
        </w:rPr>
        <w:t xml:space="preserve"> virus C</w:t>
      </w:r>
      <w:r>
        <w:rPr>
          <w:rFonts w:ascii="Arial" w:hAnsi="Arial" w:cs="Arial"/>
          <w:sz w:val="22"/>
          <w:szCs w:val="22"/>
          <w:lang w:val="es-MX"/>
        </w:rPr>
        <w:t>ovid</w:t>
      </w:r>
      <w:r w:rsidRPr="003A6E1B">
        <w:rPr>
          <w:rFonts w:ascii="Arial" w:hAnsi="Arial" w:cs="Arial"/>
          <w:sz w:val="22"/>
          <w:szCs w:val="22"/>
          <w:lang w:val="es-MX"/>
        </w:rPr>
        <w:t xml:space="preserve"> 19 (</w:t>
      </w:r>
      <w:r>
        <w:rPr>
          <w:rFonts w:ascii="Arial" w:hAnsi="Arial" w:cs="Arial"/>
          <w:sz w:val="22"/>
          <w:szCs w:val="22"/>
          <w:lang w:val="es-MX"/>
        </w:rPr>
        <w:t>C</w:t>
      </w:r>
      <w:r w:rsidRPr="003A6E1B">
        <w:rPr>
          <w:rFonts w:ascii="Arial" w:hAnsi="Arial" w:cs="Arial"/>
          <w:sz w:val="22"/>
          <w:szCs w:val="22"/>
          <w:lang w:val="es-MX"/>
        </w:rPr>
        <w:t>oronavirus)</w:t>
      </w:r>
      <w:r>
        <w:rPr>
          <w:rFonts w:ascii="Arial" w:hAnsi="Arial" w:cs="Arial"/>
          <w:sz w:val="22"/>
          <w:szCs w:val="22"/>
          <w:lang w:val="es-MX"/>
        </w:rPr>
        <w:t xml:space="preserve"> a nivel mundial</w:t>
      </w:r>
      <w:r w:rsidRPr="003A6E1B">
        <w:rPr>
          <w:rFonts w:ascii="Arial" w:hAnsi="Arial" w:cs="Arial"/>
          <w:sz w:val="22"/>
          <w:szCs w:val="22"/>
          <w:lang w:val="es-MX"/>
        </w:rPr>
        <w:t xml:space="preserve">, de manera atenta me permito </w:t>
      </w:r>
      <w:r>
        <w:rPr>
          <w:rFonts w:ascii="Arial" w:hAnsi="Arial" w:cs="Arial"/>
          <w:sz w:val="22"/>
          <w:szCs w:val="22"/>
          <w:lang w:val="es-MX"/>
        </w:rPr>
        <w:t>indic</w:t>
      </w:r>
      <w:r w:rsidRPr="003A6E1B">
        <w:rPr>
          <w:rFonts w:ascii="Arial" w:hAnsi="Arial" w:cs="Arial"/>
          <w:sz w:val="22"/>
          <w:szCs w:val="22"/>
          <w:lang w:val="es-MX"/>
        </w:rPr>
        <w:t xml:space="preserve">ar los principales aspectos </w:t>
      </w:r>
      <w:r>
        <w:rPr>
          <w:rFonts w:ascii="Arial" w:hAnsi="Arial" w:cs="Arial"/>
          <w:sz w:val="22"/>
          <w:szCs w:val="22"/>
          <w:lang w:val="es-MX"/>
        </w:rPr>
        <w:t xml:space="preserve">que se deben </w:t>
      </w:r>
      <w:r w:rsidRPr="003A6E1B">
        <w:rPr>
          <w:rFonts w:ascii="Arial" w:hAnsi="Arial" w:cs="Arial"/>
          <w:sz w:val="22"/>
          <w:szCs w:val="22"/>
          <w:lang w:val="es-MX"/>
        </w:rPr>
        <w:t>te</w:t>
      </w:r>
      <w:r w:rsidRPr="005C2AF5">
        <w:rPr>
          <w:rFonts w:ascii="Arial" w:hAnsi="Arial" w:cs="Arial"/>
          <w:sz w:val="22"/>
          <w:szCs w:val="22"/>
          <w:lang w:val="es-MX"/>
        </w:rPr>
        <w:t xml:space="preserve">ner en cuenta para su prevenir su contagio </w:t>
      </w:r>
      <w:r>
        <w:rPr>
          <w:rFonts w:ascii="Arial" w:hAnsi="Arial" w:cs="Arial"/>
          <w:sz w:val="22"/>
          <w:szCs w:val="22"/>
          <w:lang w:val="es-MX"/>
        </w:rPr>
        <w:t>en los ambientes laborales</w:t>
      </w:r>
      <w:r w:rsidRPr="005C2AF5">
        <w:rPr>
          <w:rFonts w:ascii="Arial" w:hAnsi="Arial" w:cs="Arial"/>
          <w:sz w:val="22"/>
          <w:szCs w:val="22"/>
          <w:lang w:val="es-MX"/>
        </w:rPr>
        <w:t>:</w:t>
      </w:r>
    </w:p>
    <w:p w14:paraId="6C6B6933" w14:textId="77777777" w:rsidR="00656DF4" w:rsidRPr="003A6E1B" w:rsidRDefault="00656DF4" w:rsidP="00656DF4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6FAFAA8F" w14:textId="77777777" w:rsidR="00656DF4" w:rsidRDefault="00656DF4" w:rsidP="00656DF4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</w:t>
      </w:r>
      <w:r w:rsidRPr="003A6E1B">
        <w:rPr>
          <w:rFonts w:ascii="Arial" w:hAnsi="Arial" w:cs="Arial"/>
          <w:lang w:val="es-MX"/>
        </w:rPr>
        <w:t>l Ministerio de</w:t>
      </w:r>
      <w:r>
        <w:rPr>
          <w:rFonts w:ascii="Arial" w:hAnsi="Arial" w:cs="Arial"/>
          <w:lang w:val="es-MX"/>
        </w:rPr>
        <w:t>l</w:t>
      </w:r>
      <w:r w:rsidRPr="003A6E1B">
        <w:rPr>
          <w:rFonts w:ascii="Arial" w:hAnsi="Arial" w:cs="Arial"/>
          <w:lang w:val="es-MX"/>
        </w:rPr>
        <w:t xml:space="preserve"> Trabajo expidió la Circular No.  0017</w:t>
      </w:r>
      <w:r>
        <w:rPr>
          <w:rFonts w:ascii="Arial" w:hAnsi="Arial" w:cs="Arial"/>
          <w:lang w:val="es-MX"/>
        </w:rPr>
        <w:t xml:space="preserve"> del 24 de febrero de 2020</w:t>
      </w:r>
      <w:r w:rsidRPr="003A6E1B"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lang w:val="es-MX"/>
        </w:rPr>
        <w:t xml:space="preserve">donde da a conocer </w:t>
      </w:r>
      <w:r w:rsidRPr="003A6E1B">
        <w:rPr>
          <w:rFonts w:ascii="Arial" w:hAnsi="Arial" w:cs="Arial"/>
          <w:lang w:val="es-MX"/>
        </w:rPr>
        <w:t>los lineamientos mínimos a implementar en materia de promoción</w:t>
      </w:r>
      <w:r>
        <w:rPr>
          <w:rFonts w:ascii="Arial" w:hAnsi="Arial" w:cs="Arial"/>
          <w:lang w:val="es-MX"/>
        </w:rPr>
        <w:t xml:space="preserve">, </w:t>
      </w:r>
      <w:r w:rsidRPr="003A6E1B">
        <w:rPr>
          <w:rFonts w:ascii="Arial" w:hAnsi="Arial" w:cs="Arial"/>
          <w:lang w:val="es-MX"/>
        </w:rPr>
        <w:t>prevención</w:t>
      </w:r>
      <w:r>
        <w:rPr>
          <w:rFonts w:ascii="Arial" w:hAnsi="Arial" w:cs="Arial"/>
          <w:lang w:val="es-MX"/>
        </w:rPr>
        <w:t>, p</w:t>
      </w:r>
      <w:r w:rsidRPr="003A6E1B">
        <w:rPr>
          <w:rFonts w:ascii="Arial" w:hAnsi="Arial" w:cs="Arial"/>
          <w:lang w:val="es-MX"/>
        </w:rPr>
        <w:t xml:space="preserve">reparación, respuesta y atención de casos de enfermedad por </w:t>
      </w:r>
      <w:r>
        <w:rPr>
          <w:rFonts w:ascii="Arial" w:hAnsi="Arial" w:cs="Arial"/>
          <w:lang w:val="es-MX"/>
        </w:rPr>
        <w:t>el virus Covid</w:t>
      </w:r>
      <w:r w:rsidRPr="003A6E1B">
        <w:rPr>
          <w:rFonts w:ascii="Arial" w:hAnsi="Arial" w:cs="Arial"/>
          <w:lang w:val="es-MX"/>
        </w:rPr>
        <w:t xml:space="preserve"> 19, que se deben aplicar de manera obligatoria en ambientes </w:t>
      </w:r>
      <w:r>
        <w:rPr>
          <w:rFonts w:ascii="Arial" w:hAnsi="Arial" w:cs="Arial"/>
          <w:lang w:val="es-MX"/>
        </w:rPr>
        <w:t xml:space="preserve">de trabajo </w:t>
      </w:r>
      <w:r w:rsidRPr="003A6E1B">
        <w:rPr>
          <w:rFonts w:ascii="Arial" w:hAnsi="Arial" w:cs="Arial"/>
          <w:lang w:val="es-MX"/>
        </w:rPr>
        <w:t>en el marco del Sistema General de Riesgos Laborales.</w:t>
      </w:r>
    </w:p>
    <w:p w14:paraId="412F127B" w14:textId="77777777" w:rsidR="00656DF4" w:rsidRPr="003A6E1B" w:rsidRDefault="00656DF4" w:rsidP="00656DF4">
      <w:pPr>
        <w:pStyle w:val="Prrafodelista"/>
        <w:spacing w:after="0"/>
        <w:jc w:val="both"/>
        <w:rPr>
          <w:rFonts w:ascii="Arial" w:hAnsi="Arial" w:cs="Arial"/>
          <w:lang w:val="es-MX"/>
        </w:rPr>
      </w:pPr>
    </w:p>
    <w:p w14:paraId="45E4CD21" w14:textId="77777777" w:rsidR="00656DF4" w:rsidRPr="0005285A" w:rsidRDefault="00656DF4" w:rsidP="00656DF4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lang w:val="es-MX"/>
        </w:rPr>
      </w:pPr>
      <w:r w:rsidRPr="0005285A">
        <w:rPr>
          <w:rFonts w:ascii="Arial" w:hAnsi="Arial" w:cs="Arial"/>
          <w:lang w:val="es-MX"/>
        </w:rPr>
        <w:t xml:space="preserve">Según la clasificación que hace el Ministerio del Trabajo, la Rama Judicial se enmarca en la categoría de riesgo intermedio, que contempla </w:t>
      </w:r>
      <w:r w:rsidRPr="0005285A">
        <w:rPr>
          <w:rFonts w:ascii="Arial" w:hAnsi="Arial" w:cs="Arial"/>
          <w:i/>
          <w:lang w:val="es-MX"/>
        </w:rPr>
        <w:t>“aquellos trabajadores que pudieron tener contacto o exposición a un caso sospechoso o confirmado en un ambiente laboral, en el cual se puede generar transmisión de una persona a otra por su estrecha cercanía”</w:t>
      </w:r>
      <w:r w:rsidRPr="0005285A">
        <w:rPr>
          <w:rFonts w:ascii="Arial" w:hAnsi="Arial" w:cs="Arial"/>
          <w:lang w:val="es-MX"/>
        </w:rPr>
        <w:t xml:space="preserve">. Teniendo en cuenta que se trata de un problema de salud pública, de esta circular se extraen los siguientes parámetros aplicables a la entidad: </w:t>
      </w:r>
    </w:p>
    <w:p w14:paraId="759E39A9" w14:textId="77777777" w:rsidR="00656DF4" w:rsidRPr="003A6E1B" w:rsidRDefault="00656DF4" w:rsidP="00656DF4">
      <w:pPr>
        <w:pStyle w:val="Prrafodelista"/>
        <w:spacing w:after="0"/>
        <w:jc w:val="both"/>
        <w:rPr>
          <w:rFonts w:ascii="Arial" w:hAnsi="Arial" w:cs="Arial"/>
          <w:lang w:val="es-MX"/>
        </w:rPr>
      </w:pPr>
    </w:p>
    <w:p w14:paraId="5216FDF5" w14:textId="77777777" w:rsidR="00656DF4" w:rsidRPr="003A6E1B" w:rsidRDefault="00656DF4" w:rsidP="00656DF4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  <w:lang w:val="es-MX"/>
        </w:rPr>
      </w:pPr>
      <w:r w:rsidRPr="003A6E1B">
        <w:rPr>
          <w:rFonts w:ascii="Arial" w:hAnsi="Arial" w:cs="Arial"/>
          <w:lang w:val="es-MX"/>
        </w:rPr>
        <w:t xml:space="preserve">Todo caso sospechoso se debe notificar a la autoridad de salud competente, como </w:t>
      </w:r>
      <w:r>
        <w:rPr>
          <w:rFonts w:ascii="Arial" w:hAnsi="Arial" w:cs="Arial"/>
          <w:lang w:val="es-MX"/>
        </w:rPr>
        <w:t>lo son S</w:t>
      </w:r>
      <w:r w:rsidRPr="003A6E1B">
        <w:rPr>
          <w:rFonts w:ascii="Arial" w:hAnsi="Arial" w:cs="Arial"/>
          <w:lang w:val="es-MX"/>
        </w:rPr>
        <w:t>ecretar</w:t>
      </w:r>
      <w:r>
        <w:rPr>
          <w:rFonts w:ascii="Arial" w:hAnsi="Arial" w:cs="Arial"/>
          <w:lang w:val="es-MX"/>
        </w:rPr>
        <w:t>í</w:t>
      </w:r>
      <w:r w:rsidRPr="003A6E1B">
        <w:rPr>
          <w:rFonts w:ascii="Arial" w:hAnsi="Arial" w:cs="Arial"/>
          <w:lang w:val="es-MX"/>
        </w:rPr>
        <w:t xml:space="preserve">as de </w:t>
      </w:r>
      <w:r>
        <w:rPr>
          <w:rFonts w:ascii="Arial" w:hAnsi="Arial" w:cs="Arial"/>
          <w:lang w:val="es-MX"/>
        </w:rPr>
        <w:t>S</w:t>
      </w:r>
      <w:r w:rsidRPr="003A6E1B">
        <w:rPr>
          <w:rFonts w:ascii="Arial" w:hAnsi="Arial" w:cs="Arial"/>
          <w:lang w:val="es-MX"/>
        </w:rPr>
        <w:t xml:space="preserve">alud </w:t>
      </w:r>
      <w:r>
        <w:rPr>
          <w:rFonts w:ascii="Arial" w:hAnsi="Arial" w:cs="Arial"/>
          <w:lang w:val="es-MX"/>
        </w:rPr>
        <w:t>D</w:t>
      </w:r>
      <w:r w:rsidRPr="003A6E1B">
        <w:rPr>
          <w:rFonts w:ascii="Arial" w:hAnsi="Arial" w:cs="Arial"/>
          <w:lang w:val="es-MX"/>
        </w:rPr>
        <w:t>epartamental</w:t>
      </w:r>
      <w:r>
        <w:rPr>
          <w:rFonts w:ascii="Arial" w:hAnsi="Arial" w:cs="Arial"/>
          <w:lang w:val="es-MX"/>
        </w:rPr>
        <w:t>es, Distritales</w:t>
      </w:r>
      <w:r w:rsidRPr="003A6E1B">
        <w:rPr>
          <w:rFonts w:ascii="Arial" w:hAnsi="Arial" w:cs="Arial"/>
          <w:lang w:val="es-MX"/>
        </w:rPr>
        <w:t xml:space="preserve"> o Municipal</w:t>
      </w:r>
      <w:r>
        <w:rPr>
          <w:rFonts w:ascii="Arial" w:hAnsi="Arial" w:cs="Arial"/>
          <w:lang w:val="es-MX"/>
        </w:rPr>
        <w:t>es</w:t>
      </w:r>
      <w:r w:rsidRPr="003A6E1B">
        <w:rPr>
          <w:rFonts w:ascii="Arial" w:hAnsi="Arial" w:cs="Arial"/>
          <w:lang w:val="es-MX"/>
        </w:rPr>
        <w:t xml:space="preserve">; </w:t>
      </w:r>
      <w:r>
        <w:rPr>
          <w:rFonts w:ascii="Arial" w:hAnsi="Arial" w:cs="Arial"/>
          <w:lang w:val="es-MX"/>
        </w:rPr>
        <w:t xml:space="preserve">mientras que a nivel interno de </w:t>
      </w:r>
      <w:r w:rsidRPr="003A6E1B">
        <w:rPr>
          <w:rFonts w:ascii="Arial" w:hAnsi="Arial" w:cs="Arial"/>
          <w:lang w:val="es-MX"/>
        </w:rPr>
        <w:t xml:space="preserve">la entidad también deberá </w:t>
      </w:r>
      <w:r>
        <w:rPr>
          <w:rFonts w:ascii="Arial" w:hAnsi="Arial" w:cs="Arial"/>
          <w:lang w:val="es-MX"/>
        </w:rPr>
        <w:t>inform</w:t>
      </w:r>
      <w:r w:rsidRPr="003A6E1B">
        <w:rPr>
          <w:rFonts w:ascii="Arial" w:hAnsi="Arial" w:cs="Arial"/>
          <w:lang w:val="es-MX"/>
        </w:rPr>
        <w:t>arse a</w:t>
      </w:r>
      <w:r>
        <w:rPr>
          <w:rFonts w:ascii="Arial" w:hAnsi="Arial" w:cs="Arial"/>
          <w:lang w:val="es-MX"/>
        </w:rPr>
        <w:t xml:space="preserve">l Coordinador Seccional de Seguridad y Salud en el Trabajo, quien a su vez lo reportará a la Coordinadora Nacional de Seguridad y Salud en el Trabajo </w:t>
      </w:r>
      <w:r w:rsidRPr="003A6E1B">
        <w:rPr>
          <w:rFonts w:ascii="Arial" w:hAnsi="Arial" w:cs="Arial"/>
          <w:lang w:val="es-MX"/>
        </w:rPr>
        <w:t>a través del correo electrónico institucional</w:t>
      </w:r>
      <w:r>
        <w:rPr>
          <w:rFonts w:ascii="Arial" w:hAnsi="Arial" w:cs="Arial"/>
          <w:lang w:val="es-MX"/>
        </w:rPr>
        <w:t xml:space="preserve"> (farevalm@deaj.ramajudicial.gov.co).</w:t>
      </w:r>
    </w:p>
    <w:p w14:paraId="571979B1" w14:textId="77777777" w:rsidR="00656DF4" w:rsidRDefault="00656DF4" w:rsidP="00656DF4">
      <w:pPr>
        <w:pStyle w:val="Prrafodelista"/>
        <w:spacing w:after="0"/>
        <w:ind w:left="1440"/>
        <w:jc w:val="both"/>
        <w:rPr>
          <w:rFonts w:ascii="Arial" w:hAnsi="Arial" w:cs="Arial"/>
          <w:lang w:val="es-MX"/>
        </w:rPr>
      </w:pPr>
    </w:p>
    <w:p w14:paraId="075E6567" w14:textId="77777777" w:rsidR="00656DF4" w:rsidRDefault="00656DF4" w:rsidP="00656DF4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Desde esta Dirección Ejecutiva se continuarán difundiendo los </w:t>
      </w:r>
      <w:r w:rsidRPr="003A6E1B">
        <w:rPr>
          <w:rFonts w:ascii="Arial" w:hAnsi="Arial" w:cs="Arial"/>
          <w:lang w:val="es-MX"/>
        </w:rPr>
        <w:t>boletines</w:t>
      </w:r>
      <w:r>
        <w:rPr>
          <w:rFonts w:ascii="Arial" w:hAnsi="Arial" w:cs="Arial"/>
          <w:lang w:val="es-MX"/>
        </w:rPr>
        <w:t xml:space="preserve">, </w:t>
      </w:r>
      <w:r w:rsidRPr="003A6E1B">
        <w:rPr>
          <w:rFonts w:ascii="Arial" w:hAnsi="Arial" w:cs="Arial"/>
          <w:lang w:val="es-MX"/>
        </w:rPr>
        <w:t>comunicaciones oficiales</w:t>
      </w:r>
      <w:r>
        <w:rPr>
          <w:rFonts w:ascii="Arial" w:hAnsi="Arial" w:cs="Arial"/>
          <w:lang w:val="es-MX"/>
        </w:rPr>
        <w:t xml:space="preserve">, infografía y tips sobre esta problemática, a través de los medios masivos de comunicación como correo electrónico y televisores, información que deberá ser replicada por las Direcciones </w:t>
      </w:r>
      <w:r>
        <w:rPr>
          <w:rFonts w:ascii="Arial" w:hAnsi="Arial" w:cs="Arial"/>
          <w:lang w:val="es-MX"/>
        </w:rPr>
        <w:lastRenderedPageBreak/>
        <w:t xml:space="preserve">Seccionales de Administración Judicial a toda la población judicial de sus jurisdicciones. </w:t>
      </w:r>
    </w:p>
    <w:p w14:paraId="4B64DBB0" w14:textId="77777777" w:rsidR="00656DF4" w:rsidRDefault="00656DF4" w:rsidP="00656DF4">
      <w:pPr>
        <w:pStyle w:val="Prrafodelista"/>
        <w:rPr>
          <w:rFonts w:ascii="Arial" w:hAnsi="Arial" w:cs="Arial"/>
          <w:noProof/>
        </w:rPr>
      </w:pPr>
    </w:p>
    <w:p w14:paraId="774CBC69" w14:textId="77777777" w:rsidR="00656DF4" w:rsidRPr="00BD1F1D" w:rsidRDefault="00656DF4" w:rsidP="00656DF4">
      <w:pPr>
        <w:pStyle w:val="Prrafodelista"/>
        <w:numPr>
          <w:ilvl w:val="1"/>
          <w:numId w:val="1"/>
        </w:numPr>
        <w:spacing w:after="0"/>
        <w:ind w:left="1410"/>
        <w:jc w:val="both"/>
        <w:rPr>
          <w:rFonts w:ascii="Arial" w:hAnsi="Arial" w:cs="Arial"/>
          <w:lang w:val="es-MX"/>
        </w:rPr>
      </w:pPr>
      <w:r w:rsidRPr="00BD1F1D">
        <w:rPr>
          <w:rFonts w:ascii="Arial" w:hAnsi="Arial" w:cs="Arial"/>
          <w:lang w:val="es-MX"/>
        </w:rPr>
        <w:t xml:space="preserve">Según el nivel de riesgo de la entidad, el Elemento de Protección Personal (EPP) corresponde al tapabocas común. En el </w:t>
      </w:r>
      <w:r>
        <w:rPr>
          <w:rFonts w:ascii="Arial" w:hAnsi="Arial" w:cs="Arial"/>
          <w:lang w:val="es-MX"/>
        </w:rPr>
        <w:t xml:space="preserve">evento en </w:t>
      </w:r>
      <w:r w:rsidRPr="00BD1F1D">
        <w:rPr>
          <w:rFonts w:ascii="Arial" w:hAnsi="Arial" w:cs="Arial"/>
          <w:lang w:val="es-MX"/>
        </w:rPr>
        <w:t>que se confirme un caso en Colombia deberán u</w:t>
      </w:r>
      <w:r>
        <w:rPr>
          <w:rFonts w:ascii="Arial" w:hAnsi="Arial" w:cs="Arial"/>
          <w:lang w:val="es-MX"/>
        </w:rPr>
        <w:t>tilizar</w:t>
      </w:r>
      <w:r w:rsidRPr="00BD1F1D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estos EPP </w:t>
      </w:r>
      <w:r w:rsidRPr="00BD1F1D">
        <w:rPr>
          <w:rFonts w:ascii="Arial" w:hAnsi="Arial" w:cs="Arial"/>
          <w:lang w:val="es-MX"/>
        </w:rPr>
        <w:t>aquell</w:t>
      </w:r>
      <w:r>
        <w:rPr>
          <w:rFonts w:ascii="Arial" w:hAnsi="Arial" w:cs="Arial"/>
          <w:lang w:val="es-MX"/>
        </w:rPr>
        <w:t>o</w:t>
      </w:r>
      <w:r w:rsidRPr="00BD1F1D">
        <w:rPr>
          <w:rFonts w:ascii="Arial" w:hAnsi="Arial" w:cs="Arial"/>
          <w:lang w:val="es-MX"/>
        </w:rPr>
        <w:t xml:space="preserve">s </w:t>
      </w:r>
      <w:r>
        <w:rPr>
          <w:rFonts w:ascii="Arial" w:hAnsi="Arial" w:cs="Arial"/>
          <w:lang w:val="es-MX"/>
        </w:rPr>
        <w:t xml:space="preserve">servidores judiciales que deban atender </w:t>
      </w:r>
      <w:r w:rsidRPr="00BD1F1D">
        <w:rPr>
          <w:rFonts w:ascii="Arial" w:hAnsi="Arial" w:cs="Arial"/>
          <w:lang w:val="es-MX"/>
        </w:rPr>
        <w:t xml:space="preserve">público, teniendo en cuenta que </w:t>
      </w:r>
      <w:r>
        <w:rPr>
          <w:rFonts w:ascii="Arial" w:hAnsi="Arial" w:cs="Arial"/>
          <w:lang w:val="es-MX"/>
        </w:rPr>
        <w:t xml:space="preserve">este tipo de elementos es de uso </w:t>
      </w:r>
      <w:r w:rsidRPr="00BD1F1D">
        <w:rPr>
          <w:rFonts w:ascii="Arial" w:hAnsi="Arial" w:cs="Arial"/>
          <w:lang w:val="es-MX"/>
        </w:rPr>
        <w:t>es personal</w:t>
      </w:r>
      <w:r>
        <w:rPr>
          <w:rFonts w:ascii="Arial" w:hAnsi="Arial" w:cs="Arial"/>
          <w:lang w:val="es-MX"/>
        </w:rPr>
        <w:t xml:space="preserve">, es decir, </w:t>
      </w:r>
      <w:r w:rsidRPr="00BD1F1D">
        <w:rPr>
          <w:rFonts w:ascii="Arial" w:hAnsi="Arial" w:cs="Arial"/>
          <w:lang w:val="es-MX"/>
        </w:rPr>
        <w:t>no se debe compartir entre l</w:t>
      </w:r>
      <w:r>
        <w:rPr>
          <w:rFonts w:ascii="Arial" w:hAnsi="Arial" w:cs="Arial"/>
          <w:lang w:val="es-MX"/>
        </w:rPr>
        <w:t>as personas.</w:t>
      </w:r>
    </w:p>
    <w:p w14:paraId="55E5014D" w14:textId="77777777" w:rsidR="00656DF4" w:rsidRPr="003A6E1B" w:rsidRDefault="00656DF4" w:rsidP="00656DF4">
      <w:pPr>
        <w:ind w:left="1410"/>
        <w:jc w:val="both"/>
        <w:rPr>
          <w:rFonts w:ascii="Arial" w:hAnsi="Arial" w:cs="Arial"/>
          <w:sz w:val="22"/>
          <w:szCs w:val="22"/>
          <w:lang w:val="es-MX"/>
        </w:rPr>
      </w:pPr>
    </w:p>
    <w:p w14:paraId="4D6FDC3C" w14:textId="77777777" w:rsidR="00656DF4" w:rsidRDefault="00656DF4" w:rsidP="00656DF4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  <w:lang w:val="es-MX"/>
        </w:rPr>
      </w:pPr>
      <w:r w:rsidRPr="003A6E1B">
        <w:rPr>
          <w:rFonts w:ascii="Arial" w:hAnsi="Arial" w:cs="Arial"/>
          <w:lang w:val="es-MX"/>
        </w:rPr>
        <w:t xml:space="preserve">Se deben mantener limpios las superficies de trabajo, teléfonos, equipos de cómputo y otros </w:t>
      </w:r>
      <w:r>
        <w:rPr>
          <w:rFonts w:ascii="Arial" w:hAnsi="Arial" w:cs="Arial"/>
          <w:lang w:val="es-MX"/>
        </w:rPr>
        <w:t>elementos</w:t>
      </w:r>
      <w:r w:rsidRPr="003A6E1B">
        <w:rPr>
          <w:rFonts w:ascii="Arial" w:hAnsi="Arial" w:cs="Arial"/>
          <w:lang w:val="es-MX"/>
        </w:rPr>
        <w:t xml:space="preserve"> de trabajo</w:t>
      </w:r>
      <w:r>
        <w:rPr>
          <w:rFonts w:ascii="Arial" w:hAnsi="Arial" w:cs="Arial"/>
          <w:lang w:val="es-MX"/>
        </w:rPr>
        <w:t xml:space="preserve">, por lo cual se deberán </w:t>
      </w:r>
      <w:r w:rsidRPr="003A6E1B">
        <w:rPr>
          <w:rFonts w:ascii="Arial" w:hAnsi="Arial" w:cs="Arial"/>
          <w:lang w:val="es-MX"/>
        </w:rPr>
        <w:t>reforzar las medidas de limpieza</w:t>
      </w:r>
      <w:r>
        <w:rPr>
          <w:rFonts w:ascii="Arial" w:hAnsi="Arial" w:cs="Arial"/>
          <w:lang w:val="es-MX"/>
        </w:rPr>
        <w:t xml:space="preserve"> y desinfección, de acuerdo con el cronograma de aseo de cada sede de trabajo.</w:t>
      </w:r>
    </w:p>
    <w:p w14:paraId="5760CDE6" w14:textId="77777777" w:rsidR="00656DF4" w:rsidRDefault="00656DF4" w:rsidP="00656DF4">
      <w:pPr>
        <w:pStyle w:val="Prrafodelista"/>
        <w:rPr>
          <w:rFonts w:ascii="Arial" w:hAnsi="Arial" w:cs="Arial"/>
          <w:lang w:val="es-MX"/>
        </w:rPr>
      </w:pPr>
    </w:p>
    <w:p w14:paraId="37C7E42B" w14:textId="77777777" w:rsidR="00656DF4" w:rsidRPr="003A6E1B" w:rsidRDefault="00656DF4" w:rsidP="00656DF4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  <w:lang w:val="es-MX"/>
        </w:rPr>
      </w:pPr>
      <w:r w:rsidRPr="003A6E1B">
        <w:rPr>
          <w:rFonts w:ascii="Arial" w:hAnsi="Arial" w:cs="Arial"/>
          <w:lang w:val="es-MX"/>
        </w:rPr>
        <w:t xml:space="preserve">Todos los </w:t>
      </w:r>
      <w:r>
        <w:rPr>
          <w:rFonts w:ascii="Arial" w:hAnsi="Arial" w:cs="Arial"/>
          <w:lang w:val="es-MX"/>
        </w:rPr>
        <w:t>servidores judiciales d</w:t>
      </w:r>
      <w:r w:rsidRPr="003A6E1B">
        <w:rPr>
          <w:rFonts w:ascii="Arial" w:hAnsi="Arial" w:cs="Arial"/>
          <w:lang w:val="es-MX"/>
        </w:rPr>
        <w:t>eben</w:t>
      </w:r>
      <w:r>
        <w:rPr>
          <w:rFonts w:ascii="Arial" w:hAnsi="Arial" w:cs="Arial"/>
          <w:lang w:val="es-MX"/>
        </w:rPr>
        <w:t xml:space="preserve"> aplicar</w:t>
      </w:r>
      <w:r w:rsidRPr="003A6E1B">
        <w:rPr>
          <w:rFonts w:ascii="Arial" w:hAnsi="Arial" w:cs="Arial"/>
          <w:lang w:val="es-MX"/>
        </w:rPr>
        <w:t xml:space="preserve"> la técnica de lavado de manos</w:t>
      </w:r>
      <w:r>
        <w:rPr>
          <w:rFonts w:ascii="Arial" w:hAnsi="Arial" w:cs="Arial"/>
          <w:lang w:val="es-MX"/>
        </w:rPr>
        <w:t xml:space="preserve"> que </w:t>
      </w:r>
      <w:r w:rsidRPr="003A6E1B">
        <w:rPr>
          <w:rFonts w:ascii="Arial" w:hAnsi="Arial" w:cs="Arial"/>
          <w:lang w:val="es-MX"/>
        </w:rPr>
        <w:t xml:space="preserve">consta de ocho pasos y </w:t>
      </w:r>
      <w:r>
        <w:rPr>
          <w:rFonts w:ascii="Arial" w:hAnsi="Arial" w:cs="Arial"/>
          <w:lang w:val="es-MX"/>
        </w:rPr>
        <w:t>será dada a conocer a través los correos electrónicos y otros medios de difusión masiva de información.</w:t>
      </w:r>
    </w:p>
    <w:p w14:paraId="0A8929E1" w14:textId="77777777" w:rsidR="00656DF4" w:rsidRPr="003A6E1B" w:rsidRDefault="00656DF4" w:rsidP="00656DF4">
      <w:pPr>
        <w:pStyle w:val="Prrafodelista"/>
        <w:spacing w:after="0"/>
        <w:ind w:left="1440"/>
        <w:jc w:val="both"/>
        <w:rPr>
          <w:rFonts w:ascii="Arial" w:hAnsi="Arial" w:cs="Arial"/>
          <w:lang w:val="es-MX"/>
        </w:rPr>
      </w:pPr>
    </w:p>
    <w:p w14:paraId="4B185190" w14:textId="77777777" w:rsidR="00656DF4" w:rsidRPr="003A6E1B" w:rsidRDefault="00656DF4" w:rsidP="00656DF4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  <w:lang w:val="es-MX"/>
        </w:rPr>
      </w:pPr>
      <w:r w:rsidRPr="003A6E1B">
        <w:rPr>
          <w:rFonts w:ascii="Arial" w:hAnsi="Arial" w:cs="Arial"/>
          <w:lang w:val="es-MX"/>
        </w:rPr>
        <w:t xml:space="preserve">Es deber de todos los </w:t>
      </w:r>
      <w:r>
        <w:rPr>
          <w:rFonts w:ascii="Arial" w:hAnsi="Arial" w:cs="Arial"/>
          <w:lang w:val="es-MX"/>
        </w:rPr>
        <w:t>servidores judiciales</w:t>
      </w:r>
      <w:r w:rsidRPr="003A6E1B">
        <w:rPr>
          <w:rFonts w:ascii="Arial" w:hAnsi="Arial" w:cs="Arial"/>
          <w:lang w:val="es-MX"/>
        </w:rPr>
        <w:t xml:space="preserve"> cumplir con las medidas de pr</w:t>
      </w:r>
      <w:r>
        <w:rPr>
          <w:rFonts w:ascii="Arial" w:hAnsi="Arial" w:cs="Arial"/>
          <w:lang w:val="es-MX"/>
        </w:rPr>
        <w:t>evención</w:t>
      </w:r>
      <w:r w:rsidRPr="003A6E1B">
        <w:rPr>
          <w:rFonts w:ascii="Arial" w:hAnsi="Arial" w:cs="Arial"/>
          <w:lang w:val="es-MX"/>
        </w:rPr>
        <w:t xml:space="preserve">, asistir a </w:t>
      </w:r>
      <w:r>
        <w:rPr>
          <w:rFonts w:ascii="Arial" w:hAnsi="Arial" w:cs="Arial"/>
          <w:lang w:val="es-MX"/>
        </w:rPr>
        <w:t xml:space="preserve">las </w:t>
      </w:r>
      <w:r w:rsidRPr="003A6E1B">
        <w:rPr>
          <w:rFonts w:ascii="Arial" w:hAnsi="Arial" w:cs="Arial"/>
          <w:lang w:val="es-MX"/>
        </w:rPr>
        <w:t>capacitaci</w:t>
      </w:r>
      <w:r>
        <w:rPr>
          <w:rFonts w:ascii="Arial" w:hAnsi="Arial" w:cs="Arial"/>
          <w:lang w:val="es-MX"/>
        </w:rPr>
        <w:t>ones ofrecidas a través de la ARL</w:t>
      </w:r>
      <w:r w:rsidRPr="003A6E1B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e </w:t>
      </w:r>
      <w:r w:rsidRPr="003A6E1B">
        <w:rPr>
          <w:rFonts w:ascii="Arial" w:hAnsi="Arial" w:cs="Arial"/>
          <w:lang w:val="es-MX"/>
        </w:rPr>
        <w:t xml:space="preserve">informar si </w:t>
      </w:r>
      <w:r>
        <w:rPr>
          <w:rFonts w:ascii="Arial" w:hAnsi="Arial" w:cs="Arial"/>
          <w:lang w:val="es-MX"/>
        </w:rPr>
        <w:t>su caso llega a ser sos</w:t>
      </w:r>
      <w:r w:rsidRPr="003A6E1B">
        <w:rPr>
          <w:rFonts w:ascii="Arial" w:hAnsi="Arial" w:cs="Arial"/>
          <w:lang w:val="es-MX"/>
        </w:rPr>
        <w:t>pechoso o confirmado del virus</w:t>
      </w:r>
      <w:r>
        <w:rPr>
          <w:rFonts w:ascii="Arial" w:hAnsi="Arial" w:cs="Arial"/>
          <w:lang w:val="es-MX"/>
        </w:rPr>
        <w:t xml:space="preserve"> Covid 19.</w:t>
      </w:r>
    </w:p>
    <w:p w14:paraId="7EFDDD52" w14:textId="77777777" w:rsidR="00656DF4" w:rsidRDefault="00656DF4" w:rsidP="00656DF4">
      <w:pPr>
        <w:pStyle w:val="Prrafodelista"/>
        <w:spacing w:after="0"/>
        <w:ind w:left="0"/>
        <w:jc w:val="both"/>
        <w:rPr>
          <w:rFonts w:ascii="Arial" w:hAnsi="Arial" w:cs="Arial"/>
          <w:lang w:val="es-MX"/>
        </w:rPr>
      </w:pPr>
    </w:p>
    <w:p w14:paraId="6C209516" w14:textId="77777777" w:rsidR="00656DF4" w:rsidRDefault="00656DF4" w:rsidP="00656DF4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Respecto al uso de tapabocas es necesario tener en cuenta que según los lineamientos del Ministerio de Salud y Protección Social, los tipo N95 son única y exclusivamente para el personal de salud y el tapabocas normal deberá usarse por quienes presenten algún tipo de afección respiratoria y personas de alto contacto con enfermos.</w:t>
      </w:r>
    </w:p>
    <w:p w14:paraId="39046866" w14:textId="77777777" w:rsidR="00656DF4" w:rsidRDefault="00656DF4" w:rsidP="00656DF4">
      <w:pPr>
        <w:pStyle w:val="Prrafodelista"/>
        <w:spacing w:after="0"/>
        <w:jc w:val="both"/>
        <w:rPr>
          <w:rFonts w:ascii="Arial" w:hAnsi="Arial" w:cs="Arial"/>
          <w:lang w:val="es-MX"/>
        </w:rPr>
      </w:pPr>
    </w:p>
    <w:p w14:paraId="7925F12F" w14:textId="77777777" w:rsidR="00656DF4" w:rsidRPr="003A6E1B" w:rsidRDefault="00656DF4" w:rsidP="00656DF4">
      <w:pPr>
        <w:pStyle w:val="Prrafodelista"/>
        <w:spacing w:after="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Es de aclarar que según la Matriz de Elementos de Protección Personal del Sistema de Gestión de Seguridad y Salud en el Trabajo (SG-SST) de la Rama Judicial, el tapabocas N95 deberá ser suministrado al personal que cumple labores de organización de archivos, mantenimiento o arreglos locativos y servicios generales, y los guantes de nitrilo sólo a quienes laboran organizando archivos, mientras que para el resto de la población se reitera la recomendación del lavado riguroso de manos por medio de la técnica indicada vía correo electrónico.</w:t>
      </w:r>
    </w:p>
    <w:p w14:paraId="3FA29A00" w14:textId="77777777" w:rsidR="00656DF4" w:rsidRDefault="00656DF4" w:rsidP="00656DF4">
      <w:pPr>
        <w:tabs>
          <w:tab w:val="left" w:pos="960"/>
          <w:tab w:val="left" w:pos="1680"/>
        </w:tabs>
        <w:rPr>
          <w:rFonts w:ascii="Arial" w:hAnsi="Arial" w:cs="Arial"/>
          <w:sz w:val="22"/>
          <w:szCs w:val="22"/>
          <w:lang w:val="es-CO"/>
        </w:rPr>
      </w:pPr>
    </w:p>
    <w:p w14:paraId="5BFACAA4" w14:textId="77777777" w:rsidR="00656DF4" w:rsidRPr="003A6E1B" w:rsidRDefault="00656DF4" w:rsidP="00656DF4">
      <w:pPr>
        <w:tabs>
          <w:tab w:val="left" w:pos="960"/>
          <w:tab w:val="left" w:pos="1680"/>
        </w:tabs>
        <w:rPr>
          <w:rFonts w:ascii="Arial" w:hAnsi="Arial" w:cs="Arial"/>
          <w:sz w:val="22"/>
          <w:szCs w:val="22"/>
          <w:lang w:val="es-CO"/>
        </w:rPr>
      </w:pPr>
      <w:r w:rsidRPr="003A6E1B">
        <w:rPr>
          <w:rFonts w:ascii="Arial" w:hAnsi="Arial" w:cs="Arial"/>
          <w:sz w:val="22"/>
          <w:szCs w:val="22"/>
          <w:lang w:val="es-CO"/>
        </w:rPr>
        <w:t>Cordialmente,</w:t>
      </w:r>
    </w:p>
    <w:p w14:paraId="3F3CCAD9" w14:textId="77777777" w:rsidR="00656DF4" w:rsidRPr="003A6E1B" w:rsidRDefault="00656DF4" w:rsidP="00656DF4">
      <w:pPr>
        <w:tabs>
          <w:tab w:val="left" w:pos="960"/>
          <w:tab w:val="left" w:pos="1680"/>
        </w:tabs>
        <w:rPr>
          <w:rFonts w:ascii="Arial" w:hAnsi="Arial" w:cs="Arial"/>
          <w:sz w:val="22"/>
          <w:szCs w:val="22"/>
          <w:lang w:val="es-CO"/>
        </w:rPr>
      </w:pPr>
    </w:p>
    <w:p w14:paraId="1A3EB56F" w14:textId="77777777" w:rsidR="00656DF4" w:rsidRPr="003A6E1B" w:rsidRDefault="00656DF4" w:rsidP="00656DF4">
      <w:pPr>
        <w:tabs>
          <w:tab w:val="left" w:pos="960"/>
          <w:tab w:val="left" w:pos="1680"/>
        </w:tabs>
        <w:rPr>
          <w:rFonts w:ascii="Arial" w:hAnsi="Arial" w:cs="Arial"/>
          <w:sz w:val="22"/>
          <w:szCs w:val="22"/>
          <w:lang w:val="es-CO"/>
        </w:rPr>
      </w:pPr>
    </w:p>
    <w:p w14:paraId="72C32B8D" w14:textId="77777777" w:rsidR="00656DF4" w:rsidRPr="003A6E1B" w:rsidRDefault="00656DF4" w:rsidP="00656DF4">
      <w:pPr>
        <w:tabs>
          <w:tab w:val="left" w:pos="960"/>
          <w:tab w:val="left" w:pos="1680"/>
        </w:tabs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46AC452" w14:textId="77777777" w:rsidR="00656DF4" w:rsidRDefault="00656DF4" w:rsidP="00656DF4">
      <w:pPr>
        <w:tabs>
          <w:tab w:val="left" w:pos="960"/>
          <w:tab w:val="left" w:pos="1680"/>
        </w:tabs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EFA609E" w14:textId="77777777" w:rsidR="00656DF4" w:rsidRPr="00656DF4" w:rsidRDefault="00656DF4" w:rsidP="00656DF4">
      <w:pPr>
        <w:tabs>
          <w:tab w:val="left" w:pos="960"/>
          <w:tab w:val="left" w:pos="1680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656DF4">
        <w:rPr>
          <w:rFonts w:ascii="Arial" w:hAnsi="Arial" w:cs="Arial"/>
          <w:sz w:val="22"/>
          <w:szCs w:val="22"/>
          <w:lang w:val="es-CO"/>
        </w:rPr>
        <w:t>JOSÉ MAURICIO CUESTAS GÓMEZ</w:t>
      </w:r>
    </w:p>
    <w:p w14:paraId="76597DA3" w14:textId="77777777" w:rsidR="00656DF4" w:rsidRPr="003A6E1B" w:rsidRDefault="00656DF4" w:rsidP="00656DF4">
      <w:pPr>
        <w:rPr>
          <w:rFonts w:ascii="Arial" w:hAnsi="Arial" w:cs="Arial"/>
          <w:sz w:val="22"/>
          <w:szCs w:val="22"/>
          <w:lang w:val="es-CO"/>
        </w:rPr>
      </w:pPr>
    </w:p>
    <w:p w14:paraId="6235DA29" w14:textId="77777777" w:rsidR="00656DF4" w:rsidRPr="003A6E1B" w:rsidRDefault="00656DF4" w:rsidP="00656DF4">
      <w:pPr>
        <w:jc w:val="both"/>
        <w:rPr>
          <w:rFonts w:ascii="Arial" w:hAnsi="Arial" w:cs="Arial"/>
          <w:sz w:val="16"/>
          <w:szCs w:val="16"/>
          <w:lang w:val="es-CO"/>
        </w:rPr>
      </w:pPr>
      <w:r w:rsidRPr="003A6E1B">
        <w:rPr>
          <w:rFonts w:ascii="Arial" w:hAnsi="Arial" w:cs="Arial"/>
          <w:sz w:val="16"/>
          <w:szCs w:val="16"/>
          <w:lang w:val="es-CO"/>
        </w:rPr>
        <w:t>Proyectó: Francisca Arévalo Mendieta</w:t>
      </w:r>
    </w:p>
    <w:p w14:paraId="46FF5227" w14:textId="77777777" w:rsidR="00656DF4" w:rsidRPr="003A6E1B" w:rsidRDefault="00656DF4" w:rsidP="00656DF4">
      <w:pPr>
        <w:jc w:val="both"/>
        <w:rPr>
          <w:rFonts w:ascii="Arial" w:hAnsi="Arial" w:cs="Arial"/>
          <w:sz w:val="16"/>
          <w:szCs w:val="16"/>
          <w:lang w:val="es-CO"/>
        </w:rPr>
      </w:pPr>
      <w:r w:rsidRPr="003A6E1B">
        <w:rPr>
          <w:rFonts w:ascii="Arial" w:hAnsi="Arial" w:cs="Arial"/>
          <w:sz w:val="16"/>
          <w:szCs w:val="16"/>
          <w:lang w:val="es-CO"/>
        </w:rPr>
        <w:t>Revisó: Raúl Silva Marta</w:t>
      </w:r>
    </w:p>
    <w:p w14:paraId="4BFF744A" w14:textId="77777777" w:rsidR="00911CE6" w:rsidRPr="00837AD1" w:rsidRDefault="00656DF4" w:rsidP="00975ABB">
      <w:pPr>
        <w:jc w:val="both"/>
        <w:rPr>
          <w:rFonts w:ascii="Arial" w:hAnsi="Arial" w:cs="Arial"/>
          <w:sz w:val="22"/>
          <w:szCs w:val="22"/>
          <w:lang w:val="es-CO"/>
        </w:rPr>
      </w:pPr>
      <w:r w:rsidRPr="003A6E1B">
        <w:rPr>
          <w:rFonts w:ascii="Arial" w:hAnsi="Arial" w:cs="Arial"/>
          <w:sz w:val="16"/>
          <w:szCs w:val="16"/>
          <w:lang w:val="es-CO"/>
        </w:rPr>
        <w:t>Aprobó: Nelson Orlando Jiménez Peña</w:t>
      </w:r>
    </w:p>
    <w:sectPr w:rsidR="00911CE6" w:rsidRPr="00837AD1" w:rsidSect="00997E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A4F7F" w14:textId="77777777" w:rsidR="00FE1A25" w:rsidRDefault="00FE1A25">
      <w:r>
        <w:separator/>
      </w:r>
    </w:p>
  </w:endnote>
  <w:endnote w:type="continuationSeparator" w:id="0">
    <w:p w14:paraId="0CDE445E" w14:textId="77777777" w:rsidR="00FE1A25" w:rsidRDefault="00FE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C0C69" w14:textId="77777777" w:rsidR="004854FF" w:rsidRDefault="004854F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314A7" w14:textId="77777777" w:rsidR="00997EDA" w:rsidRPr="00A85BE6" w:rsidRDefault="00997EDA" w:rsidP="00997EDA">
    <w:pPr>
      <w:pStyle w:val="Piedepgina"/>
      <w:rPr>
        <w:b/>
        <w:i/>
      </w:rPr>
    </w:pPr>
  </w:p>
  <w:p w14:paraId="09EC4661" w14:textId="77777777" w:rsidR="00997EDA" w:rsidRPr="006724C5" w:rsidRDefault="00EA200B" w:rsidP="006724C5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6724C5">
      <w:rPr>
        <w:rFonts w:ascii="Berylium" w:hAnsi="Berylium"/>
        <w:bCs/>
        <w:iCs/>
        <w:sz w:val="22"/>
        <w:szCs w:val="22"/>
      </w:rPr>
      <w:t>Calle 72 No. 7 - 96   Conmutador – 3 127011  www.ramajudicial.gov.co</w:t>
    </w:r>
  </w:p>
  <w:p w14:paraId="4854A685" w14:textId="77777777" w:rsidR="00997EDA" w:rsidRDefault="00997ED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AF56F" w14:textId="5CE1BE4B" w:rsidR="00997EDA" w:rsidRPr="00837AD1" w:rsidRDefault="00743260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 wp14:anchorId="0E603C8A" wp14:editId="0289006B">
          <wp:simplePos x="0" y="0"/>
          <wp:positionH relativeFrom="column">
            <wp:posOffset>4535170</wp:posOffset>
          </wp:positionH>
          <wp:positionV relativeFrom="paragraph">
            <wp:posOffset>-481965</wp:posOffset>
          </wp:positionV>
          <wp:extent cx="1626870" cy="920115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130" w:rsidRPr="00837AD1">
      <w:rPr>
        <w:rFonts w:ascii="Berylium" w:hAnsi="Berylium"/>
        <w:bCs/>
        <w:iCs/>
        <w:sz w:val="22"/>
        <w:szCs w:val="22"/>
      </w:rPr>
      <w:t xml:space="preserve">Calle 72 No. 7 - 96   Conmutador – 3 127011  </w:t>
    </w:r>
    <w:hyperlink r:id="rId2" w:history="1">
      <w:r w:rsidR="00FD4130" w:rsidRPr="00837AD1">
        <w:rPr>
          <w:rFonts w:ascii="Berylium" w:hAnsi="Berylium"/>
          <w:bCs/>
          <w:iCs/>
          <w:sz w:val="22"/>
          <w:szCs w:val="22"/>
        </w:rPr>
        <w:t>www.ramajudicial.gov.co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D17B9" w14:textId="77777777" w:rsidR="00FE1A25" w:rsidRDefault="00FE1A25">
      <w:r>
        <w:separator/>
      </w:r>
    </w:p>
  </w:footnote>
  <w:footnote w:type="continuationSeparator" w:id="0">
    <w:p w14:paraId="64FDF2C1" w14:textId="77777777" w:rsidR="00FE1A25" w:rsidRDefault="00FE1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4952F" w14:textId="77777777" w:rsidR="004854FF" w:rsidRDefault="004854F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4BF1E" w14:textId="77777777" w:rsidR="00DB5C99" w:rsidRPr="00837AD1" w:rsidRDefault="00997EDA" w:rsidP="00DB5C99">
    <w:pPr>
      <w:rPr>
        <w:rFonts w:ascii="Arial" w:hAnsi="Arial" w:cs="Arial"/>
        <w:sz w:val="22"/>
        <w:szCs w:val="22"/>
        <w:lang w:val="es-CO"/>
      </w:rPr>
    </w:pPr>
    <w:r w:rsidRPr="006724C5">
      <w:rPr>
        <w:rFonts w:ascii="Berylium" w:hAnsi="Berylium"/>
        <w:bCs/>
        <w:iCs/>
        <w:sz w:val="22"/>
        <w:szCs w:val="22"/>
      </w:rPr>
      <w:t>Hoja No.</w:t>
    </w:r>
    <w:r w:rsidRPr="006724C5">
      <w:rPr>
        <w:rFonts w:ascii="Berylium" w:hAnsi="Berylium"/>
        <w:bCs/>
        <w:iCs/>
        <w:sz w:val="22"/>
        <w:szCs w:val="22"/>
      </w:rPr>
      <w:fldChar w:fldCharType="begin"/>
    </w:r>
    <w:r w:rsidRPr="006724C5">
      <w:rPr>
        <w:rFonts w:ascii="Berylium" w:hAnsi="Berylium"/>
        <w:bCs/>
        <w:iCs/>
        <w:sz w:val="22"/>
        <w:szCs w:val="22"/>
      </w:rPr>
      <w:instrText xml:space="preserve"> PAGE </w:instrText>
    </w:r>
    <w:r w:rsidRPr="006724C5">
      <w:rPr>
        <w:rFonts w:ascii="Berylium" w:hAnsi="Berylium"/>
        <w:bCs/>
        <w:iCs/>
        <w:sz w:val="22"/>
        <w:szCs w:val="22"/>
      </w:rPr>
      <w:fldChar w:fldCharType="separate"/>
    </w:r>
    <w:r w:rsidR="00743260">
      <w:rPr>
        <w:rFonts w:ascii="Berylium" w:hAnsi="Berylium"/>
        <w:bCs/>
        <w:iCs/>
        <w:noProof/>
        <w:sz w:val="22"/>
        <w:szCs w:val="22"/>
      </w:rPr>
      <w:t>2</w:t>
    </w:r>
    <w:r w:rsidRPr="006724C5">
      <w:rPr>
        <w:rFonts w:ascii="Berylium" w:hAnsi="Berylium"/>
        <w:bCs/>
        <w:iCs/>
        <w:sz w:val="22"/>
        <w:szCs w:val="22"/>
      </w:rPr>
      <w:fldChar w:fldCharType="end"/>
    </w:r>
    <w:r w:rsidR="00DB5C99">
      <w:rPr>
        <w:rFonts w:ascii="Berylium" w:hAnsi="Berylium"/>
        <w:bCs/>
        <w:iCs/>
        <w:sz w:val="22"/>
        <w:szCs w:val="22"/>
      </w:rPr>
      <w:t xml:space="preserve"> </w:t>
    </w:r>
    <w:r w:rsidR="0090300A">
      <w:rPr>
        <w:rFonts w:ascii="Berylium" w:hAnsi="Berylium"/>
        <w:bCs/>
        <w:iCs/>
        <w:sz w:val="22"/>
        <w:szCs w:val="22"/>
      </w:rPr>
      <w:t xml:space="preserve"> </w:t>
    </w:r>
    <w:r w:rsidR="00DB5C99" w:rsidRPr="0090300A">
      <w:rPr>
        <w:rFonts w:ascii="Berylium" w:hAnsi="Berylium" w:cs="Arial"/>
        <w:sz w:val="22"/>
        <w:szCs w:val="22"/>
        <w:lang w:val="es-CO"/>
      </w:rPr>
      <w:t xml:space="preserve">C I R C U L A R  </w:t>
    </w:r>
    <w:r w:rsidR="004854FF">
      <w:rPr>
        <w:rFonts w:ascii="Berylium" w:hAnsi="Berylium" w:cs="Arial"/>
        <w:sz w:val="22"/>
        <w:szCs w:val="22"/>
        <w:lang w:val="es-CO"/>
      </w:rPr>
      <w:t>DEAJC20-15</w:t>
    </w:r>
  </w:p>
  <w:p w14:paraId="5424B837" w14:textId="77777777" w:rsidR="00997EDA" w:rsidRPr="006724C5" w:rsidRDefault="00997EDA">
    <w:pPr>
      <w:pStyle w:val="Encabezado"/>
      <w:rPr>
        <w:rFonts w:ascii="Berylium" w:hAnsi="Berylium"/>
        <w:bCs/>
        <w:iCs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987AD" w14:textId="0D0DA938" w:rsidR="00FA224F" w:rsidRPr="00C92895" w:rsidRDefault="00743260" w:rsidP="00FA224F">
    <w:pPr>
      <w:pStyle w:val="Encabezado"/>
      <w:jc w:val="center"/>
      <w:rPr>
        <w:rFonts w:ascii="Berylium" w:hAnsi="Berylium"/>
        <w:b/>
        <w:bCs/>
        <w:iCs/>
        <w:sz w:val="22"/>
        <w:szCs w:val="22"/>
      </w:rPr>
    </w:pPr>
    <w:r>
      <w:rPr>
        <w:rFonts w:ascii="Berylium" w:hAnsi="Berylium"/>
        <w:b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54F677D6" wp14:editId="41CDBE63">
          <wp:simplePos x="0" y="0"/>
          <wp:positionH relativeFrom="column">
            <wp:posOffset>-851535</wp:posOffset>
          </wp:positionH>
          <wp:positionV relativeFrom="paragraph">
            <wp:posOffset>-434975</wp:posOffset>
          </wp:positionV>
          <wp:extent cx="2390775" cy="789305"/>
          <wp:effectExtent l="0" t="0" r="9525" b="0"/>
          <wp:wrapNone/>
          <wp:docPr id="25" name="Imagen 25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24F" w:rsidRPr="00C92895">
      <w:rPr>
        <w:rFonts w:ascii="Berylium" w:hAnsi="Berylium"/>
        <w:b/>
        <w:bCs/>
        <w:iCs/>
        <w:sz w:val="22"/>
        <w:szCs w:val="22"/>
      </w:rPr>
      <w:t>Consejo Superior de la Judicatura</w:t>
    </w:r>
  </w:p>
  <w:p w14:paraId="7556FDE4" w14:textId="77777777" w:rsidR="00FA224F" w:rsidRPr="00C92895" w:rsidRDefault="00FA224F" w:rsidP="00FA224F">
    <w:pPr>
      <w:pStyle w:val="Encabezado"/>
      <w:jc w:val="center"/>
      <w:rPr>
        <w:rFonts w:ascii="Berylium" w:hAnsi="Berylium"/>
        <w:b/>
        <w:bCs/>
        <w:iCs/>
        <w:sz w:val="22"/>
        <w:szCs w:val="22"/>
      </w:rPr>
    </w:pPr>
    <w:r w:rsidRPr="00C92895">
      <w:rPr>
        <w:rFonts w:ascii="Berylium" w:hAnsi="Berylium"/>
        <w:b/>
        <w:bCs/>
        <w:iCs/>
        <w:sz w:val="22"/>
        <w:szCs w:val="22"/>
      </w:rPr>
      <w:t>Dirección Ejecutiva de Administración Judicial</w:t>
    </w:r>
  </w:p>
  <w:p w14:paraId="25571262" w14:textId="77777777" w:rsidR="00997EDA" w:rsidRDefault="00997ED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22AE0"/>
    <w:multiLevelType w:val="hybridMultilevel"/>
    <w:tmpl w:val="DF8ED0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D6F9F"/>
    <w:multiLevelType w:val="hybridMultilevel"/>
    <w:tmpl w:val="352058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97"/>
    <w:rsid w:val="00051465"/>
    <w:rsid w:val="000568C3"/>
    <w:rsid w:val="0007497E"/>
    <w:rsid w:val="000924E0"/>
    <w:rsid w:val="001D1122"/>
    <w:rsid w:val="00221E0D"/>
    <w:rsid w:val="00235297"/>
    <w:rsid w:val="00244EF3"/>
    <w:rsid w:val="00262336"/>
    <w:rsid w:val="00293DCC"/>
    <w:rsid w:val="002B2AB7"/>
    <w:rsid w:val="002C3847"/>
    <w:rsid w:val="002E2D1A"/>
    <w:rsid w:val="002F5D2F"/>
    <w:rsid w:val="003108C2"/>
    <w:rsid w:val="00316B97"/>
    <w:rsid w:val="00343584"/>
    <w:rsid w:val="0039477D"/>
    <w:rsid w:val="00422F86"/>
    <w:rsid w:val="004451A2"/>
    <w:rsid w:val="004854FF"/>
    <w:rsid w:val="004C49AE"/>
    <w:rsid w:val="004E1FDF"/>
    <w:rsid w:val="00501A62"/>
    <w:rsid w:val="005214F3"/>
    <w:rsid w:val="00531E16"/>
    <w:rsid w:val="00563C33"/>
    <w:rsid w:val="00564388"/>
    <w:rsid w:val="00565BB0"/>
    <w:rsid w:val="005C457F"/>
    <w:rsid w:val="00646EFC"/>
    <w:rsid w:val="00656DF4"/>
    <w:rsid w:val="0066612F"/>
    <w:rsid w:val="006724C5"/>
    <w:rsid w:val="006C7894"/>
    <w:rsid w:val="00740D06"/>
    <w:rsid w:val="00740F82"/>
    <w:rsid w:val="00743260"/>
    <w:rsid w:val="007B12FA"/>
    <w:rsid w:val="007C7A27"/>
    <w:rsid w:val="007D72D6"/>
    <w:rsid w:val="007E638A"/>
    <w:rsid w:val="008132A4"/>
    <w:rsid w:val="00837AD1"/>
    <w:rsid w:val="00842A53"/>
    <w:rsid w:val="008676DC"/>
    <w:rsid w:val="008D4FF2"/>
    <w:rsid w:val="008E2B19"/>
    <w:rsid w:val="0090300A"/>
    <w:rsid w:val="00911CE6"/>
    <w:rsid w:val="009332D8"/>
    <w:rsid w:val="00943244"/>
    <w:rsid w:val="0096674F"/>
    <w:rsid w:val="00975ABB"/>
    <w:rsid w:val="00997EDA"/>
    <w:rsid w:val="009A11FA"/>
    <w:rsid w:val="009B42D3"/>
    <w:rsid w:val="009D5626"/>
    <w:rsid w:val="00A03AB4"/>
    <w:rsid w:val="00A5560C"/>
    <w:rsid w:val="00B223EE"/>
    <w:rsid w:val="00B53A97"/>
    <w:rsid w:val="00B8095E"/>
    <w:rsid w:val="00BC7406"/>
    <w:rsid w:val="00BE6ADD"/>
    <w:rsid w:val="00C00473"/>
    <w:rsid w:val="00C05343"/>
    <w:rsid w:val="00C15175"/>
    <w:rsid w:val="00C40CB8"/>
    <w:rsid w:val="00C66FC7"/>
    <w:rsid w:val="00C8476C"/>
    <w:rsid w:val="00C934A2"/>
    <w:rsid w:val="00D70AF8"/>
    <w:rsid w:val="00D776E3"/>
    <w:rsid w:val="00DB1D3A"/>
    <w:rsid w:val="00DB2C44"/>
    <w:rsid w:val="00DB5C99"/>
    <w:rsid w:val="00DD3524"/>
    <w:rsid w:val="00DE4E87"/>
    <w:rsid w:val="00E2258A"/>
    <w:rsid w:val="00E24E99"/>
    <w:rsid w:val="00E3442C"/>
    <w:rsid w:val="00E42D56"/>
    <w:rsid w:val="00E641F8"/>
    <w:rsid w:val="00EA200B"/>
    <w:rsid w:val="00EA2A0D"/>
    <w:rsid w:val="00EC0875"/>
    <w:rsid w:val="00ED2E2F"/>
    <w:rsid w:val="00F251DA"/>
    <w:rsid w:val="00F26F5D"/>
    <w:rsid w:val="00F827F3"/>
    <w:rsid w:val="00FA224F"/>
    <w:rsid w:val="00FD4130"/>
    <w:rsid w:val="00F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1"/>
    </o:shapelayout>
  </w:shapeDefaults>
  <w:decimalSymbol w:val=","/>
  <w:listSeparator w:val=","/>
  <w14:docId w14:val="04910AD5"/>
  <w15:chartTrackingRefBased/>
  <w15:docId w15:val="{4729DD4E-549C-4E60-91B8-C5F97C75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CE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6B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16B9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97EDA"/>
  </w:style>
  <w:style w:type="character" w:styleId="Hipervnculo">
    <w:name w:val="Hyperlink"/>
    <w:rsid w:val="00FD4130"/>
    <w:rPr>
      <w:color w:val="0000FF"/>
      <w:u w:val="single"/>
    </w:rPr>
  </w:style>
  <w:style w:type="character" w:customStyle="1" w:styleId="EncabezadoCar">
    <w:name w:val="Encabezado Car"/>
    <w:link w:val="Encabezado"/>
    <w:rsid w:val="00C00473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56DF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3637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4290</CharactersWithSpaces>
  <SharedDoc>false</SharedDoc>
  <HLinks>
    <vt:vector size="6" baseType="variant"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dc:description/>
  <cp:lastModifiedBy>PILINLORENA LOPEZ LOPEZ</cp:lastModifiedBy>
  <cp:revision>2</cp:revision>
  <cp:lastPrinted>2020-03-04T20:26:00Z</cp:lastPrinted>
  <dcterms:created xsi:type="dcterms:W3CDTF">2020-03-13T13:06:00Z</dcterms:created>
  <dcterms:modified xsi:type="dcterms:W3CDTF">2020-03-13T13:06:00Z</dcterms:modified>
</cp:coreProperties>
</file>