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0B" w:rsidRDefault="006A160B" w:rsidP="001107B7">
      <w:pPr>
        <w:jc w:val="center"/>
        <w:rPr>
          <w:rFonts w:ascii="Arial" w:hAnsi="Arial" w:cs="Arial"/>
          <w:b/>
          <w:sz w:val="22"/>
          <w:szCs w:val="22"/>
          <w:lang w:val="es-CO"/>
        </w:rPr>
      </w:pPr>
      <w:bookmarkStart w:id="0" w:name="_GoBack"/>
      <w:bookmarkEnd w:id="0"/>
    </w:p>
    <w:p w:rsidR="001107B7" w:rsidRPr="00954463" w:rsidRDefault="001107B7" w:rsidP="001107B7">
      <w:pPr>
        <w:jc w:val="center"/>
        <w:rPr>
          <w:rFonts w:ascii="Arial" w:hAnsi="Arial" w:cs="Arial"/>
          <w:b/>
          <w:sz w:val="22"/>
          <w:szCs w:val="22"/>
          <w:lang w:val="es-CO"/>
        </w:rPr>
      </w:pPr>
      <w:r w:rsidRPr="00954463">
        <w:rPr>
          <w:rFonts w:ascii="Arial" w:hAnsi="Arial" w:cs="Arial"/>
          <w:b/>
          <w:sz w:val="22"/>
          <w:szCs w:val="22"/>
          <w:lang w:val="es-CO"/>
        </w:rPr>
        <w:t xml:space="preserve">RESOLUCIÓN No. </w:t>
      </w:r>
      <w:r w:rsidR="001C17DE">
        <w:rPr>
          <w:rFonts w:ascii="Arial" w:hAnsi="Arial" w:cs="Arial"/>
          <w:b/>
          <w:sz w:val="22"/>
          <w:szCs w:val="22"/>
          <w:lang w:val="es-CO"/>
        </w:rPr>
        <w:t>CSJBOR20-94</w:t>
      </w:r>
    </w:p>
    <w:p w:rsidR="001107B7" w:rsidRPr="001C4F74" w:rsidRDefault="001C17DE" w:rsidP="001107B7">
      <w:pPr>
        <w:jc w:val="center"/>
        <w:rPr>
          <w:rFonts w:ascii="Arial" w:hAnsi="Arial" w:cs="Arial"/>
          <w:sz w:val="22"/>
          <w:szCs w:val="22"/>
          <w:lang w:val="es-CO"/>
        </w:rPr>
      </w:pPr>
      <w:r>
        <w:rPr>
          <w:rFonts w:ascii="Arial" w:hAnsi="Arial" w:cs="Arial"/>
          <w:sz w:val="22"/>
          <w:szCs w:val="22"/>
          <w:lang w:val="es-CO"/>
        </w:rPr>
        <w:t>6 de marzo de 2020</w:t>
      </w:r>
    </w:p>
    <w:p w:rsidR="005D76B2" w:rsidRPr="007F1A2F" w:rsidRDefault="005D76B2" w:rsidP="005E0745">
      <w:pPr>
        <w:jc w:val="center"/>
        <w:rPr>
          <w:rFonts w:ascii="Arial" w:hAnsi="Arial" w:cs="Arial"/>
          <w:sz w:val="22"/>
          <w:szCs w:val="22"/>
          <w:lang w:val="es-CO"/>
        </w:rPr>
      </w:pPr>
    </w:p>
    <w:p w:rsidR="007C3C10" w:rsidRPr="007C3C10" w:rsidRDefault="007C3C10" w:rsidP="007C3C10">
      <w:pPr>
        <w:autoSpaceDE w:val="0"/>
        <w:autoSpaceDN w:val="0"/>
        <w:adjustRightInd w:val="0"/>
        <w:spacing w:line="276" w:lineRule="auto"/>
        <w:jc w:val="center"/>
        <w:rPr>
          <w:rFonts w:ascii="Arial" w:hAnsi="Arial" w:cs="Arial"/>
          <w:i/>
          <w:sz w:val="22"/>
          <w:szCs w:val="22"/>
        </w:rPr>
      </w:pPr>
      <w:r w:rsidRPr="007C3C10">
        <w:rPr>
          <w:rFonts w:ascii="Arial" w:hAnsi="Arial" w:cs="Arial"/>
          <w:i/>
          <w:sz w:val="22"/>
          <w:szCs w:val="22"/>
        </w:rPr>
        <w:t>“Por medio de la cual se deciden unas solicitudes de reclasificación, en la inscripción individual del Registro Seccional de Elegible para el cargo de Profesional Universitario Juzgados Administrativos - Grado 16, de los Distritos Judiciales de Cartagena y San Andrés, Providencia y Santa Catalina, Islas, dentro del Concurso de Méritos convocado mediante el Acuerdo No. 195  de 2013”</w:t>
      </w:r>
    </w:p>
    <w:p w:rsidR="007C3C10" w:rsidRPr="007C3C10" w:rsidRDefault="007C3C10" w:rsidP="007C3C10">
      <w:pPr>
        <w:tabs>
          <w:tab w:val="left" w:pos="2698"/>
        </w:tabs>
        <w:autoSpaceDE w:val="0"/>
        <w:autoSpaceDN w:val="0"/>
        <w:adjustRightInd w:val="0"/>
        <w:spacing w:line="276" w:lineRule="auto"/>
        <w:jc w:val="both"/>
        <w:rPr>
          <w:rFonts w:ascii="Arial" w:hAnsi="Arial" w:cs="Arial"/>
          <w:b/>
          <w:sz w:val="22"/>
          <w:szCs w:val="22"/>
        </w:rPr>
      </w:pPr>
    </w:p>
    <w:p w:rsidR="007C3C10" w:rsidRPr="007C3C10" w:rsidRDefault="007C3C10" w:rsidP="007C3C10">
      <w:pPr>
        <w:autoSpaceDE w:val="0"/>
        <w:autoSpaceDN w:val="0"/>
        <w:adjustRightInd w:val="0"/>
        <w:spacing w:line="276" w:lineRule="auto"/>
        <w:jc w:val="center"/>
        <w:rPr>
          <w:rFonts w:ascii="Arial" w:hAnsi="Arial" w:cs="Arial"/>
          <w:b/>
          <w:bCs/>
          <w:sz w:val="22"/>
          <w:szCs w:val="22"/>
        </w:rPr>
      </w:pPr>
      <w:r w:rsidRPr="007C3C10">
        <w:rPr>
          <w:rFonts w:ascii="Arial" w:hAnsi="Arial" w:cs="Arial"/>
          <w:b/>
          <w:bCs/>
          <w:sz w:val="22"/>
          <w:szCs w:val="22"/>
        </w:rPr>
        <w:t>EL CONSEJO SECCIONAL DE LA JUDICATURA DE BOLÍVAR</w:t>
      </w:r>
    </w:p>
    <w:p w:rsidR="007C3C10" w:rsidRPr="007C3C10" w:rsidRDefault="007C3C10" w:rsidP="007C3C10">
      <w:pPr>
        <w:tabs>
          <w:tab w:val="left" w:pos="2835"/>
        </w:tabs>
        <w:spacing w:line="276" w:lineRule="auto"/>
        <w:jc w:val="center"/>
        <w:rPr>
          <w:rFonts w:ascii="Arial" w:hAnsi="Arial" w:cs="Arial"/>
          <w:sz w:val="22"/>
          <w:szCs w:val="22"/>
        </w:rPr>
      </w:pPr>
    </w:p>
    <w:p w:rsidR="007C3C10" w:rsidRPr="007C3C10" w:rsidRDefault="007C3C10" w:rsidP="007C3C10">
      <w:pPr>
        <w:spacing w:line="276" w:lineRule="auto"/>
        <w:jc w:val="both"/>
        <w:rPr>
          <w:rFonts w:ascii="Arial" w:hAnsi="Arial" w:cs="Arial"/>
          <w:bCs/>
          <w:color w:val="000000"/>
          <w:sz w:val="22"/>
          <w:szCs w:val="22"/>
        </w:rPr>
      </w:pPr>
      <w:r w:rsidRPr="007C3C10">
        <w:rPr>
          <w:rFonts w:ascii="Arial" w:hAnsi="Arial" w:cs="Arial"/>
          <w:bCs/>
          <w:color w:val="000000"/>
          <w:sz w:val="22"/>
          <w:szCs w:val="22"/>
        </w:rPr>
        <w:t xml:space="preserve">En ejercicio de sus facultades legales, en especial las conferidas por los artículos 101, 164 y 165 de la Ley 270 de 1996 y el Acuerdo </w:t>
      </w:r>
      <w:r w:rsidRPr="007C3C10">
        <w:rPr>
          <w:rFonts w:ascii="Arial" w:hAnsi="Arial" w:cs="Arial"/>
          <w:sz w:val="22"/>
          <w:szCs w:val="22"/>
        </w:rPr>
        <w:t>1242 de 2001</w:t>
      </w:r>
      <w:r w:rsidRPr="007C3C10">
        <w:rPr>
          <w:rFonts w:ascii="Arial" w:hAnsi="Arial" w:cs="Arial"/>
          <w:bCs/>
          <w:color w:val="000000"/>
          <w:sz w:val="22"/>
          <w:szCs w:val="22"/>
        </w:rPr>
        <w:t>, expedido por el Consejo Superior de la Judicatura y de conformidad con lo decidido en sesión ordinaria del 4 de marzo de 2020,</w:t>
      </w:r>
    </w:p>
    <w:p w:rsidR="007C3C10" w:rsidRPr="007C3C10" w:rsidRDefault="007C3C10" w:rsidP="007C3C10">
      <w:pPr>
        <w:overflowPunct w:val="0"/>
        <w:autoSpaceDE w:val="0"/>
        <w:autoSpaceDN w:val="0"/>
        <w:adjustRightInd w:val="0"/>
        <w:spacing w:line="276" w:lineRule="auto"/>
        <w:jc w:val="center"/>
        <w:rPr>
          <w:rFonts w:ascii="Arial" w:hAnsi="Arial" w:cs="Arial"/>
          <w:b/>
          <w:bCs/>
          <w:sz w:val="22"/>
          <w:szCs w:val="22"/>
        </w:rPr>
      </w:pPr>
      <w:r w:rsidRPr="007C3C10">
        <w:rPr>
          <w:rFonts w:ascii="Arial" w:hAnsi="Arial" w:cs="Arial"/>
          <w:b/>
          <w:bCs/>
          <w:sz w:val="22"/>
          <w:szCs w:val="22"/>
        </w:rPr>
        <w:t xml:space="preserve">CONSIDERANDO </w:t>
      </w:r>
    </w:p>
    <w:p w:rsidR="007C3C10" w:rsidRPr="007C3C10" w:rsidRDefault="007C3C10" w:rsidP="007C3C10">
      <w:pPr>
        <w:overflowPunct w:val="0"/>
        <w:autoSpaceDE w:val="0"/>
        <w:autoSpaceDN w:val="0"/>
        <w:adjustRightInd w:val="0"/>
        <w:spacing w:line="276" w:lineRule="auto"/>
        <w:jc w:val="center"/>
        <w:rPr>
          <w:rFonts w:ascii="Arial" w:hAnsi="Arial" w:cs="Arial"/>
          <w:b/>
          <w:bCs/>
          <w:sz w:val="22"/>
          <w:szCs w:val="22"/>
        </w:rPr>
      </w:pPr>
    </w:p>
    <w:p w:rsidR="007C3C10" w:rsidRPr="007C3C10" w:rsidRDefault="007C3C10" w:rsidP="007C3C10">
      <w:pPr>
        <w:spacing w:line="276" w:lineRule="auto"/>
        <w:jc w:val="both"/>
        <w:rPr>
          <w:rFonts w:ascii="Arial" w:eastAsia="Calibri" w:hAnsi="Arial" w:cs="Arial"/>
          <w:sz w:val="22"/>
          <w:szCs w:val="22"/>
        </w:rPr>
      </w:pPr>
      <w:r w:rsidRPr="007C3C10">
        <w:rPr>
          <w:rFonts w:ascii="Arial" w:eastAsia="Calibri" w:hAnsi="Arial" w:cs="Arial"/>
          <w:sz w:val="22"/>
          <w:szCs w:val="22"/>
        </w:rPr>
        <w:t>Que mediante Acuerdo 195 del 29 de noviembre 2013, el Consejo Seccional de la Judicatura de Bolívar (antes Sala Administrativa), convocó a concurso de méritos destinado a la conformación de los Registros Seccionales de Elegibles para los cargos de empleados de carrera de Tribunales, Juzgados y Centros de Servicios en los Distritos Judiciales de Cartagena, Administrativo de Bolívar y los Distritos Judicial y Administrativo del Archipiélago de San Andrés, Providencia y Santa Catalina, Islas.</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 xml:space="preserve">En desarrollo del referido proceso de selección, el Consejo Seccional de la Judicatura de Bolívar, profirió las Resoluciones Nos. </w:t>
      </w:r>
      <w:r w:rsidRPr="007C3C10">
        <w:rPr>
          <w:rFonts w:ascii="Arial" w:hAnsi="Arial" w:cs="Arial"/>
          <w:color w:val="222222"/>
          <w:sz w:val="22"/>
          <w:szCs w:val="22"/>
          <w:lang w:val="es-CO" w:eastAsia="es-CO"/>
        </w:rPr>
        <w:t>010 a 029 y 037 a 042 de 2016</w:t>
      </w:r>
      <w:r w:rsidRPr="007C3C10">
        <w:rPr>
          <w:rFonts w:ascii="Arial" w:hAnsi="Arial" w:cs="Arial"/>
          <w:sz w:val="22"/>
          <w:szCs w:val="22"/>
        </w:rPr>
        <w:t xml:space="preserve">, por medio de las cuales conformó los Registros Secciónales de Elegibles, las cuales fueron objeto de recursos, resueltos por Resoluciones Nos. 75 a 86, 89, 93 y 114 de 2016. </w:t>
      </w: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 xml:space="preserve">  </w:t>
      </w: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El Artículo 165 de la Ley 270 de 1996, establece que una vez expedido el Registro de Elegibles, durante los meses de enero y febrero de cada año, cualquier interesado podrá actualizar su inscripción con los datos que estime necesarios y con estos se actualizará el registro, si a ello hubiere lugar. Postulado que es replicado en el numeral 7.2 del artículo 2° del acuerdo de convocatoria.</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Así mismo, mediante Acuerdo No. 1242 de 2001, el Consejo Superior de la Judicatura dictó disposiciones para la reclasificación; allí delegó en los Consejos Seccionales el decidir acerca de las peticiones de  los aspirantes a los cargos de empleados.</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Que tanto el reglamento, como el acuerdo de convocatoria disponen que los integrantes de los registros de elegibles interesados en reclasificar su inscripción, deben formular dentro del término legalmente previsto la solicitud por escrito, indicando los factores cuya modificación pretendan y anexar los documentos que puedan ser objeto de valoración.</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De conformidad con las precitadas disposiciones, corresponde a esta seccional decidir acerca de las solicitudes de reclasificación presentadas los días 25 y 27 de febrero de 2020, y como consecuencia de ello, publicar los puntajes de reclasificación para los cargos de empleados de carrera de t</w:t>
      </w:r>
      <w:r w:rsidRPr="007C3C10">
        <w:rPr>
          <w:rFonts w:ascii="Arial" w:eastAsia="Calibri" w:hAnsi="Arial" w:cs="Arial"/>
          <w:sz w:val="22"/>
          <w:szCs w:val="22"/>
        </w:rPr>
        <w:t>ribunales, juzgados y centros de servicios en los Distritos Judiciales de Cartagena, Administrativo de Bolívar y los Distritos Judicial y Administrativo del Archipiélago de San Andrés, Providencia y Santa Catalina, Islas</w:t>
      </w:r>
      <w:r w:rsidRPr="007C3C10">
        <w:rPr>
          <w:rFonts w:ascii="Arial" w:hAnsi="Arial" w:cs="Arial"/>
          <w:sz w:val="22"/>
          <w:szCs w:val="22"/>
        </w:rPr>
        <w:t>, convocados mediante Acuerdo No. 195 del 29 de noviembre de 2013.</w:t>
      </w:r>
      <w:r w:rsidRPr="007C3C10">
        <w:rPr>
          <w:rFonts w:ascii="Arial" w:hAnsi="Arial" w:cs="Arial"/>
          <w:i/>
          <w:sz w:val="22"/>
          <w:szCs w:val="22"/>
        </w:rPr>
        <w:t xml:space="preserve"> </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 xml:space="preserve">Que de acuerdo con la convocatoria y los reglamentos citados, los factores susceptibles de actualización por reclasificación de los registros de elegibles son: </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 xml:space="preserve">1) Experiencia y docencia adicional al requisito mínimo exigido para el cargo, </w:t>
      </w:r>
      <w:r w:rsidRPr="007C3C10">
        <w:rPr>
          <w:rFonts w:ascii="Arial" w:hAnsi="Arial" w:cs="Arial"/>
          <w:b/>
          <w:sz w:val="22"/>
          <w:szCs w:val="22"/>
          <w:u w:val="single"/>
        </w:rPr>
        <w:t>siempre y cuando no hubieren sido valorados en la fase de clasificación del respectivo proceso de selección</w:t>
      </w:r>
      <w:r w:rsidRPr="007C3C10">
        <w:rPr>
          <w:rFonts w:ascii="Arial" w:hAnsi="Arial" w:cs="Arial"/>
          <w:sz w:val="22"/>
          <w:szCs w:val="22"/>
        </w:rPr>
        <w:t xml:space="preserve"> o en actualizaciones anteriores. </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lang w:val="es-CO"/>
        </w:rPr>
      </w:pPr>
      <w:r w:rsidRPr="007C3C10">
        <w:rPr>
          <w:rFonts w:ascii="Arial" w:hAnsi="Arial" w:cs="Arial"/>
          <w:sz w:val="22"/>
          <w:szCs w:val="22"/>
        </w:rPr>
        <w:t xml:space="preserve">2) Capacitación y publicaciones realizadas por el aspirante, </w:t>
      </w:r>
      <w:r w:rsidRPr="007C3C10">
        <w:rPr>
          <w:rFonts w:ascii="Arial" w:hAnsi="Arial" w:cs="Arial"/>
          <w:sz w:val="22"/>
          <w:szCs w:val="22"/>
          <w:u w:val="single"/>
        </w:rPr>
        <w:t xml:space="preserve">en áreas relacionadas con el cargo de aspiración que no hayan sido puntuadas en las oportunidades señaladas. </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b/>
          <w:sz w:val="22"/>
          <w:szCs w:val="22"/>
        </w:rPr>
        <w:t>1.</w:t>
      </w:r>
      <w:r w:rsidRPr="007C3C10">
        <w:rPr>
          <w:rFonts w:ascii="Arial" w:hAnsi="Arial" w:cs="Arial"/>
          <w:sz w:val="22"/>
          <w:szCs w:val="22"/>
        </w:rPr>
        <w:t xml:space="preserve"> </w:t>
      </w:r>
      <w:r w:rsidRPr="007C3C10">
        <w:rPr>
          <w:rFonts w:ascii="Arial" w:hAnsi="Arial" w:cs="Arial"/>
          <w:b/>
          <w:sz w:val="22"/>
          <w:szCs w:val="22"/>
        </w:rPr>
        <w:t xml:space="preserve">Experiencia Adicional y docencia. </w:t>
      </w:r>
      <w:r w:rsidRPr="007C3C10">
        <w:rPr>
          <w:rFonts w:ascii="Arial" w:hAnsi="Arial" w:cs="Arial"/>
          <w:sz w:val="22"/>
          <w:szCs w:val="22"/>
        </w:rPr>
        <w:t>Hasta un máximo de 100 puntos.</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La experiencia laboral en cargos relacionados o en el ejercicio independiente, con dedicación de tiempo completo en áreas relacionadas con el empleo de aspiración dará derecho a veinte (20) puntos por cada año de servicio o proporcional por fracción de este.</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La docencia, en cátedra en áreas relacionadas con el cargo de aspiración, dará derecho a diez (10) puntos por cada semestre de ejercicio de tiempo completo.</w:t>
      </w: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 xml:space="preserve"> </w:t>
      </w:r>
    </w:p>
    <w:p w:rsidR="007C3C10" w:rsidRPr="007C3C10" w:rsidRDefault="007C3C10" w:rsidP="007C3C10">
      <w:pPr>
        <w:spacing w:line="276" w:lineRule="auto"/>
        <w:jc w:val="both"/>
        <w:rPr>
          <w:rFonts w:ascii="Arial" w:hAnsi="Arial" w:cs="Arial"/>
          <w:b/>
          <w:sz w:val="22"/>
          <w:szCs w:val="22"/>
        </w:rPr>
      </w:pPr>
      <w:r w:rsidRPr="007C3C10">
        <w:rPr>
          <w:rFonts w:ascii="Arial" w:hAnsi="Arial" w:cs="Arial"/>
          <w:b/>
          <w:sz w:val="22"/>
          <w:szCs w:val="22"/>
        </w:rPr>
        <w:t>La docencia y la experiencia adicional no podrán ser concurrentes en el tiempo y  en todo caso el puntaje total del factor no podrá exceder de 100 puntos.</w:t>
      </w:r>
    </w:p>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Del citado subfactor se presentaron las solicitudes que se relacionan a continuación:</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5812"/>
      </w:tblGrid>
      <w:tr w:rsidR="007C3C10" w:rsidRPr="007C3C10" w:rsidTr="00BD06A1">
        <w:trPr>
          <w:trHeight w:val="504"/>
        </w:trPr>
        <w:tc>
          <w:tcPr>
            <w:tcW w:w="1560" w:type="dxa"/>
            <w:vAlign w:val="center"/>
          </w:tcPr>
          <w:p w:rsidR="007C3C10" w:rsidRPr="007C3C10" w:rsidRDefault="007C3C10" w:rsidP="007C3C10">
            <w:pPr>
              <w:spacing w:line="276" w:lineRule="auto"/>
              <w:jc w:val="center"/>
              <w:rPr>
                <w:rFonts w:ascii="Arial" w:hAnsi="Arial" w:cs="Arial"/>
                <w:b/>
                <w:bCs/>
                <w:sz w:val="20"/>
                <w:szCs w:val="22"/>
              </w:rPr>
            </w:pPr>
          </w:p>
          <w:p w:rsidR="007C3C10" w:rsidRPr="007C3C10" w:rsidRDefault="007C3C10" w:rsidP="007C3C10">
            <w:pPr>
              <w:spacing w:line="276" w:lineRule="auto"/>
              <w:jc w:val="center"/>
              <w:rPr>
                <w:rFonts w:ascii="Arial" w:hAnsi="Arial" w:cs="Arial"/>
                <w:b/>
                <w:bCs/>
                <w:sz w:val="20"/>
                <w:szCs w:val="22"/>
              </w:rPr>
            </w:pPr>
            <w:r w:rsidRPr="007C3C10">
              <w:rPr>
                <w:rFonts w:ascii="Arial" w:hAnsi="Arial" w:cs="Arial"/>
                <w:b/>
                <w:bCs/>
                <w:sz w:val="20"/>
                <w:szCs w:val="22"/>
              </w:rPr>
              <w:t>NOMBRE</w:t>
            </w:r>
          </w:p>
        </w:tc>
        <w:tc>
          <w:tcPr>
            <w:tcW w:w="1275" w:type="dxa"/>
            <w:vAlign w:val="center"/>
          </w:tcPr>
          <w:p w:rsidR="007C3C10" w:rsidRPr="007C3C10" w:rsidRDefault="007C3C10" w:rsidP="007C3C10">
            <w:pPr>
              <w:spacing w:line="276" w:lineRule="auto"/>
              <w:jc w:val="center"/>
              <w:rPr>
                <w:rFonts w:ascii="Arial" w:hAnsi="Arial" w:cs="Arial"/>
                <w:b/>
                <w:bCs/>
                <w:sz w:val="20"/>
                <w:szCs w:val="22"/>
              </w:rPr>
            </w:pPr>
          </w:p>
          <w:p w:rsidR="007C3C10" w:rsidRPr="007C3C10" w:rsidRDefault="007C3C10" w:rsidP="007C3C10">
            <w:pPr>
              <w:spacing w:line="276" w:lineRule="auto"/>
              <w:jc w:val="center"/>
              <w:rPr>
                <w:rFonts w:ascii="Arial" w:hAnsi="Arial" w:cs="Arial"/>
                <w:b/>
                <w:bCs/>
                <w:sz w:val="20"/>
                <w:szCs w:val="22"/>
              </w:rPr>
            </w:pPr>
            <w:r w:rsidRPr="007C3C10">
              <w:rPr>
                <w:rFonts w:ascii="Arial" w:hAnsi="Arial" w:cs="Arial"/>
                <w:b/>
                <w:bCs/>
                <w:sz w:val="20"/>
                <w:szCs w:val="22"/>
              </w:rPr>
              <w:t>CÉDULA</w:t>
            </w:r>
          </w:p>
        </w:tc>
        <w:tc>
          <w:tcPr>
            <w:tcW w:w="5812" w:type="dxa"/>
            <w:shd w:val="clear" w:color="auto" w:fill="auto"/>
            <w:noWrap/>
            <w:vAlign w:val="center"/>
            <w:hideMark/>
          </w:tcPr>
          <w:p w:rsidR="007C3C10" w:rsidRPr="007C3C10" w:rsidRDefault="007C3C10" w:rsidP="007C3C10">
            <w:pPr>
              <w:spacing w:line="276" w:lineRule="auto"/>
              <w:jc w:val="center"/>
              <w:rPr>
                <w:rFonts w:ascii="Arial" w:hAnsi="Arial" w:cs="Arial"/>
                <w:b/>
                <w:bCs/>
                <w:sz w:val="20"/>
                <w:szCs w:val="22"/>
              </w:rPr>
            </w:pPr>
          </w:p>
          <w:p w:rsidR="007C3C10" w:rsidRPr="007C3C10" w:rsidRDefault="007C3C10" w:rsidP="007C3C10">
            <w:pPr>
              <w:spacing w:line="276" w:lineRule="auto"/>
              <w:jc w:val="center"/>
              <w:rPr>
                <w:rFonts w:ascii="Arial" w:hAnsi="Arial" w:cs="Arial"/>
                <w:b/>
                <w:bCs/>
                <w:sz w:val="20"/>
                <w:szCs w:val="22"/>
              </w:rPr>
            </w:pPr>
            <w:r w:rsidRPr="007C3C10">
              <w:rPr>
                <w:rFonts w:ascii="Arial" w:hAnsi="Arial" w:cs="Arial"/>
                <w:b/>
                <w:bCs/>
                <w:sz w:val="20"/>
                <w:szCs w:val="22"/>
              </w:rPr>
              <w:t>EXPERIENCIA LABORAL ADICIONAL</w:t>
            </w:r>
          </w:p>
        </w:tc>
      </w:tr>
      <w:tr w:rsidR="007C3C10" w:rsidRPr="007C3C10" w:rsidTr="00BD06A1">
        <w:trPr>
          <w:trHeight w:val="58"/>
        </w:trPr>
        <w:tc>
          <w:tcPr>
            <w:tcW w:w="1560" w:type="dxa"/>
            <w:vAlign w:val="center"/>
          </w:tcPr>
          <w:p w:rsidR="007C3C10" w:rsidRPr="007C3C10" w:rsidRDefault="007C3C10" w:rsidP="007C3C10">
            <w:pPr>
              <w:spacing w:line="276" w:lineRule="auto"/>
              <w:jc w:val="center"/>
              <w:rPr>
                <w:rFonts w:ascii="Arial" w:hAnsi="Arial" w:cs="Arial"/>
                <w:b/>
                <w:bCs/>
                <w:sz w:val="20"/>
                <w:szCs w:val="22"/>
              </w:rPr>
            </w:pPr>
            <w:r w:rsidRPr="007C3C10">
              <w:rPr>
                <w:rFonts w:ascii="Arial" w:hAnsi="Arial" w:cs="Arial"/>
                <w:b/>
                <w:bCs/>
                <w:sz w:val="20"/>
                <w:szCs w:val="22"/>
              </w:rPr>
              <w:t>Catia De Ávila Romero</w:t>
            </w:r>
          </w:p>
        </w:tc>
        <w:tc>
          <w:tcPr>
            <w:tcW w:w="1275" w:type="dxa"/>
            <w:vAlign w:val="center"/>
          </w:tcPr>
          <w:p w:rsidR="007C3C10" w:rsidRPr="007C3C10" w:rsidRDefault="007C3C10" w:rsidP="007C3C10">
            <w:pPr>
              <w:spacing w:line="276" w:lineRule="auto"/>
              <w:jc w:val="center"/>
              <w:rPr>
                <w:rFonts w:ascii="Arial" w:hAnsi="Arial" w:cs="Arial"/>
                <w:sz w:val="20"/>
                <w:szCs w:val="22"/>
              </w:rPr>
            </w:pPr>
            <w:r w:rsidRPr="007C3C10">
              <w:rPr>
                <w:rFonts w:ascii="Arial" w:hAnsi="Arial" w:cs="Arial"/>
                <w:sz w:val="20"/>
                <w:szCs w:val="22"/>
              </w:rPr>
              <w:t>22.790.332</w:t>
            </w:r>
          </w:p>
        </w:tc>
        <w:tc>
          <w:tcPr>
            <w:tcW w:w="5812" w:type="dxa"/>
            <w:shd w:val="clear" w:color="auto" w:fill="auto"/>
            <w:vAlign w:val="center"/>
            <w:hideMark/>
          </w:tcPr>
          <w:p w:rsidR="007C3C10" w:rsidRPr="007C3C10" w:rsidRDefault="007C3C10" w:rsidP="007C3C10">
            <w:pPr>
              <w:spacing w:line="276" w:lineRule="auto"/>
              <w:jc w:val="both"/>
              <w:rPr>
                <w:rFonts w:ascii="Arial" w:hAnsi="Arial" w:cs="Arial"/>
                <w:sz w:val="20"/>
                <w:szCs w:val="22"/>
              </w:rPr>
            </w:pPr>
            <w:r w:rsidRPr="007C3C10">
              <w:rPr>
                <w:rFonts w:ascii="Arial" w:hAnsi="Arial" w:cs="Arial"/>
                <w:sz w:val="20"/>
                <w:szCs w:val="22"/>
              </w:rPr>
              <w:t>Secretaria del Juzgado Séptimo Penal Municipal con Funciones de Control de Garantías de Cartagena, desde el 21 de febrero de 2018 hasta la fecha. Certificación expedida por la coordinación de asuntos laborales de la Dirección Seccional de Administración Judicial de Cartagena de 7 de febrero de 2020.</w:t>
            </w:r>
          </w:p>
          <w:p w:rsidR="007C3C10" w:rsidRPr="007C3C10" w:rsidRDefault="007C3C10" w:rsidP="007C3C10">
            <w:pPr>
              <w:spacing w:line="276" w:lineRule="auto"/>
              <w:jc w:val="both"/>
              <w:rPr>
                <w:rFonts w:ascii="Arial" w:hAnsi="Arial" w:cs="Arial"/>
                <w:i/>
                <w:sz w:val="20"/>
                <w:szCs w:val="22"/>
              </w:rPr>
            </w:pPr>
            <w:r w:rsidRPr="007C3C10">
              <w:rPr>
                <w:rFonts w:ascii="Arial" w:hAnsi="Arial" w:cs="Arial"/>
                <w:i/>
                <w:sz w:val="20"/>
                <w:szCs w:val="22"/>
              </w:rPr>
              <w:t>No se admite la experiencia adicional, debido a que mediante Resolución CSJBOR19-150 del 29 de marzo de 2019 se le otorgó el puntaje máximo de 100 puntos en este subfactor.</w:t>
            </w:r>
          </w:p>
        </w:tc>
      </w:tr>
    </w:tbl>
    <w:p w:rsidR="007C3C10" w:rsidRPr="007C3C10" w:rsidRDefault="007C3C10"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b/>
          <w:sz w:val="22"/>
          <w:szCs w:val="22"/>
        </w:rPr>
      </w:pPr>
      <w:r w:rsidRPr="007C3C10">
        <w:rPr>
          <w:rFonts w:ascii="Arial" w:hAnsi="Arial" w:cs="Arial"/>
          <w:b/>
          <w:sz w:val="22"/>
          <w:szCs w:val="22"/>
        </w:rPr>
        <w:t xml:space="preserve">2. Capacitación. </w:t>
      </w:r>
      <w:r w:rsidRPr="007C3C10">
        <w:rPr>
          <w:rFonts w:ascii="Arial" w:hAnsi="Arial" w:cs="Arial"/>
          <w:color w:val="000000"/>
          <w:sz w:val="22"/>
          <w:szCs w:val="22"/>
        </w:rPr>
        <w:t>Hasta un máximo de 70 puntos.</w:t>
      </w:r>
    </w:p>
    <w:p w:rsidR="007C3C10" w:rsidRPr="007C3C10" w:rsidRDefault="007C3C10" w:rsidP="007C3C10">
      <w:pPr>
        <w:spacing w:line="276" w:lineRule="auto"/>
        <w:ind w:left="2880" w:hanging="2880"/>
        <w:jc w:val="both"/>
        <w:rPr>
          <w:rFonts w:ascii="Arial" w:hAnsi="Arial" w:cs="Arial"/>
          <w:color w:val="000000"/>
          <w:sz w:val="22"/>
          <w:szCs w:val="22"/>
        </w:rPr>
      </w:pPr>
      <w:r w:rsidRPr="007C3C10">
        <w:rPr>
          <w:rFonts w:ascii="Arial" w:hAnsi="Arial" w:cs="Arial"/>
          <w:color w:val="000000"/>
          <w:sz w:val="22"/>
          <w:szCs w:val="22"/>
        </w:rPr>
        <w:t> Este factor se evaluará atendiendo los niveles ocupacionales de la siguiente manera:</w:t>
      </w:r>
    </w:p>
    <w:tbl>
      <w:tblPr>
        <w:tblW w:w="8189" w:type="dxa"/>
        <w:jc w:val="center"/>
        <w:tblInd w:w="539" w:type="dxa"/>
        <w:tblCellMar>
          <w:left w:w="0" w:type="dxa"/>
          <w:right w:w="0" w:type="dxa"/>
        </w:tblCellMar>
        <w:tblLook w:val="0000" w:firstRow="0" w:lastRow="0" w:firstColumn="0" w:lastColumn="0" w:noHBand="0" w:noVBand="0"/>
      </w:tblPr>
      <w:tblGrid>
        <w:gridCol w:w="1317"/>
        <w:gridCol w:w="1806"/>
        <w:gridCol w:w="939"/>
        <w:gridCol w:w="1684"/>
        <w:gridCol w:w="1233"/>
        <w:gridCol w:w="1439"/>
      </w:tblGrid>
      <w:tr w:rsidR="007C3C10" w:rsidRPr="007C3C10" w:rsidTr="00BD06A1">
        <w:trPr>
          <w:trHeight w:val="1330"/>
          <w:jc w:val="center"/>
        </w:trPr>
        <w:tc>
          <w:tcPr>
            <w:tcW w:w="1566" w:type="dxa"/>
            <w:tcBorders>
              <w:top w:val="double" w:sz="6" w:space="0" w:color="auto"/>
              <w:left w:val="double" w:sz="6" w:space="0" w:color="auto"/>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color w:val="000000"/>
                <w:sz w:val="20"/>
                <w:szCs w:val="22"/>
              </w:rPr>
              <w:t> </w:t>
            </w:r>
            <w:r w:rsidRPr="007C3C10">
              <w:rPr>
                <w:rFonts w:ascii="Arial" w:hAnsi="Arial" w:cs="Arial"/>
                <w:b/>
                <w:bCs/>
                <w:sz w:val="20"/>
                <w:szCs w:val="22"/>
              </w:rPr>
              <w:t>Nivel del Cargo – Requisitos</w:t>
            </w:r>
          </w:p>
        </w:tc>
        <w:tc>
          <w:tcPr>
            <w:tcW w:w="1673" w:type="dxa"/>
            <w:tcBorders>
              <w:top w:val="double" w:sz="6" w:space="0" w:color="auto"/>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b/>
                <w:bCs/>
                <w:sz w:val="20"/>
                <w:szCs w:val="22"/>
              </w:rPr>
              <w:t>Postgrados en áreas relacionadas con el cargo</w:t>
            </w:r>
          </w:p>
        </w:tc>
        <w:tc>
          <w:tcPr>
            <w:tcW w:w="870" w:type="dxa"/>
            <w:tcBorders>
              <w:top w:val="double" w:sz="6" w:space="0" w:color="auto"/>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b/>
                <w:bCs/>
                <w:sz w:val="20"/>
                <w:szCs w:val="22"/>
              </w:rPr>
              <w:t>Puntaje a asignar</w:t>
            </w:r>
          </w:p>
        </w:tc>
        <w:tc>
          <w:tcPr>
            <w:tcW w:w="1605" w:type="dxa"/>
            <w:tcBorders>
              <w:top w:val="double" w:sz="6" w:space="0" w:color="auto"/>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b/>
                <w:bCs/>
                <w:sz w:val="20"/>
                <w:szCs w:val="22"/>
              </w:rPr>
              <w:t>Título de estudios de pregrado en  ciencias humanas, económicas, administrativas y/o sociales</w:t>
            </w:r>
          </w:p>
        </w:tc>
        <w:tc>
          <w:tcPr>
            <w:tcW w:w="1142" w:type="dxa"/>
            <w:tcBorders>
              <w:top w:val="double" w:sz="6" w:space="0" w:color="auto"/>
              <w:left w:val="nil"/>
              <w:bottom w:val="double" w:sz="6" w:space="0" w:color="auto"/>
              <w:right w:val="single" w:sz="4" w:space="0" w:color="auto"/>
            </w:tcBorders>
            <w:vAlign w:val="center"/>
          </w:tcPr>
          <w:p w:rsidR="007C3C10" w:rsidRPr="007C3C10" w:rsidRDefault="007C3C10" w:rsidP="007C3C10">
            <w:pPr>
              <w:spacing w:before="60" w:after="60" w:line="276" w:lineRule="auto"/>
              <w:jc w:val="center"/>
              <w:rPr>
                <w:rFonts w:ascii="Arial" w:hAnsi="Arial" w:cs="Arial"/>
                <w:b/>
                <w:bCs/>
                <w:sz w:val="20"/>
                <w:szCs w:val="22"/>
              </w:rPr>
            </w:pPr>
            <w:r w:rsidRPr="007C3C10">
              <w:rPr>
                <w:rFonts w:ascii="Arial" w:hAnsi="Arial" w:cs="Arial"/>
                <w:b/>
                <w:bCs/>
                <w:sz w:val="20"/>
                <w:szCs w:val="22"/>
              </w:rPr>
              <w:t>Diplomados en áreas relacionadas con el cargo</w:t>
            </w:r>
          </w:p>
          <w:p w:rsidR="007C3C10" w:rsidRPr="007C3C10" w:rsidRDefault="007C3C10" w:rsidP="007C3C10">
            <w:pPr>
              <w:spacing w:before="60" w:after="60" w:line="276" w:lineRule="auto"/>
              <w:jc w:val="center"/>
              <w:rPr>
                <w:rFonts w:ascii="Arial" w:hAnsi="Arial" w:cs="Arial"/>
                <w:b/>
                <w:bCs/>
                <w:sz w:val="20"/>
                <w:szCs w:val="22"/>
              </w:rPr>
            </w:pPr>
            <w:r w:rsidRPr="007C3C10">
              <w:rPr>
                <w:rFonts w:ascii="Arial" w:hAnsi="Arial" w:cs="Arial"/>
                <w:b/>
                <w:bCs/>
                <w:sz w:val="20"/>
                <w:szCs w:val="22"/>
              </w:rPr>
              <w:t>(Máximo 10 puntos)</w:t>
            </w:r>
          </w:p>
          <w:p w:rsidR="007C3C10" w:rsidRPr="007C3C10" w:rsidRDefault="007C3C10" w:rsidP="007C3C10">
            <w:pPr>
              <w:spacing w:before="60" w:after="60" w:line="276" w:lineRule="auto"/>
              <w:jc w:val="center"/>
              <w:rPr>
                <w:rFonts w:ascii="Arial" w:hAnsi="Arial" w:cs="Arial"/>
                <w:b/>
                <w:bCs/>
                <w:sz w:val="20"/>
                <w:szCs w:val="22"/>
              </w:rPr>
            </w:pPr>
          </w:p>
        </w:tc>
        <w:tc>
          <w:tcPr>
            <w:tcW w:w="1333" w:type="dxa"/>
            <w:tcBorders>
              <w:top w:val="double" w:sz="6" w:space="0" w:color="auto"/>
              <w:left w:val="single" w:sz="4" w:space="0" w:color="auto"/>
              <w:bottom w:val="double" w:sz="6" w:space="0" w:color="auto"/>
              <w:right w:val="double" w:sz="6"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b/>
                <w:bCs/>
                <w:sz w:val="20"/>
                <w:szCs w:val="22"/>
              </w:rPr>
              <w:t>Cursos de capacitación</w:t>
            </w:r>
          </w:p>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b/>
                <w:bCs/>
                <w:sz w:val="20"/>
                <w:szCs w:val="22"/>
              </w:rPr>
              <w:t>en áreas relacionadas con el cargo</w:t>
            </w:r>
          </w:p>
          <w:p w:rsidR="007C3C10" w:rsidRPr="007C3C10" w:rsidRDefault="007C3C10" w:rsidP="007C3C10">
            <w:pPr>
              <w:spacing w:before="60" w:after="60" w:line="276" w:lineRule="auto"/>
              <w:jc w:val="center"/>
              <w:rPr>
                <w:rFonts w:ascii="Arial" w:hAnsi="Arial" w:cs="Arial"/>
                <w:b/>
                <w:bCs/>
                <w:sz w:val="20"/>
                <w:szCs w:val="22"/>
                <w:u w:val="single"/>
              </w:rPr>
            </w:pPr>
            <w:r w:rsidRPr="007C3C10">
              <w:rPr>
                <w:rFonts w:ascii="Arial" w:hAnsi="Arial" w:cs="Arial"/>
                <w:b/>
                <w:bCs/>
                <w:sz w:val="20"/>
                <w:szCs w:val="22"/>
                <w:u w:val="single"/>
              </w:rPr>
              <w:t>(40 horas o más)</w:t>
            </w:r>
          </w:p>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b/>
                <w:bCs/>
                <w:sz w:val="20"/>
                <w:szCs w:val="22"/>
              </w:rPr>
              <w:t>Máximo 20 puntos</w:t>
            </w:r>
          </w:p>
        </w:tc>
      </w:tr>
      <w:tr w:rsidR="007C3C10" w:rsidRPr="007C3C10" w:rsidTr="00BD06A1">
        <w:trPr>
          <w:trHeight w:val="322"/>
          <w:jc w:val="center"/>
        </w:trPr>
        <w:tc>
          <w:tcPr>
            <w:tcW w:w="1566" w:type="dxa"/>
            <w:vMerge w:val="restart"/>
            <w:tcBorders>
              <w:top w:val="double" w:sz="6" w:space="0" w:color="auto"/>
              <w:left w:val="double" w:sz="6" w:space="0" w:color="auto"/>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rPr>
                <w:rFonts w:ascii="Arial" w:hAnsi="Arial" w:cs="Arial"/>
                <w:sz w:val="20"/>
                <w:szCs w:val="22"/>
              </w:rPr>
            </w:pPr>
            <w:r w:rsidRPr="007C3C10">
              <w:rPr>
                <w:rFonts w:ascii="Arial" w:hAnsi="Arial" w:cs="Arial"/>
                <w:sz w:val="20"/>
                <w:szCs w:val="22"/>
                <w:u w:val="single"/>
              </w:rPr>
              <w:t>Nivel profesional</w:t>
            </w:r>
            <w:r w:rsidRPr="007C3C10">
              <w:rPr>
                <w:rFonts w:ascii="Arial" w:hAnsi="Arial" w:cs="Arial"/>
                <w:sz w:val="20"/>
                <w:szCs w:val="22"/>
              </w:rPr>
              <w:t xml:space="preserve"> - Título </w:t>
            </w:r>
            <w:r w:rsidRPr="007C3C10">
              <w:rPr>
                <w:rFonts w:ascii="Arial" w:hAnsi="Arial" w:cs="Arial"/>
                <w:sz w:val="20"/>
                <w:szCs w:val="22"/>
              </w:rPr>
              <w:lastRenderedPageBreak/>
              <w:t>profesional o terminación y aprobación de estudios superiores</w:t>
            </w:r>
          </w:p>
          <w:p w:rsidR="007C3C10" w:rsidRPr="007C3C10" w:rsidRDefault="007C3C10" w:rsidP="007C3C10">
            <w:pPr>
              <w:spacing w:before="60" w:after="60" w:line="276" w:lineRule="auto"/>
              <w:rPr>
                <w:rFonts w:ascii="Arial" w:hAnsi="Arial" w:cs="Arial"/>
                <w:sz w:val="20"/>
                <w:szCs w:val="22"/>
              </w:rPr>
            </w:pPr>
            <w:r w:rsidRPr="007C3C10">
              <w:rPr>
                <w:rFonts w:ascii="Arial" w:hAnsi="Arial" w:cs="Arial"/>
                <w:sz w:val="20"/>
                <w:szCs w:val="22"/>
              </w:rPr>
              <w:t> </w:t>
            </w:r>
          </w:p>
          <w:p w:rsidR="007C3C10" w:rsidRPr="007C3C10" w:rsidRDefault="007C3C10" w:rsidP="007C3C10">
            <w:pPr>
              <w:spacing w:before="60" w:after="60" w:line="276" w:lineRule="auto"/>
              <w:rPr>
                <w:rFonts w:ascii="Arial" w:hAnsi="Arial" w:cs="Arial"/>
                <w:sz w:val="20"/>
                <w:szCs w:val="22"/>
              </w:rPr>
            </w:pPr>
            <w:r w:rsidRPr="007C3C10">
              <w:rPr>
                <w:rFonts w:ascii="Arial" w:hAnsi="Arial" w:cs="Arial"/>
                <w:sz w:val="20"/>
                <w:szCs w:val="22"/>
                <w:u w:val="single"/>
              </w:rPr>
              <w:t>Nivel técnico</w:t>
            </w:r>
            <w:r w:rsidRPr="007C3C10">
              <w:rPr>
                <w:rFonts w:ascii="Arial" w:hAnsi="Arial" w:cs="Arial"/>
                <w:sz w:val="20"/>
                <w:szCs w:val="22"/>
              </w:rPr>
              <w:t> – Preparación técnica o tecnológica</w:t>
            </w:r>
          </w:p>
        </w:tc>
        <w:tc>
          <w:tcPr>
            <w:tcW w:w="1673" w:type="dxa"/>
            <w:tcBorders>
              <w:top w:val="double" w:sz="6" w:space="0" w:color="auto"/>
              <w:left w:val="nil"/>
              <w:bottom w:val="single" w:sz="4"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rPr>
                <w:rFonts w:ascii="Arial" w:hAnsi="Arial" w:cs="Arial"/>
                <w:sz w:val="20"/>
                <w:szCs w:val="22"/>
              </w:rPr>
            </w:pPr>
            <w:r w:rsidRPr="007C3C10">
              <w:rPr>
                <w:rFonts w:ascii="Arial" w:hAnsi="Arial" w:cs="Arial"/>
                <w:sz w:val="20"/>
                <w:szCs w:val="22"/>
              </w:rPr>
              <w:lastRenderedPageBreak/>
              <w:t>Especializaciones</w:t>
            </w:r>
          </w:p>
        </w:tc>
        <w:tc>
          <w:tcPr>
            <w:tcW w:w="870" w:type="dxa"/>
            <w:tcBorders>
              <w:top w:val="double" w:sz="6" w:space="0" w:color="auto"/>
              <w:left w:val="nil"/>
              <w:bottom w:val="single" w:sz="4"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sz w:val="20"/>
                <w:szCs w:val="22"/>
              </w:rPr>
              <w:t>20</w:t>
            </w:r>
          </w:p>
        </w:tc>
        <w:tc>
          <w:tcPr>
            <w:tcW w:w="1605" w:type="dxa"/>
            <w:tcBorders>
              <w:top w:val="double" w:sz="6"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C3C10" w:rsidRPr="007C3C10" w:rsidRDefault="007C3C10" w:rsidP="007C3C10">
            <w:pPr>
              <w:spacing w:before="60" w:after="60" w:line="276" w:lineRule="auto"/>
              <w:jc w:val="both"/>
              <w:rPr>
                <w:rFonts w:ascii="Arial" w:hAnsi="Arial" w:cs="Arial"/>
                <w:sz w:val="20"/>
                <w:szCs w:val="22"/>
              </w:rPr>
            </w:pPr>
            <w:r w:rsidRPr="007C3C10">
              <w:rPr>
                <w:rFonts w:ascii="Arial" w:hAnsi="Arial" w:cs="Arial"/>
                <w:sz w:val="20"/>
                <w:szCs w:val="22"/>
              </w:rPr>
              <w:t>Nivel Profesional  20 puntos</w:t>
            </w:r>
          </w:p>
        </w:tc>
        <w:tc>
          <w:tcPr>
            <w:tcW w:w="1142" w:type="dxa"/>
            <w:vMerge w:val="restart"/>
            <w:tcBorders>
              <w:top w:val="double" w:sz="6" w:space="0" w:color="auto"/>
              <w:left w:val="nil"/>
              <w:bottom w:val="double" w:sz="6" w:space="0" w:color="auto"/>
              <w:right w:val="single" w:sz="4" w:space="0" w:color="auto"/>
            </w:tcBorders>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sz w:val="20"/>
                <w:szCs w:val="22"/>
              </w:rPr>
              <w:t>10</w:t>
            </w:r>
          </w:p>
        </w:tc>
        <w:tc>
          <w:tcPr>
            <w:tcW w:w="1333" w:type="dxa"/>
            <w:vMerge w:val="restart"/>
            <w:tcBorders>
              <w:top w:val="nil"/>
              <w:left w:val="single" w:sz="4" w:space="0" w:color="auto"/>
              <w:bottom w:val="double" w:sz="6" w:space="0" w:color="auto"/>
              <w:right w:val="double" w:sz="6"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sz w:val="20"/>
                <w:szCs w:val="22"/>
              </w:rPr>
              <w:t>5</w:t>
            </w:r>
          </w:p>
        </w:tc>
      </w:tr>
      <w:tr w:rsidR="007C3C10" w:rsidRPr="007C3C10" w:rsidTr="00BD06A1">
        <w:trPr>
          <w:trHeight w:val="1698"/>
          <w:jc w:val="center"/>
        </w:trPr>
        <w:tc>
          <w:tcPr>
            <w:tcW w:w="0" w:type="auto"/>
            <w:vMerge/>
            <w:tcBorders>
              <w:top w:val="nil"/>
              <w:left w:val="double" w:sz="6" w:space="0" w:color="auto"/>
              <w:bottom w:val="double" w:sz="6" w:space="0" w:color="auto"/>
              <w:right w:val="single" w:sz="4" w:space="0" w:color="auto"/>
            </w:tcBorders>
            <w:vAlign w:val="center"/>
          </w:tcPr>
          <w:p w:rsidR="007C3C10" w:rsidRPr="007C3C10" w:rsidRDefault="007C3C10" w:rsidP="007C3C10">
            <w:pPr>
              <w:spacing w:line="276" w:lineRule="auto"/>
              <w:rPr>
                <w:rFonts w:ascii="Arial" w:hAnsi="Arial" w:cs="Arial"/>
                <w:sz w:val="20"/>
                <w:szCs w:val="22"/>
              </w:rPr>
            </w:pPr>
          </w:p>
        </w:tc>
        <w:tc>
          <w:tcPr>
            <w:tcW w:w="1673" w:type="dxa"/>
            <w:tcBorders>
              <w:top w:val="nil"/>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rPr>
                <w:rFonts w:ascii="Arial" w:hAnsi="Arial" w:cs="Arial"/>
                <w:sz w:val="20"/>
                <w:szCs w:val="22"/>
              </w:rPr>
            </w:pPr>
            <w:r w:rsidRPr="007C3C10">
              <w:rPr>
                <w:rFonts w:ascii="Arial" w:hAnsi="Arial" w:cs="Arial"/>
                <w:sz w:val="20"/>
                <w:szCs w:val="22"/>
              </w:rPr>
              <w:t>Maestrías</w:t>
            </w:r>
          </w:p>
          <w:p w:rsidR="007C3C10" w:rsidRPr="007C3C10" w:rsidRDefault="007C3C10" w:rsidP="007C3C10">
            <w:pPr>
              <w:spacing w:before="60" w:after="60" w:line="276" w:lineRule="auto"/>
              <w:rPr>
                <w:rFonts w:ascii="Arial" w:hAnsi="Arial" w:cs="Arial"/>
                <w:sz w:val="20"/>
                <w:szCs w:val="22"/>
              </w:rPr>
            </w:pPr>
            <w:r w:rsidRPr="007C3C10">
              <w:rPr>
                <w:rFonts w:ascii="Arial" w:hAnsi="Arial" w:cs="Arial"/>
                <w:sz w:val="20"/>
                <w:szCs w:val="22"/>
              </w:rPr>
              <w:t> </w:t>
            </w:r>
          </w:p>
        </w:tc>
        <w:tc>
          <w:tcPr>
            <w:tcW w:w="870" w:type="dxa"/>
            <w:tcBorders>
              <w:top w:val="nil"/>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0"/>
                <w:szCs w:val="22"/>
              </w:rPr>
            </w:pPr>
            <w:r w:rsidRPr="007C3C10">
              <w:rPr>
                <w:rFonts w:ascii="Arial" w:hAnsi="Arial" w:cs="Arial"/>
                <w:sz w:val="20"/>
                <w:szCs w:val="22"/>
              </w:rPr>
              <w:t>30</w:t>
            </w:r>
          </w:p>
        </w:tc>
        <w:tc>
          <w:tcPr>
            <w:tcW w:w="1605" w:type="dxa"/>
            <w:tcBorders>
              <w:top w:val="single" w:sz="4" w:space="0" w:color="auto"/>
              <w:left w:val="nil"/>
              <w:bottom w:val="double" w:sz="6" w:space="0" w:color="auto"/>
              <w:right w:val="single" w:sz="4" w:space="0" w:color="auto"/>
            </w:tcBorders>
            <w:shd w:val="clear" w:color="auto" w:fill="auto"/>
            <w:vAlign w:val="center"/>
          </w:tcPr>
          <w:p w:rsidR="007C3C10" w:rsidRPr="007C3C10" w:rsidRDefault="007C3C10" w:rsidP="007C3C10">
            <w:pPr>
              <w:spacing w:line="276" w:lineRule="auto"/>
              <w:ind w:left="180" w:right="100"/>
              <w:jc w:val="both"/>
              <w:rPr>
                <w:rFonts w:ascii="Arial" w:hAnsi="Arial" w:cs="Arial"/>
                <w:sz w:val="20"/>
                <w:szCs w:val="22"/>
              </w:rPr>
            </w:pPr>
            <w:r w:rsidRPr="007C3C10">
              <w:rPr>
                <w:rFonts w:ascii="Arial" w:hAnsi="Arial" w:cs="Arial"/>
                <w:sz w:val="20"/>
                <w:szCs w:val="22"/>
              </w:rPr>
              <w:t>Nivel técnico 15 puntos</w:t>
            </w:r>
          </w:p>
        </w:tc>
        <w:tc>
          <w:tcPr>
            <w:tcW w:w="1142" w:type="dxa"/>
            <w:vMerge/>
            <w:tcBorders>
              <w:left w:val="nil"/>
              <w:bottom w:val="double" w:sz="6" w:space="0" w:color="auto"/>
              <w:right w:val="single" w:sz="4" w:space="0" w:color="auto"/>
            </w:tcBorders>
          </w:tcPr>
          <w:p w:rsidR="007C3C10" w:rsidRPr="007C3C10" w:rsidRDefault="007C3C10" w:rsidP="007C3C10">
            <w:pPr>
              <w:spacing w:line="276" w:lineRule="auto"/>
              <w:rPr>
                <w:rFonts w:ascii="Arial" w:hAnsi="Arial" w:cs="Arial"/>
                <w:sz w:val="20"/>
                <w:szCs w:val="22"/>
              </w:rPr>
            </w:pPr>
          </w:p>
        </w:tc>
        <w:tc>
          <w:tcPr>
            <w:tcW w:w="1333" w:type="dxa"/>
            <w:vMerge/>
            <w:tcBorders>
              <w:top w:val="nil"/>
              <w:left w:val="single" w:sz="4" w:space="0" w:color="auto"/>
              <w:bottom w:val="double" w:sz="6" w:space="0" w:color="auto"/>
              <w:right w:val="double" w:sz="6" w:space="0" w:color="auto"/>
            </w:tcBorders>
            <w:vAlign w:val="center"/>
          </w:tcPr>
          <w:p w:rsidR="007C3C10" w:rsidRPr="007C3C10" w:rsidRDefault="007C3C10" w:rsidP="007C3C10">
            <w:pPr>
              <w:spacing w:line="276" w:lineRule="auto"/>
              <w:rPr>
                <w:rFonts w:ascii="Arial" w:hAnsi="Arial" w:cs="Arial"/>
                <w:sz w:val="20"/>
                <w:szCs w:val="22"/>
              </w:rPr>
            </w:pPr>
          </w:p>
        </w:tc>
      </w:tr>
    </w:tbl>
    <w:p w:rsidR="007C3C10" w:rsidRPr="007C3C10" w:rsidRDefault="007C3C10" w:rsidP="007C3C10">
      <w:pPr>
        <w:spacing w:line="276" w:lineRule="auto"/>
        <w:jc w:val="both"/>
        <w:rPr>
          <w:rFonts w:ascii="Arial" w:hAnsi="Arial" w:cs="Arial"/>
          <w:color w:val="000000"/>
          <w:sz w:val="22"/>
          <w:szCs w:val="22"/>
        </w:rPr>
      </w:pPr>
    </w:p>
    <w:p w:rsidR="007C3C10" w:rsidRPr="007C3C10" w:rsidRDefault="007C3C10" w:rsidP="007C3C10">
      <w:pPr>
        <w:spacing w:line="276" w:lineRule="auto"/>
        <w:jc w:val="both"/>
        <w:rPr>
          <w:rFonts w:ascii="Arial" w:hAnsi="Arial" w:cs="Arial"/>
          <w:color w:val="000000"/>
          <w:sz w:val="22"/>
          <w:szCs w:val="22"/>
        </w:rPr>
      </w:pPr>
      <w:r w:rsidRPr="007C3C10">
        <w:rPr>
          <w:rFonts w:ascii="Arial" w:hAnsi="Arial" w:cs="Arial"/>
          <w:color w:val="000000"/>
          <w:sz w:val="22"/>
          <w:szCs w:val="22"/>
        </w:rPr>
        <w:t>Por cada título adicional de estudios de pregrado a nivel profesional en los cargos de aspiración, se le asignarán 20 puntos hasta un máximo de 40 puntos y por cada título a nivel de pregrado del nivel técnico, se le asignarán 15 puntos hasta un máximo de 30 puntos.</w:t>
      </w:r>
    </w:p>
    <w:p w:rsidR="007C3C10" w:rsidRPr="007C3C10" w:rsidRDefault="007C3C10" w:rsidP="007C3C10">
      <w:pPr>
        <w:spacing w:line="276" w:lineRule="auto"/>
        <w:ind w:left="2832"/>
        <w:jc w:val="both"/>
        <w:rPr>
          <w:rFonts w:ascii="Arial" w:hAnsi="Arial" w:cs="Arial"/>
          <w:color w:val="000000"/>
          <w:sz w:val="22"/>
          <w:szCs w:val="22"/>
        </w:rPr>
      </w:pPr>
      <w:r w:rsidRPr="007C3C10">
        <w:rPr>
          <w:rFonts w:ascii="Arial" w:hAnsi="Arial" w:cs="Arial"/>
          <w:color w:val="000000"/>
          <w:sz w:val="22"/>
          <w:szCs w:val="22"/>
        </w:rPr>
        <w:t> </w:t>
      </w:r>
    </w:p>
    <w:tbl>
      <w:tblPr>
        <w:tblW w:w="8103" w:type="dxa"/>
        <w:jc w:val="center"/>
        <w:tblCellMar>
          <w:left w:w="0" w:type="dxa"/>
          <w:right w:w="0" w:type="dxa"/>
        </w:tblCellMar>
        <w:tblLook w:val="0000" w:firstRow="0" w:lastRow="0" w:firstColumn="0" w:lastColumn="0" w:noHBand="0" w:noVBand="0"/>
      </w:tblPr>
      <w:tblGrid>
        <w:gridCol w:w="2807"/>
        <w:gridCol w:w="2236"/>
        <w:gridCol w:w="1800"/>
        <w:gridCol w:w="1260"/>
      </w:tblGrid>
      <w:tr w:rsidR="007C3C10" w:rsidRPr="007C3C10" w:rsidTr="00BD06A1">
        <w:trPr>
          <w:jc w:val="center"/>
        </w:trPr>
        <w:tc>
          <w:tcPr>
            <w:tcW w:w="2807" w:type="dxa"/>
            <w:tcBorders>
              <w:top w:val="double" w:sz="6" w:space="0" w:color="auto"/>
              <w:left w:val="double" w:sz="6" w:space="0" w:color="auto"/>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b/>
                <w:bCs/>
                <w:sz w:val="22"/>
                <w:szCs w:val="22"/>
              </w:rPr>
              <w:t>Nivel del Cargo – Requisitos</w:t>
            </w:r>
          </w:p>
        </w:tc>
        <w:tc>
          <w:tcPr>
            <w:tcW w:w="2236" w:type="dxa"/>
            <w:tcBorders>
              <w:top w:val="double" w:sz="6" w:space="0" w:color="auto"/>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b/>
                <w:bCs/>
                <w:sz w:val="22"/>
                <w:szCs w:val="22"/>
              </w:rPr>
              <w:t>Cursos de capacitación</w:t>
            </w:r>
          </w:p>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b/>
                <w:bCs/>
                <w:sz w:val="22"/>
                <w:szCs w:val="22"/>
              </w:rPr>
              <w:t>en áreas relacionadas con el cargo</w:t>
            </w:r>
          </w:p>
          <w:p w:rsidR="007C3C10" w:rsidRPr="007C3C10" w:rsidRDefault="007C3C10" w:rsidP="007C3C10">
            <w:pPr>
              <w:spacing w:before="60" w:after="60" w:line="276" w:lineRule="auto"/>
              <w:jc w:val="center"/>
              <w:rPr>
                <w:rFonts w:ascii="Arial" w:hAnsi="Arial" w:cs="Arial"/>
                <w:b/>
                <w:bCs/>
                <w:sz w:val="22"/>
                <w:szCs w:val="22"/>
                <w:u w:val="single"/>
              </w:rPr>
            </w:pPr>
            <w:r w:rsidRPr="007C3C10">
              <w:rPr>
                <w:rFonts w:ascii="Arial" w:hAnsi="Arial" w:cs="Arial"/>
                <w:b/>
                <w:bCs/>
                <w:sz w:val="22"/>
                <w:szCs w:val="22"/>
                <w:u w:val="single"/>
              </w:rPr>
              <w:t>(40 horas o más)</w:t>
            </w:r>
          </w:p>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b/>
                <w:bCs/>
                <w:sz w:val="22"/>
                <w:szCs w:val="22"/>
              </w:rPr>
              <w:t>Máximo 20 puntos</w:t>
            </w:r>
          </w:p>
        </w:tc>
        <w:tc>
          <w:tcPr>
            <w:tcW w:w="1800" w:type="dxa"/>
            <w:tcBorders>
              <w:top w:val="double" w:sz="6" w:space="0" w:color="auto"/>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b/>
                <w:bCs/>
                <w:sz w:val="22"/>
                <w:szCs w:val="22"/>
              </w:rPr>
            </w:pPr>
            <w:r w:rsidRPr="007C3C10">
              <w:rPr>
                <w:rFonts w:ascii="Arial" w:hAnsi="Arial" w:cs="Arial"/>
                <w:b/>
                <w:bCs/>
                <w:sz w:val="22"/>
                <w:szCs w:val="22"/>
              </w:rPr>
              <w:t>Diplomados</w:t>
            </w:r>
          </w:p>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b/>
                <w:bCs/>
                <w:sz w:val="22"/>
                <w:szCs w:val="22"/>
              </w:rPr>
              <w:t>(Máximo 20 puntos)</w:t>
            </w:r>
          </w:p>
        </w:tc>
        <w:tc>
          <w:tcPr>
            <w:tcW w:w="1260"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b/>
                <w:bCs/>
                <w:sz w:val="22"/>
                <w:szCs w:val="22"/>
              </w:rPr>
            </w:pPr>
            <w:r w:rsidRPr="007C3C10">
              <w:rPr>
                <w:rFonts w:ascii="Arial" w:hAnsi="Arial" w:cs="Arial"/>
                <w:b/>
                <w:bCs/>
                <w:sz w:val="22"/>
                <w:szCs w:val="22"/>
              </w:rPr>
              <w:t>Estudios de pregrado</w:t>
            </w:r>
          </w:p>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b/>
                <w:bCs/>
                <w:sz w:val="22"/>
                <w:szCs w:val="22"/>
              </w:rPr>
              <w:t>(Máximo 30 puntos)</w:t>
            </w:r>
          </w:p>
        </w:tc>
      </w:tr>
      <w:tr w:rsidR="007C3C10" w:rsidRPr="007C3C10" w:rsidTr="00BD06A1">
        <w:trPr>
          <w:trHeight w:val="244"/>
          <w:jc w:val="center"/>
        </w:trPr>
        <w:tc>
          <w:tcPr>
            <w:tcW w:w="2807" w:type="dxa"/>
            <w:tcBorders>
              <w:top w:val="nil"/>
              <w:left w:val="double" w:sz="6" w:space="0" w:color="auto"/>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rPr>
                <w:rFonts w:ascii="Arial" w:hAnsi="Arial" w:cs="Arial"/>
                <w:sz w:val="22"/>
                <w:szCs w:val="22"/>
              </w:rPr>
            </w:pPr>
            <w:r w:rsidRPr="007C3C10">
              <w:rPr>
                <w:rFonts w:ascii="Arial" w:hAnsi="Arial" w:cs="Arial"/>
                <w:sz w:val="22"/>
                <w:szCs w:val="22"/>
                <w:u w:val="single"/>
              </w:rPr>
              <w:t>Nivel auxiliar y operativo</w:t>
            </w:r>
            <w:r w:rsidRPr="007C3C10">
              <w:rPr>
                <w:rFonts w:ascii="Arial" w:hAnsi="Arial" w:cs="Arial"/>
                <w:sz w:val="22"/>
                <w:szCs w:val="22"/>
              </w:rPr>
              <w:t> – Estudios de educación media y capacitación técnica o tecnológica</w:t>
            </w:r>
          </w:p>
        </w:tc>
        <w:tc>
          <w:tcPr>
            <w:tcW w:w="2236" w:type="dxa"/>
            <w:tcBorders>
              <w:top w:val="nil"/>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sz w:val="22"/>
                <w:szCs w:val="22"/>
              </w:rPr>
              <w:t>5</w:t>
            </w:r>
          </w:p>
        </w:tc>
        <w:tc>
          <w:tcPr>
            <w:tcW w:w="1800" w:type="dxa"/>
            <w:tcBorders>
              <w:top w:val="nil"/>
              <w:left w:val="nil"/>
              <w:bottom w:val="double" w:sz="6" w:space="0" w:color="auto"/>
              <w:right w:val="single" w:sz="4"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sz w:val="22"/>
                <w:szCs w:val="22"/>
              </w:rPr>
              <w:t>20</w:t>
            </w:r>
          </w:p>
        </w:tc>
        <w:tc>
          <w:tcPr>
            <w:tcW w:w="1260" w:type="dxa"/>
            <w:tcBorders>
              <w:top w:val="nil"/>
              <w:left w:val="nil"/>
              <w:bottom w:val="double" w:sz="6" w:space="0" w:color="auto"/>
              <w:right w:val="double" w:sz="6" w:space="0" w:color="auto"/>
            </w:tcBorders>
            <w:tcMar>
              <w:top w:w="0" w:type="dxa"/>
              <w:left w:w="108" w:type="dxa"/>
              <w:bottom w:w="0" w:type="dxa"/>
              <w:right w:w="108" w:type="dxa"/>
            </w:tcMar>
            <w:vAlign w:val="center"/>
          </w:tcPr>
          <w:p w:rsidR="007C3C10" w:rsidRPr="007C3C10" w:rsidRDefault="007C3C10" w:rsidP="007C3C10">
            <w:pPr>
              <w:spacing w:before="60" w:after="60" w:line="276" w:lineRule="auto"/>
              <w:jc w:val="center"/>
              <w:rPr>
                <w:rFonts w:ascii="Arial" w:hAnsi="Arial" w:cs="Arial"/>
                <w:sz w:val="22"/>
                <w:szCs w:val="22"/>
              </w:rPr>
            </w:pPr>
            <w:r w:rsidRPr="007C3C10">
              <w:rPr>
                <w:rFonts w:ascii="Arial" w:hAnsi="Arial" w:cs="Arial"/>
                <w:sz w:val="22"/>
                <w:szCs w:val="22"/>
              </w:rPr>
              <w:t>30</w:t>
            </w:r>
          </w:p>
        </w:tc>
      </w:tr>
    </w:tbl>
    <w:p w:rsidR="007C3C10" w:rsidRPr="007C3C10" w:rsidRDefault="007C3C10" w:rsidP="007C3C10">
      <w:pPr>
        <w:spacing w:line="276" w:lineRule="auto"/>
        <w:jc w:val="both"/>
        <w:rPr>
          <w:rFonts w:ascii="Arial" w:hAnsi="Arial" w:cs="Arial"/>
          <w:color w:val="000000"/>
          <w:sz w:val="22"/>
          <w:szCs w:val="22"/>
        </w:rPr>
      </w:pPr>
      <w:r w:rsidRPr="007C3C10">
        <w:rPr>
          <w:rFonts w:ascii="Arial" w:hAnsi="Arial" w:cs="Arial"/>
          <w:color w:val="000000"/>
          <w:sz w:val="22"/>
          <w:szCs w:val="22"/>
        </w:rPr>
        <w:t> </w:t>
      </w:r>
    </w:p>
    <w:p w:rsidR="007C3C10" w:rsidRPr="007C3C10" w:rsidRDefault="007C3C10" w:rsidP="007C3C10">
      <w:pPr>
        <w:spacing w:line="276" w:lineRule="auto"/>
        <w:ind w:left="2835"/>
        <w:jc w:val="both"/>
        <w:rPr>
          <w:rFonts w:ascii="Arial" w:hAnsi="Arial" w:cs="Arial"/>
          <w:color w:val="000000"/>
          <w:sz w:val="22"/>
          <w:szCs w:val="22"/>
        </w:rPr>
      </w:pPr>
      <w:r w:rsidRPr="007C3C10">
        <w:rPr>
          <w:rFonts w:ascii="Arial" w:hAnsi="Arial" w:cs="Arial"/>
          <w:color w:val="000000"/>
          <w:sz w:val="22"/>
          <w:szCs w:val="22"/>
        </w:rPr>
        <w:t> </w:t>
      </w:r>
    </w:p>
    <w:p w:rsidR="007C3C10" w:rsidRPr="007C3C10" w:rsidRDefault="007C3C10" w:rsidP="007C3C10">
      <w:pPr>
        <w:spacing w:line="276" w:lineRule="auto"/>
        <w:jc w:val="both"/>
        <w:rPr>
          <w:rFonts w:ascii="Arial" w:hAnsi="Arial" w:cs="Arial"/>
          <w:color w:val="000000"/>
          <w:sz w:val="22"/>
          <w:szCs w:val="22"/>
        </w:rPr>
      </w:pPr>
      <w:r w:rsidRPr="007C3C10">
        <w:rPr>
          <w:rFonts w:ascii="Arial" w:hAnsi="Arial" w:cs="Arial"/>
          <w:color w:val="000000"/>
          <w:sz w:val="22"/>
          <w:szCs w:val="22"/>
        </w:rPr>
        <w:t xml:space="preserve">Para todos los cargos, se tendrá en cuenta la capacitación en el área de sistemas, no obstante, no se tendrán en cuenta curso de inglés, docencia, cooperativismos y todos aquellos que no sean en áreas relacionadas con el cargo a proveer.   </w:t>
      </w:r>
    </w:p>
    <w:p w:rsidR="007C3C10" w:rsidRPr="007C3C10" w:rsidRDefault="007C3C10" w:rsidP="007C3C10">
      <w:pPr>
        <w:spacing w:line="276" w:lineRule="auto"/>
        <w:jc w:val="both"/>
        <w:rPr>
          <w:rFonts w:ascii="Arial" w:hAnsi="Arial" w:cs="Arial"/>
          <w:color w:val="000000"/>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En el citado subfactor se presentaron las solicitudes que se relacionan a continuación:</w:t>
      </w:r>
    </w:p>
    <w:tbl>
      <w:tblPr>
        <w:tblW w:w="8953" w:type="dxa"/>
        <w:tblInd w:w="55" w:type="dxa"/>
        <w:tblCellMar>
          <w:left w:w="70" w:type="dxa"/>
          <w:right w:w="70" w:type="dxa"/>
        </w:tblCellMar>
        <w:tblLook w:val="04A0" w:firstRow="1" w:lastRow="0" w:firstColumn="1" w:lastColumn="0" w:noHBand="0" w:noVBand="1"/>
      </w:tblPr>
      <w:tblGrid>
        <w:gridCol w:w="1218"/>
        <w:gridCol w:w="1141"/>
        <w:gridCol w:w="6594"/>
      </w:tblGrid>
      <w:tr w:rsidR="007C3C10" w:rsidRPr="007C3C10" w:rsidTr="00BD06A1">
        <w:trPr>
          <w:trHeight w:val="630"/>
        </w:trPr>
        <w:tc>
          <w:tcPr>
            <w:tcW w:w="160" w:type="dxa"/>
            <w:tcBorders>
              <w:top w:val="single" w:sz="4" w:space="0" w:color="auto"/>
              <w:left w:val="single" w:sz="4" w:space="0" w:color="auto"/>
              <w:bottom w:val="single" w:sz="4" w:space="0" w:color="auto"/>
              <w:right w:val="single" w:sz="4" w:space="0" w:color="auto"/>
            </w:tcBorders>
            <w:vAlign w:val="bottom"/>
          </w:tcPr>
          <w:p w:rsidR="007C3C10" w:rsidRPr="007C3C10" w:rsidRDefault="007C3C10" w:rsidP="007C3C10">
            <w:pPr>
              <w:spacing w:line="276" w:lineRule="auto"/>
              <w:jc w:val="center"/>
              <w:rPr>
                <w:rFonts w:ascii="Arial" w:hAnsi="Arial" w:cs="Arial"/>
                <w:b/>
                <w:bCs/>
                <w:color w:val="000000"/>
                <w:sz w:val="20"/>
                <w:szCs w:val="22"/>
              </w:rPr>
            </w:pPr>
            <w:r w:rsidRPr="007C3C10">
              <w:rPr>
                <w:rFonts w:ascii="Arial" w:hAnsi="Arial" w:cs="Arial"/>
                <w:b/>
                <w:bCs/>
                <w:color w:val="000000"/>
                <w:sz w:val="20"/>
                <w:szCs w:val="22"/>
              </w:rPr>
              <w:t xml:space="preserve">NOMBRE </w:t>
            </w:r>
          </w:p>
        </w:tc>
        <w:tc>
          <w:tcPr>
            <w:tcW w:w="160" w:type="dxa"/>
            <w:tcBorders>
              <w:top w:val="single" w:sz="4" w:space="0" w:color="auto"/>
              <w:left w:val="nil"/>
              <w:bottom w:val="single" w:sz="4" w:space="0" w:color="auto"/>
              <w:right w:val="single" w:sz="4" w:space="0" w:color="auto"/>
            </w:tcBorders>
            <w:vAlign w:val="bottom"/>
          </w:tcPr>
          <w:p w:rsidR="007C3C10" w:rsidRPr="007C3C10" w:rsidRDefault="007C3C10" w:rsidP="007C3C10">
            <w:pPr>
              <w:spacing w:line="276" w:lineRule="auto"/>
              <w:jc w:val="center"/>
              <w:rPr>
                <w:rFonts w:ascii="Arial" w:hAnsi="Arial" w:cs="Arial"/>
                <w:b/>
                <w:bCs/>
                <w:color w:val="000000"/>
                <w:sz w:val="20"/>
                <w:szCs w:val="22"/>
              </w:rPr>
            </w:pPr>
            <w:r w:rsidRPr="007C3C10">
              <w:rPr>
                <w:rFonts w:ascii="Arial" w:hAnsi="Arial" w:cs="Arial"/>
                <w:b/>
                <w:bCs/>
                <w:color w:val="000000"/>
                <w:sz w:val="20"/>
                <w:szCs w:val="22"/>
              </w:rPr>
              <w:t xml:space="preserve">CÉDULA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C10" w:rsidRPr="007C3C10" w:rsidRDefault="007C3C10" w:rsidP="007C3C10">
            <w:pPr>
              <w:spacing w:line="276" w:lineRule="auto"/>
              <w:jc w:val="center"/>
              <w:rPr>
                <w:rFonts w:ascii="Arial" w:hAnsi="Arial" w:cs="Arial"/>
                <w:b/>
                <w:bCs/>
                <w:color w:val="000000"/>
                <w:sz w:val="20"/>
                <w:szCs w:val="22"/>
              </w:rPr>
            </w:pPr>
            <w:r w:rsidRPr="007C3C10">
              <w:rPr>
                <w:rFonts w:ascii="Arial" w:hAnsi="Arial" w:cs="Arial"/>
                <w:b/>
                <w:bCs/>
                <w:color w:val="000000"/>
                <w:sz w:val="20"/>
                <w:szCs w:val="22"/>
              </w:rPr>
              <w:t xml:space="preserve">CAPACITACION </w:t>
            </w:r>
          </w:p>
        </w:tc>
      </w:tr>
      <w:tr w:rsidR="007C3C10" w:rsidRPr="007C3C10" w:rsidTr="00BD06A1">
        <w:trPr>
          <w:trHeight w:val="510"/>
        </w:trPr>
        <w:tc>
          <w:tcPr>
            <w:tcW w:w="160" w:type="dxa"/>
            <w:tcBorders>
              <w:top w:val="single" w:sz="4" w:space="0" w:color="auto"/>
              <w:left w:val="single" w:sz="4" w:space="0" w:color="auto"/>
              <w:bottom w:val="single" w:sz="4" w:space="0" w:color="auto"/>
              <w:right w:val="single" w:sz="4" w:space="0" w:color="auto"/>
            </w:tcBorders>
            <w:shd w:val="clear" w:color="000000" w:fill="FFFFFF"/>
            <w:vAlign w:val="center"/>
          </w:tcPr>
          <w:p w:rsidR="007C3C10" w:rsidRPr="007C3C10" w:rsidRDefault="007C3C10" w:rsidP="007C3C10">
            <w:pPr>
              <w:spacing w:line="276" w:lineRule="auto"/>
              <w:rPr>
                <w:rFonts w:ascii="Arial" w:hAnsi="Arial" w:cs="Arial"/>
                <w:b/>
                <w:bCs/>
                <w:color w:val="000000"/>
                <w:sz w:val="20"/>
                <w:szCs w:val="22"/>
              </w:rPr>
            </w:pPr>
            <w:r w:rsidRPr="007C3C10">
              <w:rPr>
                <w:rFonts w:ascii="Arial" w:hAnsi="Arial" w:cs="Arial"/>
                <w:b/>
                <w:bCs/>
                <w:color w:val="000000"/>
                <w:sz w:val="20"/>
                <w:szCs w:val="22"/>
              </w:rPr>
              <w:t xml:space="preserve">Mercedes Domínguez Reyes </w:t>
            </w:r>
          </w:p>
        </w:tc>
        <w:tc>
          <w:tcPr>
            <w:tcW w:w="160" w:type="dxa"/>
            <w:tcBorders>
              <w:top w:val="single" w:sz="4" w:space="0" w:color="auto"/>
              <w:left w:val="nil"/>
              <w:bottom w:val="single" w:sz="4" w:space="0" w:color="auto"/>
              <w:right w:val="single" w:sz="4" w:space="0" w:color="auto"/>
            </w:tcBorders>
            <w:shd w:val="clear" w:color="000000" w:fill="FFFFFF"/>
            <w:vAlign w:val="center"/>
          </w:tcPr>
          <w:p w:rsidR="007C3C10" w:rsidRPr="007C3C10" w:rsidRDefault="007C3C10" w:rsidP="007C3C10">
            <w:pPr>
              <w:spacing w:line="276" w:lineRule="auto"/>
              <w:jc w:val="center"/>
              <w:rPr>
                <w:rFonts w:ascii="Arial" w:hAnsi="Arial" w:cs="Arial"/>
                <w:color w:val="000000"/>
                <w:sz w:val="20"/>
                <w:szCs w:val="22"/>
              </w:rPr>
            </w:pPr>
            <w:r w:rsidRPr="007C3C10">
              <w:rPr>
                <w:rFonts w:ascii="Arial" w:hAnsi="Arial" w:cs="Arial"/>
                <w:color w:val="000000"/>
                <w:sz w:val="20"/>
                <w:szCs w:val="22"/>
              </w:rPr>
              <w:t>32.909.871</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7C3C10" w:rsidRPr="007C3C10" w:rsidRDefault="007C3C10" w:rsidP="007C3C10">
            <w:pPr>
              <w:spacing w:line="276" w:lineRule="auto"/>
              <w:jc w:val="both"/>
              <w:rPr>
                <w:rFonts w:ascii="Arial" w:hAnsi="Arial" w:cs="Arial"/>
                <w:color w:val="000000"/>
                <w:sz w:val="20"/>
                <w:szCs w:val="22"/>
              </w:rPr>
            </w:pPr>
            <w:r w:rsidRPr="007C3C10">
              <w:rPr>
                <w:rFonts w:ascii="Arial" w:hAnsi="Arial" w:cs="Arial"/>
                <w:color w:val="000000"/>
                <w:sz w:val="20"/>
                <w:szCs w:val="22"/>
              </w:rPr>
              <w:t xml:space="preserve">CURSO: Manejo de Herramientas Microsoft Office 2016: Excel 40 horas. </w:t>
            </w:r>
            <w:r w:rsidRPr="007C3C10">
              <w:rPr>
                <w:rFonts w:ascii="Arial" w:hAnsi="Arial" w:cs="Arial"/>
                <w:i/>
                <w:color w:val="000000"/>
                <w:sz w:val="20"/>
                <w:szCs w:val="22"/>
              </w:rPr>
              <w:t>Se admite.</w:t>
            </w:r>
            <w:r w:rsidRPr="007C3C10">
              <w:rPr>
                <w:rFonts w:ascii="Arial" w:hAnsi="Arial" w:cs="Arial"/>
                <w:color w:val="000000"/>
                <w:sz w:val="20"/>
                <w:szCs w:val="22"/>
              </w:rPr>
              <w:t xml:space="preserve"> </w:t>
            </w:r>
          </w:p>
        </w:tc>
      </w:tr>
    </w:tbl>
    <w:p w:rsidR="006A160B" w:rsidRDefault="006A160B" w:rsidP="007C3C10">
      <w:pPr>
        <w:spacing w:line="276" w:lineRule="auto"/>
        <w:jc w:val="both"/>
        <w:rPr>
          <w:rFonts w:ascii="Arial" w:hAnsi="Arial" w:cs="Arial"/>
          <w:sz w:val="22"/>
          <w:szCs w:val="22"/>
        </w:rPr>
      </w:pPr>
    </w:p>
    <w:p w:rsidR="007C3C10" w:rsidRPr="007C3C10" w:rsidRDefault="007C3C10" w:rsidP="007C3C10">
      <w:pPr>
        <w:spacing w:line="276" w:lineRule="auto"/>
        <w:jc w:val="both"/>
        <w:rPr>
          <w:rFonts w:ascii="Arial" w:hAnsi="Arial" w:cs="Arial"/>
          <w:sz w:val="22"/>
          <w:szCs w:val="22"/>
        </w:rPr>
      </w:pPr>
      <w:r w:rsidRPr="007C3C10">
        <w:rPr>
          <w:rFonts w:ascii="Arial" w:hAnsi="Arial" w:cs="Arial"/>
          <w:sz w:val="22"/>
          <w:szCs w:val="22"/>
        </w:rPr>
        <w:t>La solicitud de reclasificación que reúne los requisitos establecidos en la convocatoria y que serán objeto de actualización, son las que corresponden a la siguiente integrante del Registro de Elegibles</w:t>
      </w:r>
      <w:r w:rsidRPr="007C3C10">
        <w:rPr>
          <w:rFonts w:ascii="Arial" w:hAnsi="Arial" w:cs="Arial"/>
          <w:sz w:val="22"/>
          <w:szCs w:val="22"/>
          <w:vertAlign w:val="superscript"/>
        </w:rPr>
        <w:footnoteReference w:id="1"/>
      </w:r>
      <w:r w:rsidRPr="007C3C10">
        <w:rPr>
          <w:rFonts w:ascii="Arial" w:hAnsi="Arial" w:cs="Arial"/>
          <w:sz w:val="22"/>
          <w:szCs w:val="22"/>
        </w:rPr>
        <w:t>:</w:t>
      </w:r>
    </w:p>
    <w:p w:rsidR="007C3C10" w:rsidRPr="007C3C10" w:rsidRDefault="007C3C10" w:rsidP="007C3C10">
      <w:pPr>
        <w:spacing w:line="276" w:lineRule="auto"/>
        <w:jc w:val="both"/>
        <w:rPr>
          <w:rFonts w:ascii="Arial" w:hAnsi="Arial" w:cs="Arial"/>
          <w:sz w:val="22"/>
          <w:szCs w:val="22"/>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014"/>
        <w:gridCol w:w="1030"/>
        <w:gridCol w:w="1030"/>
        <w:gridCol w:w="1030"/>
        <w:gridCol w:w="1136"/>
        <w:gridCol w:w="1136"/>
        <w:gridCol w:w="772"/>
        <w:gridCol w:w="992"/>
      </w:tblGrid>
      <w:tr w:rsidR="007C3C10" w:rsidRPr="007C3C10" w:rsidTr="00BD06A1">
        <w:tc>
          <w:tcPr>
            <w:tcW w:w="1079"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NOMBRE</w:t>
            </w:r>
          </w:p>
        </w:tc>
        <w:tc>
          <w:tcPr>
            <w:tcW w:w="1014"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CÉDULA</w:t>
            </w:r>
          </w:p>
        </w:tc>
        <w:tc>
          <w:tcPr>
            <w:tcW w:w="1030"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PUNTAJE ANTERIOR EXPERIENCIA ADICIONAL</w:t>
            </w:r>
          </w:p>
        </w:tc>
        <w:tc>
          <w:tcPr>
            <w:tcW w:w="1030"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NUEVA EXPERIENCIA ADICIONAL ACREDITADA</w:t>
            </w:r>
          </w:p>
        </w:tc>
        <w:tc>
          <w:tcPr>
            <w:tcW w:w="1030"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TOTAL EXPERIENCIA</w:t>
            </w:r>
          </w:p>
        </w:tc>
        <w:tc>
          <w:tcPr>
            <w:tcW w:w="1136"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PUNTAJE ANTERIOR CAPACITACIÓN</w:t>
            </w:r>
          </w:p>
        </w:tc>
        <w:tc>
          <w:tcPr>
            <w:tcW w:w="1136"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NUEVA CAPACITACIÓN ACREDITADA</w:t>
            </w:r>
          </w:p>
        </w:tc>
        <w:tc>
          <w:tcPr>
            <w:tcW w:w="772"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TOTAL CAPACITACIONES</w:t>
            </w:r>
          </w:p>
        </w:tc>
        <w:tc>
          <w:tcPr>
            <w:tcW w:w="992"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PUBLICACIONES</w:t>
            </w:r>
          </w:p>
        </w:tc>
      </w:tr>
      <w:tr w:rsidR="007C3C10" w:rsidRPr="007C3C10" w:rsidTr="00BD06A1">
        <w:tc>
          <w:tcPr>
            <w:tcW w:w="1079"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Mercedes del Carmen Domínguez Reyes</w:t>
            </w:r>
          </w:p>
        </w:tc>
        <w:tc>
          <w:tcPr>
            <w:tcW w:w="1014"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32.909.871</w:t>
            </w:r>
          </w:p>
        </w:tc>
        <w:tc>
          <w:tcPr>
            <w:tcW w:w="1030"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100</w:t>
            </w:r>
          </w:p>
        </w:tc>
        <w:tc>
          <w:tcPr>
            <w:tcW w:w="1030"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0</w:t>
            </w:r>
          </w:p>
        </w:tc>
        <w:tc>
          <w:tcPr>
            <w:tcW w:w="1030"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100</w:t>
            </w:r>
          </w:p>
        </w:tc>
        <w:tc>
          <w:tcPr>
            <w:tcW w:w="1136"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65</w:t>
            </w:r>
          </w:p>
        </w:tc>
        <w:tc>
          <w:tcPr>
            <w:tcW w:w="1136"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5</w:t>
            </w:r>
          </w:p>
        </w:tc>
        <w:tc>
          <w:tcPr>
            <w:tcW w:w="772"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70</w:t>
            </w:r>
          </w:p>
        </w:tc>
        <w:tc>
          <w:tcPr>
            <w:tcW w:w="992" w:type="dxa"/>
            <w:shd w:val="clear" w:color="auto" w:fill="auto"/>
          </w:tcPr>
          <w:p w:rsidR="007C3C10" w:rsidRPr="007C3C10" w:rsidRDefault="007C3C10" w:rsidP="007C3C10">
            <w:pPr>
              <w:spacing w:line="276" w:lineRule="auto"/>
              <w:jc w:val="center"/>
              <w:rPr>
                <w:rFonts w:ascii="Arial" w:hAnsi="Arial" w:cs="Arial"/>
                <w:b/>
                <w:sz w:val="14"/>
                <w:szCs w:val="22"/>
              </w:rPr>
            </w:pPr>
            <w:r w:rsidRPr="007C3C10">
              <w:rPr>
                <w:rFonts w:ascii="Arial" w:hAnsi="Arial" w:cs="Arial"/>
                <w:b/>
                <w:sz w:val="14"/>
                <w:szCs w:val="22"/>
              </w:rPr>
              <w:t>0</w:t>
            </w:r>
          </w:p>
        </w:tc>
      </w:tr>
    </w:tbl>
    <w:p w:rsidR="007C3C10" w:rsidRPr="007C3C10" w:rsidRDefault="007C3C10" w:rsidP="007C3C10">
      <w:pPr>
        <w:autoSpaceDE w:val="0"/>
        <w:autoSpaceDN w:val="0"/>
        <w:adjustRightInd w:val="0"/>
        <w:spacing w:line="276" w:lineRule="auto"/>
        <w:jc w:val="both"/>
        <w:rPr>
          <w:rFonts w:ascii="Arial" w:hAnsi="Arial" w:cs="Arial"/>
          <w:sz w:val="22"/>
          <w:szCs w:val="22"/>
        </w:rPr>
      </w:pPr>
    </w:p>
    <w:p w:rsidR="007C3C10" w:rsidRPr="007C3C10" w:rsidRDefault="007C3C10" w:rsidP="007C3C10">
      <w:pPr>
        <w:autoSpaceDE w:val="0"/>
        <w:autoSpaceDN w:val="0"/>
        <w:adjustRightInd w:val="0"/>
        <w:spacing w:line="276" w:lineRule="auto"/>
        <w:jc w:val="both"/>
        <w:rPr>
          <w:rFonts w:ascii="Arial" w:hAnsi="Arial" w:cs="Arial"/>
          <w:sz w:val="22"/>
          <w:szCs w:val="22"/>
        </w:rPr>
      </w:pPr>
      <w:r w:rsidRPr="007C3C10">
        <w:rPr>
          <w:rFonts w:ascii="Arial" w:hAnsi="Arial" w:cs="Arial"/>
          <w:sz w:val="22"/>
          <w:szCs w:val="22"/>
        </w:rPr>
        <w:t>De otro lado se advierte que la petición incoada por la doctora Catia De Ávila Romero, de manera conjunta con su solicitud de reclasificación, será resuelta mediante acto administrativo separado.</w:t>
      </w:r>
    </w:p>
    <w:p w:rsidR="007C3C10" w:rsidRPr="007C3C10" w:rsidRDefault="007C3C10" w:rsidP="007C3C10">
      <w:pPr>
        <w:autoSpaceDE w:val="0"/>
        <w:autoSpaceDN w:val="0"/>
        <w:adjustRightInd w:val="0"/>
        <w:spacing w:line="276" w:lineRule="auto"/>
        <w:jc w:val="both"/>
        <w:rPr>
          <w:rFonts w:ascii="Arial" w:hAnsi="Arial" w:cs="Arial"/>
          <w:sz w:val="22"/>
          <w:szCs w:val="22"/>
        </w:rPr>
      </w:pPr>
    </w:p>
    <w:p w:rsidR="007C3C10" w:rsidRPr="007C3C10" w:rsidRDefault="007C3C10" w:rsidP="007C3C10">
      <w:pPr>
        <w:autoSpaceDE w:val="0"/>
        <w:autoSpaceDN w:val="0"/>
        <w:adjustRightInd w:val="0"/>
        <w:spacing w:line="276" w:lineRule="auto"/>
        <w:jc w:val="both"/>
        <w:rPr>
          <w:rFonts w:ascii="Arial" w:hAnsi="Arial" w:cs="Arial"/>
          <w:sz w:val="22"/>
          <w:szCs w:val="22"/>
        </w:rPr>
      </w:pPr>
      <w:r w:rsidRPr="007C3C10">
        <w:rPr>
          <w:rFonts w:ascii="Arial" w:hAnsi="Arial" w:cs="Arial"/>
          <w:sz w:val="22"/>
          <w:szCs w:val="22"/>
        </w:rPr>
        <w:t>En mérito de lo expuesto, el Consejo Seccional de la Judicatura de Bolívar,</w:t>
      </w:r>
    </w:p>
    <w:p w:rsidR="007C3C10" w:rsidRPr="007C3C10" w:rsidRDefault="007C3C10" w:rsidP="007C3C10">
      <w:pPr>
        <w:autoSpaceDE w:val="0"/>
        <w:autoSpaceDN w:val="0"/>
        <w:adjustRightInd w:val="0"/>
        <w:spacing w:line="276" w:lineRule="auto"/>
        <w:jc w:val="both"/>
        <w:rPr>
          <w:rFonts w:ascii="Arial" w:hAnsi="Arial" w:cs="Arial"/>
          <w:sz w:val="22"/>
          <w:szCs w:val="22"/>
        </w:rPr>
      </w:pPr>
    </w:p>
    <w:p w:rsidR="007C3C10" w:rsidRDefault="007C3C10" w:rsidP="007C3C10">
      <w:pPr>
        <w:overflowPunct w:val="0"/>
        <w:autoSpaceDE w:val="0"/>
        <w:autoSpaceDN w:val="0"/>
        <w:adjustRightInd w:val="0"/>
        <w:spacing w:line="276" w:lineRule="auto"/>
        <w:jc w:val="center"/>
        <w:rPr>
          <w:rFonts w:ascii="Arial" w:hAnsi="Arial" w:cs="Arial"/>
          <w:b/>
          <w:bCs/>
          <w:sz w:val="22"/>
          <w:szCs w:val="22"/>
        </w:rPr>
      </w:pPr>
      <w:r w:rsidRPr="007C3C10">
        <w:rPr>
          <w:rFonts w:ascii="Arial" w:hAnsi="Arial" w:cs="Arial"/>
          <w:b/>
          <w:bCs/>
          <w:sz w:val="22"/>
          <w:szCs w:val="22"/>
        </w:rPr>
        <w:t>RESUELVE</w:t>
      </w:r>
    </w:p>
    <w:p w:rsidR="006A160B" w:rsidRPr="007C3C10" w:rsidRDefault="006A160B" w:rsidP="007C3C10">
      <w:pPr>
        <w:overflowPunct w:val="0"/>
        <w:autoSpaceDE w:val="0"/>
        <w:autoSpaceDN w:val="0"/>
        <w:adjustRightInd w:val="0"/>
        <w:spacing w:line="276" w:lineRule="auto"/>
        <w:jc w:val="center"/>
        <w:rPr>
          <w:rFonts w:ascii="Arial" w:hAnsi="Arial" w:cs="Arial"/>
          <w:b/>
          <w:bCs/>
          <w:sz w:val="22"/>
          <w:szCs w:val="22"/>
        </w:rPr>
      </w:pPr>
    </w:p>
    <w:p w:rsidR="007C3C10" w:rsidRPr="007C3C10" w:rsidRDefault="007C3C10" w:rsidP="007C3C10">
      <w:pPr>
        <w:spacing w:line="276" w:lineRule="auto"/>
        <w:jc w:val="both"/>
        <w:rPr>
          <w:rFonts w:ascii="Arial" w:hAnsi="Arial" w:cs="Arial"/>
          <w:bCs/>
          <w:color w:val="000000"/>
          <w:sz w:val="22"/>
          <w:szCs w:val="22"/>
        </w:rPr>
      </w:pPr>
      <w:r w:rsidRPr="007C3C10">
        <w:rPr>
          <w:rFonts w:ascii="Arial" w:hAnsi="Arial" w:cs="Arial"/>
          <w:b/>
          <w:bCs/>
          <w:color w:val="000000"/>
          <w:sz w:val="22"/>
          <w:szCs w:val="22"/>
        </w:rPr>
        <w:t xml:space="preserve">ARTÍCULO PRIMERO: </w:t>
      </w:r>
      <w:r w:rsidRPr="007C3C10">
        <w:rPr>
          <w:rFonts w:ascii="Arial" w:hAnsi="Arial" w:cs="Arial"/>
          <w:bCs/>
          <w:color w:val="000000"/>
          <w:sz w:val="22"/>
          <w:szCs w:val="22"/>
        </w:rPr>
        <w:t xml:space="preserve">Reclasificar, </w:t>
      </w:r>
      <w:r w:rsidRPr="006A160B">
        <w:rPr>
          <w:rFonts w:ascii="Arial" w:hAnsi="Arial" w:cs="Arial"/>
          <w:bCs/>
          <w:color w:val="000000"/>
          <w:sz w:val="22"/>
          <w:szCs w:val="22"/>
        </w:rPr>
        <w:t>en orden descendente de puntajes</w:t>
      </w:r>
      <w:r w:rsidRPr="007C3C10">
        <w:rPr>
          <w:rFonts w:ascii="Arial" w:hAnsi="Arial" w:cs="Arial"/>
          <w:bCs/>
          <w:color w:val="000000"/>
          <w:sz w:val="22"/>
          <w:szCs w:val="22"/>
        </w:rPr>
        <w:t>, el Registro Seccional de Elegibles</w:t>
      </w:r>
      <w:r w:rsidRPr="007C3C10">
        <w:rPr>
          <w:rFonts w:ascii="Arial" w:hAnsi="Arial" w:cs="Arial"/>
          <w:bCs/>
          <w:color w:val="000000"/>
          <w:sz w:val="22"/>
          <w:szCs w:val="22"/>
          <w:vertAlign w:val="superscript"/>
        </w:rPr>
        <w:footnoteReference w:id="2"/>
      </w:r>
      <w:r w:rsidRPr="007C3C10">
        <w:rPr>
          <w:rFonts w:ascii="Arial" w:hAnsi="Arial" w:cs="Arial"/>
          <w:bCs/>
          <w:color w:val="000000"/>
          <w:sz w:val="22"/>
          <w:szCs w:val="22"/>
        </w:rPr>
        <w:t xml:space="preserve"> para el cargo de </w:t>
      </w:r>
      <w:r w:rsidRPr="007C3C10">
        <w:rPr>
          <w:rFonts w:ascii="Arial" w:hAnsi="Arial" w:cs="Arial"/>
          <w:b/>
          <w:bCs/>
          <w:color w:val="000000"/>
          <w:sz w:val="22"/>
          <w:szCs w:val="22"/>
        </w:rPr>
        <w:t>Profesional Universitario Juzgados Administrativos - Grado 16</w:t>
      </w:r>
      <w:r w:rsidRPr="007C3C10">
        <w:rPr>
          <w:rFonts w:ascii="Arial" w:hAnsi="Arial" w:cs="Arial"/>
          <w:bCs/>
          <w:color w:val="000000"/>
          <w:sz w:val="22"/>
          <w:szCs w:val="22"/>
        </w:rPr>
        <w:t>, así:</w:t>
      </w:r>
    </w:p>
    <w:p w:rsidR="007C3C10" w:rsidRDefault="007C3C10" w:rsidP="007C3C10">
      <w:pPr>
        <w:spacing w:line="276" w:lineRule="auto"/>
        <w:jc w:val="both"/>
        <w:rPr>
          <w:rFonts w:ascii="Arial" w:hAnsi="Arial" w:cs="Arial"/>
          <w:bCs/>
          <w:color w:val="000000"/>
          <w:sz w:val="22"/>
          <w:szCs w:val="22"/>
        </w:rPr>
      </w:pPr>
    </w:p>
    <w:tbl>
      <w:tblPr>
        <w:tblW w:w="9037" w:type="dxa"/>
        <w:tblInd w:w="55" w:type="dxa"/>
        <w:tblLayout w:type="fixed"/>
        <w:tblCellMar>
          <w:left w:w="70" w:type="dxa"/>
          <w:right w:w="70" w:type="dxa"/>
        </w:tblCellMar>
        <w:tblLook w:val="04A0" w:firstRow="1" w:lastRow="0" w:firstColumn="1" w:lastColumn="0" w:noHBand="0" w:noVBand="1"/>
      </w:tblPr>
      <w:tblGrid>
        <w:gridCol w:w="334"/>
        <w:gridCol w:w="957"/>
        <w:gridCol w:w="632"/>
        <w:gridCol w:w="1069"/>
        <w:gridCol w:w="1035"/>
        <w:gridCol w:w="987"/>
        <w:gridCol w:w="867"/>
        <w:gridCol w:w="814"/>
        <w:gridCol w:w="887"/>
        <w:gridCol w:w="690"/>
        <w:gridCol w:w="765"/>
      </w:tblGrid>
      <w:tr w:rsidR="00781CEE" w:rsidTr="00781CEE">
        <w:trPr>
          <w:trHeight w:val="883"/>
        </w:trPr>
        <w:tc>
          <w:tcPr>
            <w:tcW w:w="3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No.</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Nombre</w:t>
            </w:r>
          </w:p>
        </w:tc>
        <w:tc>
          <w:tcPr>
            <w:tcW w:w="632"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Cédula</w:t>
            </w:r>
          </w:p>
        </w:tc>
        <w:tc>
          <w:tcPr>
            <w:tcW w:w="1069"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Cargo</w:t>
            </w:r>
          </w:p>
        </w:tc>
        <w:tc>
          <w:tcPr>
            <w:tcW w:w="1035"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Puntaje prueba de conocimientos</w:t>
            </w:r>
          </w:p>
        </w:tc>
        <w:tc>
          <w:tcPr>
            <w:tcW w:w="987"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Equivalencia puntaje prueba de conocimientos</w:t>
            </w:r>
          </w:p>
        </w:tc>
        <w:tc>
          <w:tcPr>
            <w:tcW w:w="867"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Puntaje prueba psicotécnica</w:t>
            </w:r>
          </w:p>
        </w:tc>
        <w:tc>
          <w:tcPr>
            <w:tcW w:w="814"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Experiencia y docencia</w:t>
            </w:r>
          </w:p>
        </w:tc>
        <w:tc>
          <w:tcPr>
            <w:tcW w:w="887"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Capacitación</w:t>
            </w:r>
          </w:p>
        </w:tc>
        <w:tc>
          <w:tcPr>
            <w:tcW w:w="690"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Publicaciones</w:t>
            </w:r>
          </w:p>
        </w:tc>
        <w:tc>
          <w:tcPr>
            <w:tcW w:w="765" w:type="dxa"/>
            <w:tcBorders>
              <w:top w:val="single" w:sz="8" w:space="0" w:color="auto"/>
              <w:left w:val="nil"/>
              <w:bottom w:val="single" w:sz="8" w:space="0" w:color="auto"/>
              <w:right w:val="single" w:sz="8" w:space="0" w:color="auto"/>
            </w:tcBorders>
            <w:shd w:val="clear" w:color="auto" w:fill="auto"/>
            <w:vAlign w:val="center"/>
            <w:hideMark/>
          </w:tcPr>
          <w:p w:rsidR="00781CEE" w:rsidRDefault="00781CEE">
            <w:pPr>
              <w:jc w:val="center"/>
              <w:rPr>
                <w:rFonts w:ascii="Arial" w:hAnsi="Arial" w:cs="Arial"/>
                <w:b/>
                <w:bCs/>
                <w:color w:val="000000"/>
                <w:sz w:val="12"/>
                <w:szCs w:val="12"/>
              </w:rPr>
            </w:pPr>
            <w:r>
              <w:rPr>
                <w:rFonts w:ascii="Arial" w:hAnsi="Arial" w:cs="Arial"/>
                <w:b/>
                <w:bCs/>
                <w:color w:val="000000"/>
                <w:sz w:val="12"/>
                <w:szCs w:val="12"/>
              </w:rPr>
              <w:t>Total</w:t>
            </w: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1065590860</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967,01</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550,52</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145,5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100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856,02</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Leidys Liliana Espinosa Valest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32909871</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851,27</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376,91</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146,5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100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70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693,41</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Mercedes del Carmen Domínguez Reyes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3</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45561147</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862,85</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394,28</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149</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100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693,28</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Norma Cecilia Pianeta León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4</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tcBorders>
              <w:top w:val="nil"/>
              <w:left w:val="nil"/>
              <w:bottom w:val="nil"/>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 </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874,42</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411,63</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125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99,78</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656,42</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Enrique Jesús Gechen Hernández </w:t>
            </w:r>
          </w:p>
        </w:tc>
        <w:tc>
          <w:tcPr>
            <w:tcW w:w="632" w:type="dxa"/>
            <w:tcBorders>
              <w:top w:val="nil"/>
              <w:left w:val="nil"/>
              <w:bottom w:val="single" w:sz="8" w:space="0" w:color="auto"/>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1128060457</w:t>
            </w: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1128053555</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816,55</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324,83</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174</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98,13</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40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636,96</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Mirna Elvira Martínez Mayorga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73201793</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828,13</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342,2</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173</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100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635,2</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Mauricio Gregorio Vargas Contreras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7</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22790332</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828,13</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342,2</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162</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100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609,2</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Catia de Ávila Romero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73192019</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816,55</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324,83</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163</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100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607,83</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Omar Arnedo Jiménez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9</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73214470</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 xml:space="preserve">Profesional Universitario </w:t>
            </w:r>
            <w:r>
              <w:rPr>
                <w:rFonts w:ascii="Arial" w:hAnsi="Arial" w:cs="Arial"/>
                <w:color w:val="000000"/>
                <w:sz w:val="12"/>
                <w:szCs w:val="12"/>
              </w:rPr>
              <w:lastRenderedPageBreak/>
              <w:t>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lastRenderedPageBreak/>
              <w:t>874,42</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411,63</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148,5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20,38</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580,51</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Gabriel Esteban Ramírez Martínez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lastRenderedPageBreak/>
              <w:t>10</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49766637</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804,98</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307,47</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150,5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100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577,97</w:t>
            </w:r>
          </w:p>
        </w:tc>
      </w:tr>
      <w:tr w:rsidR="00781CEE" w:rsidTr="00781CEE">
        <w:trPr>
          <w:trHeight w:val="39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Katiuzka Aldebaran</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Gutiérrez Stand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11</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1047390896</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862,85</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394,28</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149,5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23,01</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566,79</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Carolina Paola Castro del Rio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12</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73215625</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851,27</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376,91</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124,5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40,82</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562,23</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Ernesto Segundo Ortiz Ramos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13</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1102817273</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839,7</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359,55</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163,5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18,25</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561,3</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Milagros del Carmen Guerra Sampayo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14</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22866944</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828,13</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342,2</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151,5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55,62</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549,31</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Lourdes Patricia Pérez Badel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15</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30855802</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816,55</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324,83</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174</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3,89</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35</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537,72</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Paola Candelaria Montes Caballero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16</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7920347</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816,55</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324,83</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161</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22,96</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25</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533,78</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Gastón Guillermo Gaitán Romero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17</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80822283</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828,13</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342,2</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152,5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35,84</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530,54</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Remberto Alfonso Osorio Zapata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r w:rsidR="00781CEE" w:rsidTr="00781CEE">
        <w:trPr>
          <w:trHeight w:val="393"/>
        </w:trPr>
        <w:tc>
          <w:tcPr>
            <w:tcW w:w="334" w:type="dxa"/>
            <w:vMerge w:val="restart"/>
            <w:tcBorders>
              <w:top w:val="nil"/>
              <w:left w:val="single" w:sz="8" w:space="0" w:color="auto"/>
              <w:bottom w:val="single" w:sz="8" w:space="0" w:color="000000"/>
              <w:right w:val="single" w:sz="8" w:space="0" w:color="auto"/>
            </w:tcBorders>
            <w:shd w:val="clear" w:color="auto" w:fill="auto"/>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18</w:t>
            </w:r>
          </w:p>
        </w:tc>
        <w:tc>
          <w:tcPr>
            <w:tcW w:w="957" w:type="dxa"/>
            <w:tcBorders>
              <w:top w:val="nil"/>
              <w:left w:val="nil"/>
              <w:bottom w:val="nil"/>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w:t>
            </w:r>
          </w:p>
        </w:tc>
        <w:tc>
          <w:tcPr>
            <w:tcW w:w="6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right"/>
              <w:rPr>
                <w:rFonts w:ascii="Arial" w:hAnsi="Arial" w:cs="Arial"/>
                <w:color w:val="000000"/>
                <w:sz w:val="12"/>
                <w:szCs w:val="12"/>
              </w:rPr>
            </w:pPr>
            <w:r>
              <w:rPr>
                <w:rFonts w:ascii="Arial" w:hAnsi="Arial" w:cs="Arial"/>
                <w:color w:val="000000"/>
                <w:sz w:val="12"/>
                <w:szCs w:val="22"/>
              </w:rPr>
              <w:t>1051356254</w:t>
            </w:r>
          </w:p>
        </w:tc>
        <w:tc>
          <w:tcPr>
            <w:tcW w:w="106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12"/>
              </w:rPr>
              <w:t>Profesional Universitario Juzgados Administrativos - Grado 16</w:t>
            </w:r>
          </w:p>
        </w:tc>
        <w:tc>
          <w:tcPr>
            <w:tcW w:w="103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804,98</w:t>
            </w:r>
          </w:p>
        </w:tc>
        <w:tc>
          <w:tcPr>
            <w:tcW w:w="9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22"/>
              </w:rPr>
              <w:t>307,47</w:t>
            </w:r>
          </w:p>
        </w:tc>
        <w:tc>
          <w:tcPr>
            <w:tcW w:w="8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142,5</w:t>
            </w:r>
          </w:p>
        </w:tc>
        <w:tc>
          <w:tcPr>
            <w:tcW w:w="8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88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20</w:t>
            </w:r>
          </w:p>
        </w:tc>
        <w:tc>
          <w:tcPr>
            <w:tcW w:w="6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0</w:t>
            </w:r>
          </w:p>
        </w:tc>
        <w:tc>
          <w:tcPr>
            <w:tcW w:w="7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81CEE" w:rsidRDefault="00781CEE">
            <w:pPr>
              <w:jc w:val="center"/>
              <w:rPr>
                <w:rFonts w:ascii="Arial" w:hAnsi="Arial" w:cs="Arial"/>
                <w:color w:val="000000"/>
                <w:sz w:val="12"/>
                <w:szCs w:val="12"/>
              </w:rPr>
            </w:pPr>
            <w:r>
              <w:rPr>
                <w:rFonts w:ascii="Arial" w:hAnsi="Arial" w:cs="Arial"/>
                <w:color w:val="000000"/>
                <w:sz w:val="12"/>
                <w:szCs w:val="12"/>
              </w:rPr>
              <w:t>489,97</w:t>
            </w:r>
          </w:p>
        </w:tc>
      </w:tr>
      <w:tr w:rsidR="00781CEE" w:rsidTr="00781CEE">
        <w:trPr>
          <w:trHeight w:val="413"/>
        </w:trPr>
        <w:tc>
          <w:tcPr>
            <w:tcW w:w="33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57" w:type="dxa"/>
            <w:tcBorders>
              <w:top w:val="nil"/>
              <w:left w:val="nil"/>
              <w:bottom w:val="single" w:sz="8" w:space="0" w:color="auto"/>
              <w:right w:val="single" w:sz="8" w:space="0" w:color="auto"/>
            </w:tcBorders>
            <w:shd w:val="clear" w:color="auto" w:fill="auto"/>
            <w:noWrap/>
            <w:vAlign w:val="center"/>
            <w:hideMark/>
          </w:tcPr>
          <w:p w:rsidR="00781CEE" w:rsidRDefault="00781CEE">
            <w:pPr>
              <w:rPr>
                <w:rFonts w:ascii="Arial" w:hAnsi="Arial" w:cs="Arial"/>
                <w:color w:val="000000"/>
                <w:sz w:val="12"/>
                <w:szCs w:val="12"/>
              </w:rPr>
            </w:pPr>
            <w:r>
              <w:rPr>
                <w:rFonts w:ascii="Arial" w:hAnsi="Arial" w:cs="Arial"/>
                <w:color w:val="000000"/>
                <w:sz w:val="12"/>
                <w:szCs w:val="22"/>
              </w:rPr>
              <w:t xml:space="preserve">Diana Paola Azuero Ramírez </w:t>
            </w:r>
          </w:p>
        </w:tc>
        <w:tc>
          <w:tcPr>
            <w:tcW w:w="632"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69"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103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9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6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14"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887"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690"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c>
          <w:tcPr>
            <w:tcW w:w="765" w:type="dxa"/>
            <w:vMerge/>
            <w:tcBorders>
              <w:top w:val="nil"/>
              <w:left w:val="single" w:sz="8" w:space="0" w:color="auto"/>
              <w:bottom w:val="single" w:sz="8" w:space="0" w:color="000000"/>
              <w:right w:val="single" w:sz="8" w:space="0" w:color="auto"/>
            </w:tcBorders>
            <w:vAlign w:val="center"/>
            <w:hideMark/>
          </w:tcPr>
          <w:p w:rsidR="00781CEE" w:rsidRDefault="00781CEE">
            <w:pPr>
              <w:rPr>
                <w:rFonts w:ascii="Arial" w:hAnsi="Arial" w:cs="Arial"/>
                <w:color w:val="000000"/>
                <w:sz w:val="12"/>
                <w:szCs w:val="12"/>
              </w:rPr>
            </w:pPr>
          </w:p>
        </w:tc>
      </w:tr>
    </w:tbl>
    <w:p w:rsidR="007C3C10" w:rsidRPr="007C3C10" w:rsidRDefault="007C3C10" w:rsidP="007C3C10">
      <w:pPr>
        <w:spacing w:line="276" w:lineRule="auto"/>
        <w:jc w:val="both"/>
        <w:rPr>
          <w:rFonts w:ascii="Arial" w:hAnsi="Arial" w:cs="Arial"/>
          <w:bCs/>
          <w:color w:val="000000"/>
          <w:sz w:val="22"/>
          <w:szCs w:val="22"/>
        </w:rPr>
      </w:pPr>
    </w:p>
    <w:p w:rsidR="007C3C10" w:rsidRPr="007C3C10" w:rsidRDefault="007C3C10" w:rsidP="007C3C10">
      <w:pPr>
        <w:autoSpaceDE w:val="0"/>
        <w:autoSpaceDN w:val="0"/>
        <w:adjustRightInd w:val="0"/>
        <w:spacing w:line="276" w:lineRule="auto"/>
        <w:jc w:val="both"/>
        <w:rPr>
          <w:rFonts w:ascii="Arial" w:hAnsi="Arial" w:cs="Arial"/>
          <w:sz w:val="22"/>
          <w:szCs w:val="22"/>
        </w:rPr>
      </w:pPr>
      <w:r w:rsidRPr="007C3C10">
        <w:rPr>
          <w:rFonts w:ascii="Arial" w:hAnsi="Arial" w:cs="Arial"/>
          <w:b/>
          <w:bCs/>
          <w:color w:val="000000"/>
          <w:sz w:val="22"/>
          <w:szCs w:val="22"/>
        </w:rPr>
        <w:t xml:space="preserve">ARTICULO SEGUNDO: </w:t>
      </w:r>
      <w:r w:rsidRPr="007C3C10">
        <w:rPr>
          <w:rFonts w:ascii="Arial" w:hAnsi="Arial" w:cs="Arial"/>
          <w:sz w:val="22"/>
          <w:szCs w:val="22"/>
        </w:rPr>
        <w:t>Esta resolución será notificada mediante su fijación por un término de cinco días hábiles, en las instalaciones de esta  corporación y en la secretaría del Consejo Seccional de Bolívar (Dirección Seccional de Administración Judicial), y a título informativo publíquese en la página web de la Rama Judicial (</w:t>
      </w:r>
      <w:hyperlink r:id="rId7" w:history="1">
        <w:r w:rsidRPr="007C3C10">
          <w:rPr>
            <w:rFonts w:ascii="Arial" w:hAnsi="Arial" w:cs="Arial"/>
            <w:sz w:val="22"/>
            <w:szCs w:val="22"/>
            <w:u w:val="single"/>
          </w:rPr>
          <w:t>www.ramajudicial.gov.co</w:t>
        </w:r>
      </w:hyperlink>
      <w:r w:rsidRPr="007C3C10">
        <w:rPr>
          <w:rFonts w:ascii="Arial" w:hAnsi="Arial" w:cs="Arial"/>
          <w:sz w:val="22"/>
          <w:szCs w:val="22"/>
        </w:rPr>
        <w:t>), link Consejo Seccional de la Judicatura de Bolívar.</w:t>
      </w:r>
    </w:p>
    <w:p w:rsidR="007C3C10" w:rsidRPr="007C3C10" w:rsidRDefault="007C3C10" w:rsidP="007C3C10">
      <w:pPr>
        <w:autoSpaceDE w:val="0"/>
        <w:autoSpaceDN w:val="0"/>
        <w:adjustRightInd w:val="0"/>
        <w:spacing w:line="276" w:lineRule="auto"/>
        <w:jc w:val="both"/>
        <w:rPr>
          <w:rFonts w:ascii="Arial" w:hAnsi="Arial" w:cs="Arial"/>
          <w:b/>
          <w:bCs/>
          <w:color w:val="000000"/>
          <w:sz w:val="22"/>
          <w:szCs w:val="22"/>
          <w:highlight w:val="yellow"/>
        </w:rPr>
      </w:pPr>
    </w:p>
    <w:p w:rsidR="007C3C10" w:rsidRPr="007C3C10" w:rsidRDefault="007C3C10" w:rsidP="007C3C10">
      <w:pPr>
        <w:autoSpaceDE w:val="0"/>
        <w:autoSpaceDN w:val="0"/>
        <w:adjustRightInd w:val="0"/>
        <w:spacing w:line="276" w:lineRule="auto"/>
        <w:jc w:val="both"/>
        <w:rPr>
          <w:rFonts w:ascii="Arial" w:hAnsi="Arial" w:cs="Arial"/>
          <w:color w:val="000000"/>
          <w:sz w:val="22"/>
          <w:szCs w:val="22"/>
        </w:rPr>
      </w:pPr>
      <w:r w:rsidRPr="007C3C10">
        <w:rPr>
          <w:rFonts w:ascii="Arial" w:hAnsi="Arial" w:cs="Arial"/>
          <w:b/>
          <w:bCs/>
          <w:color w:val="000000"/>
          <w:sz w:val="22"/>
          <w:szCs w:val="22"/>
        </w:rPr>
        <w:t>ARTICULO CUARTO:</w:t>
      </w:r>
      <w:r w:rsidRPr="007C3C10">
        <w:rPr>
          <w:rFonts w:ascii="Arial" w:hAnsi="Arial" w:cs="Arial"/>
          <w:color w:val="000000"/>
          <w:sz w:val="22"/>
          <w:szCs w:val="22"/>
        </w:rPr>
        <w:t xml:space="preserve"> Contra las decisiones individuales contenidas en la presente  resolución,  proceden los recursos en la actuación administrativa, reposición y apelación,  los cuales  deberán interponerse  por escrito ante el Consejo Seccional de la Judicatura de Bolívar, dentro de los diez días siguientes a la desfijación de este acto administrativo.</w:t>
      </w:r>
    </w:p>
    <w:p w:rsidR="007C3C10" w:rsidRPr="007C3C10" w:rsidRDefault="007C3C10" w:rsidP="007C3C10">
      <w:pPr>
        <w:autoSpaceDE w:val="0"/>
        <w:autoSpaceDN w:val="0"/>
        <w:adjustRightInd w:val="0"/>
        <w:spacing w:line="276" w:lineRule="auto"/>
        <w:jc w:val="both"/>
        <w:rPr>
          <w:rFonts w:ascii="Arial" w:hAnsi="Arial" w:cs="Arial"/>
          <w:color w:val="000000"/>
          <w:sz w:val="22"/>
          <w:szCs w:val="22"/>
        </w:rPr>
      </w:pPr>
    </w:p>
    <w:p w:rsidR="006A160B" w:rsidRDefault="006A160B" w:rsidP="007C3C10">
      <w:pPr>
        <w:spacing w:line="276" w:lineRule="auto"/>
        <w:jc w:val="center"/>
        <w:rPr>
          <w:rFonts w:ascii="Arial" w:hAnsi="Arial" w:cs="Arial"/>
          <w:b/>
          <w:bCs/>
          <w:color w:val="000000"/>
          <w:sz w:val="22"/>
          <w:szCs w:val="22"/>
        </w:rPr>
      </w:pPr>
    </w:p>
    <w:p w:rsidR="006A160B" w:rsidRDefault="006A160B" w:rsidP="007C3C10">
      <w:pPr>
        <w:spacing w:line="276" w:lineRule="auto"/>
        <w:jc w:val="center"/>
        <w:rPr>
          <w:rFonts w:ascii="Arial" w:hAnsi="Arial" w:cs="Arial"/>
          <w:b/>
          <w:bCs/>
          <w:color w:val="000000"/>
          <w:sz w:val="22"/>
          <w:szCs w:val="22"/>
        </w:rPr>
      </w:pPr>
    </w:p>
    <w:p w:rsidR="00254F44" w:rsidRPr="007C3C10" w:rsidRDefault="007C3C10" w:rsidP="007C3C10">
      <w:pPr>
        <w:spacing w:line="276" w:lineRule="auto"/>
        <w:jc w:val="center"/>
        <w:rPr>
          <w:rFonts w:ascii="Arial" w:hAnsi="Arial" w:cs="Arial"/>
          <w:sz w:val="22"/>
          <w:szCs w:val="22"/>
        </w:rPr>
      </w:pPr>
      <w:r w:rsidRPr="007C3C10">
        <w:rPr>
          <w:rFonts w:ascii="Arial" w:hAnsi="Arial" w:cs="Arial"/>
          <w:b/>
          <w:bCs/>
          <w:color w:val="000000"/>
          <w:sz w:val="22"/>
          <w:szCs w:val="22"/>
        </w:rPr>
        <w:t>PUBLÍQUESE Y CÚMPLASE</w:t>
      </w:r>
    </w:p>
    <w:p w:rsidR="000B78B8" w:rsidRPr="001C4F74" w:rsidRDefault="00C06678" w:rsidP="000B78B8">
      <w:pPr>
        <w:rPr>
          <w:rFonts w:ascii="Arial" w:hAnsi="Arial" w:cs="Arial"/>
          <w:caps/>
          <w:sz w:val="22"/>
          <w:szCs w:val="22"/>
          <w:lang w:val="es-C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pt;margin-top:716.25pt;width:191.5pt;height:72.5pt;z-index:-251658752;mso-position-horizontal:absolute;mso-position-horizontal-relative:page;mso-position-vertical:absolute;mso-position-vertical-relative:page">
            <v:imagedata r:id="rId8" o:title="Arch_0000004B5274"/>
            <w10:wrap anchorx="page" anchory="page"/>
          </v:shape>
        </w:pict>
      </w:r>
    </w:p>
    <w:p w:rsidR="007C3C10" w:rsidRPr="007C3C10" w:rsidRDefault="007C3C10" w:rsidP="007C3C10">
      <w:pPr>
        <w:rPr>
          <w:rFonts w:ascii="Arial" w:hAnsi="Arial" w:cs="Arial"/>
          <w:b/>
          <w:sz w:val="22"/>
          <w:szCs w:val="22"/>
          <w:lang w:val="es-CO"/>
        </w:rPr>
      </w:pPr>
      <w:r w:rsidRPr="007C3C10">
        <w:rPr>
          <w:rFonts w:ascii="Arial" w:hAnsi="Arial" w:cs="Arial"/>
          <w:b/>
          <w:sz w:val="22"/>
          <w:szCs w:val="22"/>
          <w:lang w:val="es-CO"/>
        </w:rPr>
        <w:t>IVÁN EDUARDO LATORRE GAMBOA</w:t>
      </w:r>
    </w:p>
    <w:p w:rsidR="007C3C10" w:rsidRPr="007C3C10" w:rsidRDefault="007C3C10" w:rsidP="007C3C10">
      <w:pPr>
        <w:rPr>
          <w:rFonts w:ascii="Arial" w:hAnsi="Arial" w:cs="Arial"/>
          <w:sz w:val="22"/>
          <w:szCs w:val="22"/>
          <w:lang w:val="es-CO"/>
        </w:rPr>
      </w:pPr>
      <w:r w:rsidRPr="007C3C10">
        <w:rPr>
          <w:rFonts w:ascii="Arial" w:hAnsi="Arial" w:cs="Arial"/>
          <w:sz w:val="22"/>
          <w:szCs w:val="22"/>
          <w:lang w:val="es-CO"/>
        </w:rPr>
        <w:t>Presidente</w:t>
      </w:r>
    </w:p>
    <w:p w:rsidR="007C3C10" w:rsidRPr="007C3C10" w:rsidRDefault="007C3C10" w:rsidP="007C3C10">
      <w:pPr>
        <w:spacing w:line="276" w:lineRule="auto"/>
        <w:jc w:val="both"/>
        <w:rPr>
          <w:rFonts w:ascii="Arial" w:hAnsi="Arial" w:cs="Arial"/>
          <w:sz w:val="22"/>
          <w:szCs w:val="22"/>
          <w:lang w:val="es-CO"/>
        </w:rPr>
      </w:pPr>
    </w:p>
    <w:p w:rsidR="007C3C10" w:rsidRPr="007C3C10" w:rsidRDefault="007C3C10" w:rsidP="007C3C10">
      <w:pPr>
        <w:spacing w:line="276" w:lineRule="auto"/>
        <w:jc w:val="both"/>
        <w:rPr>
          <w:rFonts w:ascii="Arial" w:hAnsi="Arial" w:cs="Arial"/>
          <w:sz w:val="14"/>
          <w:szCs w:val="22"/>
          <w:lang w:val="es-CO"/>
        </w:rPr>
      </w:pPr>
      <w:r w:rsidRPr="007C3C10">
        <w:rPr>
          <w:rFonts w:ascii="Arial" w:hAnsi="Arial" w:cs="Arial"/>
          <w:sz w:val="14"/>
          <w:szCs w:val="22"/>
          <w:lang w:val="es-CO"/>
        </w:rPr>
        <w:t>PRCR/MFRT</w:t>
      </w:r>
    </w:p>
    <w:sectPr w:rsidR="007C3C10" w:rsidRPr="007C3C10" w:rsidSect="00DE2E9E">
      <w:headerReference w:type="even" r:id="rId9"/>
      <w:headerReference w:type="default" r:id="rId10"/>
      <w:footerReference w:type="even" r:id="rId11"/>
      <w:footerReference w:type="default" r:id="rId12"/>
      <w:headerReference w:type="first" r:id="rId13"/>
      <w:footerReference w:type="first" r:id="rId14"/>
      <w:type w:val="continuous"/>
      <w:pgSz w:w="12242" w:h="18722" w:code="120"/>
      <w:pgMar w:top="1701" w:right="1701" w:bottom="1701" w:left="1701" w:header="794" w:footer="90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11" w:rsidRDefault="00160111">
      <w:r>
        <w:separator/>
      </w:r>
    </w:p>
  </w:endnote>
  <w:endnote w:type="continuationSeparator" w:id="0">
    <w:p w:rsidR="00160111" w:rsidRDefault="0016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erylium">
    <w:altName w:val="Times New Roman"/>
    <w:charset w:val="00"/>
    <w:family w:val="auto"/>
    <w:pitch w:val="variable"/>
    <w:sig w:usb0="A00000AF" w:usb1="00000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FF" w:rsidRDefault="00B05F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A7" w:rsidRPr="005A7753" w:rsidRDefault="00FE0AA7" w:rsidP="00FE0AA7">
    <w:pPr>
      <w:pStyle w:val="Piedepgina"/>
      <w:rPr>
        <w:rFonts w:ascii="Berylium" w:hAnsi="Berylium"/>
        <w:bCs/>
        <w:iCs/>
        <w:sz w:val="22"/>
        <w:szCs w:val="22"/>
      </w:rPr>
    </w:pPr>
    <w:r>
      <w:rPr>
        <w:rFonts w:ascii="Berylium" w:hAnsi="Berylium"/>
        <w:bCs/>
        <w:iCs/>
        <w:sz w:val="22"/>
        <w:szCs w:val="22"/>
      </w:rPr>
      <w:t>Calle de la Inquisición No. 3-53 Edificio Kalamary.</w:t>
    </w:r>
  </w:p>
  <w:p w:rsidR="00FE0AA7" w:rsidRDefault="00FE0AA7" w:rsidP="00FE0AA7">
    <w:pPr>
      <w:rPr>
        <w:rFonts w:ascii="Berylium" w:hAnsi="Berylium"/>
        <w:bCs/>
        <w:iCs/>
        <w:sz w:val="22"/>
        <w:szCs w:val="22"/>
      </w:rPr>
    </w:pPr>
    <w:r>
      <w:rPr>
        <w:rFonts w:ascii="Berylium" w:hAnsi="Berylium"/>
        <w:bCs/>
        <w:iCs/>
        <w:sz w:val="22"/>
        <w:szCs w:val="22"/>
      </w:rPr>
      <w:t>Teléfono</w:t>
    </w:r>
    <w:r w:rsidRPr="005A7753">
      <w:rPr>
        <w:rFonts w:ascii="Berylium" w:hAnsi="Berylium"/>
        <w:bCs/>
        <w:iCs/>
        <w:sz w:val="22"/>
        <w:szCs w:val="22"/>
      </w:rPr>
      <w:t xml:space="preserve">: </w:t>
    </w:r>
    <w:r>
      <w:rPr>
        <w:rFonts w:ascii="Berylium" w:hAnsi="Berylium"/>
        <w:bCs/>
        <w:iCs/>
        <w:sz w:val="22"/>
        <w:szCs w:val="22"/>
      </w:rPr>
      <w:t xml:space="preserve">6647313. </w:t>
    </w:r>
    <w:hyperlink r:id="rId1" w:history="1">
      <w:r w:rsidRPr="00DC4C1C">
        <w:rPr>
          <w:rStyle w:val="Hipervnculo"/>
          <w:rFonts w:ascii="Berylium" w:eastAsia="Arial Unicode MS" w:hAnsi="Berylium"/>
          <w:bCs/>
          <w:iCs/>
          <w:sz w:val="22"/>
          <w:szCs w:val="22"/>
        </w:rPr>
        <w:t>www.ramajudicial.gov.co</w:t>
      </w:r>
    </w:hyperlink>
  </w:p>
  <w:p w:rsidR="00FE0AA7" w:rsidRPr="005A7753" w:rsidRDefault="00FE0AA7" w:rsidP="00FE0AA7">
    <w:pPr>
      <w:rPr>
        <w:rFonts w:ascii="Berylium" w:hAnsi="Berylium"/>
        <w:bCs/>
        <w:iCs/>
        <w:sz w:val="22"/>
        <w:szCs w:val="22"/>
      </w:rPr>
    </w:pPr>
    <w:r>
      <w:rPr>
        <w:rFonts w:ascii="Berylium" w:hAnsi="Berylium"/>
        <w:bCs/>
        <w:iCs/>
        <w:sz w:val="22"/>
        <w:szCs w:val="22"/>
      </w:rPr>
      <w:t xml:space="preserve">Correo electrónico: </w:t>
    </w:r>
    <w:r w:rsidR="00A60F6C" w:rsidRPr="00A552A0">
      <w:rPr>
        <w:rStyle w:val="Hipervnculo"/>
      </w:rPr>
      <w:t>consecbol@cendoj.ramajudicial.gov.co</w:t>
    </w:r>
  </w:p>
  <w:p w:rsidR="00FE0AA7" w:rsidRPr="008346E3" w:rsidRDefault="00FE0AA7" w:rsidP="00FE0AA7">
    <w:pPr>
      <w:pStyle w:val="Piedepgina"/>
      <w:rPr>
        <w:rFonts w:ascii="Berylium" w:hAnsi="Berylium"/>
        <w:bCs/>
        <w:iCs/>
        <w:sz w:val="22"/>
        <w:szCs w:val="22"/>
      </w:rPr>
    </w:pPr>
    <w:r>
      <w:rPr>
        <w:rFonts w:ascii="Berylium" w:hAnsi="Berylium"/>
        <w:bCs/>
        <w:iCs/>
        <w:sz w:val="22"/>
        <w:szCs w:val="22"/>
      </w:rPr>
      <w:t>Cartagena</w:t>
    </w:r>
    <w:r w:rsidRPr="00A377FE">
      <w:rPr>
        <w:rFonts w:ascii="Berylium" w:hAnsi="Berylium"/>
        <w:bCs/>
        <w:iCs/>
        <w:sz w:val="22"/>
        <w:szCs w:val="22"/>
      </w:rPr>
      <w:t xml:space="preserve"> </w:t>
    </w:r>
    <w:r>
      <w:rPr>
        <w:rFonts w:ascii="Berylium" w:hAnsi="Berylium"/>
        <w:bCs/>
        <w:iCs/>
        <w:sz w:val="22"/>
        <w:szCs w:val="22"/>
      </w:rPr>
      <w:t>–</w:t>
    </w:r>
    <w:r w:rsidRPr="00A377FE">
      <w:rPr>
        <w:rFonts w:ascii="Berylium" w:hAnsi="Berylium"/>
        <w:bCs/>
        <w:iCs/>
        <w:sz w:val="22"/>
        <w:szCs w:val="22"/>
      </w:rPr>
      <w:t xml:space="preserve"> </w:t>
    </w:r>
    <w:r>
      <w:rPr>
        <w:rFonts w:ascii="Berylium" w:hAnsi="Berylium"/>
        <w:bCs/>
        <w:iCs/>
        <w:sz w:val="22"/>
        <w:szCs w:val="22"/>
      </w:rPr>
      <w:t>Bolívar.   Colombia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A7" w:rsidRPr="005A7753" w:rsidRDefault="00C06678" w:rsidP="00FE0AA7">
    <w:pPr>
      <w:pStyle w:val="Piedepgina"/>
      <w:rPr>
        <w:rFonts w:ascii="Berylium" w:hAnsi="Berylium"/>
        <w:bCs/>
        <w:iCs/>
        <w:sz w:val="22"/>
        <w:szCs w:val="22"/>
      </w:rPr>
    </w:pPr>
    <w:r>
      <w:rPr>
        <w:rFonts w:ascii="Berylium" w:hAnsi="Berylium"/>
        <w:bCs/>
        <w:i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358.65pt;margin-top:1.9pt;width:125pt;height:72.45pt;z-index:251657216">
          <v:imagedata r:id="rId1" o:title=""/>
        </v:shape>
      </w:pict>
    </w:r>
    <w:r w:rsidR="00FE0AA7">
      <w:rPr>
        <w:rFonts w:ascii="Berylium" w:hAnsi="Berylium"/>
        <w:bCs/>
        <w:iCs/>
        <w:sz w:val="22"/>
        <w:szCs w:val="22"/>
      </w:rPr>
      <w:t>Calle de la Inquisición No. 3-53 Edificio Kalamary.</w:t>
    </w:r>
  </w:p>
  <w:p w:rsidR="00FE0AA7" w:rsidRDefault="00FE0AA7" w:rsidP="00FE0AA7">
    <w:pPr>
      <w:rPr>
        <w:rFonts w:ascii="Berylium" w:hAnsi="Berylium"/>
        <w:bCs/>
        <w:iCs/>
        <w:sz w:val="22"/>
        <w:szCs w:val="22"/>
      </w:rPr>
    </w:pPr>
    <w:r>
      <w:rPr>
        <w:rFonts w:ascii="Berylium" w:hAnsi="Berylium"/>
        <w:bCs/>
        <w:iCs/>
        <w:sz w:val="22"/>
        <w:szCs w:val="22"/>
      </w:rPr>
      <w:t>Teléfono</w:t>
    </w:r>
    <w:r w:rsidRPr="005A7753">
      <w:rPr>
        <w:rFonts w:ascii="Berylium" w:hAnsi="Berylium"/>
        <w:bCs/>
        <w:iCs/>
        <w:sz w:val="22"/>
        <w:szCs w:val="22"/>
      </w:rPr>
      <w:t xml:space="preserve">: </w:t>
    </w:r>
    <w:r>
      <w:rPr>
        <w:rFonts w:ascii="Berylium" w:hAnsi="Berylium"/>
        <w:bCs/>
        <w:iCs/>
        <w:sz w:val="22"/>
        <w:szCs w:val="22"/>
      </w:rPr>
      <w:t xml:space="preserve">6647313. </w:t>
    </w:r>
    <w:hyperlink r:id="rId2" w:history="1">
      <w:r w:rsidRPr="00DC4C1C">
        <w:rPr>
          <w:rStyle w:val="Hipervnculo"/>
          <w:rFonts w:ascii="Berylium" w:eastAsia="Arial Unicode MS" w:hAnsi="Berylium"/>
          <w:bCs/>
          <w:iCs/>
          <w:sz w:val="22"/>
          <w:szCs w:val="22"/>
        </w:rPr>
        <w:t>www.ramajudicial.gov.co</w:t>
      </w:r>
    </w:hyperlink>
  </w:p>
  <w:p w:rsidR="00FE0AA7" w:rsidRPr="005A7753" w:rsidRDefault="00FE0AA7" w:rsidP="00FE0AA7">
    <w:pPr>
      <w:rPr>
        <w:rFonts w:ascii="Berylium" w:hAnsi="Berylium"/>
        <w:bCs/>
        <w:iCs/>
        <w:sz w:val="22"/>
        <w:szCs w:val="22"/>
      </w:rPr>
    </w:pPr>
    <w:r>
      <w:rPr>
        <w:rFonts w:ascii="Berylium" w:hAnsi="Berylium"/>
        <w:bCs/>
        <w:iCs/>
        <w:sz w:val="22"/>
        <w:szCs w:val="22"/>
      </w:rPr>
      <w:t xml:space="preserve">Correo electrónico: </w:t>
    </w:r>
    <w:r w:rsidR="00A60F6C" w:rsidRPr="00A552A0">
      <w:rPr>
        <w:rStyle w:val="Hipervnculo"/>
      </w:rPr>
      <w:t>consecbol@cendoj.ramajudicial.gov.co</w:t>
    </w:r>
  </w:p>
  <w:p w:rsidR="00DD6596" w:rsidRPr="001C4F74" w:rsidRDefault="00FE0AA7" w:rsidP="00FE0AA7">
    <w:pPr>
      <w:pStyle w:val="Piedepgina"/>
    </w:pPr>
    <w:r>
      <w:rPr>
        <w:rFonts w:ascii="Berylium" w:hAnsi="Berylium"/>
        <w:bCs/>
        <w:iCs/>
        <w:sz w:val="22"/>
        <w:szCs w:val="22"/>
      </w:rPr>
      <w:t>Cartagena</w:t>
    </w:r>
    <w:r w:rsidRPr="00A377FE">
      <w:rPr>
        <w:rFonts w:ascii="Berylium" w:hAnsi="Berylium"/>
        <w:bCs/>
        <w:iCs/>
        <w:sz w:val="22"/>
        <w:szCs w:val="22"/>
      </w:rPr>
      <w:t xml:space="preserve"> </w:t>
    </w:r>
    <w:r>
      <w:rPr>
        <w:rFonts w:ascii="Berylium" w:hAnsi="Berylium"/>
        <w:bCs/>
        <w:iCs/>
        <w:sz w:val="22"/>
        <w:szCs w:val="22"/>
      </w:rPr>
      <w:t>–</w:t>
    </w:r>
    <w:r w:rsidRPr="00A377FE">
      <w:rPr>
        <w:rFonts w:ascii="Berylium" w:hAnsi="Berylium"/>
        <w:bCs/>
        <w:iCs/>
        <w:sz w:val="22"/>
        <w:szCs w:val="22"/>
      </w:rPr>
      <w:t xml:space="preserve"> </w:t>
    </w:r>
    <w:r>
      <w:rPr>
        <w:rFonts w:ascii="Berylium" w:hAnsi="Berylium"/>
        <w:bCs/>
        <w:iCs/>
        <w:sz w:val="22"/>
        <w:szCs w:val="22"/>
      </w:rPr>
      <w:t>Bolívar.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11" w:rsidRDefault="00160111">
      <w:r>
        <w:separator/>
      </w:r>
    </w:p>
  </w:footnote>
  <w:footnote w:type="continuationSeparator" w:id="0">
    <w:p w:rsidR="00160111" w:rsidRDefault="00160111">
      <w:r>
        <w:continuationSeparator/>
      </w:r>
    </w:p>
  </w:footnote>
  <w:footnote w:id="1">
    <w:p w:rsidR="007C3C10" w:rsidRPr="00FE492D" w:rsidRDefault="007C3C10" w:rsidP="007C3C10">
      <w:pPr>
        <w:pStyle w:val="Textonotapie"/>
      </w:pPr>
      <w:r>
        <w:rPr>
          <w:rStyle w:val="Refdenotaalpie"/>
        </w:rPr>
        <w:footnoteRef/>
      </w:r>
      <w:r>
        <w:t xml:space="preserve"> D</w:t>
      </w:r>
      <w:r w:rsidRPr="00FE492D">
        <w:t>e conformidad con la Resolución 028 del 16 de febrero de 2016, por medio de la cual se conformó el Registro de elegibles para el cargo de Profesional Universitario de Juzgados Administrativos, Grado 16, de este distrito judicial, se tiene que su vigencia e</w:t>
      </w:r>
      <w:r>
        <w:t>s</w:t>
      </w:r>
      <w:r w:rsidRPr="00FE492D">
        <w:t xml:space="preserve"> hasta el 8 de marzo de 2020</w:t>
      </w:r>
      <w:r>
        <w:t>.</w:t>
      </w:r>
    </w:p>
  </w:footnote>
  <w:footnote w:id="2">
    <w:p w:rsidR="007C3C10" w:rsidRPr="00FE492D" w:rsidRDefault="007C3C10" w:rsidP="007C3C10">
      <w:pPr>
        <w:pStyle w:val="Textonotapie"/>
        <w:rPr>
          <w:lang w:val="es-CO"/>
        </w:rPr>
      </w:pPr>
      <w:r>
        <w:rPr>
          <w:rStyle w:val="Refdenotaalpie"/>
        </w:rPr>
        <w:footnoteRef/>
      </w:r>
      <w:r>
        <w:t xml:space="preserve"> </w:t>
      </w:r>
      <w:r>
        <w:rPr>
          <w:lang w:val="es-CO"/>
        </w:rPr>
        <w:t>Con vigencia hasta el 8 de marzo de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FFF" w:rsidRDefault="00B05F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D28" w:rsidRPr="00DE2E9E" w:rsidRDefault="00000461" w:rsidP="00000461">
    <w:pPr>
      <w:jc w:val="both"/>
      <w:rPr>
        <w:rFonts w:ascii="Berylium" w:hAnsi="Berylium"/>
        <w:bCs/>
        <w:iCs/>
        <w:sz w:val="22"/>
        <w:szCs w:val="22"/>
      </w:rPr>
    </w:pPr>
    <w:r w:rsidRPr="00DE2E9E">
      <w:rPr>
        <w:rFonts w:ascii="Berylium" w:hAnsi="Berylium"/>
        <w:bCs/>
        <w:iCs/>
        <w:sz w:val="22"/>
        <w:szCs w:val="22"/>
      </w:rPr>
      <w:t xml:space="preserve">Resolución </w:t>
    </w:r>
    <w:r w:rsidR="00B12D28" w:rsidRPr="00DE2E9E">
      <w:rPr>
        <w:rFonts w:ascii="Berylium" w:hAnsi="Berylium"/>
        <w:bCs/>
        <w:iCs/>
        <w:sz w:val="22"/>
        <w:szCs w:val="22"/>
      </w:rPr>
      <w:t xml:space="preserve">Hoja No. </w:t>
    </w:r>
    <w:r w:rsidR="00B12D28" w:rsidRPr="00DE2E9E">
      <w:rPr>
        <w:rFonts w:ascii="Berylium" w:hAnsi="Berylium"/>
        <w:bCs/>
        <w:iCs/>
        <w:sz w:val="22"/>
        <w:szCs w:val="22"/>
      </w:rPr>
      <w:fldChar w:fldCharType="begin"/>
    </w:r>
    <w:r w:rsidR="00B12D28" w:rsidRPr="00DE2E9E">
      <w:rPr>
        <w:rFonts w:ascii="Berylium" w:hAnsi="Berylium"/>
        <w:bCs/>
        <w:iCs/>
        <w:sz w:val="22"/>
        <w:szCs w:val="22"/>
      </w:rPr>
      <w:instrText xml:space="preserve"> PAGE </w:instrText>
    </w:r>
    <w:r w:rsidR="00B12D28" w:rsidRPr="00DE2E9E">
      <w:rPr>
        <w:rFonts w:ascii="Berylium" w:hAnsi="Berylium"/>
        <w:bCs/>
        <w:iCs/>
        <w:sz w:val="22"/>
        <w:szCs w:val="22"/>
      </w:rPr>
      <w:fldChar w:fldCharType="separate"/>
    </w:r>
    <w:r w:rsidR="00C06678">
      <w:rPr>
        <w:rFonts w:ascii="Berylium" w:hAnsi="Berylium"/>
        <w:bCs/>
        <w:iCs/>
        <w:noProof/>
        <w:sz w:val="22"/>
        <w:szCs w:val="22"/>
      </w:rPr>
      <w:t>5</w:t>
    </w:r>
    <w:r w:rsidR="00B12D28" w:rsidRPr="00DE2E9E">
      <w:rPr>
        <w:rFonts w:ascii="Berylium" w:hAnsi="Berylium"/>
        <w:bCs/>
        <w:iCs/>
        <w:sz w:val="22"/>
        <w:szCs w:val="22"/>
      </w:rPr>
      <w:fldChar w:fldCharType="end"/>
    </w:r>
  </w:p>
  <w:p w:rsidR="00770F6C" w:rsidRPr="00DE2E9E" w:rsidRDefault="00770F6C" w:rsidP="00770F6C">
    <w:pPr>
      <w:jc w:val="both"/>
      <w:rPr>
        <w:rFonts w:ascii="Berylium" w:hAnsi="Berylium" w:cs="Arial"/>
        <w:sz w:val="22"/>
        <w:szCs w:val="22"/>
        <w:lang w:val="es-CO"/>
      </w:rPr>
    </w:pPr>
    <w:r w:rsidRPr="00DE2E9E">
      <w:rPr>
        <w:rFonts w:ascii="Berylium" w:hAnsi="Berylium" w:cs="Arial"/>
        <w:sz w:val="22"/>
        <w:szCs w:val="22"/>
        <w:lang w:val="es-CO"/>
      </w:rPr>
      <w:t xml:space="preserve">Resolución No. </w:t>
    </w:r>
    <w:r w:rsidR="001C17DE">
      <w:rPr>
        <w:rFonts w:ascii="Berylium" w:hAnsi="Berylium" w:cs="Arial"/>
        <w:sz w:val="22"/>
        <w:szCs w:val="22"/>
        <w:lang w:val="es-CO"/>
      </w:rPr>
      <w:t>CSJBOR20-94</w:t>
    </w:r>
  </w:p>
  <w:p w:rsidR="00770F6C" w:rsidRPr="00DE2E9E" w:rsidRDefault="001C17DE" w:rsidP="00770F6C">
    <w:pPr>
      <w:jc w:val="both"/>
      <w:rPr>
        <w:rFonts w:ascii="Berylium" w:hAnsi="Berylium" w:cs="Arial"/>
        <w:sz w:val="22"/>
        <w:szCs w:val="22"/>
        <w:lang w:val="es-CO"/>
      </w:rPr>
    </w:pPr>
    <w:r>
      <w:rPr>
        <w:rFonts w:ascii="Berylium" w:hAnsi="Berylium" w:cs="Arial"/>
        <w:sz w:val="22"/>
        <w:szCs w:val="22"/>
        <w:lang w:val="es-CO"/>
      </w:rPr>
      <w:t>6 de marzo de 2020</w:t>
    </w:r>
  </w:p>
  <w:p w:rsidR="00770F6C" w:rsidRPr="00770F6C" w:rsidRDefault="00770F6C" w:rsidP="00000461">
    <w:pPr>
      <w:jc w:val="both"/>
      <w:rPr>
        <w:rFonts w:ascii="Berylium" w:hAnsi="Berylium"/>
        <w:bCs/>
        <w:iCs/>
        <w:sz w:val="22"/>
        <w:szCs w:val="22"/>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2F" w:rsidRDefault="00C06678" w:rsidP="007F1A2F">
    <w:pPr>
      <w:pStyle w:val="Encabezado"/>
      <w:jc w:val="center"/>
      <w:rPr>
        <w:rFonts w:ascii="Berylium" w:hAnsi="Berylium"/>
        <w:b/>
        <w:bCs/>
        <w:iCs/>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75.3pt;margin-top:-13.05pt;width:188.25pt;height:62.15pt;z-index:-251658240">
          <v:imagedata r:id="rId1" o:title="Logo CSJ RGB_01"/>
        </v:shape>
      </w:pict>
    </w:r>
  </w:p>
  <w:p w:rsidR="00F33B9B" w:rsidRPr="00743020" w:rsidRDefault="00F33B9B" w:rsidP="007F1A2F">
    <w:pPr>
      <w:pStyle w:val="Encabezado"/>
      <w:jc w:val="center"/>
      <w:rPr>
        <w:rFonts w:ascii="Berylium" w:hAnsi="Berylium"/>
        <w:b/>
        <w:bCs/>
        <w:iCs/>
        <w:sz w:val="22"/>
        <w:szCs w:val="22"/>
      </w:rPr>
    </w:pPr>
    <w:r w:rsidRPr="00743020">
      <w:rPr>
        <w:rFonts w:ascii="Berylium" w:hAnsi="Berylium"/>
        <w:b/>
        <w:bCs/>
        <w:iCs/>
        <w:sz w:val="22"/>
        <w:szCs w:val="22"/>
      </w:rPr>
      <w:t>Consejo Superior de la Judicatura</w:t>
    </w:r>
  </w:p>
  <w:p w:rsidR="00B12D28" w:rsidRDefault="001C4F74" w:rsidP="009C373E">
    <w:pPr>
      <w:pStyle w:val="Encabezado"/>
      <w:tabs>
        <w:tab w:val="clear" w:pos="4252"/>
        <w:tab w:val="clear" w:pos="8504"/>
      </w:tabs>
      <w:jc w:val="center"/>
      <w:rPr>
        <w:rFonts w:ascii="Berylium" w:hAnsi="Berylium"/>
        <w:b/>
        <w:bCs/>
        <w:iCs/>
        <w:sz w:val="22"/>
        <w:szCs w:val="22"/>
      </w:rPr>
    </w:pPr>
    <w:r w:rsidRPr="00743020">
      <w:rPr>
        <w:rFonts w:ascii="Berylium" w:hAnsi="Berylium"/>
        <w:b/>
        <w:bCs/>
        <w:iCs/>
        <w:sz w:val="22"/>
        <w:szCs w:val="22"/>
      </w:rPr>
      <w:t xml:space="preserve">Consejo Seccional de </w:t>
    </w:r>
    <w:smartTag w:uri="urn:schemas-microsoft-com:office:smarttags" w:element="PersonName">
      <w:smartTagPr>
        <w:attr w:name="ProductID" w:val="la Judicatura"/>
      </w:smartTagPr>
      <w:r w:rsidRPr="00743020">
        <w:rPr>
          <w:rFonts w:ascii="Berylium" w:hAnsi="Berylium"/>
          <w:b/>
          <w:bCs/>
          <w:iCs/>
          <w:sz w:val="22"/>
          <w:szCs w:val="22"/>
        </w:rPr>
        <w:t>la Judicatura</w:t>
      </w:r>
    </w:smartTag>
    <w:r w:rsidRPr="00743020">
      <w:rPr>
        <w:rFonts w:ascii="Berylium" w:hAnsi="Berylium"/>
        <w:b/>
        <w:bCs/>
        <w:iCs/>
        <w:sz w:val="22"/>
        <w:szCs w:val="22"/>
      </w:rPr>
      <w:t xml:space="preserve"> de</w:t>
    </w:r>
    <w:r w:rsidR="00415632" w:rsidRPr="00743020">
      <w:rPr>
        <w:rFonts w:ascii="Berylium" w:hAnsi="Berylium"/>
        <w:b/>
        <w:bCs/>
        <w:iCs/>
        <w:sz w:val="22"/>
        <w:szCs w:val="22"/>
      </w:rPr>
      <w:t xml:space="preserve"> Bolívar</w:t>
    </w:r>
  </w:p>
  <w:p w:rsidR="00364DA1" w:rsidRPr="009C373E" w:rsidRDefault="00364DA1" w:rsidP="009C373E">
    <w:pPr>
      <w:pStyle w:val="Encabezado"/>
      <w:tabs>
        <w:tab w:val="clear" w:pos="4252"/>
        <w:tab w:val="clear" w:pos="8504"/>
      </w:tabs>
      <w:jc w:val="center"/>
      <w:rPr>
        <w:rFonts w:ascii="Berylium" w:hAnsi="Berylium"/>
        <w:b/>
        <w:bCs/>
        <w:iCs/>
        <w:sz w:val="22"/>
        <w:szCs w:val="22"/>
      </w:rPr>
    </w:pPr>
    <w:r>
      <w:rPr>
        <w:rFonts w:ascii="Berylium" w:hAnsi="Berylium"/>
        <w:b/>
        <w:bCs/>
        <w:iCs/>
        <w:sz w:val="22"/>
        <w:szCs w:val="22"/>
      </w:rPr>
      <w:t>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ECF"/>
    <w:rsid w:val="00000461"/>
    <w:rsid w:val="000037F0"/>
    <w:rsid w:val="00010325"/>
    <w:rsid w:val="00027BB1"/>
    <w:rsid w:val="00030104"/>
    <w:rsid w:val="000622AE"/>
    <w:rsid w:val="00072E4C"/>
    <w:rsid w:val="00075C11"/>
    <w:rsid w:val="000A5B91"/>
    <w:rsid w:val="000B78B8"/>
    <w:rsid w:val="000D234C"/>
    <w:rsid w:val="000D6FCF"/>
    <w:rsid w:val="000E1C7F"/>
    <w:rsid w:val="000F747F"/>
    <w:rsid w:val="0010104F"/>
    <w:rsid w:val="001107B7"/>
    <w:rsid w:val="00115930"/>
    <w:rsid w:val="00150742"/>
    <w:rsid w:val="00160111"/>
    <w:rsid w:val="0017289D"/>
    <w:rsid w:val="00193F78"/>
    <w:rsid w:val="001C17DE"/>
    <w:rsid w:val="001C4A47"/>
    <w:rsid w:val="001C4F74"/>
    <w:rsid w:val="001E2E1A"/>
    <w:rsid w:val="001F771D"/>
    <w:rsid w:val="0020436A"/>
    <w:rsid w:val="002067BB"/>
    <w:rsid w:val="00231BB4"/>
    <w:rsid w:val="00233F2B"/>
    <w:rsid w:val="00236279"/>
    <w:rsid w:val="00252F6B"/>
    <w:rsid w:val="00254F44"/>
    <w:rsid w:val="002646C6"/>
    <w:rsid w:val="00267EF6"/>
    <w:rsid w:val="00272D2C"/>
    <w:rsid w:val="00272F6E"/>
    <w:rsid w:val="00284B77"/>
    <w:rsid w:val="002C4033"/>
    <w:rsid w:val="002E4BE9"/>
    <w:rsid w:val="002E4D7F"/>
    <w:rsid w:val="00341A26"/>
    <w:rsid w:val="00354655"/>
    <w:rsid w:val="00356985"/>
    <w:rsid w:val="00356B95"/>
    <w:rsid w:val="00364DA1"/>
    <w:rsid w:val="003A1F00"/>
    <w:rsid w:val="003A415E"/>
    <w:rsid w:val="003B3AB4"/>
    <w:rsid w:val="003C763A"/>
    <w:rsid w:val="003D7279"/>
    <w:rsid w:val="003F7580"/>
    <w:rsid w:val="00407A74"/>
    <w:rsid w:val="00415632"/>
    <w:rsid w:val="004247F7"/>
    <w:rsid w:val="00430C93"/>
    <w:rsid w:val="00434DD8"/>
    <w:rsid w:val="00467320"/>
    <w:rsid w:val="0048348F"/>
    <w:rsid w:val="0048611E"/>
    <w:rsid w:val="004A77ED"/>
    <w:rsid w:val="004D0E7C"/>
    <w:rsid w:val="004F133F"/>
    <w:rsid w:val="00503A11"/>
    <w:rsid w:val="00531DC9"/>
    <w:rsid w:val="005379FB"/>
    <w:rsid w:val="00550113"/>
    <w:rsid w:val="0056705B"/>
    <w:rsid w:val="0059052A"/>
    <w:rsid w:val="00593F19"/>
    <w:rsid w:val="005979F2"/>
    <w:rsid w:val="005B6E33"/>
    <w:rsid w:val="005C0C36"/>
    <w:rsid w:val="005D107B"/>
    <w:rsid w:val="005D76B2"/>
    <w:rsid w:val="005E0745"/>
    <w:rsid w:val="00661EDD"/>
    <w:rsid w:val="00673253"/>
    <w:rsid w:val="00674136"/>
    <w:rsid w:val="006A160B"/>
    <w:rsid w:val="006E20EA"/>
    <w:rsid w:val="006E3F45"/>
    <w:rsid w:val="00701E7B"/>
    <w:rsid w:val="00717C18"/>
    <w:rsid w:val="00725110"/>
    <w:rsid w:val="0073370F"/>
    <w:rsid w:val="00743020"/>
    <w:rsid w:val="007530A7"/>
    <w:rsid w:val="00770F6C"/>
    <w:rsid w:val="00772AAD"/>
    <w:rsid w:val="00781CEE"/>
    <w:rsid w:val="00783CAD"/>
    <w:rsid w:val="007A4FC8"/>
    <w:rsid w:val="007A62ED"/>
    <w:rsid w:val="007A7C4D"/>
    <w:rsid w:val="007B11B2"/>
    <w:rsid w:val="007C3C10"/>
    <w:rsid w:val="007C6531"/>
    <w:rsid w:val="007E142A"/>
    <w:rsid w:val="007E3D61"/>
    <w:rsid w:val="007F1A2F"/>
    <w:rsid w:val="00866952"/>
    <w:rsid w:val="00872977"/>
    <w:rsid w:val="008909E4"/>
    <w:rsid w:val="008E1EDB"/>
    <w:rsid w:val="008F3FF1"/>
    <w:rsid w:val="009211DD"/>
    <w:rsid w:val="00945FCA"/>
    <w:rsid w:val="00952950"/>
    <w:rsid w:val="00967602"/>
    <w:rsid w:val="00983824"/>
    <w:rsid w:val="009859A3"/>
    <w:rsid w:val="009867A2"/>
    <w:rsid w:val="009C373E"/>
    <w:rsid w:val="009D5873"/>
    <w:rsid w:val="009E32BB"/>
    <w:rsid w:val="009F55DF"/>
    <w:rsid w:val="00A0504A"/>
    <w:rsid w:val="00A052C6"/>
    <w:rsid w:val="00A333C9"/>
    <w:rsid w:val="00A35AC0"/>
    <w:rsid w:val="00A41C4D"/>
    <w:rsid w:val="00A546D7"/>
    <w:rsid w:val="00A60F6C"/>
    <w:rsid w:val="00A93FE3"/>
    <w:rsid w:val="00AB055F"/>
    <w:rsid w:val="00AC1A84"/>
    <w:rsid w:val="00AE54BA"/>
    <w:rsid w:val="00B05FFF"/>
    <w:rsid w:val="00B12D28"/>
    <w:rsid w:val="00B512A7"/>
    <w:rsid w:val="00B6455C"/>
    <w:rsid w:val="00B8192D"/>
    <w:rsid w:val="00B9346D"/>
    <w:rsid w:val="00BA3643"/>
    <w:rsid w:val="00BC30BC"/>
    <w:rsid w:val="00BC54A6"/>
    <w:rsid w:val="00BD06A1"/>
    <w:rsid w:val="00C02925"/>
    <w:rsid w:val="00C06678"/>
    <w:rsid w:val="00C449F2"/>
    <w:rsid w:val="00C56FE3"/>
    <w:rsid w:val="00CA61E8"/>
    <w:rsid w:val="00CB5F4C"/>
    <w:rsid w:val="00CD3F0D"/>
    <w:rsid w:val="00D13D10"/>
    <w:rsid w:val="00D2095F"/>
    <w:rsid w:val="00D26DBB"/>
    <w:rsid w:val="00D337CD"/>
    <w:rsid w:val="00D34746"/>
    <w:rsid w:val="00D35CC1"/>
    <w:rsid w:val="00D6647A"/>
    <w:rsid w:val="00DA53E8"/>
    <w:rsid w:val="00DD6596"/>
    <w:rsid w:val="00DE2E9E"/>
    <w:rsid w:val="00E1264B"/>
    <w:rsid w:val="00E302DD"/>
    <w:rsid w:val="00E31638"/>
    <w:rsid w:val="00E35CD0"/>
    <w:rsid w:val="00E44620"/>
    <w:rsid w:val="00E47C0A"/>
    <w:rsid w:val="00E618E7"/>
    <w:rsid w:val="00E74FD1"/>
    <w:rsid w:val="00EF0ECF"/>
    <w:rsid w:val="00EF1600"/>
    <w:rsid w:val="00EF7619"/>
    <w:rsid w:val="00F07DCB"/>
    <w:rsid w:val="00F10175"/>
    <w:rsid w:val="00F33B9B"/>
    <w:rsid w:val="00F3576B"/>
    <w:rsid w:val="00F461D1"/>
    <w:rsid w:val="00F57EE7"/>
    <w:rsid w:val="00F66045"/>
    <w:rsid w:val="00F762CD"/>
    <w:rsid w:val="00FD06DB"/>
    <w:rsid w:val="00FE0A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customStyle="1" w:styleId="EncabezadoCar">
    <w:name w:val="Encabezado Car"/>
    <w:aliases w:val="Header Bold Car,h Car,TENDER Car,*Header Car,*Header1 Car,*Header2 Car,*Header3 Car"/>
    <w:link w:val="Encabezado"/>
    <w:rsid w:val="00F33B9B"/>
    <w:rPr>
      <w:sz w:val="24"/>
      <w:szCs w:val="24"/>
    </w:rPr>
  </w:style>
  <w:style w:type="character" w:styleId="Hipervnculo">
    <w:name w:val="Hyperlink"/>
    <w:rsid w:val="00FE0AA7"/>
    <w:rPr>
      <w:color w:val="0000FF"/>
      <w:u w:val="single"/>
    </w:rPr>
  </w:style>
  <w:style w:type="paragraph" w:styleId="Textoindependiente">
    <w:name w:val="Body Text"/>
    <w:basedOn w:val="Normal"/>
    <w:link w:val="TextoindependienteCar"/>
    <w:rsid w:val="007F1A2F"/>
    <w:pPr>
      <w:jc w:val="both"/>
    </w:pPr>
    <w:rPr>
      <w:rFonts w:ascii="Arial" w:hAnsi="Arial" w:cs="Arial"/>
    </w:rPr>
  </w:style>
  <w:style w:type="character" w:customStyle="1" w:styleId="TextoindependienteCar">
    <w:name w:val="Texto independiente Car"/>
    <w:link w:val="Textoindependiente"/>
    <w:rsid w:val="007F1A2F"/>
    <w:rPr>
      <w:rFonts w:ascii="Arial" w:hAnsi="Arial" w:cs="Arial"/>
      <w:sz w:val="24"/>
      <w:szCs w:val="24"/>
    </w:rPr>
  </w:style>
  <w:style w:type="paragraph" w:styleId="Textonotapie">
    <w:name w:val="footnote text"/>
    <w:basedOn w:val="Normal"/>
    <w:link w:val="TextonotapieCar"/>
    <w:rsid w:val="007C3C10"/>
    <w:rPr>
      <w:sz w:val="20"/>
      <w:szCs w:val="20"/>
    </w:rPr>
  </w:style>
  <w:style w:type="character" w:customStyle="1" w:styleId="TextonotapieCar">
    <w:name w:val="Texto nota pie Car"/>
    <w:link w:val="Textonotapie"/>
    <w:rsid w:val="007C3C10"/>
    <w:rPr>
      <w:lang w:val="es-ES" w:eastAsia="es-ES"/>
    </w:rPr>
  </w:style>
  <w:style w:type="character" w:styleId="Refdenotaalpie">
    <w:name w:val="footnote reference"/>
    <w:rsid w:val="007C3C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169042">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20360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amajudicial.gov.co"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1787</Words>
  <Characters>9834</Characters>
  <Application>Microsoft Office Word</Application>
  <DocSecurity>4</DocSecurity>
  <Lines>81</Lines>
  <Paragraphs>23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11598</CharactersWithSpaces>
  <SharedDoc>false</SharedDoc>
  <HLinks>
    <vt:vector size="18" baseType="variant">
      <vt:variant>
        <vt:i4>3670075</vt:i4>
      </vt:variant>
      <vt:variant>
        <vt:i4>0</vt:i4>
      </vt:variant>
      <vt:variant>
        <vt:i4>0</vt:i4>
      </vt:variant>
      <vt:variant>
        <vt:i4>5</vt:i4>
      </vt:variant>
      <vt:variant>
        <vt:lpwstr>http://www.ramajudicial.gov.co/</vt:lpwstr>
      </vt:variant>
      <vt:variant>
        <vt:lpwstr/>
      </vt: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consejo superior</cp:lastModifiedBy>
  <cp:revision>2</cp:revision>
  <dcterms:created xsi:type="dcterms:W3CDTF">2020-03-13T16:55:00Z</dcterms:created>
  <dcterms:modified xsi:type="dcterms:W3CDTF">2020-03-13T16:55:00Z</dcterms:modified>
</cp:coreProperties>
</file>