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682" w:rsidRPr="008B65A7" w:rsidRDefault="00C35A9A">
      <w:pPr>
        <w:jc w:val="both"/>
        <w:rPr>
          <w:rFonts w:ascii="Arial" w:hAnsi="Arial" w:cs="Arial"/>
          <w:b/>
          <w:sz w:val="22"/>
          <w:szCs w:val="22"/>
          <w:lang w:val="es-CO"/>
        </w:rPr>
      </w:pPr>
      <w:bookmarkStart w:id="0" w:name="_GoBack"/>
      <w:bookmarkEnd w:id="0"/>
      <w:r>
        <w:rPr>
          <w:rFonts w:ascii="Arial" w:hAnsi="Arial" w:cs="Arial"/>
          <w:b/>
          <w:sz w:val="22"/>
          <w:szCs w:val="22"/>
          <w:lang w:val="es-CO"/>
        </w:rPr>
        <w:t>UDAEO19-1241</w:t>
      </w:r>
    </w:p>
    <w:p w:rsidR="004B0682" w:rsidRPr="00584F81" w:rsidRDefault="004B0682">
      <w:pPr>
        <w:rPr>
          <w:rFonts w:ascii="Arial" w:hAnsi="Arial" w:cs="Arial"/>
          <w:sz w:val="22"/>
          <w:szCs w:val="22"/>
          <w:lang w:val="es-CO"/>
        </w:rPr>
      </w:pPr>
    </w:p>
    <w:p w:rsidR="004B0682" w:rsidRPr="00584F81" w:rsidRDefault="004B0682">
      <w:pPr>
        <w:jc w:val="both"/>
        <w:rPr>
          <w:rFonts w:ascii="Arial" w:hAnsi="Arial" w:cs="Arial"/>
          <w:sz w:val="22"/>
          <w:szCs w:val="22"/>
          <w:lang w:val="es-CO"/>
        </w:rPr>
      </w:pPr>
      <w:r w:rsidRPr="00584F81">
        <w:rPr>
          <w:rFonts w:ascii="Arial" w:hAnsi="Arial" w:cs="Arial"/>
          <w:sz w:val="22"/>
          <w:szCs w:val="22"/>
          <w:lang w:val="es-CO"/>
        </w:rPr>
        <w:t>Bogotá, D.</w:t>
      </w:r>
      <w:r w:rsidR="00EC59FB" w:rsidRPr="00584F81">
        <w:rPr>
          <w:rFonts w:ascii="Arial" w:hAnsi="Arial" w:cs="Arial"/>
          <w:sz w:val="22"/>
          <w:szCs w:val="22"/>
          <w:lang w:val="es-CO"/>
        </w:rPr>
        <w:t xml:space="preserve"> </w:t>
      </w:r>
      <w:r w:rsidRPr="00584F81">
        <w:rPr>
          <w:rFonts w:ascii="Arial" w:hAnsi="Arial" w:cs="Arial"/>
          <w:sz w:val="22"/>
          <w:szCs w:val="22"/>
          <w:lang w:val="es-CO"/>
        </w:rPr>
        <w:t xml:space="preserve">C., </w:t>
      </w:r>
      <w:r w:rsidR="00C35A9A">
        <w:rPr>
          <w:rFonts w:ascii="Arial" w:hAnsi="Arial" w:cs="Arial"/>
          <w:sz w:val="22"/>
          <w:szCs w:val="22"/>
          <w:lang w:val="es-CO"/>
        </w:rPr>
        <w:t>19 de junio de 2019</w:t>
      </w:r>
    </w:p>
    <w:p w:rsidR="00C8247A" w:rsidRPr="00584F81" w:rsidRDefault="00C8247A">
      <w:pPr>
        <w:jc w:val="both"/>
        <w:rPr>
          <w:rFonts w:ascii="Arial" w:hAnsi="Arial" w:cs="Arial"/>
          <w:sz w:val="22"/>
          <w:szCs w:val="22"/>
          <w:lang w:val="es-CO"/>
        </w:rPr>
      </w:pPr>
    </w:p>
    <w:p w:rsidR="002E1A62" w:rsidRPr="006F48C3" w:rsidRDefault="002E1A62" w:rsidP="002E1A62">
      <w:pPr>
        <w:rPr>
          <w:rFonts w:ascii="Arial" w:hAnsi="Arial" w:cs="Arial"/>
          <w:sz w:val="22"/>
          <w:szCs w:val="22"/>
        </w:rPr>
      </w:pPr>
      <w:r>
        <w:rPr>
          <w:rFonts w:ascii="Arial" w:hAnsi="Arial" w:cs="Arial"/>
          <w:sz w:val="22"/>
          <w:szCs w:val="22"/>
        </w:rPr>
        <w:t>Doctora</w:t>
      </w:r>
    </w:p>
    <w:p w:rsidR="002E1A62" w:rsidRDefault="00855411" w:rsidP="002E1A62">
      <w:pPr>
        <w:rPr>
          <w:rFonts w:ascii="Arial" w:hAnsi="Arial" w:cs="Arial"/>
          <w:b/>
          <w:sz w:val="22"/>
          <w:szCs w:val="22"/>
        </w:rPr>
      </w:pPr>
      <w:r>
        <w:rPr>
          <w:rFonts w:ascii="Arial" w:hAnsi="Arial" w:cs="Arial"/>
          <w:b/>
          <w:sz w:val="22"/>
          <w:szCs w:val="22"/>
        </w:rPr>
        <w:t>JEANNETH NARANJO MARTÍ</w:t>
      </w:r>
      <w:r w:rsidR="002E1A62">
        <w:rPr>
          <w:rFonts w:ascii="Arial" w:hAnsi="Arial" w:cs="Arial"/>
          <w:b/>
          <w:sz w:val="22"/>
          <w:szCs w:val="22"/>
        </w:rPr>
        <w:t>NEZ</w:t>
      </w:r>
    </w:p>
    <w:p w:rsidR="002E1A62" w:rsidRDefault="002E1A62" w:rsidP="002E1A62">
      <w:pPr>
        <w:jc w:val="both"/>
        <w:rPr>
          <w:rFonts w:ascii="Arial" w:hAnsi="Arial" w:cs="Arial"/>
          <w:sz w:val="22"/>
          <w:szCs w:val="22"/>
        </w:rPr>
      </w:pPr>
      <w:r>
        <w:rPr>
          <w:rFonts w:ascii="Arial" w:hAnsi="Arial" w:cs="Arial"/>
          <w:sz w:val="22"/>
          <w:szCs w:val="22"/>
        </w:rPr>
        <w:t>Presidente</w:t>
      </w:r>
      <w:r w:rsidR="008B65A7">
        <w:rPr>
          <w:rFonts w:ascii="Arial" w:hAnsi="Arial" w:cs="Arial"/>
          <w:sz w:val="22"/>
          <w:szCs w:val="22"/>
        </w:rPr>
        <w:t xml:space="preserve"> </w:t>
      </w:r>
      <w:r>
        <w:rPr>
          <w:rFonts w:ascii="Arial" w:hAnsi="Arial" w:cs="Arial"/>
          <w:sz w:val="22"/>
          <w:szCs w:val="22"/>
        </w:rPr>
        <w:t>Consejo Seccional de la Judicatura de Bogotá</w:t>
      </w:r>
    </w:p>
    <w:p w:rsidR="002E1A62" w:rsidRDefault="002E1A62" w:rsidP="002E1A62">
      <w:pPr>
        <w:jc w:val="both"/>
        <w:rPr>
          <w:rFonts w:ascii="Arial" w:hAnsi="Arial" w:cs="Arial"/>
          <w:sz w:val="22"/>
          <w:szCs w:val="22"/>
        </w:rPr>
      </w:pPr>
      <w:r>
        <w:rPr>
          <w:rFonts w:ascii="Arial" w:hAnsi="Arial" w:cs="Arial"/>
          <w:sz w:val="22"/>
          <w:szCs w:val="22"/>
        </w:rPr>
        <w:t>Ciudad</w:t>
      </w:r>
    </w:p>
    <w:p w:rsidR="002E1A62" w:rsidRDefault="002E1A62" w:rsidP="002E1A62">
      <w:pPr>
        <w:jc w:val="both"/>
        <w:rPr>
          <w:rFonts w:ascii="Arial" w:hAnsi="Arial" w:cs="Arial"/>
          <w:sz w:val="22"/>
          <w:szCs w:val="22"/>
        </w:rPr>
      </w:pPr>
    </w:p>
    <w:p w:rsidR="002E1A62" w:rsidRPr="000E6FC0" w:rsidRDefault="002E1A62" w:rsidP="002E1A62">
      <w:pPr>
        <w:jc w:val="both"/>
        <w:rPr>
          <w:rFonts w:ascii="Arial" w:hAnsi="Arial" w:cs="Arial"/>
          <w:sz w:val="22"/>
          <w:szCs w:val="22"/>
          <w:lang w:val="es-CO"/>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E84484">
        <w:rPr>
          <w:rFonts w:ascii="Arial" w:hAnsi="Arial" w:cs="Arial"/>
          <w:sz w:val="22"/>
          <w:szCs w:val="22"/>
          <w:lang w:val="es-CO"/>
        </w:rPr>
        <w:t xml:space="preserve">Asunto: </w:t>
      </w:r>
      <w:r w:rsidRPr="000E6FC0">
        <w:rPr>
          <w:rFonts w:ascii="Arial" w:hAnsi="Arial" w:cs="Arial"/>
          <w:sz w:val="22"/>
          <w:szCs w:val="22"/>
          <w:lang w:val="es-CO"/>
        </w:rPr>
        <w:t>“</w:t>
      </w:r>
      <w:r w:rsidRPr="000E6FC0">
        <w:rPr>
          <w:rFonts w:ascii="Arial" w:hAnsi="Arial" w:cs="Arial"/>
          <w:i/>
          <w:sz w:val="22"/>
          <w:szCs w:val="22"/>
          <w:lang w:val="es-CO"/>
        </w:rPr>
        <w:t xml:space="preserve">Solicitud información cantidad de sentencias para </w:t>
      </w:r>
      <w:r w:rsidRPr="000E6FC0">
        <w:rPr>
          <w:rFonts w:ascii="Arial" w:hAnsi="Arial" w:cs="Arial"/>
          <w:i/>
          <w:sz w:val="22"/>
          <w:szCs w:val="22"/>
          <w:lang w:val="es-CO"/>
        </w:rPr>
        <w:tab/>
      </w:r>
      <w:r w:rsidRPr="000E6FC0">
        <w:rPr>
          <w:rFonts w:ascii="Arial" w:hAnsi="Arial" w:cs="Arial"/>
          <w:i/>
          <w:sz w:val="22"/>
          <w:szCs w:val="22"/>
          <w:lang w:val="es-CO"/>
        </w:rPr>
        <w:tab/>
      </w:r>
      <w:r w:rsidRPr="000E6FC0">
        <w:rPr>
          <w:rFonts w:ascii="Arial" w:hAnsi="Arial" w:cs="Arial"/>
          <w:i/>
          <w:sz w:val="22"/>
          <w:szCs w:val="22"/>
          <w:lang w:val="es-CO"/>
        </w:rPr>
        <w:tab/>
      </w:r>
      <w:r w:rsidRPr="000E6FC0">
        <w:rPr>
          <w:rFonts w:ascii="Arial" w:hAnsi="Arial" w:cs="Arial"/>
          <w:i/>
          <w:sz w:val="22"/>
          <w:szCs w:val="22"/>
          <w:lang w:val="es-CO"/>
        </w:rPr>
        <w:tab/>
        <w:t xml:space="preserve">     aplicación del principio de doble conformidad” </w:t>
      </w:r>
    </w:p>
    <w:p w:rsidR="002E1A62" w:rsidRPr="00075147" w:rsidRDefault="002E1A62" w:rsidP="002E1A62">
      <w:pPr>
        <w:ind w:left="4678"/>
        <w:jc w:val="both"/>
        <w:rPr>
          <w:rFonts w:ascii="Arial" w:hAnsi="Arial" w:cs="Arial"/>
          <w:iCs/>
          <w:sz w:val="22"/>
          <w:szCs w:val="22"/>
          <w:lang w:val="es-CO"/>
        </w:rPr>
      </w:pPr>
    </w:p>
    <w:p w:rsidR="002E1A62" w:rsidRDefault="002E1A62" w:rsidP="002E1A62">
      <w:pPr>
        <w:rPr>
          <w:rFonts w:ascii="Arial" w:hAnsi="Arial" w:cs="Arial"/>
          <w:iCs/>
          <w:sz w:val="22"/>
          <w:szCs w:val="22"/>
        </w:rPr>
      </w:pPr>
      <w:r>
        <w:rPr>
          <w:rFonts w:ascii="Arial" w:hAnsi="Arial" w:cs="Arial"/>
          <w:iCs/>
          <w:sz w:val="22"/>
          <w:szCs w:val="22"/>
        </w:rPr>
        <w:t>Respetada doctora Jeanneth:</w:t>
      </w:r>
    </w:p>
    <w:p w:rsidR="002E1A62" w:rsidRDefault="002E1A62" w:rsidP="002E1A62">
      <w:pPr>
        <w:jc w:val="both"/>
        <w:rPr>
          <w:rFonts w:ascii="Arial" w:hAnsi="Arial" w:cs="Arial"/>
          <w:sz w:val="22"/>
          <w:szCs w:val="22"/>
        </w:rPr>
      </w:pPr>
    </w:p>
    <w:p w:rsidR="002E1A62" w:rsidRDefault="002E1A62" w:rsidP="002E1A62">
      <w:pPr>
        <w:pStyle w:val="Default"/>
        <w:jc w:val="both"/>
        <w:rPr>
          <w:sz w:val="22"/>
          <w:szCs w:val="22"/>
        </w:rPr>
      </w:pPr>
      <w:r>
        <w:rPr>
          <w:sz w:val="22"/>
          <w:szCs w:val="22"/>
        </w:rPr>
        <w:t>El Consejo Superior de la Judicatura se encuentra analizando el impacto que puede generar la implementación de la doble instancia, advertida como omisión legislativa por la Corte Constitucional en la sentencia SU217 del 21 de mayo de 2019, en donde se reiteró</w:t>
      </w:r>
      <w:r w:rsidR="00855411">
        <w:rPr>
          <w:sz w:val="22"/>
          <w:szCs w:val="22"/>
        </w:rPr>
        <w:t xml:space="preserve"> </w:t>
      </w:r>
      <w:r w:rsidRPr="0054777B">
        <w:rPr>
          <w:sz w:val="22"/>
          <w:szCs w:val="22"/>
        </w:rPr>
        <w:t xml:space="preserve">el derecho a impugnar la primera condena </w:t>
      </w:r>
      <w:r>
        <w:rPr>
          <w:sz w:val="22"/>
          <w:szCs w:val="22"/>
        </w:rPr>
        <w:t xml:space="preserve">penal </w:t>
      </w:r>
      <w:r w:rsidRPr="0054777B">
        <w:rPr>
          <w:sz w:val="22"/>
          <w:szCs w:val="22"/>
        </w:rPr>
        <w:t>emitida en segunda instancia</w:t>
      </w:r>
      <w:r w:rsidR="00A551FD">
        <w:rPr>
          <w:sz w:val="22"/>
          <w:szCs w:val="22"/>
        </w:rPr>
        <w:t>.</w:t>
      </w:r>
      <w:r>
        <w:rPr>
          <w:sz w:val="22"/>
          <w:szCs w:val="22"/>
        </w:rPr>
        <w:t xml:space="preserve"> </w:t>
      </w:r>
    </w:p>
    <w:p w:rsidR="002E1A62" w:rsidRDefault="002E1A62" w:rsidP="002E1A62">
      <w:pPr>
        <w:pStyle w:val="Default"/>
        <w:jc w:val="both"/>
        <w:rPr>
          <w:sz w:val="22"/>
          <w:szCs w:val="22"/>
        </w:rPr>
      </w:pPr>
    </w:p>
    <w:p w:rsidR="002E1A62" w:rsidRDefault="002E1A62" w:rsidP="002E1A62">
      <w:pPr>
        <w:pStyle w:val="Default"/>
        <w:jc w:val="both"/>
        <w:rPr>
          <w:sz w:val="22"/>
          <w:szCs w:val="22"/>
        </w:rPr>
      </w:pPr>
      <w:r>
        <w:rPr>
          <w:sz w:val="22"/>
          <w:szCs w:val="22"/>
        </w:rPr>
        <w:t xml:space="preserve">Ahora bien, de la lectura de la sentencia de unificación no es claro e identificable el periodo desde el cual debe darse aplicación al principio de doble conformidad, por lo que es posible que para procesos fallados en vigencia de la Ley 600 de 2000, esta figura también sea procedente. </w:t>
      </w:r>
    </w:p>
    <w:p w:rsidR="002E1A62" w:rsidRDefault="002E1A62" w:rsidP="002E1A62">
      <w:pPr>
        <w:pStyle w:val="Default"/>
        <w:jc w:val="both"/>
        <w:rPr>
          <w:sz w:val="22"/>
          <w:szCs w:val="22"/>
        </w:rPr>
      </w:pPr>
    </w:p>
    <w:p w:rsidR="002E1A62" w:rsidRDefault="002E1A62" w:rsidP="002E1A62">
      <w:pPr>
        <w:pStyle w:val="Default"/>
        <w:jc w:val="both"/>
        <w:rPr>
          <w:sz w:val="22"/>
          <w:szCs w:val="22"/>
        </w:rPr>
      </w:pPr>
      <w:r>
        <w:rPr>
          <w:sz w:val="22"/>
          <w:szCs w:val="22"/>
        </w:rPr>
        <w:t xml:space="preserve">Por lo anterior, atentamente me permito solicitar nos informen la cantidad de recursos de apelación resueltos, tanto por tribunales superiores como por juzgados de circuito, contra sentencias absolutorias en </w:t>
      </w:r>
      <w:r>
        <w:rPr>
          <w:sz w:val="22"/>
          <w:szCs w:val="22"/>
        </w:rPr>
        <w:lastRenderedPageBreak/>
        <w:t xml:space="preserve">donde la decisión haya sido la revocatoria de esas </w:t>
      </w:r>
      <w:r w:rsidR="00DD255B">
        <w:rPr>
          <w:sz w:val="22"/>
          <w:szCs w:val="22"/>
        </w:rPr>
        <w:t>providencias</w:t>
      </w:r>
      <w:r>
        <w:rPr>
          <w:sz w:val="22"/>
          <w:szCs w:val="22"/>
        </w:rPr>
        <w:t xml:space="preserve"> y su consecuente imposición de condena, desde el año 2014, identificadas según el sistema procesal de juzgamiento, Ley 600 o Ley 906. </w:t>
      </w:r>
    </w:p>
    <w:p w:rsidR="002E1A62" w:rsidRDefault="002E1A62" w:rsidP="002E1A62">
      <w:pPr>
        <w:pStyle w:val="Default"/>
        <w:jc w:val="both"/>
        <w:rPr>
          <w:sz w:val="22"/>
          <w:szCs w:val="22"/>
        </w:rPr>
      </w:pPr>
    </w:p>
    <w:p w:rsidR="002E1A62" w:rsidRDefault="002E1A62" w:rsidP="002E1A62">
      <w:pPr>
        <w:pStyle w:val="Default"/>
        <w:jc w:val="both"/>
        <w:rPr>
          <w:sz w:val="22"/>
          <w:szCs w:val="22"/>
        </w:rPr>
      </w:pPr>
      <w:r>
        <w:rPr>
          <w:sz w:val="22"/>
          <w:szCs w:val="22"/>
        </w:rPr>
        <w:t xml:space="preserve">Con su valiosa intervención podremos avanzar en la elaboración del diagnóstico de la situación que debería atenderse por cuenta de los despachos judiciales, al aplicar el referido principio constitucional. </w:t>
      </w:r>
    </w:p>
    <w:p w:rsidR="002E1A62" w:rsidRDefault="002E1A62" w:rsidP="002E1A62">
      <w:pPr>
        <w:pStyle w:val="Default"/>
        <w:jc w:val="both"/>
        <w:rPr>
          <w:sz w:val="22"/>
          <w:szCs w:val="22"/>
        </w:rPr>
      </w:pPr>
    </w:p>
    <w:p w:rsidR="002E1A62" w:rsidRDefault="002E1A62" w:rsidP="002E1A62">
      <w:pPr>
        <w:pStyle w:val="Default"/>
        <w:jc w:val="both"/>
        <w:rPr>
          <w:sz w:val="22"/>
          <w:szCs w:val="22"/>
        </w:rPr>
      </w:pPr>
      <w:r>
        <w:rPr>
          <w:sz w:val="22"/>
          <w:szCs w:val="22"/>
        </w:rPr>
        <w:t xml:space="preserve">Agradecemos el envío de la información detallada por despacho judicial, y consolidada por consejo seccional, a más tardar el 28 de junio de 2019, en el formato excel adjunto, al correo electrónico </w:t>
      </w:r>
      <w:hyperlink r:id="rId6" w:history="1">
        <w:r w:rsidRPr="00B82506">
          <w:rPr>
            <w:rStyle w:val="Hipervnculo"/>
            <w:sz w:val="22"/>
            <w:szCs w:val="22"/>
          </w:rPr>
          <w:t>udae@cendoj.ramajudicial.gov.co</w:t>
        </w:r>
      </w:hyperlink>
      <w:r>
        <w:rPr>
          <w:rStyle w:val="Hipervnculo"/>
          <w:sz w:val="22"/>
          <w:szCs w:val="22"/>
        </w:rPr>
        <w:t xml:space="preserve">. </w:t>
      </w:r>
    </w:p>
    <w:p w:rsidR="004B0682" w:rsidRPr="00584F81" w:rsidRDefault="004B0682">
      <w:pPr>
        <w:jc w:val="both"/>
        <w:rPr>
          <w:rFonts w:ascii="Arial" w:hAnsi="Arial" w:cs="Arial"/>
          <w:sz w:val="22"/>
          <w:szCs w:val="22"/>
          <w:lang w:val="es-CO"/>
        </w:rPr>
      </w:pPr>
    </w:p>
    <w:p w:rsidR="004B0682" w:rsidRPr="00584F81" w:rsidRDefault="004B0682">
      <w:pPr>
        <w:jc w:val="both"/>
        <w:rPr>
          <w:rFonts w:ascii="Arial" w:hAnsi="Arial" w:cs="Arial"/>
          <w:sz w:val="22"/>
          <w:szCs w:val="22"/>
          <w:lang w:val="es-CO"/>
        </w:rPr>
      </w:pPr>
      <w:r w:rsidRPr="00584F81">
        <w:rPr>
          <w:rFonts w:ascii="Arial" w:hAnsi="Arial" w:cs="Arial"/>
          <w:sz w:val="22"/>
          <w:szCs w:val="22"/>
          <w:lang w:val="es-CO"/>
        </w:rPr>
        <w:t>Cordialmente,</w:t>
      </w:r>
    </w:p>
    <w:p w:rsidR="004261AD" w:rsidRDefault="00512BB8" w:rsidP="004261AD">
      <w:pPr>
        <w:jc w:val="both"/>
        <w:rPr>
          <w:rFonts w:ascii="Arial" w:hAnsi="Arial" w:cs="Arial"/>
          <w:sz w:val="22"/>
          <w:szCs w:val="22"/>
          <w:lang w:val="es-CO"/>
        </w:rPr>
      </w:pPr>
      <w:r>
        <w:rPr>
          <w:rFonts w:ascii="Arial" w:hAnsi="Arial" w:cs="Arial"/>
          <w:noProof/>
          <w:sz w:val="22"/>
          <w:szCs w:val="22"/>
        </w:rPr>
        <w:drawing>
          <wp:inline distT="0" distB="0" distL="0" distR="0">
            <wp:extent cx="1457325" cy="647700"/>
            <wp:effectExtent l="0" t="0" r="9525" b="0"/>
            <wp:docPr id="1" name="Imagen 1" descr="Arch_0000010DAB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_0000010DAB9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647700"/>
                    </a:xfrm>
                    <a:prstGeom prst="rect">
                      <a:avLst/>
                    </a:prstGeom>
                    <a:noFill/>
                    <a:ln>
                      <a:noFill/>
                    </a:ln>
                  </pic:spPr>
                </pic:pic>
              </a:graphicData>
            </a:graphic>
          </wp:inline>
        </w:drawing>
      </w:r>
    </w:p>
    <w:p w:rsidR="004B0682" w:rsidRPr="00584F81" w:rsidRDefault="00C14855" w:rsidP="00EC59FB">
      <w:pPr>
        <w:pStyle w:val="Ttulo5"/>
        <w:jc w:val="left"/>
        <w:rPr>
          <w:rFonts w:ascii="Arial" w:hAnsi="Arial" w:cs="Arial"/>
          <w:caps/>
          <w:sz w:val="22"/>
          <w:szCs w:val="22"/>
        </w:rPr>
      </w:pPr>
      <w:r>
        <w:rPr>
          <w:rFonts w:ascii="Arial" w:hAnsi="Arial" w:cs="Arial"/>
          <w:caps/>
          <w:sz w:val="22"/>
          <w:szCs w:val="22"/>
        </w:rPr>
        <w:t>CLARA MILENA</w:t>
      </w:r>
      <w:r w:rsidR="004B0682" w:rsidRPr="00584F81">
        <w:rPr>
          <w:rFonts w:ascii="Arial" w:hAnsi="Arial" w:cs="Arial"/>
          <w:caps/>
          <w:sz w:val="22"/>
          <w:szCs w:val="22"/>
        </w:rPr>
        <w:t xml:space="preserve"> </w:t>
      </w:r>
      <w:r w:rsidR="00855411">
        <w:rPr>
          <w:rFonts w:ascii="Arial" w:hAnsi="Arial" w:cs="Arial"/>
          <w:caps/>
          <w:sz w:val="22"/>
          <w:szCs w:val="22"/>
        </w:rPr>
        <w:t>HIGUERA GUÍ</w:t>
      </w:r>
      <w:r>
        <w:rPr>
          <w:rFonts w:ascii="Arial" w:hAnsi="Arial" w:cs="Arial"/>
          <w:caps/>
          <w:sz w:val="22"/>
          <w:szCs w:val="22"/>
        </w:rPr>
        <w:t>O</w:t>
      </w:r>
    </w:p>
    <w:p w:rsidR="004B0682" w:rsidRPr="00584F81" w:rsidRDefault="00C14855" w:rsidP="00EC59FB">
      <w:pPr>
        <w:rPr>
          <w:rFonts w:ascii="Arial" w:hAnsi="Arial" w:cs="Arial"/>
          <w:sz w:val="22"/>
          <w:szCs w:val="22"/>
          <w:lang w:val="es-CO"/>
        </w:rPr>
      </w:pPr>
      <w:r>
        <w:rPr>
          <w:rFonts w:ascii="Arial" w:hAnsi="Arial" w:cs="Arial"/>
          <w:sz w:val="22"/>
          <w:szCs w:val="22"/>
          <w:lang w:val="es-CO"/>
        </w:rPr>
        <w:t>Directora (E)</w:t>
      </w:r>
    </w:p>
    <w:p w:rsidR="004B0682" w:rsidRPr="00584F81" w:rsidRDefault="004B0682">
      <w:pPr>
        <w:jc w:val="center"/>
        <w:rPr>
          <w:rFonts w:ascii="Arial" w:hAnsi="Arial" w:cs="Arial"/>
          <w:lang w:val="es-CO"/>
        </w:rPr>
      </w:pPr>
    </w:p>
    <w:p w:rsidR="002E1A62" w:rsidRDefault="002E1A62" w:rsidP="002E1A62">
      <w:pPr>
        <w:pStyle w:val="Default"/>
        <w:rPr>
          <w:sz w:val="16"/>
          <w:szCs w:val="16"/>
        </w:rPr>
      </w:pPr>
      <w:r>
        <w:rPr>
          <w:sz w:val="16"/>
          <w:szCs w:val="16"/>
        </w:rPr>
        <w:t xml:space="preserve">Anexo: Lo enunciado </w:t>
      </w:r>
    </w:p>
    <w:p w:rsidR="004B0682" w:rsidRPr="009D2FC7" w:rsidRDefault="002E1A62" w:rsidP="002E1A62">
      <w:pPr>
        <w:pStyle w:val="Default"/>
      </w:pPr>
      <w:r w:rsidRPr="00CA525E">
        <w:rPr>
          <w:sz w:val="16"/>
          <w:szCs w:val="16"/>
        </w:rPr>
        <w:t>JOMG</w:t>
      </w:r>
    </w:p>
    <w:sectPr w:rsidR="004B0682" w:rsidRPr="009D2FC7" w:rsidSect="00774A8A">
      <w:headerReference w:type="default" r:id="rId8"/>
      <w:footerReference w:type="default" r:id="rId9"/>
      <w:headerReference w:type="first" r:id="rId10"/>
      <w:footerReference w:type="first" r:id="rId11"/>
      <w:pgSz w:w="12242" w:h="15842" w:code="1"/>
      <w:pgMar w:top="1701" w:right="1701" w:bottom="1701" w:left="1701" w:header="709" w:footer="10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FCB" w:rsidRDefault="00DC5FCB">
      <w:r>
        <w:separator/>
      </w:r>
    </w:p>
  </w:endnote>
  <w:endnote w:type="continuationSeparator" w:id="0">
    <w:p w:rsidR="00DC5FCB" w:rsidRDefault="00DC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EE" w:rsidRPr="00A85BE6" w:rsidRDefault="003073EE" w:rsidP="003073EE">
    <w:pPr>
      <w:pStyle w:val="Piedepgina"/>
      <w:rPr>
        <w:b/>
        <w:i/>
      </w:rPr>
    </w:pPr>
  </w:p>
  <w:p w:rsidR="003073EE" w:rsidRPr="00895839" w:rsidRDefault="003073EE" w:rsidP="00895839">
    <w:pPr>
      <w:pStyle w:val="Encabezado"/>
      <w:jc w:val="center"/>
      <w:rPr>
        <w:rFonts w:ascii="Berylium" w:hAnsi="Berylium"/>
        <w:bCs/>
        <w:iCs/>
        <w:sz w:val="22"/>
        <w:szCs w:val="22"/>
      </w:rPr>
    </w:pPr>
    <w:r w:rsidRPr="00895839">
      <w:rPr>
        <w:rFonts w:ascii="Berylium" w:hAnsi="Berylium"/>
        <w:bCs/>
        <w:iCs/>
        <w:sz w:val="22"/>
        <w:szCs w:val="22"/>
      </w:rPr>
      <w:t>Calle 12 No. 7 - 65   Conmutador - 2 841945    www.ramajudicial.gov.co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3EE" w:rsidRPr="00895839" w:rsidRDefault="00512BB8" w:rsidP="008C365C">
    <w:pPr>
      <w:pStyle w:val="Piedepgina"/>
      <w:rPr>
        <w:rFonts w:ascii="Berylium" w:hAnsi="Berylium"/>
        <w:bCs/>
        <w:iCs/>
        <w:sz w:val="22"/>
        <w:szCs w:val="22"/>
      </w:rPr>
    </w:pPr>
    <w:r>
      <w:rPr>
        <w:noProof/>
      </w:rPr>
      <w:drawing>
        <wp:anchor distT="0" distB="0" distL="114300" distR="114300" simplePos="0" relativeHeight="251657216" behindDoc="0" locked="0" layoutInCell="1" allowOverlap="1">
          <wp:simplePos x="0" y="0"/>
          <wp:positionH relativeFrom="column">
            <wp:posOffset>4429760</wp:posOffset>
          </wp:positionH>
          <wp:positionV relativeFrom="paragraph">
            <wp:posOffset>-220980</wp:posOffset>
          </wp:positionV>
          <wp:extent cx="1585595" cy="92011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920115"/>
                  </a:xfrm>
                  <a:prstGeom prst="rect">
                    <a:avLst/>
                  </a:prstGeom>
                  <a:noFill/>
                </pic:spPr>
              </pic:pic>
            </a:graphicData>
          </a:graphic>
          <wp14:sizeRelH relativeFrom="page">
            <wp14:pctWidth>0</wp14:pctWidth>
          </wp14:sizeRelH>
          <wp14:sizeRelV relativeFrom="page">
            <wp14:pctHeight>0</wp14:pctHeight>
          </wp14:sizeRelV>
        </wp:anchor>
      </w:drawing>
    </w:r>
    <w:r w:rsidR="008C365C" w:rsidRPr="00895839">
      <w:rPr>
        <w:rFonts w:ascii="Berylium" w:hAnsi="Berylium"/>
        <w:bCs/>
        <w:iCs/>
        <w:sz w:val="22"/>
        <w:szCs w:val="22"/>
      </w:rPr>
      <w:t>Calle 12 No. 7 - 65   Conmutador - 2 841945    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FCB" w:rsidRDefault="00DC5FCB">
      <w:r>
        <w:separator/>
      </w:r>
    </w:p>
  </w:footnote>
  <w:footnote w:type="continuationSeparator" w:id="0">
    <w:p w:rsidR="00DC5FCB" w:rsidRDefault="00DC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27B" w:rsidRDefault="003073EE" w:rsidP="004C727B">
    <w:pPr>
      <w:pStyle w:val="Encabezado"/>
      <w:rPr>
        <w:rFonts w:ascii="Berylium" w:hAnsi="Berylium"/>
        <w:sz w:val="22"/>
        <w:szCs w:val="22"/>
      </w:rPr>
    </w:pPr>
    <w:r w:rsidRPr="00895839">
      <w:rPr>
        <w:rFonts w:ascii="Berylium" w:hAnsi="Berylium"/>
        <w:bCs/>
        <w:iCs/>
        <w:sz w:val="22"/>
        <w:szCs w:val="22"/>
      </w:rPr>
      <w:t xml:space="preserve">Hoja No. </w:t>
    </w:r>
    <w:r w:rsidRPr="00895839">
      <w:rPr>
        <w:rFonts w:ascii="Berylium" w:hAnsi="Berylium"/>
        <w:bCs/>
        <w:iCs/>
        <w:sz w:val="22"/>
        <w:szCs w:val="22"/>
      </w:rPr>
      <w:fldChar w:fldCharType="begin"/>
    </w:r>
    <w:r w:rsidRPr="00895839">
      <w:rPr>
        <w:rFonts w:ascii="Berylium" w:hAnsi="Berylium"/>
        <w:bCs/>
        <w:iCs/>
        <w:sz w:val="22"/>
        <w:szCs w:val="22"/>
      </w:rPr>
      <w:instrText xml:space="preserve"> PAGE </w:instrText>
    </w:r>
    <w:r w:rsidRPr="00895839">
      <w:rPr>
        <w:rFonts w:ascii="Berylium" w:hAnsi="Berylium"/>
        <w:bCs/>
        <w:iCs/>
        <w:sz w:val="22"/>
        <w:szCs w:val="22"/>
      </w:rPr>
      <w:fldChar w:fldCharType="separate"/>
    </w:r>
    <w:r w:rsidR="002E1A62">
      <w:rPr>
        <w:rFonts w:ascii="Berylium" w:hAnsi="Berylium"/>
        <w:bCs/>
        <w:iCs/>
        <w:noProof/>
        <w:sz w:val="22"/>
        <w:szCs w:val="22"/>
      </w:rPr>
      <w:t>2</w:t>
    </w:r>
    <w:r w:rsidRPr="00895839">
      <w:rPr>
        <w:rFonts w:ascii="Berylium" w:hAnsi="Berylium"/>
        <w:bCs/>
        <w:iCs/>
        <w:sz w:val="22"/>
        <w:szCs w:val="22"/>
      </w:rPr>
      <w:fldChar w:fldCharType="end"/>
    </w:r>
    <w:r w:rsidR="004C727B">
      <w:rPr>
        <w:rFonts w:ascii="Berylium" w:hAnsi="Berylium"/>
        <w:bCs/>
        <w:iCs/>
        <w:sz w:val="22"/>
        <w:szCs w:val="22"/>
      </w:rPr>
      <w:t xml:space="preserve"> </w:t>
    </w:r>
    <w:r w:rsidR="004C727B">
      <w:rPr>
        <w:rFonts w:ascii="Berylium" w:hAnsi="Berylium"/>
        <w:sz w:val="22"/>
        <w:szCs w:val="22"/>
      </w:rPr>
      <w:t xml:space="preserve">Oficio  </w:t>
    </w:r>
    <w:r w:rsidR="00C35A9A">
      <w:rPr>
        <w:rFonts w:ascii="Berylium" w:hAnsi="Berylium" w:cs="Arial"/>
        <w:sz w:val="22"/>
        <w:szCs w:val="22"/>
        <w:lang w:val="es-CO"/>
      </w:rPr>
      <w:t>UDAEO19-1241</w:t>
    </w:r>
  </w:p>
  <w:p w:rsidR="004B0682" w:rsidRPr="00895839" w:rsidRDefault="004B0682" w:rsidP="003073EE">
    <w:pPr>
      <w:pStyle w:val="Encabezado"/>
      <w:rPr>
        <w:rFonts w:ascii="Berylium" w:hAnsi="Berylium"/>
        <w:bCs/>
        <w:i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61" w:rsidRPr="00A96AB0" w:rsidRDefault="00512BB8" w:rsidP="006C5661">
    <w:pPr>
      <w:pStyle w:val="Encabezado"/>
      <w:jc w:val="center"/>
      <w:rPr>
        <w:rFonts w:ascii="Berylium" w:hAnsi="Berylium"/>
        <w:b/>
        <w:bCs/>
        <w:iCs/>
        <w:sz w:val="22"/>
        <w:szCs w:val="22"/>
      </w:rPr>
    </w:pPr>
    <w:r>
      <w:rPr>
        <w:rFonts w:ascii="Berylium" w:hAnsi="Berylium"/>
        <w:b/>
        <w:bCs/>
        <w:iCs/>
        <w:noProof/>
        <w:sz w:val="22"/>
        <w:szCs w:val="22"/>
      </w:rPr>
      <w:drawing>
        <wp:anchor distT="0" distB="0" distL="114300" distR="114300" simplePos="0" relativeHeight="251658240" behindDoc="1" locked="0" layoutInCell="1" allowOverlap="1">
          <wp:simplePos x="0" y="0"/>
          <wp:positionH relativeFrom="column">
            <wp:posOffset>-851535</wp:posOffset>
          </wp:positionH>
          <wp:positionV relativeFrom="paragraph">
            <wp:posOffset>-427355</wp:posOffset>
          </wp:positionV>
          <wp:extent cx="2390775" cy="789305"/>
          <wp:effectExtent l="0" t="0" r="9525" b="0"/>
          <wp:wrapNone/>
          <wp:docPr id="20" name="Imagen 2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C5661" w:rsidRPr="00A96AB0">
      <w:rPr>
        <w:rFonts w:ascii="Berylium" w:hAnsi="Berylium"/>
        <w:b/>
        <w:bCs/>
        <w:iCs/>
        <w:sz w:val="22"/>
        <w:szCs w:val="22"/>
      </w:rPr>
      <w:t>Consejo Superior de la Judicatura</w:t>
    </w:r>
  </w:p>
  <w:p w:rsidR="006C5661" w:rsidRPr="00A96AB0" w:rsidRDefault="006C5661" w:rsidP="006C5661">
    <w:pPr>
      <w:pStyle w:val="Encabezado"/>
      <w:rPr>
        <w:rFonts w:ascii="Berylium" w:hAnsi="Berylium"/>
        <w:b/>
        <w:sz w:val="22"/>
        <w:szCs w:val="22"/>
      </w:rPr>
    </w:pPr>
    <w:r w:rsidRPr="00A96AB0">
      <w:rPr>
        <w:b/>
        <w:sz w:val="22"/>
        <w:szCs w:val="22"/>
      </w:rPr>
      <w:tab/>
    </w:r>
    <w:r w:rsidRPr="00A96AB0">
      <w:rPr>
        <w:rFonts w:ascii="Berylium" w:hAnsi="Berylium"/>
        <w:b/>
        <w:bCs/>
        <w:iCs/>
        <w:sz w:val="22"/>
        <w:szCs w:val="22"/>
      </w:rPr>
      <w:t>Unidad de Desarrollo y Análisis Estadístico</w:t>
    </w:r>
  </w:p>
  <w:p w:rsidR="003073EE" w:rsidRDefault="003073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EE"/>
    <w:rsid w:val="0001199E"/>
    <w:rsid w:val="0006278C"/>
    <w:rsid w:val="000A2288"/>
    <w:rsid w:val="000F5ABB"/>
    <w:rsid w:val="00112DB0"/>
    <w:rsid w:val="001625A7"/>
    <w:rsid w:val="001D03FA"/>
    <w:rsid w:val="002A3CF0"/>
    <w:rsid w:val="002B408C"/>
    <w:rsid w:val="002E1A62"/>
    <w:rsid w:val="003073EE"/>
    <w:rsid w:val="00330BE6"/>
    <w:rsid w:val="004261AD"/>
    <w:rsid w:val="004B0682"/>
    <w:rsid w:val="004C727B"/>
    <w:rsid w:val="00512353"/>
    <w:rsid w:val="00512BB8"/>
    <w:rsid w:val="00557A4A"/>
    <w:rsid w:val="00584F81"/>
    <w:rsid w:val="00591975"/>
    <w:rsid w:val="00684E36"/>
    <w:rsid w:val="006860C7"/>
    <w:rsid w:val="006A0403"/>
    <w:rsid w:val="006B6F37"/>
    <w:rsid w:val="006B7D8E"/>
    <w:rsid w:val="006C5661"/>
    <w:rsid w:val="006C6118"/>
    <w:rsid w:val="007152E5"/>
    <w:rsid w:val="0074478D"/>
    <w:rsid w:val="00774A8A"/>
    <w:rsid w:val="00794B5B"/>
    <w:rsid w:val="007D323A"/>
    <w:rsid w:val="00840AFC"/>
    <w:rsid w:val="00855411"/>
    <w:rsid w:val="00895839"/>
    <w:rsid w:val="008B65A7"/>
    <w:rsid w:val="008C365C"/>
    <w:rsid w:val="00947C8B"/>
    <w:rsid w:val="009D2FC7"/>
    <w:rsid w:val="00A02103"/>
    <w:rsid w:val="00A3730B"/>
    <w:rsid w:val="00A551FD"/>
    <w:rsid w:val="00A96AB0"/>
    <w:rsid w:val="00AB1280"/>
    <w:rsid w:val="00AE0238"/>
    <w:rsid w:val="00C14855"/>
    <w:rsid w:val="00C35A9A"/>
    <w:rsid w:val="00C447B5"/>
    <w:rsid w:val="00C45946"/>
    <w:rsid w:val="00C8247A"/>
    <w:rsid w:val="00C96577"/>
    <w:rsid w:val="00CB120B"/>
    <w:rsid w:val="00DA77D7"/>
    <w:rsid w:val="00DB4660"/>
    <w:rsid w:val="00DC5FCB"/>
    <w:rsid w:val="00DD255B"/>
    <w:rsid w:val="00E211DC"/>
    <w:rsid w:val="00E47440"/>
    <w:rsid w:val="00E70226"/>
    <w:rsid w:val="00EC59FB"/>
    <w:rsid w:val="00EE2AA9"/>
    <w:rsid w:val="00EE2D68"/>
    <w:rsid w:val="00F21D1F"/>
    <w:rsid w:val="00FE5A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5:chartTrackingRefBased/>
  <w15:docId w15:val="{0411A544-7C2F-43FD-9FBF-15EB47D2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rsid w:val="003073EE"/>
  </w:style>
  <w:style w:type="character" w:customStyle="1" w:styleId="EncabezadoCar">
    <w:name w:val="Encabezado Car"/>
    <w:link w:val="Encabezado"/>
    <w:rsid w:val="00774A8A"/>
    <w:rPr>
      <w:sz w:val="24"/>
      <w:szCs w:val="24"/>
      <w:lang w:val="es-ES" w:eastAsia="es-ES"/>
    </w:rPr>
  </w:style>
  <w:style w:type="paragraph" w:customStyle="1" w:styleId="Default">
    <w:name w:val="Default"/>
    <w:rsid w:val="002E1A62"/>
    <w:pPr>
      <w:autoSpaceDE w:val="0"/>
      <w:autoSpaceDN w:val="0"/>
      <w:adjustRightInd w:val="0"/>
    </w:pPr>
    <w:rPr>
      <w:rFonts w:ascii="Arial" w:hAnsi="Arial" w:cs="Arial"/>
      <w:color w:val="000000"/>
      <w:sz w:val="24"/>
      <w:szCs w:val="24"/>
    </w:rPr>
  </w:style>
  <w:style w:type="character" w:styleId="Hipervnculo">
    <w:name w:val="Hyperlink"/>
    <w:rsid w:val="002E1A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dae@cendoj.ramajudicial.gov.co"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1924</CharactersWithSpaces>
  <SharedDoc>false</SharedDoc>
  <HLinks>
    <vt:vector size="6" baseType="variant">
      <vt:variant>
        <vt:i4>5111916</vt:i4>
      </vt:variant>
      <vt:variant>
        <vt:i4>0</vt:i4>
      </vt:variant>
      <vt:variant>
        <vt:i4>0</vt:i4>
      </vt:variant>
      <vt:variant>
        <vt:i4>5</vt:i4>
      </vt:variant>
      <vt:variant>
        <vt:lpwstr>mailto:udae@cendoj.ramajudicial.gov.co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Adriana Marcela Romero Hermosilla</cp:lastModifiedBy>
  <cp:revision>2</cp:revision>
  <dcterms:created xsi:type="dcterms:W3CDTF">2019-06-27T14:59:00Z</dcterms:created>
  <dcterms:modified xsi:type="dcterms:W3CDTF">2019-06-27T14:59:00Z</dcterms:modified>
</cp:coreProperties>
</file>