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FFEBD" w14:textId="77777777" w:rsidR="00DB5A3F" w:rsidRDefault="00DB5A3F" w:rsidP="00DB5A3F">
      <w:pPr>
        <w:jc w:val="center"/>
        <w:rPr>
          <w:lang w:val="es-CO"/>
        </w:rPr>
      </w:pPr>
    </w:p>
    <w:p w14:paraId="20AC5727" w14:textId="77777777" w:rsidR="00AC50DF" w:rsidRPr="007341B6" w:rsidRDefault="00AC50DF" w:rsidP="00DB5A3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51534B">
        <w:rPr>
          <w:rFonts w:ascii="Arial" w:hAnsi="Arial" w:cs="Arial"/>
          <w:sz w:val="22"/>
          <w:szCs w:val="22"/>
          <w:lang w:val="es-CO"/>
        </w:rPr>
        <w:t>CSJANTA20-9</w:t>
      </w:r>
    </w:p>
    <w:p w14:paraId="0E983961" w14:textId="77777777" w:rsidR="00AC50DF" w:rsidRPr="007341B6" w:rsidRDefault="0051534B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14 de enero de 2020</w:t>
      </w:r>
    </w:p>
    <w:p w14:paraId="00DDF949" w14:textId="77777777" w:rsidR="00AC50DF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EB11E17" w14:textId="77777777" w:rsidR="00DB5A3F" w:rsidRPr="007341B6" w:rsidRDefault="00DB5A3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4BDC3784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“Por medio de la cual se conforma lista de candidatos para proveer cargos </w:t>
      </w:r>
      <w:r>
        <w:rPr>
          <w:rFonts w:ascii="Arial" w:hAnsi="Arial" w:cs="Arial"/>
          <w:i/>
          <w:sz w:val="22"/>
          <w:szCs w:val="22"/>
          <w:lang w:val="es-CO"/>
        </w:rPr>
        <w:t>TECNICO EN SISTEMAS GRADO 11 en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 la Rama Judicial Seccional Antioquia – Convocatoria 3”</w:t>
      </w:r>
    </w:p>
    <w:p w14:paraId="5A4A9C1E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  <w:bookmarkStart w:id="2" w:name="_Hlk533595353"/>
    </w:p>
    <w:p w14:paraId="7B540A94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6226CE3E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5C311BE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ordinaria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bookmarkStart w:id="3" w:name="_Hlk177867"/>
      <w:r>
        <w:rPr>
          <w:rFonts w:ascii="Arial" w:hAnsi="Arial" w:cs="Arial"/>
          <w:sz w:val="22"/>
          <w:szCs w:val="22"/>
          <w:lang w:val="es-CO"/>
        </w:rPr>
        <w:t>52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treinta (30) de diciembre de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dos mil </w:t>
      </w:r>
      <w:r>
        <w:rPr>
          <w:rFonts w:ascii="Arial" w:hAnsi="Arial" w:cs="Arial"/>
          <w:sz w:val="22"/>
          <w:szCs w:val="22"/>
          <w:lang w:val="es-CO"/>
        </w:rPr>
        <w:t>diecinueve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(201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). </w:t>
      </w:r>
    </w:p>
    <w:p w14:paraId="278C6B1C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bookmarkEnd w:id="3"/>
    <w:p w14:paraId="50F5D6C8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023D86AF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0D649AC1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bookmarkEnd w:id="2"/>
    <w:p w14:paraId="679193E9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6E45285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>
        <w:rPr>
          <w:rFonts w:ascii="Arial" w:hAnsi="Arial" w:cs="Arial"/>
          <w:i/>
          <w:sz w:val="22"/>
          <w:szCs w:val="22"/>
          <w:lang w:val="es-CO"/>
        </w:rPr>
        <w:t>TECNICO EN SISTEMAS GRADO 11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103EA258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DE6BE45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4" w:name="_Hlk533595377"/>
      <w:r w:rsidRPr="00701883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 entre los días </w:t>
      </w:r>
      <w:r>
        <w:rPr>
          <w:rFonts w:ascii="Arial" w:hAnsi="Arial" w:cs="Arial"/>
          <w:sz w:val="22"/>
          <w:szCs w:val="22"/>
          <w:lang w:val="es-CO"/>
        </w:rPr>
        <w:t>02 al 06 de diciembre de 2019</w:t>
      </w:r>
      <w:r w:rsidRPr="00701883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 para ese cargo optaran por las sedes de su interés</w:t>
      </w:r>
      <w:bookmarkEnd w:id="4"/>
      <w:r w:rsidRPr="00701883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281E2EAA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8F1022E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Para las vacantes de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 </w:t>
      </w:r>
      <w:r>
        <w:rPr>
          <w:rFonts w:ascii="Arial" w:hAnsi="Arial" w:cs="Arial"/>
          <w:i/>
          <w:sz w:val="22"/>
          <w:szCs w:val="22"/>
          <w:lang w:val="es-CO"/>
        </w:rPr>
        <w:t>TECNICO EN SISTEMAS GRADO 11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40ED710F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029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1842"/>
        <w:gridCol w:w="1361"/>
        <w:gridCol w:w="1638"/>
        <w:gridCol w:w="1595"/>
        <w:gridCol w:w="1595"/>
      </w:tblGrid>
      <w:tr w:rsidR="00DB5A3F" w:rsidRPr="006C0A31" w14:paraId="059FDF09" w14:textId="77777777" w:rsidTr="00C4734E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17D3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EF84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66A27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33C9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2C9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89EC5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DB5A3F" w:rsidRPr="006C0A31" w14:paraId="40E77AA4" w14:textId="77777777" w:rsidTr="00C4734E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0C39" w14:textId="77777777" w:rsidR="00DB5A3F" w:rsidRPr="00EB400B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TRIBUNAL ADMINISTRATIVO ANTIOQUIA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CA23" w14:textId="77777777" w:rsidR="00DB5A3F" w:rsidRPr="00EB400B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07BFA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43.631.291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08CC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GLORIA LUCIA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784A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JIMENEZ HENAO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8439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715.43</w:t>
            </w:r>
          </w:p>
        </w:tc>
      </w:tr>
    </w:tbl>
    <w:p w14:paraId="0B58A9B1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372A30C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FE5E298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7132B5E3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178A90B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lastRenderedPageBreak/>
        <w:t>ACUERDA</w:t>
      </w:r>
    </w:p>
    <w:p w14:paraId="4CF9F445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C1CDCC6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de </w:t>
      </w:r>
      <w:r>
        <w:rPr>
          <w:rFonts w:ascii="Arial" w:hAnsi="Arial" w:cs="Arial"/>
          <w:i/>
          <w:sz w:val="22"/>
          <w:szCs w:val="22"/>
          <w:lang w:val="es-CO"/>
        </w:rPr>
        <w:t>TECNICO EN SISTEMAS GRADO 11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6A4E6C5F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029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1842"/>
        <w:gridCol w:w="1361"/>
        <w:gridCol w:w="1638"/>
        <w:gridCol w:w="1595"/>
        <w:gridCol w:w="1595"/>
      </w:tblGrid>
      <w:tr w:rsidR="00DB5A3F" w:rsidRPr="006C0A31" w14:paraId="1A92AB1B" w14:textId="77777777" w:rsidTr="00C4734E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6D8C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896B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FCDD9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E0F7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31E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0A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F295D" w14:textId="77777777" w:rsidR="00DB5A3F" w:rsidRPr="006C0A31" w:rsidRDefault="00DB5A3F" w:rsidP="00C473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DB5A3F" w:rsidRPr="006C0A31" w14:paraId="73FB2124" w14:textId="77777777" w:rsidTr="00C4734E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7E1" w14:textId="77777777" w:rsidR="00DB5A3F" w:rsidRPr="00EB400B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TRIBUNAL ADMINISTRATIVO ANTIOQUIA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57A4" w14:textId="77777777" w:rsidR="00DB5A3F" w:rsidRPr="00EB400B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4EB32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43.631.291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B4FB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GLORIA LUCIA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D687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JIMENEZ HENAO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8CE9D" w14:textId="77777777" w:rsidR="00DB5A3F" w:rsidRDefault="00DB5A3F" w:rsidP="00C473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715.43</w:t>
            </w:r>
          </w:p>
        </w:tc>
      </w:tr>
    </w:tbl>
    <w:p w14:paraId="0433668E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2F20E75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B21732C" w14:textId="77777777" w:rsidR="00DB5A3F" w:rsidRPr="00701883" w:rsidRDefault="00DB5A3F" w:rsidP="00DB5A3F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2D4C4291" w14:textId="77777777" w:rsidR="00DB5A3F" w:rsidRPr="00701883" w:rsidRDefault="00DB5A3F" w:rsidP="00DB5A3F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1A27783" w14:textId="77777777" w:rsidR="00DB5A3F" w:rsidRPr="00701883" w:rsidRDefault="00DB5A3F" w:rsidP="00DB5A3F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30CFB754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BB8EA15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FF8F5ED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3CFF7E2F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09898EF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92FC3B7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8743AD7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E023182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532152E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D634E18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bookmarkStart w:id="5" w:name="_Hlk177902"/>
      <w:r>
        <w:rPr>
          <w:rFonts w:ascii="Arial" w:hAnsi="Arial" w:cs="Arial"/>
          <w:b/>
          <w:sz w:val="22"/>
          <w:szCs w:val="22"/>
          <w:lang w:val="es-CO"/>
        </w:rPr>
        <w:t>FRANCISCO RAFAEL ARCIERI SALDARRIAGA</w:t>
      </w:r>
    </w:p>
    <w:p w14:paraId="55B7B407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</w:t>
      </w:r>
      <w:r w:rsidRPr="00701883">
        <w:rPr>
          <w:rFonts w:ascii="Arial" w:hAnsi="Arial" w:cs="Arial"/>
          <w:sz w:val="22"/>
          <w:szCs w:val="22"/>
          <w:lang w:val="es-CO"/>
        </w:rPr>
        <w:t>residente</w:t>
      </w:r>
    </w:p>
    <w:p w14:paraId="03824B0F" w14:textId="77777777" w:rsidR="00DB5A3F" w:rsidRPr="00701883" w:rsidRDefault="00DB5A3F" w:rsidP="00DB5A3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bookmarkEnd w:id="5"/>
    <w:p w14:paraId="3886421C" w14:textId="77777777" w:rsidR="00DB5A3F" w:rsidRDefault="00DB5A3F" w:rsidP="00DB5A3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"/>
        </w:rPr>
      </w:pPr>
      <w:r w:rsidRPr="00EB400B">
        <w:rPr>
          <w:rFonts w:ascii="Arial" w:hAnsi="Arial" w:cs="Arial"/>
          <w:sz w:val="16"/>
          <w:szCs w:val="16"/>
          <w:lang w:val="es"/>
        </w:rPr>
        <w:t>FRAS</w:t>
      </w:r>
      <w:bookmarkEnd w:id="1"/>
      <w:r w:rsidRPr="00EB400B">
        <w:rPr>
          <w:rFonts w:ascii="Arial" w:hAnsi="Arial" w:cs="Arial"/>
          <w:sz w:val="16"/>
          <w:szCs w:val="16"/>
          <w:lang w:val="es"/>
        </w:rPr>
        <w:t>/LIGC</w:t>
      </w:r>
    </w:p>
    <w:p w14:paraId="11A306D7" w14:textId="77777777" w:rsidR="00DB5A3F" w:rsidRPr="00EB400B" w:rsidRDefault="00DB5A3F" w:rsidP="00DB5A3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"/>
        </w:rPr>
        <w:t>EXTCSJANT19-9110</w:t>
      </w:r>
    </w:p>
    <w:p w14:paraId="364A1157" w14:textId="77777777" w:rsidR="00DB5A3F" w:rsidRPr="007341B6" w:rsidRDefault="00DB5A3F" w:rsidP="00DB5A3F">
      <w:pPr>
        <w:jc w:val="center"/>
        <w:rPr>
          <w:rFonts w:ascii="Arial" w:hAnsi="Arial" w:cs="Arial"/>
          <w:lang w:val="es-CO"/>
        </w:rPr>
      </w:pPr>
    </w:p>
    <w:p w14:paraId="52880907" w14:textId="77777777" w:rsidR="00DA2DB1" w:rsidRPr="007341B6" w:rsidRDefault="00DA2DB1" w:rsidP="00DB5A3F">
      <w:pPr>
        <w:jc w:val="center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8E4AB" w14:textId="77777777" w:rsidR="003A61DD" w:rsidRDefault="003A61DD">
      <w:r>
        <w:separator/>
      </w:r>
    </w:p>
  </w:endnote>
  <w:endnote w:type="continuationSeparator" w:id="0">
    <w:p w14:paraId="0DF53F44" w14:textId="77777777" w:rsidR="003A61DD" w:rsidRDefault="003A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FDAC6" w14:textId="3339C20A" w:rsidR="00DB5A3F" w:rsidRDefault="00D85911" w:rsidP="00DB5A3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0ACD761" wp14:editId="5C4DE43C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A3F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DB5A3F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DB5A3F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DB5A3F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78E8BA8A" w14:textId="77777777" w:rsidR="00DB5A3F" w:rsidRPr="008B5ADA" w:rsidRDefault="00DB5A3F" w:rsidP="00DB5A3F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134938EC" w14:textId="77777777" w:rsidR="00EB57BB" w:rsidRPr="00DB5A3F" w:rsidRDefault="00EB57BB" w:rsidP="00DB5A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81C1" w14:textId="3140916C" w:rsidR="008304DD" w:rsidRDefault="00D85911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053ABC5B" wp14:editId="089AAF37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00FECDD1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61DE9" w14:textId="77777777" w:rsidR="003A61DD" w:rsidRDefault="003A61DD">
      <w:r>
        <w:separator/>
      </w:r>
    </w:p>
  </w:footnote>
  <w:footnote w:type="continuationSeparator" w:id="0">
    <w:p w14:paraId="0271B089" w14:textId="77777777" w:rsidR="003A61DD" w:rsidRDefault="003A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0D040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D85911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6132129F" w14:textId="77777777" w:rsidR="00EB57BB" w:rsidRDefault="00EB57BB" w:rsidP="002F6D48">
    <w:pPr>
      <w:pStyle w:val="Encabezado"/>
    </w:pPr>
  </w:p>
  <w:p w14:paraId="590142D7" w14:textId="3F05B3EF" w:rsidR="00DB5A3F" w:rsidRPr="008B5ADA" w:rsidRDefault="00D85911" w:rsidP="00DB5A3F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565AB3B4" wp14:editId="72338F19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A3F">
      <w:rPr>
        <w:rFonts w:ascii="Berylium" w:hAnsi="Berylium"/>
        <w:bCs/>
        <w:iCs/>
        <w:sz w:val="22"/>
        <w:szCs w:val="22"/>
      </w:rPr>
      <w:t>C</w:t>
    </w:r>
    <w:r w:rsidR="00DB5A3F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DB5A3F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06E0D38" w14:textId="77777777" w:rsidR="00DB5A3F" w:rsidRPr="008B5ADA" w:rsidRDefault="00DB5A3F" w:rsidP="00DB5A3F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38FDF263" w14:textId="77777777" w:rsidR="00DB5A3F" w:rsidRPr="002F6D48" w:rsidRDefault="00DB5A3F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69B39" w14:textId="00FDB824" w:rsidR="006A1E4D" w:rsidRPr="008B5ADA" w:rsidRDefault="00D85911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31CFA005" wp14:editId="071D100F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393DA95B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0D96E51F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D22F5"/>
    <w:rsid w:val="00201E6C"/>
    <w:rsid w:val="0021036F"/>
    <w:rsid w:val="00210A25"/>
    <w:rsid w:val="0024764D"/>
    <w:rsid w:val="002B2ADA"/>
    <w:rsid w:val="002E21FC"/>
    <w:rsid w:val="002F6D48"/>
    <w:rsid w:val="00302972"/>
    <w:rsid w:val="00321910"/>
    <w:rsid w:val="00333FBC"/>
    <w:rsid w:val="00365D50"/>
    <w:rsid w:val="003A375E"/>
    <w:rsid w:val="003A61DD"/>
    <w:rsid w:val="003B7A6A"/>
    <w:rsid w:val="003D0559"/>
    <w:rsid w:val="003D7B78"/>
    <w:rsid w:val="003E1C1C"/>
    <w:rsid w:val="0047231F"/>
    <w:rsid w:val="004766AE"/>
    <w:rsid w:val="004C2684"/>
    <w:rsid w:val="004D1C96"/>
    <w:rsid w:val="004D216F"/>
    <w:rsid w:val="004E24BB"/>
    <w:rsid w:val="0051534B"/>
    <w:rsid w:val="00550E43"/>
    <w:rsid w:val="005652CD"/>
    <w:rsid w:val="0057767D"/>
    <w:rsid w:val="005A442C"/>
    <w:rsid w:val="005D3F86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C2EC7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B45C5"/>
    <w:rsid w:val="00BD451D"/>
    <w:rsid w:val="00BF3C11"/>
    <w:rsid w:val="00C045CB"/>
    <w:rsid w:val="00C4734E"/>
    <w:rsid w:val="00C67BB9"/>
    <w:rsid w:val="00CC1F2C"/>
    <w:rsid w:val="00D11EAC"/>
    <w:rsid w:val="00D162A6"/>
    <w:rsid w:val="00D5705C"/>
    <w:rsid w:val="00D61962"/>
    <w:rsid w:val="00D62DCA"/>
    <w:rsid w:val="00D85911"/>
    <w:rsid w:val="00DA2DB1"/>
    <w:rsid w:val="00DB5A3F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A403DD9"/>
  <w15:chartTrackingRefBased/>
  <w15:docId w15:val="{3E4BB478-C25A-4EDC-A6D3-3957B6FD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77B8-83F7-46BA-A9E4-558DC50BA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12610-595F-4BC3-9460-7F57B2664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DA437-A959-48A7-9CE1-86224CEF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2020-05-13T21:35:00Z</dcterms:created>
  <dcterms:modified xsi:type="dcterms:W3CDTF">2020-05-13T21:35:00Z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