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7A0D">
      <w:pPr>
        <w:pStyle w:val="Acuerdo"/>
      </w:pPr>
      <w:r>
        <w:t>ACUERDO N</w:t>
      </w:r>
      <w:r>
        <w:t>o.</w:t>
      </w:r>
      <w:r>
        <w:t xml:space="preserve"> PSAA06-3697 </w:t>
      </w:r>
      <w:r>
        <w:t>DE 2006</w:t>
      </w:r>
    </w:p>
    <w:p w:rsidR="00000000" w:rsidRDefault="00DA7A0D">
      <w:pPr>
        <w:pStyle w:val="Comuniquese"/>
      </w:pPr>
      <w:r>
        <w:t>(</w:t>
      </w:r>
      <w:r>
        <w:t>N</w:t>
      </w:r>
      <w:r>
        <w:t>oviembre 7)</w:t>
      </w:r>
    </w:p>
    <w:p w:rsidR="00000000" w:rsidRDefault="00DA7A0D">
      <w:pPr>
        <w:jc w:val="center"/>
        <w:rPr>
          <w:rFonts w:cs="Arial"/>
        </w:rPr>
      </w:pPr>
    </w:p>
    <w:p w:rsidR="00000000" w:rsidRDefault="00DA7A0D">
      <w:pPr>
        <w:tabs>
          <w:tab w:val="left" w:pos="4111"/>
          <w:tab w:val="left" w:pos="7380"/>
        </w:tabs>
        <w:jc w:val="center"/>
        <w:rPr>
          <w:rFonts w:cs="Arial"/>
        </w:rPr>
      </w:pPr>
      <w:r>
        <w:rPr>
          <w:rFonts w:cs="Arial"/>
        </w:rPr>
        <w:t>“Por el cual se modifica el Artículo 5º del Acuerdo 3461 de 2006 y se crean Unidades Judiciales para días de vacancia judicial en el Distrito Judicial de Antioquia para el Sistema Acusatorio Penal.”</w:t>
      </w:r>
    </w:p>
    <w:p w:rsidR="00000000" w:rsidRDefault="00DA7A0D">
      <w:pPr>
        <w:jc w:val="center"/>
        <w:rPr>
          <w:rFonts w:cs="Arial"/>
        </w:rPr>
      </w:pPr>
    </w:p>
    <w:p w:rsidR="00000000" w:rsidRDefault="00DA7A0D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LA S</w:t>
      </w:r>
      <w:r>
        <w:rPr>
          <w:rFonts w:eastAsia="MS Mincho" w:cs="Arial"/>
          <w:b/>
        </w:rPr>
        <w:t>ALA ADMINISTRATIVA DEL</w:t>
      </w:r>
    </w:p>
    <w:p w:rsidR="00000000" w:rsidRDefault="00DA7A0D">
      <w:pPr>
        <w:jc w:val="center"/>
        <w:rPr>
          <w:rFonts w:eastAsia="MS Mincho" w:cs="Arial"/>
          <w:b/>
        </w:rPr>
      </w:pPr>
      <w:r>
        <w:rPr>
          <w:rFonts w:eastAsia="MS Mincho" w:cs="Arial"/>
          <w:b/>
        </w:rPr>
        <w:t>CONSEJO SUPERIOR DE LA JUDICATURA</w:t>
      </w:r>
    </w:p>
    <w:p w:rsidR="00000000" w:rsidRDefault="00DA7A0D">
      <w:pPr>
        <w:jc w:val="center"/>
        <w:rPr>
          <w:rFonts w:cs="Arial"/>
          <w:b/>
        </w:rPr>
      </w:pPr>
    </w:p>
    <w:p w:rsidR="00000000" w:rsidRDefault="00DA7A0D">
      <w:pPr>
        <w:rPr>
          <w:rFonts w:cs="Arial"/>
        </w:rPr>
      </w:pPr>
      <w:r>
        <w:rPr>
          <w:rFonts w:cs="Arial"/>
        </w:rPr>
        <w:t xml:space="preserve">En ejercicio de sus facultades constitucionales y legales, en especial las señaladas en el Artículo 89 de la Ley 270 de 1996 y en los Artículos 39 y 43 de la Ley 906 de 2004, y de conformidad con </w:t>
      </w:r>
      <w:r>
        <w:rPr>
          <w:rFonts w:cs="Arial"/>
        </w:rPr>
        <w:t>lo aprobado en la sesión de la Sala Administrativa del 1º de noviembre de 2006,</w:t>
      </w:r>
    </w:p>
    <w:p w:rsidR="00000000" w:rsidRDefault="00DA7A0D">
      <w:pPr>
        <w:rPr>
          <w:rFonts w:cs="Arial"/>
          <w:b/>
        </w:rPr>
      </w:pPr>
    </w:p>
    <w:p w:rsidR="00000000" w:rsidRDefault="00DA7A0D">
      <w:pPr>
        <w:jc w:val="center"/>
        <w:rPr>
          <w:rFonts w:cs="Arial"/>
          <w:b/>
        </w:rPr>
      </w:pPr>
      <w:r>
        <w:rPr>
          <w:rFonts w:cs="Arial"/>
          <w:b/>
        </w:rPr>
        <w:t>ACUERDA</w:t>
      </w:r>
    </w:p>
    <w:p w:rsidR="00000000" w:rsidRDefault="00DA7A0D">
      <w:pPr>
        <w:rPr>
          <w:rFonts w:cs="Arial"/>
          <w:b/>
        </w:rPr>
      </w:pPr>
    </w:p>
    <w:p w:rsidR="00000000" w:rsidRDefault="00DA7A0D">
      <w:pPr>
        <w:rPr>
          <w:rFonts w:cs="Arial"/>
          <w:bCs/>
        </w:rPr>
      </w:pPr>
      <w:r>
        <w:rPr>
          <w:rFonts w:cs="Arial"/>
          <w:b/>
        </w:rPr>
        <w:t xml:space="preserve">ARTÍCULO 1º. </w:t>
      </w:r>
      <w:r>
        <w:rPr>
          <w:rFonts w:cs="Arial"/>
          <w:bCs/>
        </w:rPr>
        <w:t xml:space="preserve"> El Artículo 5º del Acuerdo 3461 del 28 de junio de 2006 quedará así:</w:t>
      </w:r>
    </w:p>
    <w:p w:rsidR="00000000" w:rsidRDefault="00DA7A0D">
      <w:pPr>
        <w:rPr>
          <w:rFonts w:cs="Arial"/>
          <w:bCs/>
        </w:rPr>
      </w:pPr>
    </w:p>
    <w:p w:rsidR="00000000" w:rsidRDefault="00DA7A0D">
      <w:pPr>
        <w:ind w:left="540"/>
        <w:rPr>
          <w:rFonts w:cs="Arial"/>
          <w:bCs/>
        </w:rPr>
      </w:pPr>
      <w:r>
        <w:rPr>
          <w:rFonts w:cs="Arial"/>
          <w:bCs/>
        </w:rPr>
        <w:t>“</w:t>
      </w:r>
      <w:r>
        <w:rPr>
          <w:rFonts w:cs="Arial"/>
          <w:b/>
        </w:rPr>
        <w:t>ARTICULO 5º.:</w:t>
      </w:r>
      <w:r>
        <w:rPr>
          <w:rFonts w:cs="Arial"/>
          <w:bCs/>
        </w:rPr>
        <w:t xml:space="preserve"> Crear una Unidad Judicial Municipal, únicamente para efectos p</w:t>
      </w:r>
      <w:r>
        <w:rPr>
          <w:rFonts w:cs="Arial"/>
          <w:bCs/>
        </w:rPr>
        <w:t>enales, para el ejercicio de la función de Control de Garantías respecto a los hechos punibles de competencia de los juzgados penales del Circuito Especializado del Distrito Judicial de Antioquia, conformado por los municipios que componen el correspondien</w:t>
      </w:r>
      <w:r>
        <w:rPr>
          <w:rFonts w:cs="Arial"/>
          <w:bCs/>
        </w:rPr>
        <w:t>te Circuito Judicial, con sede en la respectiva cabecera del Circuito Judicial”.</w:t>
      </w:r>
    </w:p>
    <w:p w:rsidR="00000000" w:rsidRDefault="00DA7A0D">
      <w:pPr>
        <w:rPr>
          <w:rFonts w:cs="Arial"/>
          <w:bCs/>
        </w:rPr>
      </w:pPr>
    </w:p>
    <w:p w:rsidR="00000000" w:rsidRDefault="00DA7A0D">
      <w:pPr>
        <w:rPr>
          <w:rFonts w:cs="Arial"/>
          <w:bCs/>
        </w:rPr>
      </w:pPr>
      <w:r>
        <w:rPr>
          <w:rFonts w:cs="Arial"/>
          <w:b/>
          <w:bCs/>
        </w:rPr>
        <w:t>ARTICULO 2º.</w:t>
      </w:r>
      <w:r>
        <w:rPr>
          <w:rFonts w:cs="Arial"/>
          <w:bCs/>
        </w:rPr>
        <w:t xml:space="preserve"> En los días de vacaciones, de Semana Santa y el 17 de diciembre funcionarán en el Distrito Judicial de Antioquia las mismas Unidades Judiciales creadas por el ac</w:t>
      </w:r>
      <w:r>
        <w:rPr>
          <w:rFonts w:cs="Arial"/>
          <w:bCs/>
        </w:rPr>
        <w:t>uerdo 3533 del 17 Julio de 2006 para los fines de semana y festivos; y la función de Control de garantías, en aplicación del Sistema Penal Acusatorio, será prestada, por los jueces que designe de manera temporal la Sala Administrativa del Consejo Seccional</w:t>
      </w:r>
      <w:r>
        <w:rPr>
          <w:rFonts w:cs="Arial"/>
          <w:bCs/>
        </w:rPr>
        <w:t xml:space="preserve"> de la Judicatura, en cumplimiento de lo dispuesto por el Acuerdo 3399 del 3 de mayo de 2006.</w:t>
      </w:r>
    </w:p>
    <w:p w:rsidR="00000000" w:rsidRDefault="00DA7A0D">
      <w:pPr>
        <w:rPr>
          <w:rFonts w:cs="Arial"/>
          <w:bCs/>
        </w:rPr>
      </w:pPr>
    </w:p>
    <w:p w:rsidR="00000000" w:rsidRDefault="00DA7A0D">
      <w:pPr>
        <w:rPr>
          <w:rFonts w:cs="Arial"/>
        </w:rPr>
      </w:pPr>
      <w:r>
        <w:rPr>
          <w:rFonts w:cs="Arial"/>
          <w:b/>
        </w:rPr>
        <w:t xml:space="preserve">ARTÍCULO 3º. </w:t>
      </w:r>
      <w:r>
        <w:rPr>
          <w:rFonts w:cs="Arial"/>
        </w:rPr>
        <w:t>El presente Acuerdo rige a partir de su publicación en  la Gaceta de la Judicatura.</w:t>
      </w:r>
    </w:p>
    <w:p w:rsidR="00000000" w:rsidRDefault="00DA7A0D">
      <w:pPr>
        <w:rPr>
          <w:rFonts w:cs="Arial"/>
          <w:b/>
        </w:rPr>
      </w:pPr>
    </w:p>
    <w:p w:rsidR="00000000" w:rsidRDefault="00DA7A0D">
      <w:pPr>
        <w:rPr>
          <w:rFonts w:cs="Arial"/>
          <w:b/>
        </w:rPr>
      </w:pPr>
    </w:p>
    <w:p w:rsidR="00000000" w:rsidRDefault="00DA7A0D">
      <w:pPr>
        <w:jc w:val="center"/>
        <w:rPr>
          <w:rFonts w:cs="Arial"/>
        </w:rPr>
      </w:pPr>
      <w:r>
        <w:rPr>
          <w:rFonts w:cs="Arial"/>
          <w:b/>
        </w:rPr>
        <w:t>PUBLÍQUESE, COMUNÍQUESE Y CÚMPLASE</w:t>
      </w:r>
    </w:p>
    <w:p w:rsidR="00000000" w:rsidRDefault="00DA7A0D">
      <w:pPr>
        <w:tabs>
          <w:tab w:val="left" w:pos="709"/>
          <w:tab w:val="center" w:pos="4419"/>
          <w:tab w:val="right" w:pos="8838"/>
        </w:tabs>
        <w:rPr>
          <w:rFonts w:cs="Arial"/>
        </w:rPr>
      </w:pPr>
    </w:p>
    <w:p w:rsidR="00000000" w:rsidRDefault="00DA7A0D">
      <w:pPr>
        <w:rPr>
          <w:rFonts w:cs="Arial"/>
        </w:rPr>
      </w:pPr>
      <w:r>
        <w:rPr>
          <w:rFonts w:cs="Arial"/>
        </w:rPr>
        <w:t>Dado en Bogotá, D. C., a lo</w:t>
      </w:r>
      <w:r>
        <w:rPr>
          <w:rFonts w:cs="Arial"/>
        </w:rPr>
        <w:t>s siete (7) días del mes de noviembre  del año dos mil seis  (2006).</w:t>
      </w:r>
    </w:p>
    <w:p w:rsidR="00000000" w:rsidRDefault="00DA7A0D">
      <w:pPr>
        <w:rPr>
          <w:rFonts w:cs="Arial"/>
        </w:rPr>
      </w:pPr>
    </w:p>
    <w:p w:rsidR="00000000" w:rsidRDefault="00DA7A0D">
      <w:pPr>
        <w:rPr>
          <w:rFonts w:cs="Arial"/>
        </w:rPr>
      </w:pPr>
    </w:p>
    <w:p w:rsidR="00000000" w:rsidRDefault="00DA7A0D">
      <w:pPr>
        <w:jc w:val="center"/>
        <w:rPr>
          <w:rFonts w:cs="Arial"/>
          <w:b/>
        </w:rPr>
      </w:pPr>
      <w:r>
        <w:rPr>
          <w:rFonts w:cs="Arial"/>
          <w:b/>
        </w:rPr>
        <w:t>FRANCISCO ESCOBAR HENRIQUEZ</w:t>
      </w:r>
    </w:p>
    <w:p w:rsidR="00DA7A0D" w:rsidRDefault="00DA7A0D">
      <w:pPr>
        <w:jc w:val="center"/>
        <w:rPr>
          <w:rFonts w:cs="Arial"/>
          <w:b/>
        </w:rPr>
      </w:pPr>
      <w:r>
        <w:rPr>
          <w:rFonts w:cs="Arial"/>
          <w:b/>
        </w:rPr>
        <w:t>Presidente</w:t>
      </w:r>
    </w:p>
    <w:sectPr w:rsidR="00DA7A0D">
      <w:footerReference w:type="even" r:id="rId7"/>
      <w:footerReference w:type="default" r:id="rId8"/>
      <w:head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A0D" w:rsidRDefault="00DA7A0D">
      <w:r>
        <w:separator/>
      </w:r>
    </w:p>
  </w:endnote>
  <w:endnote w:type="continuationSeparator" w:id="1">
    <w:p w:rsidR="00DA7A0D" w:rsidRDefault="00DA7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7A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DA7A0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7A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DA7A0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A0D" w:rsidRDefault="00DA7A0D">
      <w:r>
        <w:separator/>
      </w:r>
    </w:p>
  </w:footnote>
  <w:footnote w:type="continuationSeparator" w:id="1">
    <w:p w:rsidR="00DA7A0D" w:rsidRDefault="00DA7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66C3">
    <w:pPr>
      <w:pStyle w:val="Encabezado"/>
    </w:pPr>
    <w:r>
      <w:rPr>
        <w:noProof/>
        <w:sz w:val="20"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-121285</wp:posOffset>
          </wp:positionV>
          <wp:extent cx="528955" cy="687705"/>
          <wp:effectExtent l="19050" t="0" r="4445" b="0"/>
          <wp:wrapNone/>
          <wp:docPr id="11" name="Imagen 11" descr="C:\Documents and Settings\Administrator\My Documents\My Pictures\Logo_CSJ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ocuments and Settings\Administrator\My Documents\My Pictures\Logo_CSJ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DA7A0D">
    <w:pPr>
      <w:pStyle w:val="Encabezado"/>
    </w:pPr>
  </w:p>
  <w:p w:rsidR="00000000" w:rsidRDefault="00DA7A0D">
    <w:pPr>
      <w:pStyle w:val="Encabezado"/>
    </w:pPr>
  </w:p>
  <w:p w:rsidR="00000000" w:rsidRDefault="00DA7A0D">
    <w:pPr>
      <w:pStyle w:val="Encabezado"/>
    </w:pPr>
  </w:p>
  <w:p w:rsidR="00000000" w:rsidRDefault="00DA7A0D">
    <w:pPr>
      <w:pStyle w:val="Encabezado"/>
    </w:pPr>
    <w:r>
      <w:t>Rama Judicial del Poder Público</w:t>
    </w:r>
  </w:p>
  <w:p w:rsidR="00000000" w:rsidRDefault="00DA7A0D">
    <w:pPr>
      <w:pStyle w:val="Encabezado"/>
      <w:rPr>
        <w:rFonts w:eastAsia="Arial Unicode MS"/>
      </w:rPr>
    </w:pPr>
    <w:r>
      <w:t>Consejo Superior de la Judicatura</w:t>
    </w:r>
  </w:p>
  <w:p w:rsidR="00000000" w:rsidRDefault="00DA7A0D">
    <w:pPr>
      <w:pStyle w:val="Encabezado"/>
      <w:rPr>
        <w:rFonts w:eastAsia="Arial Unicode MS"/>
      </w:rPr>
    </w:pPr>
    <w:r>
      <w:t>Sala Administrativa</w:t>
    </w:r>
  </w:p>
  <w:p w:rsidR="00000000" w:rsidRDefault="00DA7A0D">
    <w:pPr>
      <w:pStyle w:val="Encabezado"/>
      <w:rPr>
        <w:sz w:val="8"/>
      </w:rPr>
    </w:pPr>
  </w:p>
  <w:p w:rsidR="00000000" w:rsidRDefault="00DA7A0D">
    <w:pPr>
      <w:pStyle w:val="Encabezado"/>
      <w:ind w:hanging="284"/>
    </w:pPr>
    <w:r>
      <w:object w:dxaOrig="6540" w:dyaOrig="3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pt;height:13.5pt" o:ole="">
          <v:imagedata r:id="rId2" o:title=""/>
        </v:shape>
        <o:OLEObject Type="Embed" ProgID="PBrush" ShapeID="_x0000_i1025" DrawAspect="Content" ObjectID="_1522597304" r:id="rId3"/>
      </w:object>
    </w:r>
  </w:p>
  <w:p w:rsidR="00000000" w:rsidRDefault="00DA7A0D">
    <w:pPr>
      <w:pStyle w:val="Encabezado"/>
      <w:ind w:left="-360"/>
    </w:pPr>
    <w:r>
      <w:t xml:space="preserve">  </w:t>
    </w:r>
  </w:p>
  <w:p w:rsidR="00000000" w:rsidRDefault="00DA7A0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4E22"/>
    <w:multiLevelType w:val="hybridMultilevel"/>
    <w:tmpl w:val="897A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6D06EB"/>
    <w:multiLevelType w:val="hybridMultilevel"/>
    <w:tmpl w:val="6AB636D4"/>
    <w:lvl w:ilvl="0" w:tplc="FFFFFFFF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B66C3"/>
    <w:rsid w:val="001B66C3"/>
    <w:rsid w:val="00DA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4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i/>
      <w:sz w:val="24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left"/>
      <w:outlineLvl w:val="3"/>
    </w:pPr>
    <w:rPr>
      <w:rFonts w:ascii="Verdana" w:hAnsi="Verdana"/>
      <w:sz w:val="24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cs="Arial"/>
      <w:b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jc w:val="center"/>
      <w:outlineLvl w:val="6"/>
    </w:pPr>
    <w:rPr>
      <w:rFonts w:ascii="Courier New" w:hAnsi="Courier New" w:cs="Courier New"/>
      <w:i/>
      <w:iCs/>
      <w:sz w:val="24"/>
      <w:lang w:val="es-ES_tradnl"/>
    </w:rPr>
  </w:style>
  <w:style w:type="paragraph" w:styleId="Ttulo8">
    <w:name w:val="heading 8"/>
    <w:basedOn w:val="Normal"/>
    <w:next w:val="Normal"/>
    <w:qFormat/>
    <w:pPr>
      <w:keepNext/>
      <w:spacing w:line="240" w:lineRule="exact"/>
      <w:ind w:left="2268" w:hanging="2268"/>
      <w:jc w:val="center"/>
      <w:outlineLvl w:val="7"/>
    </w:pPr>
    <w:rPr>
      <w:bCs/>
      <w:i/>
      <w:sz w:val="24"/>
      <w:szCs w:val="20"/>
    </w:rPr>
  </w:style>
  <w:style w:type="paragraph" w:styleId="Ttulo9">
    <w:name w:val="heading 9"/>
    <w:basedOn w:val="Normal"/>
    <w:next w:val="Normal"/>
    <w:qFormat/>
    <w:pPr>
      <w:keepNext/>
      <w:jc w:val="left"/>
      <w:outlineLvl w:val="8"/>
    </w:pPr>
    <w:rPr>
      <w:b/>
      <w:i/>
      <w:snapToGrid w:val="0"/>
      <w:color w:val="00000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  <w:jc w:val="center"/>
    </w:pPr>
    <w:rPr>
      <w:rFonts w:ascii="Papyrus" w:hAnsi="Papyrus"/>
      <w:b/>
      <w:sz w:val="16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Acuerdo">
    <w:name w:val="Acuerdo"/>
    <w:pPr>
      <w:jc w:val="center"/>
    </w:pPr>
    <w:rPr>
      <w:rFonts w:ascii="Arial" w:hAnsi="Arial"/>
      <w:b/>
      <w:color w:val="333399"/>
      <w:sz w:val="28"/>
      <w:lang w:val="es-ES" w:eastAsia="es-ES"/>
    </w:rPr>
  </w:style>
  <w:style w:type="paragraph" w:customStyle="1" w:styleId="Centro">
    <w:name w:val="Centro"/>
    <w:pPr>
      <w:jc w:val="center"/>
    </w:pPr>
    <w:rPr>
      <w:rFonts w:ascii="Arial" w:hAnsi="Arial"/>
      <w:lang w:val="es-ES" w:eastAsia="es-ES"/>
    </w:rPr>
  </w:style>
  <w:style w:type="character" w:styleId="Nmerodepgina">
    <w:name w:val="page number"/>
    <w:basedOn w:val="Fuentedeprrafopredeter"/>
    <w:semiHidden/>
    <w:rPr>
      <w:rFonts w:ascii="Arial" w:hAnsi="Arial"/>
      <w:b/>
      <w:sz w:val="16"/>
    </w:rPr>
  </w:style>
  <w:style w:type="paragraph" w:customStyle="1" w:styleId="Firmas">
    <w:name w:val="Firmas"/>
    <w:pPr>
      <w:jc w:val="center"/>
    </w:pPr>
    <w:rPr>
      <w:rFonts w:ascii="Arial" w:hAnsi="Arial"/>
      <w:b/>
      <w:lang w:val="es-ES" w:eastAsia="es-ES"/>
    </w:rPr>
  </w:style>
  <w:style w:type="paragraph" w:customStyle="1" w:styleId="Comuniquese">
    <w:name w:val="Comuniquese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Sala">
    <w:name w:val="Sala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Acuerda-Considerando">
    <w:name w:val="Acuerda-Considerando"/>
    <w:pPr>
      <w:jc w:val="center"/>
    </w:pPr>
    <w:rPr>
      <w:rFonts w:ascii="Arial" w:eastAsia="MS Mincho" w:hAnsi="Arial"/>
      <w:b/>
      <w:lang w:val="es-ES" w:eastAsia="es-ES"/>
    </w:rPr>
  </w:style>
  <w:style w:type="paragraph" w:customStyle="1" w:styleId="Cua-Centro">
    <w:name w:val="Cua-Centro"/>
    <w:pPr>
      <w:jc w:val="center"/>
    </w:pPr>
    <w:rPr>
      <w:rFonts w:ascii="Arial" w:eastAsia="MS Mincho" w:hAnsi="Arial"/>
      <w:b/>
      <w:sz w:val="16"/>
      <w:lang w:val="es-ES" w:eastAsia="es-ES"/>
    </w:rPr>
  </w:style>
  <w:style w:type="paragraph" w:customStyle="1" w:styleId="Cua-Tabulador01">
    <w:name w:val="Cua-Tabulador0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right" w:pos="7371"/>
      </w:tabs>
    </w:pPr>
    <w:rPr>
      <w:rFonts w:ascii="Arial" w:eastAsia="MS Mincho" w:hAnsi="Arial"/>
      <w:sz w:val="16"/>
      <w:lang w:val="es-ES" w:eastAsia="es-ES"/>
    </w:rPr>
  </w:style>
  <w:style w:type="paragraph" w:customStyle="1" w:styleId="Cua-Texto">
    <w:name w:val="Cua-Texto"/>
    <w:rPr>
      <w:rFonts w:ascii="Arial" w:eastAsia="MS Mincho" w:hAnsi="Arial"/>
      <w:b/>
      <w:sz w:val="16"/>
      <w:lang w:val="es-ES" w:eastAsia="es-ES"/>
    </w:rPr>
  </w:style>
  <w:style w:type="paragraph" w:customStyle="1" w:styleId="Cua-Tabulador02">
    <w:name w:val="Cua-Tabulador02"/>
    <w:pPr>
      <w:tabs>
        <w:tab w:val="left" w:pos="567"/>
        <w:tab w:val="right" w:pos="4536"/>
        <w:tab w:val="right" w:pos="6237"/>
        <w:tab w:val="right" w:pos="7938"/>
      </w:tabs>
    </w:pPr>
    <w:rPr>
      <w:rFonts w:ascii="Arial" w:hAnsi="Arial"/>
      <w:sz w:val="14"/>
      <w:lang w:val="es-ES" w:eastAsia="es-ES"/>
    </w:rPr>
  </w:style>
  <w:style w:type="paragraph" w:styleId="Textoindependiente2">
    <w:name w:val="Body Text 2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Cs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</vt:lpstr>
    </vt:vector>
  </TitlesOfParts>
  <Company>CONSEJO SUPERIOR JUDICATURA</Company>
  <LinksUpToDate>false</LinksUpToDate>
  <CharactersWithSpaces>1888</CharactersWithSpaces>
  <SharedDoc>false</SharedDoc>
  <HLinks>
    <vt:vector size="6" baseType="variant">
      <vt:variant>
        <vt:i4>2490385</vt:i4>
      </vt:variant>
      <vt:variant>
        <vt:i4>-1</vt:i4>
      </vt:variant>
      <vt:variant>
        <vt:i4>2059</vt:i4>
      </vt:variant>
      <vt:variant>
        <vt:i4>1</vt:i4>
      </vt:variant>
      <vt:variant>
        <vt:lpwstr>C:\Documents and Settings\Administrator\My Documents\My Pictures\Logo_CSJ_color.jpg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</dc:title>
  <dc:creator>DEAJ</dc:creator>
  <cp:lastModifiedBy>Carolina Andrea Tabares Rivera</cp:lastModifiedBy>
  <cp:revision>2</cp:revision>
  <cp:lastPrinted>2001-06-13T16:49:00Z</cp:lastPrinted>
  <dcterms:created xsi:type="dcterms:W3CDTF">2016-04-19T23:55:00Z</dcterms:created>
  <dcterms:modified xsi:type="dcterms:W3CDTF">2016-04-19T23:55:00Z</dcterms:modified>
</cp:coreProperties>
</file>