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A2" w:rsidRPr="003530E8" w:rsidRDefault="005549A2" w:rsidP="005549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460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</w:t>
      </w:r>
      <w:r w:rsidR="007414C8" w:rsidRPr="003460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VEINTE ADMINISTRATIVO ORAL</w:t>
      </w:r>
      <w:r w:rsidRPr="003460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DEL CIRCUITO</w:t>
      </w:r>
    </w:p>
    <w:p w:rsidR="005549A2" w:rsidRPr="0034604B" w:rsidRDefault="005549A2" w:rsidP="005549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460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 w:rsidR="007414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diecisiete (17) de junio </w:t>
      </w:r>
      <w:r w:rsidR="007414C8" w:rsidRPr="0034604B"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r w:rsidRPr="003460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dos mil quince (2015)</w:t>
      </w:r>
    </w:p>
    <w:p w:rsidR="005549A2" w:rsidRPr="0034604B" w:rsidRDefault="005549A2" w:rsidP="005549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Batang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958"/>
      </w:tblGrid>
      <w:tr w:rsidR="005549A2" w:rsidRPr="0034604B" w:rsidTr="003368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>RADICADO:</w:t>
            </w: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ab/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5549A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 xml:space="preserve">05001 33 33 020 </w:t>
            </w:r>
            <w:r>
              <w:rPr>
                <w:rFonts w:ascii="Arial" w:eastAsia="Times New Roman" w:hAnsi="Arial" w:cs="Arial"/>
                <w:b/>
                <w:lang w:val="es-CO" w:eastAsia="es-ES"/>
              </w:rPr>
              <w:t>2015 -00449</w:t>
            </w: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 xml:space="preserve"> 00</w:t>
            </w:r>
          </w:p>
        </w:tc>
      </w:tr>
      <w:tr w:rsidR="005549A2" w:rsidRPr="0034604B" w:rsidTr="003368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>MEDIO DE CONTROL: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 xml:space="preserve">NULIDAD Y RESTABLECIMIENTO DEL DERECHO </w:t>
            </w:r>
          </w:p>
        </w:tc>
      </w:tr>
      <w:tr w:rsidR="005549A2" w:rsidRPr="0034604B" w:rsidTr="003368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 xml:space="preserve">DEMANDANTE: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pacing w:val="-3"/>
                <w:lang w:val="es-ES_tradnl" w:eastAsia="es-ES"/>
              </w:rPr>
              <w:t xml:space="preserve">BEATRIZ ELENA VASQUEZ GALLEGO </w:t>
            </w:r>
          </w:p>
        </w:tc>
      </w:tr>
      <w:tr w:rsidR="005549A2" w:rsidRPr="0034604B" w:rsidTr="003368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 w:rsidRPr="0034604B">
              <w:rPr>
                <w:rFonts w:ascii="Arial" w:eastAsia="Times New Roman" w:hAnsi="Arial" w:cs="Arial"/>
                <w:b/>
                <w:lang w:val="es-CO" w:eastAsia="es-ES"/>
              </w:rPr>
              <w:t>DEMANDADO: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5549A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lang w:val="es-CO" w:eastAsia="es-ES"/>
              </w:rPr>
              <w:t>MUNICIPIO DE MEDELLÍN</w:t>
            </w:r>
          </w:p>
        </w:tc>
      </w:tr>
      <w:tr w:rsidR="005549A2" w:rsidRPr="0034604B" w:rsidTr="003368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5549A2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34604B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A2" w:rsidRPr="0034604B" w:rsidRDefault="00AE556B" w:rsidP="003368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INADMITE DEMANDA </w:t>
            </w:r>
            <w:r w:rsidR="007414C8">
              <w:rPr>
                <w:rFonts w:ascii="Arial" w:eastAsia="Batang" w:hAnsi="Arial" w:cs="Arial"/>
                <w:b/>
                <w:lang w:val="es-ES_tradnl" w:eastAsia="es-ES"/>
              </w:rPr>
              <w:t>NUEVAMENTE</w:t>
            </w:r>
          </w:p>
        </w:tc>
      </w:tr>
    </w:tbl>
    <w:p w:rsidR="00AE556B" w:rsidRPr="00AD46F4" w:rsidRDefault="00AE556B" w:rsidP="00AE556B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3"/>
          <w:lang w:val="es-CO"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AE556B" w:rsidRPr="001570C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70CF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Pr="001570CF">
        <w:rPr>
          <w:rFonts w:ascii="Arial" w:eastAsia="Times New Roman" w:hAnsi="Arial" w:cs="Arial"/>
          <w:b/>
          <w:sz w:val="24"/>
          <w:szCs w:val="24"/>
          <w:lang w:eastAsia="es-ES"/>
        </w:rPr>
        <w:t>INADMITE</w:t>
      </w:r>
      <w:r w:rsidR="007414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NUEVAMENTE</w:t>
      </w:r>
      <w:r w:rsidRPr="001570C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570CF">
        <w:rPr>
          <w:rFonts w:ascii="Arial" w:eastAsia="Times New Roman" w:hAnsi="Arial" w:cs="Arial"/>
          <w:sz w:val="24"/>
          <w:szCs w:val="24"/>
          <w:lang w:eastAsia="es-ES"/>
        </w:rPr>
        <w:t>la presente demanda</w:t>
      </w:r>
      <w:r w:rsidRPr="001570C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1570CF">
        <w:rPr>
          <w:rFonts w:ascii="Arial" w:eastAsia="Times New Roman" w:hAnsi="Arial" w:cs="Arial"/>
          <w:sz w:val="24"/>
          <w:szCs w:val="24"/>
          <w:lang w:eastAsia="es-ES"/>
        </w:rPr>
        <w:t xml:space="preserve">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AE556B" w:rsidRPr="001570C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95D83" w:rsidRDefault="007414C8" w:rsidP="00AE556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AE556B" w:rsidRPr="001570CF">
        <w:rPr>
          <w:rFonts w:ascii="Arial" w:eastAsia="Times New Roman" w:hAnsi="Arial" w:cs="Arial"/>
          <w:sz w:val="24"/>
          <w:szCs w:val="24"/>
          <w:lang w:eastAsia="es-ES"/>
        </w:rPr>
        <w:t xml:space="preserve">. El artículo 74 del Código General del Proceso establece: </w:t>
      </w:r>
      <w:r w:rsidR="00AE556B" w:rsidRPr="001570CF">
        <w:rPr>
          <w:rFonts w:ascii="Arial" w:eastAsia="Times New Roman" w:hAnsi="Arial" w:cs="Arial"/>
          <w:i/>
          <w:sz w:val="24"/>
          <w:szCs w:val="24"/>
          <w:lang w:eastAsia="es-ES"/>
        </w:rPr>
        <w:t>“… Los poderes generales para toda cl</w:t>
      </w:r>
    </w:p>
    <w:p w:rsidR="00AE556B" w:rsidRPr="001570CF" w:rsidRDefault="00AE556B" w:rsidP="00AE556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  <w:bookmarkStart w:id="0" w:name="_GoBack"/>
      <w:bookmarkEnd w:id="0"/>
      <w:proofErr w:type="gramStart"/>
      <w:r w:rsidRPr="001570CF">
        <w:rPr>
          <w:rFonts w:ascii="Arial" w:eastAsia="Times New Roman" w:hAnsi="Arial" w:cs="Arial"/>
          <w:i/>
          <w:sz w:val="24"/>
          <w:szCs w:val="24"/>
          <w:lang w:eastAsia="es-ES"/>
        </w:rPr>
        <w:t>ase</w:t>
      </w:r>
      <w:proofErr w:type="gramEnd"/>
      <w:r w:rsidRPr="001570C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de procesos sólo podrán conferirse por escritura pública, El poder especial para uno o varios procesos podrá conferirse por documento privado. En los poderes especiales, los asuntos deberán estar determinados y claramente identificados”</w:t>
      </w:r>
      <w:r w:rsidRPr="001570CF">
        <w:rPr>
          <w:rFonts w:ascii="Arial" w:eastAsia="Times New Roman" w:hAnsi="Arial" w:cs="Arial"/>
          <w:sz w:val="24"/>
          <w:szCs w:val="24"/>
          <w:lang w:eastAsia="es-ES"/>
        </w:rPr>
        <w:t>. Con fundamento en lo anterior, se deberá allegar poder otorgado en legal forma, teniendo en cuenta los medios de control establecidos para el acceso a la Jurisdicción Contenciosa Administrativa contenidos en la Ley 1437 de 2011 – Código de Procedimiento Administrativo y de lo Contencioso Administrativo, e indicando en todo caso, el sujeto pasivo de la acción, y la totalidad de los actos administrativos demandados.</w:t>
      </w:r>
    </w:p>
    <w:p w:rsidR="00AE556B" w:rsidRPr="001570CF" w:rsidRDefault="00AE556B" w:rsidP="00AE556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14C8" w:rsidRPr="001570CF" w:rsidRDefault="007414C8" w:rsidP="007414C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Teniendo en cuenta lo anterior, la apoderada de la p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arte actora deberá corregir el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poder otorgado por la señora </w:t>
      </w:r>
      <w:r w:rsidR="001415AF">
        <w:rPr>
          <w:rFonts w:ascii="Arial" w:eastAsia="Times New Roman" w:hAnsi="Arial" w:cs="Arial"/>
          <w:sz w:val="24"/>
          <w:szCs w:val="24"/>
          <w:lang w:eastAsia="es-ES"/>
        </w:rPr>
        <w:t>BEATRÍZ ELENA VÁSQUEZ GALLEGO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toda vez que </w:t>
      </w:r>
      <w:r>
        <w:rPr>
          <w:rFonts w:ascii="Arial" w:eastAsia="Times New Roman" w:hAnsi="Arial" w:cs="Arial"/>
          <w:sz w:val="24"/>
          <w:szCs w:val="24"/>
          <w:lang w:eastAsia="es-ES"/>
        </w:rPr>
        <w:t>no se expresó en el mismo los actos administrativos acusados</w:t>
      </w:r>
      <w:r w:rsidRPr="001570C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E556B" w:rsidRDefault="00AE556B" w:rsidP="00AE556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414C8" w:rsidRPr="001570CF" w:rsidRDefault="007414C8" w:rsidP="007414C8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AE556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AE556B" w:rsidRPr="001570CF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AE556B" w:rsidRPr="001570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eberá la parte actora allegar copia de la demanda </w:t>
      </w:r>
      <w:r w:rsidRPr="001570CF">
        <w:rPr>
          <w:rFonts w:ascii="Arial" w:eastAsia="Times New Roman" w:hAnsi="Arial" w:cs="Arial"/>
          <w:sz w:val="24"/>
          <w:szCs w:val="24"/>
          <w:lang w:eastAsia="es-ES"/>
        </w:rPr>
        <w:t xml:space="preserve">y de los anexos que se complementen, se allegará copia para el traslado; copia que deberá presentarse en medio físico y magnético </w:t>
      </w:r>
      <w:r w:rsidRPr="001570CF">
        <w:rPr>
          <w:rFonts w:ascii="Arial" w:eastAsia="Times New Roman" w:hAnsi="Arial" w:cs="Arial"/>
          <w:sz w:val="24"/>
          <w:szCs w:val="24"/>
          <w:lang w:val="es-ES_tradnl" w:eastAsia="es-ES"/>
        </w:rPr>
        <w:t>(preferiblemente en formato WORD o PDF), a efectos de proceder con la notificación electrónica a la parte demandada, intervi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nientes y terceros, toda vez que el que obra en el expediente no cuenta con la información requerida. </w:t>
      </w:r>
    </w:p>
    <w:p w:rsidR="00AE556B" w:rsidRPr="001415AF" w:rsidRDefault="00AE556B" w:rsidP="007414C8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556B" w:rsidRPr="001415A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1415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AE556B" w:rsidRPr="001415A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556B" w:rsidRPr="001415AF" w:rsidRDefault="00AE556B" w:rsidP="007414C8">
      <w:pPr>
        <w:overflowPunct w:val="0"/>
        <w:autoSpaceDE w:val="0"/>
        <w:autoSpaceDN w:val="0"/>
        <w:adjustRightInd w:val="0"/>
        <w:spacing w:after="0" w:line="276" w:lineRule="auto"/>
        <w:ind w:right="49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7414C8" w:rsidRPr="001415AF" w:rsidRDefault="007414C8" w:rsidP="007414C8">
      <w:pPr>
        <w:overflowPunct w:val="0"/>
        <w:autoSpaceDE w:val="0"/>
        <w:autoSpaceDN w:val="0"/>
        <w:adjustRightInd w:val="0"/>
        <w:spacing w:after="0" w:line="276" w:lineRule="auto"/>
        <w:ind w:right="49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556B" w:rsidRDefault="00AE556B" w:rsidP="00AE556B">
      <w:pPr>
        <w:keepNext/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1415A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lastRenderedPageBreak/>
        <w:t>JORGE HUMBERTO CALLE LOPEZ</w:t>
      </w:r>
    </w:p>
    <w:p w:rsidR="001415AF" w:rsidRPr="001415AF" w:rsidRDefault="001415AF" w:rsidP="00AE556B">
      <w:pPr>
        <w:keepNext/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:rsidR="00AE556B" w:rsidRPr="001415A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Brush Script MT" w:eastAsia="Times New Roman" w:hAnsi="Brush Script MT" w:cs="Times New Roman"/>
          <w:sz w:val="24"/>
          <w:szCs w:val="24"/>
          <w:lang w:val="es-ES_tradnl" w:eastAsia="es-ES"/>
        </w:rPr>
      </w:pPr>
      <w:r w:rsidRPr="001415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tbl>
      <w:tblPr>
        <w:tblpPr w:leftFromText="141" w:rightFromText="141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</w:tblGrid>
      <w:tr w:rsidR="00AE556B" w:rsidRPr="001415AF" w:rsidTr="001415AF">
        <w:trPr>
          <w:trHeight w:val="201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NOTIFICACIÓN POR ESTADO</w:t>
            </w: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JUZGADO VEINTE (20°) ADMINISTRATIVO DEL CIRCUITO</w:t>
            </w: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En la fecha se notificó por </w:t>
            </w:r>
            <w:r w:rsidRPr="001415AF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ESTADO</w:t>
            </w: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el auto anterior.</w:t>
            </w: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Medellín, </w:t>
            </w:r>
            <w:r w:rsidR="007414C8"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18 de </w:t>
            </w:r>
            <w:proofErr w:type="gramStart"/>
            <w:r w:rsidR="007414C8"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junio</w:t>
            </w: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 de</w:t>
            </w:r>
            <w:proofErr w:type="gramEnd"/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2015 fijado a las 8:00 a.m.</w:t>
            </w: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MIRYAN DUQUE BURITICA</w:t>
            </w:r>
          </w:p>
          <w:p w:rsidR="00AE556B" w:rsidRPr="001415AF" w:rsidRDefault="00AE556B" w:rsidP="00D33CF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1415AF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SECRETARIA</w:t>
            </w:r>
          </w:p>
        </w:tc>
      </w:tr>
    </w:tbl>
    <w:p w:rsidR="00AE556B" w:rsidRPr="001415AF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7414C8" w:rsidRPr="00AD46F4" w:rsidRDefault="007414C8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16"/>
          <w:szCs w:val="16"/>
          <w:lang w:eastAsia="es-ES"/>
        </w:rPr>
      </w:pPr>
      <w:r w:rsidRPr="00AD46F4">
        <w:rPr>
          <w:rFonts w:ascii="Arial" w:eastAsia="Times New Roman" w:hAnsi="Arial" w:cs="Times New Roman"/>
          <w:sz w:val="16"/>
          <w:szCs w:val="16"/>
          <w:lang w:eastAsia="es-ES"/>
        </w:rPr>
        <w:t>MCPH</w:t>
      </w: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AE556B" w:rsidRPr="00AD46F4" w:rsidRDefault="00AE556B" w:rsidP="00AE556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0"/>
          <w:lang w:val="es-ES_tradnl" w:eastAsia="es-ES"/>
        </w:rPr>
      </w:pPr>
    </w:p>
    <w:p w:rsidR="00AE556B" w:rsidRDefault="00AE556B" w:rsidP="00AE556B"/>
    <w:p w:rsidR="00AE556B" w:rsidRDefault="00AE556B" w:rsidP="00AE556B"/>
    <w:p w:rsidR="00B3072F" w:rsidRDefault="00B3072F" w:rsidP="00AE556B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sectPr w:rsidR="00B3072F" w:rsidSect="007414C8">
      <w:footerReference w:type="even" r:id="rId7"/>
      <w:footerReference w:type="default" r:id="rId8"/>
      <w:pgSz w:w="12242" w:h="18722" w:code="14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E7" w:rsidRDefault="00F200E7" w:rsidP="005549A2">
      <w:pPr>
        <w:spacing w:after="0" w:line="240" w:lineRule="auto"/>
      </w:pPr>
      <w:r>
        <w:separator/>
      </w:r>
    </w:p>
  </w:endnote>
  <w:endnote w:type="continuationSeparator" w:id="0">
    <w:p w:rsidR="00F200E7" w:rsidRDefault="00F200E7" w:rsidP="0055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E4" w:rsidRDefault="00155E99" w:rsidP="001278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78E4" w:rsidRDefault="00F200E7" w:rsidP="001278E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E4" w:rsidRPr="00190525" w:rsidRDefault="00155E99" w:rsidP="001278E4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190525">
      <w:rPr>
        <w:rStyle w:val="Nmerodepgina"/>
        <w:sz w:val="20"/>
      </w:rPr>
      <w:fldChar w:fldCharType="begin"/>
    </w:r>
    <w:r w:rsidRPr="00190525">
      <w:rPr>
        <w:rStyle w:val="Nmerodepgina"/>
        <w:sz w:val="20"/>
      </w:rPr>
      <w:instrText xml:space="preserve">PAGE  </w:instrText>
    </w:r>
    <w:r w:rsidRPr="00190525">
      <w:rPr>
        <w:rStyle w:val="Nmerodepgina"/>
        <w:sz w:val="20"/>
      </w:rPr>
      <w:fldChar w:fldCharType="separate"/>
    </w:r>
    <w:r w:rsidR="00A95D83">
      <w:rPr>
        <w:rStyle w:val="Nmerodepgina"/>
        <w:noProof/>
        <w:sz w:val="20"/>
      </w:rPr>
      <w:t>2</w:t>
    </w:r>
    <w:r w:rsidRPr="00190525">
      <w:rPr>
        <w:rStyle w:val="Nmerodepgina"/>
        <w:sz w:val="20"/>
      </w:rPr>
      <w:fldChar w:fldCharType="end"/>
    </w:r>
  </w:p>
  <w:p w:rsidR="001278E4" w:rsidRDefault="00F200E7" w:rsidP="001278E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E7" w:rsidRDefault="00F200E7" w:rsidP="005549A2">
      <w:pPr>
        <w:spacing w:after="0" w:line="240" w:lineRule="auto"/>
      </w:pPr>
      <w:r>
        <w:separator/>
      </w:r>
    </w:p>
  </w:footnote>
  <w:footnote w:type="continuationSeparator" w:id="0">
    <w:p w:rsidR="00F200E7" w:rsidRDefault="00F200E7" w:rsidP="0055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32B"/>
    <w:multiLevelType w:val="hybridMultilevel"/>
    <w:tmpl w:val="BD7AA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2"/>
    <w:rsid w:val="00050B4F"/>
    <w:rsid w:val="001415AF"/>
    <w:rsid w:val="00155E99"/>
    <w:rsid w:val="0027495A"/>
    <w:rsid w:val="005549A2"/>
    <w:rsid w:val="005F7C0A"/>
    <w:rsid w:val="007414C8"/>
    <w:rsid w:val="0082021D"/>
    <w:rsid w:val="00866A8D"/>
    <w:rsid w:val="00A95D83"/>
    <w:rsid w:val="00AE556B"/>
    <w:rsid w:val="00B3072F"/>
    <w:rsid w:val="00C04A30"/>
    <w:rsid w:val="00EE0F53"/>
    <w:rsid w:val="00F200E7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AD7044-AF9D-412A-B48E-DAFA48A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554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49A2"/>
  </w:style>
  <w:style w:type="paragraph" w:styleId="Textonotapie">
    <w:name w:val="footnote text"/>
    <w:basedOn w:val="Normal"/>
    <w:link w:val="TextonotapieCar"/>
    <w:uiPriority w:val="99"/>
    <w:semiHidden/>
    <w:unhideWhenUsed/>
    <w:rsid w:val="005549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9A2"/>
    <w:rPr>
      <w:sz w:val="20"/>
      <w:szCs w:val="20"/>
    </w:rPr>
  </w:style>
  <w:style w:type="character" w:styleId="Refdenotaalpie">
    <w:name w:val="footnote reference"/>
    <w:semiHidden/>
    <w:rsid w:val="005549A2"/>
    <w:rPr>
      <w:vertAlign w:val="superscript"/>
    </w:rPr>
  </w:style>
  <w:style w:type="character" w:styleId="Nmerodepgina">
    <w:name w:val="page number"/>
    <w:basedOn w:val="Fuentedeprrafopredeter"/>
    <w:rsid w:val="005549A2"/>
  </w:style>
  <w:style w:type="paragraph" w:styleId="Textodeglobo">
    <w:name w:val="Balloon Text"/>
    <w:basedOn w:val="Normal"/>
    <w:link w:val="TextodegloboCar"/>
    <w:uiPriority w:val="99"/>
    <w:semiHidden/>
    <w:unhideWhenUsed/>
    <w:rsid w:val="00EE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4</cp:revision>
  <cp:lastPrinted>2015-06-11T19:22:00Z</cp:lastPrinted>
  <dcterms:created xsi:type="dcterms:W3CDTF">2015-06-11T19:20:00Z</dcterms:created>
  <dcterms:modified xsi:type="dcterms:W3CDTF">2015-06-11T19:25:00Z</dcterms:modified>
</cp:coreProperties>
</file>