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258" w:rsidRPr="003530E8" w:rsidRDefault="00702258" w:rsidP="00702258">
      <w:pPr>
        <w:overflowPunct w:val="0"/>
        <w:autoSpaceDE w:val="0"/>
        <w:autoSpaceDN w:val="0"/>
        <w:adjustRightInd w:val="0"/>
        <w:spacing w:after="0" w:line="276" w:lineRule="auto"/>
        <w:jc w:val="center"/>
        <w:textAlignment w:val="baseline"/>
        <w:rPr>
          <w:rFonts w:ascii="Arial" w:eastAsia="Times New Roman" w:hAnsi="Arial" w:cs="Arial"/>
          <w:b/>
          <w:sz w:val="24"/>
          <w:szCs w:val="24"/>
          <w:lang w:val="es-ES_tradnl" w:eastAsia="es-ES"/>
        </w:rPr>
      </w:pPr>
      <w:r w:rsidRPr="0034604B">
        <w:rPr>
          <w:rFonts w:ascii="Arial" w:eastAsia="Times New Roman" w:hAnsi="Arial" w:cs="Arial"/>
          <w:b/>
          <w:sz w:val="24"/>
          <w:szCs w:val="24"/>
          <w:lang w:val="es-ES_tradnl" w:eastAsia="es-ES"/>
        </w:rPr>
        <w:t>JUZGADO VEINTE  ADMINISTRATIVO  ORAL DEL CIRCUITO</w:t>
      </w:r>
    </w:p>
    <w:p w:rsidR="00702258" w:rsidRPr="0034604B" w:rsidRDefault="00702258" w:rsidP="00702258">
      <w:pPr>
        <w:overflowPunct w:val="0"/>
        <w:autoSpaceDE w:val="0"/>
        <w:autoSpaceDN w:val="0"/>
        <w:adjustRightInd w:val="0"/>
        <w:spacing w:after="0" w:line="276" w:lineRule="auto"/>
        <w:jc w:val="center"/>
        <w:textAlignment w:val="baseline"/>
        <w:rPr>
          <w:rFonts w:ascii="Arial" w:eastAsia="Times New Roman" w:hAnsi="Arial" w:cs="Arial"/>
          <w:sz w:val="24"/>
          <w:szCs w:val="24"/>
          <w:lang w:val="es-ES_tradnl" w:eastAsia="es-ES"/>
        </w:rPr>
      </w:pPr>
      <w:r w:rsidRPr="0034604B">
        <w:rPr>
          <w:rFonts w:ascii="Arial" w:eastAsia="Times New Roman" w:hAnsi="Arial" w:cs="Arial"/>
          <w:sz w:val="24"/>
          <w:szCs w:val="24"/>
          <w:lang w:val="es-ES_tradnl" w:eastAsia="es-ES"/>
        </w:rPr>
        <w:t xml:space="preserve">Medellín, </w:t>
      </w:r>
      <w:r w:rsidR="003846B7">
        <w:rPr>
          <w:rFonts w:ascii="Arial" w:eastAsia="Times New Roman" w:hAnsi="Arial" w:cs="Arial"/>
          <w:sz w:val="24"/>
          <w:szCs w:val="24"/>
          <w:lang w:val="es-ES_tradnl" w:eastAsia="es-ES"/>
        </w:rPr>
        <w:t>tres (03) de junio</w:t>
      </w:r>
      <w:r>
        <w:rPr>
          <w:rFonts w:ascii="Arial" w:eastAsia="Times New Roman" w:hAnsi="Arial" w:cs="Arial"/>
          <w:sz w:val="24"/>
          <w:szCs w:val="24"/>
          <w:lang w:val="es-ES_tradnl" w:eastAsia="es-ES"/>
        </w:rPr>
        <w:t xml:space="preserve"> </w:t>
      </w:r>
      <w:r w:rsidRPr="0034604B">
        <w:rPr>
          <w:rFonts w:ascii="Arial" w:eastAsia="Times New Roman" w:hAnsi="Arial" w:cs="Arial"/>
          <w:sz w:val="24"/>
          <w:szCs w:val="24"/>
          <w:lang w:val="es-ES_tradnl" w:eastAsia="es-ES"/>
        </w:rPr>
        <w:t xml:space="preserve"> de dos mil quince (2015)</w:t>
      </w:r>
    </w:p>
    <w:p w:rsidR="00702258" w:rsidRPr="0034604B" w:rsidRDefault="00702258" w:rsidP="00702258">
      <w:pPr>
        <w:overflowPunct w:val="0"/>
        <w:autoSpaceDE w:val="0"/>
        <w:autoSpaceDN w:val="0"/>
        <w:adjustRightInd w:val="0"/>
        <w:spacing w:after="0" w:line="276" w:lineRule="auto"/>
        <w:jc w:val="both"/>
        <w:textAlignment w:val="baseline"/>
        <w:rPr>
          <w:rFonts w:ascii="Arial" w:eastAsia="Batang" w:hAnsi="Arial" w:cs="Arial"/>
          <w:sz w:val="24"/>
          <w:szCs w:val="24"/>
          <w:lang w:val="es-ES_tradnl" w:eastAsia="es-ES"/>
        </w:rPr>
      </w:pPr>
      <w:r>
        <w:rPr>
          <w:rFonts w:ascii="Arial" w:eastAsia="Times New Roman" w:hAnsi="Arial" w:cs="Arial"/>
          <w:sz w:val="24"/>
          <w:szCs w:val="24"/>
          <w:lang w:val="es-ES_tradnl" w:eastAsia="es-ES"/>
        </w:rPr>
        <w:t xml:space="preserve"> </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5958"/>
      </w:tblGrid>
      <w:tr w:rsidR="00702258" w:rsidRPr="0034604B" w:rsidTr="00D33CF1">
        <w:tc>
          <w:tcPr>
            <w:tcW w:w="2047"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Times New Roman" w:hAnsi="Arial" w:cs="Arial"/>
                <w:b/>
                <w:lang w:val="es-CO" w:eastAsia="es-ES"/>
              </w:rPr>
            </w:pPr>
            <w:r w:rsidRPr="0034604B">
              <w:rPr>
                <w:rFonts w:ascii="Arial" w:eastAsia="Times New Roman" w:hAnsi="Arial" w:cs="Arial"/>
                <w:b/>
                <w:lang w:val="es-CO" w:eastAsia="es-ES"/>
              </w:rPr>
              <w:t>RADICADO:</w:t>
            </w:r>
            <w:r w:rsidRPr="0034604B">
              <w:rPr>
                <w:rFonts w:ascii="Arial" w:eastAsia="Times New Roman" w:hAnsi="Arial" w:cs="Arial"/>
                <w:b/>
                <w:lang w:val="es-CO" w:eastAsia="es-ES"/>
              </w:rPr>
              <w:tab/>
            </w:r>
          </w:p>
        </w:tc>
        <w:tc>
          <w:tcPr>
            <w:tcW w:w="5958"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Times New Roman" w:hAnsi="Arial" w:cs="Arial"/>
                <w:b/>
                <w:lang w:val="es-CO" w:eastAsia="es-ES"/>
              </w:rPr>
            </w:pPr>
            <w:r w:rsidRPr="0034604B">
              <w:rPr>
                <w:rFonts w:ascii="Arial" w:eastAsia="Times New Roman" w:hAnsi="Arial" w:cs="Arial"/>
                <w:b/>
                <w:lang w:val="es-CO" w:eastAsia="es-ES"/>
              </w:rPr>
              <w:t xml:space="preserve">05001 33 33 020 </w:t>
            </w:r>
            <w:r w:rsidR="0071441F">
              <w:rPr>
                <w:rFonts w:ascii="Arial" w:eastAsia="Times New Roman" w:hAnsi="Arial" w:cs="Arial"/>
                <w:b/>
                <w:lang w:val="es-CO" w:eastAsia="es-ES"/>
              </w:rPr>
              <w:t>2015 -00512</w:t>
            </w:r>
            <w:r w:rsidRPr="0034604B">
              <w:rPr>
                <w:rFonts w:ascii="Arial" w:eastAsia="Times New Roman" w:hAnsi="Arial" w:cs="Arial"/>
                <w:b/>
                <w:lang w:val="es-CO" w:eastAsia="es-ES"/>
              </w:rPr>
              <w:t xml:space="preserve"> 00</w:t>
            </w:r>
          </w:p>
        </w:tc>
      </w:tr>
      <w:tr w:rsidR="00702258" w:rsidRPr="0034604B" w:rsidTr="00D33CF1">
        <w:tc>
          <w:tcPr>
            <w:tcW w:w="2047"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Times New Roman" w:hAnsi="Arial" w:cs="Arial"/>
                <w:b/>
                <w:lang w:val="es-CO" w:eastAsia="es-ES"/>
              </w:rPr>
            </w:pPr>
            <w:r w:rsidRPr="0034604B">
              <w:rPr>
                <w:rFonts w:ascii="Arial" w:eastAsia="Times New Roman" w:hAnsi="Arial" w:cs="Arial"/>
                <w:b/>
                <w:lang w:val="es-CO" w:eastAsia="es-ES"/>
              </w:rPr>
              <w:t>MEDIO DE CONTROL:</w:t>
            </w:r>
          </w:p>
        </w:tc>
        <w:tc>
          <w:tcPr>
            <w:tcW w:w="5958"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Times New Roman" w:hAnsi="Arial" w:cs="Arial"/>
                <w:b/>
                <w:lang w:val="es-CO" w:eastAsia="es-ES"/>
              </w:rPr>
            </w:pPr>
            <w:r w:rsidRPr="0034604B">
              <w:rPr>
                <w:rFonts w:ascii="Arial" w:eastAsia="Times New Roman" w:hAnsi="Arial" w:cs="Arial"/>
                <w:b/>
                <w:lang w:val="es-CO" w:eastAsia="es-ES"/>
              </w:rPr>
              <w:t xml:space="preserve">NULIDAD Y RESTABLECIMIENTO DEL DERECHO </w:t>
            </w:r>
          </w:p>
        </w:tc>
      </w:tr>
      <w:tr w:rsidR="00702258" w:rsidRPr="0034604B" w:rsidTr="00D33CF1">
        <w:tc>
          <w:tcPr>
            <w:tcW w:w="2047"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Times New Roman" w:hAnsi="Arial" w:cs="Arial"/>
                <w:b/>
                <w:lang w:val="es-CO" w:eastAsia="es-ES"/>
              </w:rPr>
            </w:pPr>
            <w:r w:rsidRPr="0034604B">
              <w:rPr>
                <w:rFonts w:ascii="Arial" w:eastAsia="Times New Roman" w:hAnsi="Arial" w:cs="Arial"/>
                <w:b/>
                <w:lang w:val="es-CO" w:eastAsia="es-ES"/>
              </w:rPr>
              <w:t xml:space="preserve">DEMANDANTE: </w:t>
            </w:r>
          </w:p>
        </w:tc>
        <w:tc>
          <w:tcPr>
            <w:tcW w:w="5958" w:type="dxa"/>
            <w:tcBorders>
              <w:top w:val="single" w:sz="4" w:space="0" w:color="auto"/>
              <w:left w:val="single" w:sz="4" w:space="0" w:color="auto"/>
              <w:bottom w:val="single" w:sz="4" w:space="0" w:color="auto"/>
              <w:right w:val="single" w:sz="4" w:space="0" w:color="auto"/>
            </w:tcBorders>
          </w:tcPr>
          <w:p w:rsidR="00702258" w:rsidRPr="0034604B" w:rsidRDefault="00702258" w:rsidP="0071441F">
            <w:pPr>
              <w:overflowPunct w:val="0"/>
              <w:autoSpaceDE w:val="0"/>
              <w:autoSpaceDN w:val="0"/>
              <w:adjustRightInd w:val="0"/>
              <w:spacing w:after="0" w:line="276" w:lineRule="auto"/>
              <w:jc w:val="both"/>
              <w:textAlignment w:val="baseline"/>
              <w:rPr>
                <w:rFonts w:ascii="Arial" w:eastAsia="Times New Roman" w:hAnsi="Arial" w:cs="Arial"/>
                <w:b/>
                <w:lang w:val="es-CO" w:eastAsia="es-ES"/>
              </w:rPr>
            </w:pPr>
            <w:r>
              <w:rPr>
                <w:rFonts w:ascii="Arial" w:eastAsia="Times New Roman" w:hAnsi="Arial" w:cs="Arial"/>
                <w:b/>
                <w:spacing w:val="-3"/>
                <w:lang w:val="es-ES_tradnl" w:eastAsia="es-ES"/>
              </w:rPr>
              <w:t xml:space="preserve"> </w:t>
            </w:r>
            <w:r w:rsidR="0071441F">
              <w:rPr>
                <w:rFonts w:ascii="Arial" w:eastAsia="Times New Roman" w:hAnsi="Arial" w:cs="Arial"/>
                <w:b/>
                <w:spacing w:val="-3"/>
                <w:lang w:val="es-ES_tradnl" w:eastAsia="es-ES"/>
              </w:rPr>
              <w:t>MARIA EUGENIA ECHEVERRI CANO</w:t>
            </w:r>
          </w:p>
        </w:tc>
      </w:tr>
      <w:tr w:rsidR="00702258" w:rsidRPr="0034604B" w:rsidTr="00D33CF1">
        <w:tc>
          <w:tcPr>
            <w:tcW w:w="2047"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Times New Roman" w:hAnsi="Arial" w:cs="Arial"/>
                <w:b/>
                <w:lang w:val="es-CO" w:eastAsia="es-ES"/>
              </w:rPr>
            </w:pPr>
            <w:r w:rsidRPr="0034604B">
              <w:rPr>
                <w:rFonts w:ascii="Arial" w:eastAsia="Times New Roman" w:hAnsi="Arial" w:cs="Arial"/>
                <w:b/>
                <w:lang w:val="es-CO" w:eastAsia="es-ES"/>
              </w:rPr>
              <w:t>DEMANDADO:</w:t>
            </w:r>
          </w:p>
        </w:tc>
        <w:tc>
          <w:tcPr>
            <w:tcW w:w="5958" w:type="dxa"/>
            <w:tcBorders>
              <w:top w:val="single" w:sz="4" w:space="0" w:color="auto"/>
              <w:left w:val="single" w:sz="4" w:space="0" w:color="auto"/>
              <w:bottom w:val="single" w:sz="4" w:space="0" w:color="auto"/>
              <w:right w:val="single" w:sz="4" w:space="0" w:color="auto"/>
            </w:tcBorders>
          </w:tcPr>
          <w:p w:rsidR="00702258" w:rsidRPr="0034604B" w:rsidRDefault="0071441F" w:rsidP="00D33CF1">
            <w:pPr>
              <w:overflowPunct w:val="0"/>
              <w:autoSpaceDE w:val="0"/>
              <w:autoSpaceDN w:val="0"/>
              <w:adjustRightInd w:val="0"/>
              <w:spacing w:after="0" w:line="276" w:lineRule="auto"/>
              <w:jc w:val="both"/>
              <w:textAlignment w:val="baseline"/>
              <w:rPr>
                <w:rFonts w:ascii="Arial" w:eastAsia="Times New Roman" w:hAnsi="Arial" w:cs="Arial"/>
                <w:b/>
                <w:lang w:val="es-CO" w:eastAsia="es-ES"/>
              </w:rPr>
            </w:pPr>
            <w:r>
              <w:rPr>
                <w:rFonts w:ascii="Arial" w:eastAsia="Times New Roman" w:hAnsi="Arial" w:cs="Arial"/>
                <w:b/>
                <w:lang w:val="es-CO" w:eastAsia="es-ES"/>
              </w:rPr>
              <w:t>MUNICIPIO DE ENVIGADO</w:t>
            </w:r>
          </w:p>
        </w:tc>
      </w:tr>
      <w:tr w:rsidR="00702258" w:rsidRPr="0034604B" w:rsidTr="00D33CF1">
        <w:tc>
          <w:tcPr>
            <w:tcW w:w="2047"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Batang" w:hAnsi="Arial" w:cs="Arial"/>
                <w:b/>
                <w:lang w:val="es-ES_tradnl" w:eastAsia="es-ES"/>
              </w:rPr>
            </w:pPr>
            <w:r w:rsidRPr="0034604B">
              <w:rPr>
                <w:rFonts w:ascii="Arial" w:eastAsia="Batang" w:hAnsi="Arial" w:cs="Arial"/>
                <w:b/>
                <w:lang w:val="es-ES_tradnl" w:eastAsia="es-ES"/>
              </w:rPr>
              <w:t>ASUNTO:</w:t>
            </w:r>
          </w:p>
        </w:tc>
        <w:tc>
          <w:tcPr>
            <w:tcW w:w="5958"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Batang" w:hAnsi="Arial" w:cs="Arial"/>
                <w:b/>
                <w:lang w:val="es-ES_tradnl" w:eastAsia="es-ES"/>
              </w:rPr>
            </w:pPr>
            <w:r w:rsidRPr="0034604B">
              <w:rPr>
                <w:rFonts w:ascii="Arial" w:eastAsia="Batang" w:hAnsi="Arial" w:cs="Arial"/>
                <w:b/>
                <w:lang w:val="es-ES_tradnl" w:eastAsia="es-ES"/>
              </w:rPr>
              <w:t>RECHAZA POR CADUCIDAD</w:t>
            </w:r>
          </w:p>
        </w:tc>
      </w:tr>
      <w:tr w:rsidR="00702258" w:rsidRPr="0034604B" w:rsidTr="00D33CF1">
        <w:tc>
          <w:tcPr>
            <w:tcW w:w="2047"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Batang" w:hAnsi="Arial" w:cs="Arial"/>
                <w:b/>
                <w:lang w:val="es-ES_tradnl" w:eastAsia="es-ES"/>
              </w:rPr>
            </w:pPr>
            <w:r w:rsidRPr="0034604B">
              <w:rPr>
                <w:rFonts w:ascii="Arial" w:eastAsia="Batang" w:hAnsi="Arial" w:cs="Arial"/>
                <w:b/>
                <w:lang w:val="es-ES_tradnl" w:eastAsia="es-ES"/>
              </w:rPr>
              <w:t>Auto Interlocutorio</w:t>
            </w:r>
          </w:p>
        </w:tc>
        <w:tc>
          <w:tcPr>
            <w:tcW w:w="5958" w:type="dxa"/>
            <w:tcBorders>
              <w:top w:val="single" w:sz="4" w:space="0" w:color="auto"/>
              <w:left w:val="single" w:sz="4" w:space="0" w:color="auto"/>
              <w:bottom w:val="single" w:sz="4" w:space="0" w:color="auto"/>
              <w:right w:val="single" w:sz="4" w:space="0" w:color="auto"/>
            </w:tcBorders>
          </w:tcPr>
          <w:p w:rsidR="00702258" w:rsidRPr="0034604B" w:rsidRDefault="00702258" w:rsidP="00D33CF1">
            <w:pPr>
              <w:overflowPunct w:val="0"/>
              <w:autoSpaceDE w:val="0"/>
              <w:autoSpaceDN w:val="0"/>
              <w:adjustRightInd w:val="0"/>
              <w:spacing w:after="0" w:line="276" w:lineRule="auto"/>
              <w:jc w:val="both"/>
              <w:textAlignment w:val="baseline"/>
              <w:rPr>
                <w:rFonts w:ascii="Arial" w:eastAsia="Batang" w:hAnsi="Arial" w:cs="Arial"/>
                <w:b/>
                <w:lang w:val="es-ES_tradnl" w:eastAsia="es-ES"/>
              </w:rPr>
            </w:pPr>
          </w:p>
        </w:tc>
      </w:tr>
    </w:tbl>
    <w:p w:rsidR="00702258" w:rsidRDefault="00702258" w:rsidP="00702258">
      <w:pPr>
        <w:suppressAutoHyphens/>
        <w:overflowPunct w:val="0"/>
        <w:autoSpaceDE w:val="0"/>
        <w:autoSpaceDN w:val="0"/>
        <w:adjustRightInd w:val="0"/>
        <w:spacing w:after="0" w:line="276" w:lineRule="auto"/>
        <w:jc w:val="both"/>
        <w:textAlignment w:val="baseline"/>
        <w:rPr>
          <w:rFonts w:ascii="Trebuchet MS" w:eastAsia="Times New Roman" w:hAnsi="Trebuchet MS" w:cs="Times New Roman"/>
          <w:spacing w:val="-3"/>
          <w:sz w:val="24"/>
          <w:szCs w:val="24"/>
          <w:lang w:val="es-ES_tradnl" w:eastAsia="es-ES"/>
        </w:rPr>
      </w:pPr>
    </w:p>
    <w:p w:rsidR="00702258" w:rsidRDefault="00702258" w:rsidP="00702258">
      <w:pPr>
        <w:suppressAutoHyphens/>
        <w:overflowPunct w:val="0"/>
        <w:autoSpaceDE w:val="0"/>
        <w:autoSpaceDN w:val="0"/>
        <w:adjustRightInd w:val="0"/>
        <w:spacing w:after="0" w:line="276" w:lineRule="auto"/>
        <w:jc w:val="both"/>
        <w:textAlignment w:val="baseline"/>
        <w:rPr>
          <w:rFonts w:ascii="Trebuchet MS" w:eastAsia="Times New Roman" w:hAnsi="Trebuchet MS" w:cs="Times New Roman"/>
          <w:spacing w:val="-3"/>
          <w:sz w:val="24"/>
          <w:szCs w:val="24"/>
          <w:lang w:val="es-ES_tradnl" w:eastAsia="es-ES"/>
        </w:rPr>
      </w:pPr>
    </w:p>
    <w:p w:rsidR="00702258" w:rsidRPr="00656327"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656327">
        <w:rPr>
          <w:rFonts w:ascii="Arial" w:eastAsia="Times New Roman" w:hAnsi="Arial" w:cs="Arial"/>
          <w:spacing w:val="-3"/>
          <w:sz w:val="24"/>
          <w:szCs w:val="24"/>
          <w:lang w:val="es-ES_tradnl" w:eastAsia="es-ES"/>
        </w:rPr>
        <w:t xml:space="preserve">La señora </w:t>
      </w:r>
      <w:r w:rsidR="0071441F">
        <w:rPr>
          <w:rFonts w:ascii="Arial" w:eastAsia="Times New Roman" w:hAnsi="Arial" w:cs="Arial"/>
          <w:b/>
          <w:spacing w:val="-3"/>
          <w:lang w:val="es-ES_tradnl" w:eastAsia="es-ES"/>
        </w:rPr>
        <w:t>MARIA EUGENIA ECHEVERRI CANO</w:t>
      </w:r>
      <w:r>
        <w:rPr>
          <w:rFonts w:ascii="Arial" w:eastAsia="Times New Roman" w:hAnsi="Arial" w:cs="Arial"/>
          <w:b/>
          <w:spacing w:val="-3"/>
          <w:sz w:val="24"/>
          <w:szCs w:val="24"/>
          <w:lang w:val="es-ES_tradnl" w:eastAsia="es-ES"/>
        </w:rPr>
        <w:t xml:space="preserve"> </w:t>
      </w:r>
      <w:r w:rsidRPr="00656327">
        <w:rPr>
          <w:rFonts w:ascii="Arial" w:eastAsia="Times New Roman" w:hAnsi="Arial" w:cs="Arial"/>
          <w:spacing w:val="-3"/>
          <w:sz w:val="24"/>
          <w:szCs w:val="24"/>
          <w:lang w:val="es-ES_tradnl" w:eastAsia="es-ES"/>
        </w:rPr>
        <w:t xml:space="preserve">por intermedio de apoderada judicial, en ejercicio del medio de control de </w:t>
      </w:r>
      <w:r w:rsidRPr="00656327">
        <w:rPr>
          <w:rFonts w:ascii="Arial" w:eastAsia="Times New Roman" w:hAnsi="Arial" w:cs="Arial"/>
          <w:b/>
          <w:spacing w:val="-3"/>
          <w:sz w:val="24"/>
          <w:szCs w:val="24"/>
          <w:lang w:val="es-ES_tradnl" w:eastAsia="es-ES"/>
        </w:rPr>
        <w:t xml:space="preserve">NULIDAD Y RESTABLECIMIENTO DEL DERECHO </w:t>
      </w:r>
      <w:r w:rsidRPr="00656327">
        <w:rPr>
          <w:rFonts w:ascii="Arial" w:eastAsia="Times New Roman" w:hAnsi="Arial" w:cs="Arial"/>
          <w:spacing w:val="-3"/>
          <w:sz w:val="24"/>
          <w:szCs w:val="24"/>
          <w:lang w:val="es-ES_tradnl" w:eastAsia="es-ES"/>
        </w:rPr>
        <w:t>consagrada en el  artículo 138 de la Ley 1437 de 2011, presentó demanda contra</w:t>
      </w:r>
      <w:r w:rsidRPr="00656327">
        <w:rPr>
          <w:rFonts w:ascii="Arial" w:eastAsia="Times New Roman" w:hAnsi="Arial" w:cs="Arial"/>
          <w:b/>
          <w:spacing w:val="-3"/>
          <w:sz w:val="24"/>
          <w:szCs w:val="24"/>
          <w:lang w:val="es-ES_tradnl" w:eastAsia="es-ES"/>
        </w:rPr>
        <w:t xml:space="preserve"> </w:t>
      </w:r>
      <w:r w:rsidRPr="00656327">
        <w:rPr>
          <w:rFonts w:ascii="Arial" w:eastAsia="Times New Roman" w:hAnsi="Arial" w:cs="Arial"/>
          <w:spacing w:val="-3"/>
          <w:sz w:val="24"/>
          <w:szCs w:val="24"/>
          <w:lang w:val="es-ES_tradnl" w:eastAsia="es-ES"/>
        </w:rPr>
        <w:t xml:space="preserve">el </w:t>
      </w:r>
      <w:r w:rsidR="0071441F">
        <w:rPr>
          <w:rFonts w:ascii="Arial" w:eastAsia="Times New Roman" w:hAnsi="Arial" w:cs="Arial"/>
          <w:b/>
          <w:lang w:val="es-CO" w:eastAsia="es-ES"/>
        </w:rPr>
        <w:t>MUNICIPIO DE ENVIGADO</w:t>
      </w:r>
      <w:r w:rsidRPr="00656327">
        <w:rPr>
          <w:rFonts w:ascii="Arial" w:eastAsia="Times New Roman" w:hAnsi="Arial" w:cs="Arial"/>
          <w:spacing w:val="-3"/>
          <w:sz w:val="24"/>
          <w:szCs w:val="24"/>
          <w:lang w:val="es-ES_tradnl" w:eastAsia="es-ES"/>
        </w:rPr>
        <w:t xml:space="preserve">, con el fin de que se declare la nulidad del </w:t>
      </w:r>
      <w:r>
        <w:rPr>
          <w:rFonts w:ascii="Arial" w:eastAsia="Times New Roman" w:hAnsi="Arial" w:cs="Arial"/>
          <w:b/>
          <w:spacing w:val="-3"/>
          <w:sz w:val="24"/>
          <w:szCs w:val="24"/>
          <w:lang w:val="es-ES_tradnl" w:eastAsia="es-ES"/>
        </w:rPr>
        <w:t xml:space="preserve">Oficio </w:t>
      </w:r>
      <w:r w:rsidR="0071441F">
        <w:rPr>
          <w:rFonts w:ascii="Arial" w:eastAsia="Times New Roman" w:hAnsi="Arial" w:cs="Arial"/>
          <w:b/>
          <w:spacing w:val="-3"/>
          <w:sz w:val="24"/>
          <w:szCs w:val="24"/>
          <w:lang w:val="es-ES_tradnl" w:eastAsia="es-ES"/>
        </w:rPr>
        <w:t>606 DEL 13 DEFEBRERO DE 2013</w:t>
      </w:r>
      <w:r w:rsidRPr="00656327">
        <w:rPr>
          <w:rFonts w:ascii="Arial" w:eastAsia="Times New Roman" w:hAnsi="Arial" w:cs="Arial"/>
          <w:spacing w:val="-3"/>
          <w:sz w:val="24"/>
          <w:szCs w:val="24"/>
          <w:lang w:val="es-ES_tradnl" w:eastAsia="es-ES"/>
        </w:rPr>
        <w:t>, mediante el cual se le niega el reconocimiento y pago de la prima  de servicios.</w:t>
      </w:r>
    </w:p>
    <w:p w:rsidR="00702258" w:rsidRPr="00656327"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pacing w:val="-3"/>
          <w:sz w:val="24"/>
          <w:szCs w:val="24"/>
          <w:lang w:val="es-ES_tradnl" w:eastAsia="es-ES"/>
        </w:rPr>
        <w:t>Solicita, a título de restablecimiento del derecho, se ordene el reconocimiento y pago de la prima de servicios.</w:t>
      </w:r>
    </w:p>
    <w:p w:rsidR="00702258" w:rsidRPr="0034604B" w:rsidRDefault="00702258" w:rsidP="00702258">
      <w:pPr>
        <w:suppressAutoHyphens/>
        <w:overflowPunct w:val="0"/>
        <w:autoSpaceDE w:val="0"/>
        <w:autoSpaceDN w:val="0"/>
        <w:adjustRightInd w:val="0"/>
        <w:spacing w:after="0" w:line="276" w:lineRule="auto"/>
        <w:jc w:val="center"/>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center"/>
        <w:textAlignment w:val="baseline"/>
        <w:rPr>
          <w:rFonts w:ascii="Arial" w:eastAsia="Times New Roman" w:hAnsi="Arial" w:cs="Arial"/>
          <w:spacing w:val="-3"/>
          <w:sz w:val="24"/>
          <w:szCs w:val="24"/>
          <w:lang w:val="es-ES_tradnl" w:eastAsia="es-ES"/>
        </w:rPr>
      </w:pPr>
      <w:r w:rsidRPr="0034604B">
        <w:rPr>
          <w:rFonts w:ascii="Arial" w:eastAsia="Times New Roman" w:hAnsi="Arial" w:cs="Arial"/>
          <w:b/>
          <w:spacing w:val="-3"/>
          <w:sz w:val="24"/>
          <w:szCs w:val="24"/>
          <w:lang w:val="es-ES_tradnl" w:eastAsia="es-ES"/>
        </w:rPr>
        <w:t>CONSIDERACIONES</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pacing w:val="-3"/>
          <w:sz w:val="24"/>
          <w:szCs w:val="24"/>
          <w:lang w:val="es-ES_tradnl" w:eastAsia="es-ES"/>
        </w:rPr>
        <w:t>En el presente caso, debe definirse si la demanda se presentó oportunamente o si por el contrario, para la fecha de su presentación había operado el fenómeno de la caducidad, teniendo en cuenta que éste es un presupuesto de la acción, como lo ha entendido la doctrina y la jurisprudencia.</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pacing w:val="-3"/>
          <w:sz w:val="24"/>
          <w:szCs w:val="24"/>
          <w:lang w:val="es-ES_tradnl" w:eastAsia="es-ES"/>
        </w:rPr>
        <w:t>El artículo 164 de la Ley 1437 de 2011, aplicable al caso concreto conforme la fecha de presentación de la demanda</w:t>
      </w:r>
      <w:r w:rsidRPr="0034604B">
        <w:rPr>
          <w:rFonts w:ascii="Arial" w:eastAsia="Times New Roman" w:hAnsi="Arial" w:cs="Arial"/>
          <w:spacing w:val="-3"/>
          <w:sz w:val="24"/>
          <w:szCs w:val="24"/>
          <w:vertAlign w:val="superscript"/>
          <w:lang w:val="es-ES_tradnl" w:eastAsia="es-ES"/>
        </w:rPr>
        <w:footnoteReference w:id="1"/>
      </w:r>
      <w:r w:rsidRPr="0034604B">
        <w:rPr>
          <w:rFonts w:ascii="Arial" w:eastAsia="Times New Roman" w:hAnsi="Arial" w:cs="Arial"/>
          <w:spacing w:val="-3"/>
          <w:sz w:val="24"/>
          <w:szCs w:val="24"/>
          <w:lang w:val="es-ES_tradnl" w:eastAsia="es-ES"/>
        </w:rPr>
        <w:t xml:space="preserve">, dispone: </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i/>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r w:rsidRPr="0034604B">
        <w:rPr>
          <w:rFonts w:ascii="Arial" w:eastAsia="Times New Roman" w:hAnsi="Arial" w:cs="Arial"/>
          <w:i/>
          <w:spacing w:val="-3"/>
          <w:lang w:val="es-ES_tradnl" w:eastAsia="es-ES"/>
        </w:rPr>
        <w:t xml:space="preserve">“La demanda deberá ser presentada: </w:t>
      </w:r>
    </w:p>
    <w:p w:rsidR="00702258" w:rsidRPr="0034604B" w:rsidRDefault="00702258" w:rsidP="00702258">
      <w:pPr>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p>
    <w:p w:rsidR="00702258" w:rsidRPr="0034604B" w:rsidRDefault="00702258" w:rsidP="00702258">
      <w:pPr>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r w:rsidRPr="0034604B">
        <w:rPr>
          <w:rFonts w:ascii="Arial" w:eastAsia="Times New Roman" w:hAnsi="Arial" w:cs="Arial"/>
          <w:i/>
          <w:spacing w:val="-3"/>
          <w:lang w:val="es-ES_tradnl" w:eastAsia="es-ES"/>
        </w:rPr>
        <w:t xml:space="preserve">…2. En los siguientes términos, so pena de que opere la caducidad: </w:t>
      </w:r>
    </w:p>
    <w:p w:rsidR="00702258" w:rsidRPr="0034604B" w:rsidRDefault="00702258" w:rsidP="00702258">
      <w:pPr>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p>
    <w:p w:rsidR="00702258" w:rsidRDefault="00702258" w:rsidP="00702258">
      <w:pPr>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r w:rsidRPr="0034604B">
        <w:rPr>
          <w:rFonts w:ascii="Arial" w:eastAsia="Times New Roman" w:hAnsi="Arial" w:cs="Arial"/>
          <w:i/>
          <w:spacing w:val="-3"/>
          <w:lang w:val="es-ES_tradnl" w:eastAsia="es-ES"/>
        </w:rPr>
        <w:t>… 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702258" w:rsidRPr="00656327" w:rsidRDefault="00702258" w:rsidP="00702258">
      <w:pPr>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pacing w:val="-3"/>
          <w:sz w:val="24"/>
          <w:szCs w:val="24"/>
          <w:lang w:val="es-ES_tradnl" w:eastAsia="es-ES"/>
        </w:rPr>
        <w:t xml:space="preserve">A su turno, el artículo 169 ibídem, consagró: </w:t>
      </w:r>
    </w:p>
    <w:p w:rsidR="00702258" w:rsidRPr="0034604B" w:rsidRDefault="00702258" w:rsidP="00702258">
      <w:pPr>
        <w:tabs>
          <w:tab w:val="left" w:pos="851"/>
        </w:tabs>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r w:rsidRPr="0034604B">
        <w:rPr>
          <w:rFonts w:ascii="Arial" w:eastAsia="Times New Roman" w:hAnsi="Arial" w:cs="Arial"/>
          <w:i/>
          <w:spacing w:val="-3"/>
          <w:lang w:val="es-ES_tradnl" w:eastAsia="es-ES"/>
        </w:rPr>
        <w:lastRenderedPageBreak/>
        <w:t xml:space="preserve">“Rechazo de la demanda. Se rechazará la demanda y se ordenará la devolución de los anexos en los siguientes casos: </w:t>
      </w:r>
    </w:p>
    <w:p w:rsidR="00702258" w:rsidRPr="0034604B" w:rsidRDefault="00702258" w:rsidP="00702258">
      <w:pPr>
        <w:tabs>
          <w:tab w:val="left" w:pos="851"/>
        </w:tabs>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p>
    <w:p w:rsidR="00702258" w:rsidRPr="0034604B" w:rsidRDefault="00702258" w:rsidP="00702258">
      <w:pPr>
        <w:numPr>
          <w:ilvl w:val="0"/>
          <w:numId w:val="1"/>
        </w:numPr>
        <w:tabs>
          <w:tab w:val="left" w:pos="851"/>
        </w:tabs>
        <w:suppressAutoHyphens/>
        <w:overflowPunct w:val="0"/>
        <w:autoSpaceDE w:val="0"/>
        <w:autoSpaceDN w:val="0"/>
        <w:adjustRightInd w:val="0"/>
        <w:spacing w:after="0" w:line="276" w:lineRule="auto"/>
        <w:ind w:left="567"/>
        <w:jc w:val="both"/>
        <w:textAlignment w:val="baseline"/>
        <w:rPr>
          <w:rFonts w:ascii="Arial" w:eastAsia="Times New Roman" w:hAnsi="Arial" w:cs="Arial"/>
          <w:i/>
          <w:spacing w:val="-3"/>
          <w:lang w:val="es-ES_tradnl" w:eastAsia="es-ES"/>
        </w:rPr>
      </w:pPr>
      <w:r w:rsidRPr="0034604B">
        <w:rPr>
          <w:rFonts w:ascii="Arial" w:eastAsia="Times New Roman" w:hAnsi="Arial" w:cs="Arial"/>
          <w:i/>
          <w:spacing w:val="-3"/>
          <w:lang w:val="es-ES_tradnl" w:eastAsia="es-ES"/>
        </w:rPr>
        <w:t xml:space="preserve">Cuando hubiere operado la caducidad…” </w:t>
      </w:r>
    </w:p>
    <w:p w:rsidR="00702258" w:rsidRPr="0034604B" w:rsidRDefault="00702258" w:rsidP="00702258">
      <w:pPr>
        <w:tabs>
          <w:tab w:val="left" w:pos="851"/>
        </w:tabs>
        <w:suppressAutoHyphens/>
        <w:overflowPunct w:val="0"/>
        <w:autoSpaceDE w:val="0"/>
        <w:autoSpaceDN w:val="0"/>
        <w:adjustRightInd w:val="0"/>
        <w:spacing w:after="0" w:line="276" w:lineRule="auto"/>
        <w:ind w:left="567"/>
        <w:jc w:val="both"/>
        <w:textAlignment w:val="baseline"/>
        <w:rPr>
          <w:rFonts w:ascii="Arial" w:eastAsia="Times New Roman" w:hAnsi="Arial" w:cs="Arial"/>
          <w:spacing w:val="-3"/>
          <w:lang w:val="es-ES_tradnl" w:eastAsia="es-ES"/>
        </w:rPr>
      </w:pPr>
    </w:p>
    <w:p w:rsidR="00702258" w:rsidRPr="0034604B" w:rsidRDefault="00702258" w:rsidP="00702258">
      <w:pPr>
        <w:overflowPunct w:val="0"/>
        <w:autoSpaceDE w:val="0"/>
        <w:autoSpaceDN w:val="0"/>
        <w:adjustRightInd w:val="0"/>
        <w:spacing w:after="0" w:line="276" w:lineRule="auto"/>
        <w:jc w:val="both"/>
        <w:textAlignment w:val="baseline"/>
        <w:rPr>
          <w:rFonts w:ascii="Arial" w:eastAsia="Times New Roman" w:hAnsi="Arial" w:cs="Arial"/>
          <w:sz w:val="24"/>
          <w:szCs w:val="24"/>
          <w:lang w:val="es-ES_tradnl" w:eastAsia="es-ES"/>
        </w:rPr>
      </w:pPr>
      <w:r w:rsidRPr="0034604B">
        <w:rPr>
          <w:rFonts w:ascii="Arial" w:eastAsia="Times New Roman" w:hAnsi="Arial" w:cs="Arial"/>
          <w:sz w:val="24"/>
          <w:szCs w:val="24"/>
          <w:lang w:eastAsia="es-ES"/>
        </w:rPr>
        <w:t xml:space="preserve">En relación con la caducidad de la acción de nulidad y restablecimiento del derecho, </w:t>
      </w:r>
      <w:smartTag w:uri="urn:schemas-microsoft-com:office:smarttags" w:element="PersonName">
        <w:smartTagPr>
          <w:attr w:name="ProductID" w:val="la Honorable Corte"/>
        </w:smartTagPr>
        <w:r w:rsidRPr="0034604B">
          <w:rPr>
            <w:rFonts w:ascii="Arial" w:eastAsia="Times New Roman" w:hAnsi="Arial" w:cs="Arial"/>
            <w:sz w:val="24"/>
            <w:szCs w:val="24"/>
            <w:lang w:eastAsia="es-ES"/>
          </w:rPr>
          <w:t>la Honorable Corte</w:t>
        </w:r>
      </w:smartTag>
      <w:r w:rsidRPr="0034604B">
        <w:rPr>
          <w:rFonts w:ascii="Arial" w:eastAsia="Times New Roman" w:hAnsi="Arial" w:cs="Arial"/>
          <w:sz w:val="24"/>
          <w:szCs w:val="24"/>
          <w:lang w:eastAsia="es-ES"/>
        </w:rPr>
        <w:t xml:space="preserve"> Constitucional, en sentencia del 1° de octubre de </w:t>
      </w:r>
      <w:smartTag w:uri="urn:schemas-microsoft-com:office:smarttags" w:element="metricconverter">
        <w:smartTagPr>
          <w:attr w:name="ProductID" w:val="1992, M"/>
        </w:smartTagPr>
        <w:r w:rsidRPr="0034604B">
          <w:rPr>
            <w:rFonts w:ascii="Arial" w:eastAsia="Times New Roman" w:hAnsi="Arial" w:cs="Arial"/>
            <w:sz w:val="24"/>
            <w:szCs w:val="24"/>
            <w:lang w:eastAsia="es-ES"/>
          </w:rPr>
          <w:t xml:space="preserve">1992, </w:t>
        </w:r>
        <w:r w:rsidRPr="0034604B">
          <w:rPr>
            <w:rFonts w:ascii="Arial" w:eastAsia="Times New Roman" w:hAnsi="Arial" w:cs="Arial"/>
            <w:sz w:val="24"/>
            <w:szCs w:val="24"/>
            <w:lang w:val="es-ES_tradnl" w:eastAsia="es-ES"/>
          </w:rPr>
          <w:t>M</w:t>
        </w:r>
      </w:smartTag>
      <w:r w:rsidRPr="0034604B">
        <w:rPr>
          <w:rFonts w:ascii="Arial" w:eastAsia="Times New Roman" w:hAnsi="Arial" w:cs="Arial"/>
          <w:sz w:val="24"/>
          <w:szCs w:val="24"/>
          <w:lang w:val="es-ES_tradnl" w:eastAsia="es-ES"/>
        </w:rPr>
        <w:t>.P. José Gregorio Hernández, precisó:</w:t>
      </w:r>
    </w:p>
    <w:p w:rsidR="00702258" w:rsidRPr="0034604B" w:rsidRDefault="00702258" w:rsidP="00702258">
      <w:pPr>
        <w:overflowPunct w:val="0"/>
        <w:autoSpaceDE w:val="0"/>
        <w:autoSpaceDN w:val="0"/>
        <w:adjustRightInd w:val="0"/>
        <w:spacing w:after="0" w:line="276" w:lineRule="auto"/>
        <w:jc w:val="both"/>
        <w:textAlignment w:val="baseline"/>
        <w:rPr>
          <w:rFonts w:ascii="Arial" w:eastAsia="Times New Roman" w:hAnsi="Arial" w:cs="Arial"/>
          <w:sz w:val="24"/>
          <w:szCs w:val="24"/>
          <w:lang w:val="es-ES_tradnl" w:eastAsia="es-ES"/>
        </w:rPr>
      </w:pPr>
    </w:p>
    <w:p w:rsidR="00702258" w:rsidRPr="0034604B" w:rsidRDefault="00702258" w:rsidP="00702258">
      <w:pPr>
        <w:spacing w:after="0" w:line="276" w:lineRule="auto"/>
        <w:ind w:left="1134" w:right="902"/>
        <w:jc w:val="both"/>
        <w:rPr>
          <w:rFonts w:ascii="Arial" w:eastAsia="Times New Roman" w:hAnsi="Arial" w:cs="Arial"/>
          <w:i/>
          <w:lang w:eastAsia="es-ES"/>
        </w:rPr>
      </w:pPr>
      <w:r w:rsidRPr="0034604B">
        <w:rPr>
          <w:rFonts w:ascii="Arial" w:eastAsia="Times New Roman" w:hAnsi="Arial" w:cs="Arial"/>
          <w:i/>
          <w:lang w:eastAsia="es-ES"/>
        </w:rPr>
        <w:t>"... Si la caducidad -según definición de los expertos- es la extinción del derecho o la acción por cualquier causa -con el transcurso del tiempo- muy clara resulta la diferencia substancial con la prescripción extintiva o liberatoria... La caducidad es toda extinción; en tanto que la prescripción liberatoria únicamente puede sobrevenir por el transcurso del tiempo...".</w:t>
      </w:r>
    </w:p>
    <w:p w:rsidR="00702258" w:rsidRPr="0034604B" w:rsidRDefault="00702258" w:rsidP="00702258">
      <w:pPr>
        <w:spacing w:after="0" w:line="276" w:lineRule="auto"/>
        <w:ind w:left="1134" w:right="902"/>
        <w:jc w:val="both"/>
        <w:rPr>
          <w:rFonts w:ascii="Arial" w:eastAsia="Times New Roman" w:hAnsi="Arial" w:cs="Arial"/>
          <w:i/>
          <w:lang w:eastAsia="es-ES"/>
        </w:rPr>
      </w:pPr>
      <w:r w:rsidRPr="0034604B">
        <w:rPr>
          <w:rFonts w:ascii="Arial" w:eastAsia="Times New Roman" w:hAnsi="Arial" w:cs="Arial"/>
          <w:i/>
          <w:lang w:eastAsia="es-ES"/>
        </w:rPr>
        <w:t>(...)</w:t>
      </w:r>
    </w:p>
    <w:p w:rsidR="00702258" w:rsidRPr="0034604B" w:rsidRDefault="00702258" w:rsidP="00702258">
      <w:pPr>
        <w:spacing w:after="0" w:line="276" w:lineRule="auto"/>
        <w:ind w:left="1134" w:right="902"/>
        <w:jc w:val="both"/>
        <w:rPr>
          <w:rFonts w:ascii="Arial" w:eastAsia="Times New Roman" w:hAnsi="Arial" w:cs="Arial"/>
          <w:i/>
          <w:lang w:eastAsia="es-ES"/>
        </w:rPr>
      </w:pPr>
      <w:r w:rsidRPr="0034604B">
        <w:rPr>
          <w:rFonts w:ascii="Arial" w:eastAsia="Times New Roman" w:hAnsi="Arial" w:cs="Arial"/>
          <w:i/>
          <w:lang w:eastAsia="es-ES"/>
        </w:rPr>
        <w:t xml:space="preserve">Por su parte, esta Corporación ya ha tenido oportunidad de referirse al tema y lo ha hecho dejando en claro los siguientes criterios: </w:t>
      </w:r>
    </w:p>
    <w:p w:rsidR="00702258" w:rsidRPr="0034604B" w:rsidRDefault="00702258" w:rsidP="00702258">
      <w:pPr>
        <w:spacing w:after="0" w:line="276" w:lineRule="auto"/>
        <w:ind w:left="1134" w:right="902"/>
        <w:jc w:val="both"/>
        <w:rPr>
          <w:rFonts w:ascii="Arial" w:eastAsia="Times New Roman" w:hAnsi="Arial" w:cs="Arial"/>
          <w:i/>
          <w:lang w:eastAsia="es-ES"/>
        </w:rPr>
      </w:pPr>
    </w:p>
    <w:p w:rsidR="00702258" w:rsidRPr="0034604B" w:rsidRDefault="00702258" w:rsidP="00702258">
      <w:pPr>
        <w:spacing w:after="0" w:line="276" w:lineRule="auto"/>
        <w:ind w:left="1134" w:right="902"/>
        <w:jc w:val="both"/>
        <w:rPr>
          <w:rFonts w:ascii="Arial" w:eastAsia="Times New Roman" w:hAnsi="Arial" w:cs="Arial"/>
          <w:i/>
          <w:lang w:eastAsia="es-ES"/>
        </w:rPr>
      </w:pPr>
      <w:r w:rsidRPr="0034604B">
        <w:rPr>
          <w:rFonts w:ascii="Arial" w:eastAsia="Times New Roman" w:hAnsi="Arial" w:cs="Arial"/>
          <w:i/>
          <w:lang w:eastAsia="es-ES"/>
        </w:rPr>
        <w:t>"Consiste la caducidad en el fenómeno procesal de declarar extinguida la acción por no incoarse ante la jurisdicción competente dentro del término perentorio establecido por el ordenamiento jurídico para ello. Opera la caducidad ipso jure, vale decir que el juez puede y debe declararla oficiosamente cuando verifique el hecho objetivo de la inactividad del actor en el lapso consagrado en la ley para iniciar la acción. Este plazo no se suspende ni interrumpe, ya que se inspira en razones de orden público, lo cual sí ocurre en tratándose de la prescripción civil, medio éste de extinguir las acciones de esta clase".</w:t>
      </w:r>
    </w:p>
    <w:p w:rsidR="00702258" w:rsidRPr="0034604B" w:rsidRDefault="00702258" w:rsidP="00702258">
      <w:pPr>
        <w:spacing w:after="0" w:line="276" w:lineRule="auto"/>
        <w:ind w:left="1134" w:right="902"/>
        <w:jc w:val="both"/>
        <w:rPr>
          <w:rFonts w:ascii="Arial" w:eastAsia="Times New Roman" w:hAnsi="Arial" w:cs="Arial"/>
          <w:i/>
          <w:lang w:eastAsia="es-ES"/>
        </w:rPr>
      </w:pPr>
      <w:r w:rsidRPr="0034604B">
        <w:rPr>
          <w:rFonts w:ascii="Arial" w:eastAsia="Times New Roman" w:hAnsi="Arial" w:cs="Arial"/>
          <w:i/>
          <w:lang w:eastAsia="es-ES"/>
        </w:rPr>
        <w:t>En este orden de ideas, la caducidad corresponde a un término que se otorga para realizar un acto o para hacer uso de un derecho, generalmente por razones de orden público, con miras a no dejar en suspenso por mucho tiempo el ejercicio del derecho o la ejecución del acto de que se trata...”. (Negrillas fuera de texto).</w:t>
      </w:r>
    </w:p>
    <w:p w:rsidR="00702258" w:rsidRPr="0034604B" w:rsidRDefault="00702258" w:rsidP="00702258">
      <w:pPr>
        <w:spacing w:after="0" w:line="276" w:lineRule="auto"/>
        <w:ind w:right="51"/>
        <w:jc w:val="both"/>
        <w:rPr>
          <w:rFonts w:ascii="Arial" w:eastAsia="Times New Roman" w:hAnsi="Arial" w:cs="Arial"/>
          <w:sz w:val="24"/>
          <w:szCs w:val="24"/>
          <w:lang w:eastAsia="es-ES"/>
        </w:rPr>
      </w:pPr>
    </w:p>
    <w:p w:rsidR="00702258" w:rsidRPr="0034604B" w:rsidRDefault="00702258" w:rsidP="00702258">
      <w:pPr>
        <w:spacing w:after="0" w:line="276" w:lineRule="auto"/>
        <w:ind w:right="51"/>
        <w:jc w:val="both"/>
        <w:rPr>
          <w:rFonts w:ascii="Arial" w:eastAsia="Times New Roman" w:hAnsi="Arial" w:cs="Arial"/>
          <w:sz w:val="24"/>
          <w:szCs w:val="24"/>
          <w:lang w:eastAsia="es-ES"/>
        </w:rPr>
      </w:pPr>
      <w:r w:rsidRPr="0034604B">
        <w:rPr>
          <w:rFonts w:ascii="Arial" w:eastAsia="Times New Roman" w:hAnsi="Arial" w:cs="Arial"/>
          <w:sz w:val="24"/>
          <w:szCs w:val="24"/>
          <w:lang w:eastAsia="es-ES"/>
        </w:rPr>
        <w:t xml:space="preserve">También, el Consejo de Estado en proveído del  3 de marzo de 2010, radicación número: 13001-23-31-000-2008-00568-01(37268), refirió: </w:t>
      </w:r>
    </w:p>
    <w:p w:rsidR="00702258" w:rsidRPr="0034604B" w:rsidRDefault="00702258" w:rsidP="00702258">
      <w:pPr>
        <w:spacing w:after="0" w:line="276" w:lineRule="auto"/>
        <w:ind w:right="51"/>
        <w:jc w:val="both"/>
        <w:rPr>
          <w:rFonts w:ascii="Arial" w:eastAsia="Times New Roman" w:hAnsi="Arial" w:cs="Arial"/>
          <w:sz w:val="24"/>
          <w:szCs w:val="24"/>
          <w:lang w:eastAsia="es-ES"/>
        </w:rPr>
      </w:pPr>
    </w:p>
    <w:p w:rsidR="00702258" w:rsidRPr="0034604B" w:rsidRDefault="00702258" w:rsidP="00702258">
      <w:pPr>
        <w:widowControl w:val="0"/>
        <w:overflowPunct w:val="0"/>
        <w:autoSpaceDE w:val="0"/>
        <w:autoSpaceDN w:val="0"/>
        <w:adjustRightInd w:val="0"/>
        <w:spacing w:after="0" w:line="276" w:lineRule="auto"/>
        <w:ind w:left="708"/>
        <w:jc w:val="both"/>
        <w:textAlignment w:val="baseline"/>
        <w:rPr>
          <w:rFonts w:ascii="Arial" w:eastAsia="Times New Roman" w:hAnsi="Arial" w:cs="Arial"/>
          <w:bCs/>
          <w:i/>
          <w:lang w:val="es-ES_tradnl" w:eastAsia="es-ES"/>
        </w:rPr>
      </w:pPr>
      <w:r w:rsidRPr="0034604B">
        <w:rPr>
          <w:rFonts w:ascii="Arial" w:eastAsia="Times New Roman" w:hAnsi="Arial" w:cs="Arial"/>
          <w:bCs/>
          <w:i/>
          <w:lang w:val="es-ES_tradnl" w:eastAsia="es-ES"/>
        </w:rPr>
        <w:t>“1. -El fenómeno de la caducidad en la acción de nulidad y restablecimiento del derecho.</w:t>
      </w:r>
    </w:p>
    <w:p w:rsidR="00702258" w:rsidRPr="0034604B" w:rsidRDefault="00702258" w:rsidP="00702258">
      <w:pPr>
        <w:overflowPunct w:val="0"/>
        <w:autoSpaceDE w:val="0"/>
        <w:autoSpaceDN w:val="0"/>
        <w:adjustRightInd w:val="0"/>
        <w:spacing w:after="0" w:line="276" w:lineRule="auto"/>
        <w:ind w:left="708"/>
        <w:jc w:val="both"/>
        <w:textAlignment w:val="baseline"/>
        <w:rPr>
          <w:rFonts w:ascii="Arial" w:eastAsia="Times New Roman" w:hAnsi="Arial" w:cs="Arial"/>
          <w:i/>
          <w:lang w:val="es-ES_tradnl" w:eastAsia="es-ES"/>
        </w:rPr>
      </w:pPr>
      <w:r w:rsidRPr="0034604B">
        <w:rPr>
          <w:rFonts w:ascii="Arial" w:eastAsia="Times New Roman" w:hAnsi="Arial" w:cs="Arial"/>
          <w:i/>
          <w:lang w:val="es-ES_tradnl" w:eastAsia="es-ES"/>
        </w:rPr>
        <w:t xml:space="preserve">La caducidad es el plazo señalado por la ley para el ejercicio de determinada acción procesal; se entiende ocurrida cuando dicho lapso preestablecido ha vencido. Este fenómeno procesal tiene por objeto garantizar la seguridad jurídica de los sujetos procesales y consolidar las situaciones jurídicas que, de lo contrario, permanecerían indeterminadas en el tiempo. </w:t>
      </w:r>
    </w:p>
    <w:p w:rsidR="00702258" w:rsidRPr="0034604B" w:rsidRDefault="00702258" w:rsidP="00702258">
      <w:pPr>
        <w:overflowPunct w:val="0"/>
        <w:autoSpaceDE w:val="0"/>
        <w:autoSpaceDN w:val="0"/>
        <w:adjustRightInd w:val="0"/>
        <w:spacing w:after="0" w:line="276" w:lineRule="auto"/>
        <w:ind w:left="708"/>
        <w:jc w:val="both"/>
        <w:textAlignment w:val="baseline"/>
        <w:rPr>
          <w:rFonts w:ascii="Arial" w:eastAsia="Times New Roman" w:hAnsi="Arial" w:cs="Arial"/>
          <w:i/>
          <w:lang w:val="es-ES_tradnl" w:eastAsia="es-ES"/>
        </w:rPr>
      </w:pPr>
    </w:p>
    <w:p w:rsidR="00702258" w:rsidRPr="0034604B" w:rsidRDefault="00702258" w:rsidP="00702258">
      <w:pPr>
        <w:overflowPunct w:val="0"/>
        <w:autoSpaceDE w:val="0"/>
        <w:autoSpaceDN w:val="0"/>
        <w:adjustRightInd w:val="0"/>
        <w:spacing w:after="0" w:line="276" w:lineRule="auto"/>
        <w:ind w:left="708"/>
        <w:jc w:val="both"/>
        <w:textAlignment w:val="baseline"/>
        <w:rPr>
          <w:rFonts w:ascii="Arial" w:eastAsia="Times New Roman" w:hAnsi="Arial" w:cs="Arial"/>
          <w:i/>
          <w:lang w:val="es-ES_tradnl" w:eastAsia="es-ES"/>
        </w:rPr>
      </w:pPr>
      <w:r w:rsidRPr="0034604B">
        <w:rPr>
          <w:rFonts w:ascii="Arial" w:eastAsia="Times New Roman" w:hAnsi="Arial" w:cs="Arial"/>
          <w:i/>
          <w:lang w:val="es-ES_tradnl" w:eastAsia="es-ES"/>
        </w:rPr>
        <w:t xml:space="preserve">El plazo para que opere la caducidad no es susceptible de interrupción ni de renuncia e inicia aún contra la voluntad del titular de la acción (siempre que se presenten las circunstancias señaladas por la ley), por consiguiente, el ejercicio del </w:t>
      </w:r>
      <w:r w:rsidRPr="0034604B">
        <w:rPr>
          <w:rFonts w:ascii="Arial" w:eastAsia="Times New Roman" w:hAnsi="Arial" w:cs="Arial"/>
          <w:i/>
          <w:lang w:val="es-ES_tradnl" w:eastAsia="es-ES"/>
        </w:rPr>
        <w:lastRenderedPageBreak/>
        <w:t xml:space="preserve">derecho de acción está supeditado a que no haya ocurrido este fenómeno procesal. </w:t>
      </w:r>
    </w:p>
    <w:p w:rsidR="00702258" w:rsidRPr="0034604B" w:rsidRDefault="00702258" w:rsidP="00702258">
      <w:pPr>
        <w:overflowPunct w:val="0"/>
        <w:autoSpaceDE w:val="0"/>
        <w:autoSpaceDN w:val="0"/>
        <w:adjustRightInd w:val="0"/>
        <w:spacing w:after="0" w:line="276" w:lineRule="auto"/>
        <w:ind w:left="708"/>
        <w:jc w:val="both"/>
        <w:textAlignment w:val="baseline"/>
        <w:rPr>
          <w:rFonts w:ascii="Arial" w:eastAsia="Times New Roman" w:hAnsi="Arial" w:cs="Arial"/>
          <w:i/>
          <w:lang w:val="es-ES_tradnl" w:eastAsia="es-ES"/>
        </w:rPr>
      </w:pPr>
    </w:p>
    <w:p w:rsidR="00702258" w:rsidRPr="0034604B" w:rsidRDefault="00702258" w:rsidP="00702258">
      <w:pPr>
        <w:overflowPunct w:val="0"/>
        <w:autoSpaceDE w:val="0"/>
        <w:autoSpaceDN w:val="0"/>
        <w:adjustRightInd w:val="0"/>
        <w:spacing w:after="0" w:line="276" w:lineRule="auto"/>
        <w:ind w:left="708"/>
        <w:jc w:val="both"/>
        <w:textAlignment w:val="baseline"/>
        <w:rPr>
          <w:rFonts w:ascii="Arial" w:eastAsia="Times New Roman" w:hAnsi="Arial" w:cs="Arial"/>
          <w:i/>
          <w:lang w:val="es-ES_tradnl" w:eastAsia="es-ES"/>
        </w:rPr>
      </w:pPr>
      <w:r w:rsidRPr="0034604B">
        <w:rPr>
          <w:rFonts w:ascii="Arial" w:eastAsia="Times New Roman" w:hAnsi="Arial" w:cs="Arial"/>
          <w:i/>
          <w:lang w:val="es-ES_tradnl" w:eastAsia="es-ES"/>
        </w:rPr>
        <w:t>Se debe precisar también que el término de caducidad fijado por la ley no hace consideración alguna acerca de situaciones personales y es totalmente invariable e improrrogable, por tanto, una demanda sólo puede ser interpuesta dentro del término previsto para la acción respectiva.</w:t>
      </w:r>
    </w:p>
    <w:p w:rsidR="00702258" w:rsidRPr="0034604B" w:rsidRDefault="00702258" w:rsidP="00702258">
      <w:pPr>
        <w:overflowPunct w:val="0"/>
        <w:autoSpaceDE w:val="0"/>
        <w:autoSpaceDN w:val="0"/>
        <w:adjustRightInd w:val="0"/>
        <w:spacing w:after="0" w:line="276" w:lineRule="auto"/>
        <w:ind w:left="708"/>
        <w:jc w:val="both"/>
        <w:textAlignment w:val="baseline"/>
        <w:rPr>
          <w:rFonts w:ascii="Arial" w:eastAsia="Times New Roman" w:hAnsi="Arial" w:cs="Arial"/>
          <w:i/>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pacing w:val="-3"/>
          <w:sz w:val="24"/>
          <w:szCs w:val="24"/>
          <w:lang w:val="es-ES_tradnl" w:eastAsia="es-ES"/>
        </w:rPr>
        <w:t xml:space="preserve">Descendiendo al caso concreto, observa el Juzgado, que se pretende la nulidad del </w:t>
      </w:r>
      <w:r w:rsidR="002A106C">
        <w:rPr>
          <w:rFonts w:ascii="Arial" w:eastAsia="Times New Roman" w:hAnsi="Arial" w:cs="Arial"/>
          <w:b/>
          <w:spacing w:val="-3"/>
          <w:sz w:val="24"/>
          <w:szCs w:val="24"/>
          <w:lang w:val="es-ES_tradnl" w:eastAsia="es-ES"/>
        </w:rPr>
        <w:t>Resolución</w:t>
      </w:r>
      <w:r w:rsidR="0009621E">
        <w:rPr>
          <w:rFonts w:ascii="Arial" w:eastAsia="Times New Roman" w:hAnsi="Arial" w:cs="Arial"/>
          <w:b/>
          <w:spacing w:val="-3"/>
          <w:sz w:val="24"/>
          <w:szCs w:val="24"/>
          <w:lang w:val="es-ES_tradnl" w:eastAsia="es-ES"/>
        </w:rPr>
        <w:t xml:space="preserve"> 606 DEL 13 DEFEBRERO DE 2013</w:t>
      </w:r>
      <w:r>
        <w:rPr>
          <w:rFonts w:ascii="Arial" w:eastAsia="Times New Roman" w:hAnsi="Arial" w:cs="Arial"/>
          <w:spacing w:val="-3"/>
          <w:sz w:val="24"/>
          <w:szCs w:val="24"/>
          <w:lang w:val="es-ES_tradnl" w:eastAsia="es-ES"/>
        </w:rPr>
        <w:t xml:space="preserve">, mediante el cual </w:t>
      </w:r>
      <w:r w:rsidRPr="0034604B">
        <w:rPr>
          <w:rFonts w:ascii="Arial" w:eastAsia="Times New Roman" w:hAnsi="Arial" w:cs="Arial"/>
          <w:spacing w:val="-3"/>
          <w:sz w:val="24"/>
          <w:szCs w:val="24"/>
          <w:lang w:val="es-ES_tradnl" w:eastAsia="es-ES"/>
        </w:rPr>
        <w:t xml:space="preserve">se </w:t>
      </w:r>
      <w:r>
        <w:rPr>
          <w:rFonts w:ascii="Arial" w:eastAsia="Times New Roman" w:hAnsi="Arial" w:cs="Arial"/>
          <w:spacing w:val="-3"/>
          <w:sz w:val="24"/>
          <w:szCs w:val="24"/>
          <w:lang w:val="es-ES_tradnl" w:eastAsia="es-ES"/>
        </w:rPr>
        <w:t xml:space="preserve">le </w:t>
      </w:r>
      <w:r w:rsidRPr="0034604B">
        <w:rPr>
          <w:rFonts w:ascii="Arial" w:eastAsia="Times New Roman" w:hAnsi="Arial" w:cs="Arial"/>
          <w:spacing w:val="-3"/>
          <w:sz w:val="24"/>
          <w:szCs w:val="24"/>
          <w:lang w:val="es-ES_tradnl" w:eastAsia="es-ES"/>
        </w:rPr>
        <w:t xml:space="preserve">niega el reconocimiento y pago de la </w:t>
      </w:r>
      <w:proofErr w:type="gramStart"/>
      <w:r w:rsidRPr="0034604B">
        <w:rPr>
          <w:rFonts w:ascii="Arial" w:eastAsia="Times New Roman" w:hAnsi="Arial" w:cs="Arial"/>
          <w:spacing w:val="-3"/>
          <w:sz w:val="24"/>
          <w:szCs w:val="24"/>
          <w:lang w:val="es-ES_tradnl" w:eastAsia="es-ES"/>
        </w:rPr>
        <w:t>prima  de</w:t>
      </w:r>
      <w:proofErr w:type="gramEnd"/>
      <w:r w:rsidRPr="0034604B">
        <w:rPr>
          <w:rFonts w:ascii="Arial" w:eastAsia="Times New Roman" w:hAnsi="Arial" w:cs="Arial"/>
          <w:spacing w:val="-3"/>
          <w:sz w:val="24"/>
          <w:szCs w:val="24"/>
          <w:lang w:val="es-ES_tradnl" w:eastAsia="es-ES"/>
        </w:rPr>
        <w:t xml:space="preserve"> servicios.</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pacing w:val="-3"/>
          <w:sz w:val="24"/>
          <w:szCs w:val="24"/>
          <w:lang w:val="es-ES_tradnl" w:eastAsia="es-ES"/>
        </w:rPr>
        <w:t xml:space="preserve">Con base en el mismo, esta Agencia Judicial concluye que, para la fecha de presentación de la demanda, esto es, </w:t>
      </w:r>
      <w:r>
        <w:rPr>
          <w:rFonts w:ascii="Arial" w:eastAsia="Times New Roman" w:hAnsi="Arial" w:cs="Arial"/>
          <w:b/>
          <w:spacing w:val="-3"/>
          <w:sz w:val="24"/>
          <w:szCs w:val="24"/>
          <w:lang w:val="es-ES_tradnl" w:eastAsia="es-ES"/>
        </w:rPr>
        <w:t>16 de marzo de 2015</w:t>
      </w:r>
      <w:r w:rsidRPr="0034604B">
        <w:rPr>
          <w:rFonts w:ascii="Arial" w:eastAsia="Times New Roman" w:hAnsi="Arial" w:cs="Arial"/>
          <w:spacing w:val="-3"/>
          <w:sz w:val="24"/>
          <w:szCs w:val="24"/>
          <w:lang w:val="es-ES_tradnl" w:eastAsia="es-ES"/>
        </w:rPr>
        <w:t>, la acción se encontraba caducada, si se tiene en cuenta que, a juicio del Despacho, la prima de servicios no es considerada una prestación periódica.</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pacing w:val="-3"/>
          <w:sz w:val="24"/>
          <w:szCs w:val="24"/>
          <w:lang w:val="es-ES_tradnl" w:eastAsia="es-ES"/>
        </w:rPr>
        <w:t xml:space="preserve">En este sentido se pronunció el H. Tribunal Administrativo de Antioquia en proveído del 14 de marzo de 2014, M.P. Gonzalo Zambrano </w:t>
      </w:r>
      <w:proofErr w:type="spellStart"/>
      <w:r w:rsidRPr="0034604B">
        <w:rPr>
          <w:rFonts w:ascii="Arial" w:eastAsia="Times New Roman" w:hAnsi="Arial" w:cs="Arial"/>
          <w:spacing w:val="-3"/>
          <w:sz w:val="24"/>
          <w:szCs w:val="24"/>
          <w:lang w:val="es-ES_tradnl" w:eastAsia="es-ES"/>
        </w:rPr>
        <w:t>Velandia</w:t>
      </w:r>
      <w:proofErr w:type="spellEnd"/>
      <w:r w:rsidRPr="0034604B">
        <w:rPr>
          <w:rFonts w:ascii="Arial" w:eastAsia="Times New Roman" w:hAnsi="Arial" w:cs="Arial"/>
          <w:spacing w:val="-3"/>
          <w:sz w:val="24"/>
          <w:szCs w:val="24"/>
          <w:lang w:val="es-ES_tradnl" w:eastAsia="es-ES"/>
        </w:rPr>
        <w:t>, expediente 05001333302020130071401. Al respecto señaló:</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autoSpaceDE w:val="0"/>
        <w:autoSpaceDN w:val="0"/>
        <w:adjustRightInd w:val="0"/>
        <w:spacing w:after="0" w:line="276" w:lineRule="auto"/>
        <w:ind w:left="708"/>
        <w:jc w:val="both"/>
        <w:rPr>
          <w:rFonts w:ascii="Arial" w:eastAsia="Calibri" w:hAnsi="Arial" w:cs="Arial"/>
          <w:lang w:val="es-CO" w:eastAsia="es-CO"/>
        </w:rPr>
      </w:pPr>
      <w:r w:rsidRPr="0034604B">
        <w:rPr>
          <w:rFonts w:ascii="Arial" w:eastAsia="Calibri" w:hAnsi="Arial" w:cs="Arial"/>
          <w:lang w:val="es-CO" w:eastAsia="es-CO"/>
        </w:rPr>
        <w:t>“Ahora pues, es menester determinar si la Prima de Servicios es como lo aduce la parte demandante una prestación periódica, siendo del caso precisar que dicha prestación económica fue consagrada en el Decreto 1045 de 1978 como factor salarial para la liquidación de algunas prestaciones sociales, tales como las vacaciones, cesantías, prima de vacaciones, entre otras.</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firstLine="708"/>
        <w:jc w:val="both"/>
        <w:rPr>
          <w:rFonts w:ascii="Arial" w:eastAsia="Calibri" w:hAnsi="Arial" w:cs="Arial"/>
          <w:lang w:val="es-CO" w:eastAsia="es-CO"/>
        </w:rPr>
      </w:pPr>
      <w:r w:rsidRPr="0034604B">
        <w:rPr>
          <w:rFonts w:ascii="Arial" w:eastAsia="Calibri" w:hAnsi="Arial" w:cs="Arial"/>
          <w:lang w:val="es-CO" w:eastAsia="es-CO"/>
        </w:rPr>
        <w:t>Por su parte el Decreto 1042 de 1978 consagró la prima de servicios, así:</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1416"/>
        <w:jc w:val="both"/>
        <w:rPr>
          <w:rFonts w:ascii="TTE2636268t00" w:eastAsia="Calibri" w:hAnsi="TTE2636268t00" w:cs="TTE2636268t00"/>
          <w:sz w:val="24"/>
          <w:szCs w:val="24"/>
          <w:lang w:val="es-CO" w:eastAsia="es-CO"/>
        </w:rPr>
      </w:pPr>
      <w:r w:rsidRPr="0034604B">
        <w:rPr>
          <w:rFonts w:ascii="Arial" w:eastAsia="Calibri" w:hAnsi="Arial" w:cs="Arial"/>
          <w:lang w:val="es-CO" w:eastAsia="es-CO"/>
        </w:rPr>
        <w:t xml:space="preserve">“ARTICULO 58. LA PRIMA DE SERVICIO. Los funcionarios a quienes se aplica el presente Decreto tendrán derecho a una prima de servicio anual equivalente a </w:t>
      </w:r>
      <w:r w:rsidRPr="0034604B">
        <w:rPr>
          <w:rFonts w:ascii="TTE2636268t00" w:eastAsia="Calibri" w:hAnsi="TTE2636268t00" w:cs="TTE2636268t00"/>
          <w:sz w:val="24"/>
          <w:szCs w:val="24"/>
          <w:lang w:val="es-CO" w:eastAsia="es-CO"/>
        </w:rPr>
        <w:t>quince días de remuneración que se pagará en los primeros quince días del mes de julio de cada año.</w:t>
      </w:r>
    </w:p>
    <w:p w:rsidR="00702258" w:rsidRPr="0034604B" w:rsidRDefault="00702258" w:rsidP="00702258">
      <w:pPr>
        <w:autoSpaceDE w:val="0"/>
        <w:autoSpaceDN w:val="0"/>
        <w:adjustRightInd w:val="0"/>
        <w:spacing w:after="0" w:line="276" w:lineRule="auto"/>
        <w:rPr>
          <w:rFonts w:ascii="TTE2636268t00" w:eastAsia="Calibri" w:hAnsi="TTE2636268t00" w:cs="TTE2636268t00"/>
          <w:sz w:val="24"/>
          <w:szCs w:val="24"/>
          <w:lang w:val="es-CO" w:eastAsia="es-CO"/>
        </w:rPr>
      </w:pPr>
    </w:p>
    <w:p w:rsidR="00702258" w:rsidRPr="0034604B" w:rsidRDefault="00702258" w:rsidP="00702258">
      <w:pPr>
        <w:autoSpaceDE w:val="0"/>
        <w:autoSpaceDN w:val="0"/>
        <w:adjustRightInd w:val="0"/>
        <w:spacing w:after="0" w:line="276" w:lineRule="auto"/>
        <w:ind w:left="1416"/>
        <w:jc w:val="both"/>
        <w:rPr>
          <w:rFonts w:ascii="TTE2636268t00" w:eastAsia="Calibri" w:hAnsi="TTE2636268t00" w:cs="TTE2636268t00"/>
          <w:sz w:val="24"/>
          <w:szCs w:val="24"/>
          <w:lang w:val="es-CO" w:eastAsia="es-CO"/>
        </w:rPr>
      </w:pPr>
      <w:r w:rsidRPr="0034604B">
        <w:rPr>
          <w:rFonts w:ascii="TTE2636268t00" w:eastAsia="Calibri" w:hAnsi="TTE2636268t00" w:cs="TTE2636268t00"/>
          <w:sz w:val="24"/>
          <w:szCs w:val="24"/>
          <w:lang w:val="es-CO" w:eastAsia="es-CO"/>
        </w:rPr>
        <w:t>Esta prima no regirá para los funcionarios que con anterioridad tengan asignada esta contraprestación cualquiera que sea su nombre.”</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708"/>
        <w:jc w:val="both"/>
        <w:rPr>
          <w:rFonts w:ascii="Arial" w:eastAsia="Times New Roman" w:hAnsi="Arial" w:cs="Arial"/>
          <w:spacing w:val="-3"/>
          <w:lang w:val="es-ES_tradnl" w:eastAsia="es-ES"/>
        </w:rPr>
      </w:pPr>
      <w:r w:rsidRPr="0034604B">
        <w:rPr>
          <w:rFonts w:ascii="Arial" w:eastAsia="Calibri" w:hAnsi="Arial" w:cs="Arial"/>
          <w:lang w:val="es-CO" w:eastAsia="es-CO"/>
        </w:rPr>
        <w:t>El Máximo Tribunal Contencioso en sentencia del quince (15) de septiembre de dos mil once (2011) hizo claridad, respecto de la interpretación que debe darse a la luz de la norma al concepto de prestación periódica, providencia en la que preceptuó:</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530E8" w:rsidRDefault="00702258" w:rsidP="00702258">
      <w:pPr>
        <w:autoSpaceDE w:val="0"/>
        <w:autoSpaceDN w:val="0"/>
        <w:adjustRightInd w:val="0"/>
        <w:spacing w:after="0" w:line="276" w:lineRule="auto"/>
        <w:ind w:left="1416"/>
        <w:jc w:val="both"/>
        <w:rPr>
          <w:rFonts w:ascii="Arial" w:eastAsia="Times New Roman" w:hAnsi="Arial" w:cs="Arial"/>
          <w:spacing w:val="-3"/>
          <w:lang w:val="es-ES_tradnl" w:eastAsia="es-ES"/>
        </w:rPr>
      </w:pPr>
      <w:r w:rsidRPr="0034604B">
        <w:rPr>
          <w:rFonts w:ascii="Arial" w:eastAsia="Calibri" w:hAnsi="Arial" w:cs="Arial"/>
          <w:lang w:val="es-CO" w:eastAsia="es-CO"/>
        </w:rPr>
        <w:t xml:space="preserve">“Como se observa, la norma transcrita consagra una excepción a la caducidad de la acción cuando se trata de actos administrativos que reconocen prestaciones periódicas, sin embargo, la naturaleza jurídica de las homologaciones y nivelaciones salariales impide la aplicación de este </w:t>
      </w:r>
      <w:r w:rsidRPr="0034604B">
        <w:rPr>
          <w:rFonts w:ascii="Arial" w:eastAsia="Calibri" w:hAnsi="Arial" w:cs="Arial"/>
          <w:lang w:val="es-CO" w:eastAsia="es-CO"/>
        </w:rPr>
        <w:lastRenderedPageBreak/>
        <w:t>beneficio por cuanto, no se consideran como prestaciones periódicas. Al respecto, esta Corporación ha señalado:</w:t>
      </w:r>
    </w:p>
    <w:p w:rsidR="00702258" w:rsidRPr="0034604B" w:rsidRDefault="00702258" w:rsidP="00702258">
      <w:pPr>
        <w:autoSpaceDE w:val="0"/>
        <w:autoSpaceDN w:val="0"/>
        <w:adjustRightInd w:val="0"/>
        <w:spacing w:after="0" w:line="276" w:lineRule="auto"/>
        <w:ind w:left="1416"/>
        <w:jc w:val="both"/>
        <w:rPr>
          <w:rFonts w:ascii="Arial" w:eastAsia="Calibri" w:hAnsi="Arial" w:cs="Arial"/>
          <w:lang w:val="es-CO" w:eastAsia="es-CO"/>
        </w:rPr>
      </w:pPr>
      <w:r w:rsidRPr="0034604B">
        <w:rPr>
          <w:rFonts w:ascii="Arial" w:eastAsia="Calibri" w:hAnsi="Arial" w:cs="Arial"/>
          <w:lang w:val="es-CO" w:eastAsia="es-CO"/>
        </w:rPr>
        <w:t>Si la interpretación sobre lo que debe entenderse por prestación periódica fuera el significado lingüístico de las palabras, sería elemental que el actor tendría razón.</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1416"/>
        <w:jc w:val="both"/>
        <w:rPr>
          <w:rFonts w:ascii="Arial" w:eastAsia="Calibri" w:hAnsi="Arial" w:cs="Arial"/>
          <w:lang w:val="es-CO" w:eastAsia="es-CO"/>
        </w:rPr>
      </w:pPr>
      <w:r w:rsidRPr="0034604B">
        <w:rPr>
          <w:rFonts w:ascii="Arial" w:eastAsia="Calibri" w:hAnsi="Arial" w:cs="Arial"/>
          <w:lang w:val="es-CO" w:eastAsia="es-CO"/>
        </w:rPr>
        <w:t>No obstante, tal método, cuando la ley se encarga de poner ejemplos sobre los cuales son las prestaciones periódicas, no es eficaz y debe atenderse a la orientación que brinda aquella. En efecto, el artículo 131,6 letra b) del CCA, se refiere a las pensiones de jubilación y de invalidez como prestaciones periódicas, referencia que debe observarse para los efectos del inciso 3º del artículo 136 ibídem, pues la norma en últimas lo que da a entender es que tratándose de derechos que existen durante la vida del titular y después respecto de los beneficiarios llamados a sustituirse también en forma vitalicia (cónyuge, compañera o hijo inválidos), es lógico, justificable y razonable que en cualquier tiempo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1416"/>
        <w:jc w:val="both"/>
        <w:rPr>
          <w:rFonts w:ascii="Arial" w:eastAsia="Calibri" w:hAnsi="Arial" w:cs="Arial"/>
          <w:lang w:val="es-CO" w:eastAsia="es-CO"/>
        </w:rPr>
      </w:pPr>
      <w:r w:rsidRPr="0034604B">
        <w:rPr>
          <w:rFonts w:ascii="Arial" w:eastAsia="Calibri" w:hAnsi="Arial" w:cs="Arial"/>
          <w:lang w:val="es-CO" w:eastAsia="es-CO"/>
        </w:rPr>
        <w:t>Si tal no fuera el alcance de la norma, resultaría que como en el derecho laboral casi todos los derechos se causan por un determinado tiempo, habría que concluir en esa materia la indefinición de los conflictos sería la constante, porque no operaría la caducidad en las acciones de nulidad y restablecimiento del derecho y tal interpretación sería absurda, a juicio de la Sala.</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1416"/>
        <w:jc w:val="both"/>
        <w:rPr>
          <w:rFonts w:ascii="Arial" w:eastAsia="Times New Roman" w:hAnsi="Arial" w:cs="Arial"/>
          <w:spacing w:val="-3"/>
          <w:lang w:val="es-ES_tradnl" w:eastAsia="es-ES"/>
        </w:rPr>
      </w:pPr>
      <w:r w:rsidRPr="0034604B">
        <w:rPr>
          <w:rFonts w:ascii="Arial" w:eastAsia="Calibri" w:hAnsi="Arial" w:cs="Arial"/>
          <w:lang w:val="es-CO" w:eastAsia="es-CO"/>
        </w:rPr>
        <w:t>En consecuencia, observa la Sala que en el presente asunto no se debate una prestación periódica que pueda ser demandada mediante acción de nulidad y restablecimiento del derecho en cualquier tiempo, sino una homologación y las consecuencias salariales que de ella se deriven, acto que debió ser impugnado ante la Jurisdicción Contenciosa dentro de los 4 meses, contados desde el día siguiente al de su notificación.”</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autoSpaceDE w:val="0"/>
        <w:autoSpaceDN w:val="0"/>
        <w:adjustRightInd w:val="0"/>
        <w:spacing w:after="0" w:line="276" w:lineRule="auto"/>
        <w:ind w:left="708"/>
        <w:jc w:val="both"/>
        <w:rPr>
          <w:rFonts w:ascii="Arial" w:eastAsia="Calibri" w:hAnsi="Arial" w:cs="Arial"/>
          <w:lang w:val="es-CO" w:eastAsia="es-CO"/>
        </w:rPr>
      </w:pPr>
      <w:r w:rsidRPr="0034604B">
        <w:rPr>
          <w:rFonts w:ascii="Arial" w:eastAsia="Calibri" w:hAnsi="Arial" w:cs="Arial"/>
          <w:lang w:val="es-CO" w:eastAsia="es-CO"/>
        </w:rPr>
        <w:t>El Consejo de Estado, ha realizado ciertas precisiones en cuanto al carácter de periódica de algunas prestaciones sociales, señalando en el caso de las cesantías lo siguiente:</w:t>
      </w:r>
    </w:p>
    <w:p w:rsidR="00702258" w:rsidRPr="0034604B" w:rsidRDefault="00702258" w:rsidP="00702258">
      <w:pPr>
        <w:autoSpaceDE w:val="0"/>
        <w:autoSpaceDN w:val="0"/>
        <w:adjustRightInd w:val="0"/>
        <w:spacing w:after="0" w:line="276" w:lineRule="auto"/>
        <w:ind w:left="708"/>
        <w:jc w:val="both"/>
        <w:rPr>
          <w:rFonts w:ascii="Arial" w:eastAsia="Times New Roman" w:hAnsi="Arial" w:cs="Arial"/>
          <w:spacing w:val="-3"/>
          <w:lang w:val="es-ES_tradnl" w:eastAsia="es-ES"/>
        </w:rPr>
      </w:pPr>
    </w:p>
    <w:p w:rsidR="00702258" w:rsidRDefault="00702258" w:rsidP="00702258">
      <w:pPr>
        <w:autoSpaceDE w:val="0"/>
        <w:autoSpaceDN w:val="0"/>
        <w:adjustRightInd w:val="0"/>
        <w:spacing w:after="0" w:line="276" w:lineRule="auto"/>
        <w:ind w:left="1416"/>
        <w:jc w:val="both"/>
        <w:rPr>
          <w:rFonts w:ascii="Arial" w:eastAsia="Calibri" w:hAnsi="Arial" w:cs="Arial"/>
          <w:lang w:val="es-CO" w:eastAsia="es-CO"/>
        </w:rPr>
      </w:pPr>
      <w:r w:rsidRPr="0034604B">
        <w:rPr>
          <w:rFonts w:ascii="Arial" w:eastAsia="Calibri" w:hAnsi="Arial" w:cs="Arial"/>
          <w:lang w:val="es-CO" w:eastAsia="es-CO"/>
        </w:rPr>
        <w:t>“Tanto la doctrina como la jurisprudencia han precisado que la cesantía, es una prestación social que no es periódica, sino que se causa por períodos determinados, lo que implica que el derecho a percibirla se agote al concluir el ciclo que la origina y que obliga a la administración a reconocerla y pagarla, emitiendo para ello un acto administrativo cuya legalidad puede controvertirse, previo agotamiento de la vía gubernativa, si a ello hubiere lugar, dentro de los cuatro meses siguientes a su notificación, so pena de que se produzca la caducidad de la acción al tenor de lo dispuesto en el artículo 134 del C. C. A.”</w:t>
      </w:r>
    </w:p>
    <w:p w:rsidR="00702258" w:rsidRPr="0034604B" w:rsidRDefault="00702258" w:rsidP="00702258">
      <w:pPr>
        <w:autoSpaceDE w:val="0"/>
        <w:autoSpaceDN w:val="0"/>
        <w:adjustRightInd w:val="0"/>
        <w:spacing w:after="0" w:line="276" w:lineRule="auto"/>
        <w:ind w:left="1416"/>
        <w:jc w:val="both"/>
        <w:rPr>
          <w:rFonts w:ascii="Arial" w:eastAsia="Times New Roman" w:hAnsi="Arial" w:cs="Arial"/>
          <w:spacing w:val="-3"/>
          <w:lang w:val="es-ES_tradnl" w:eastAsia="es-ES"/>
        </w:rPr>
      </w:pPr>
    </w:p>
    <w:p w:rsidR="00702258" w:rsidRPr="0034604B" w:rsidRDefault="00702258" w:rsidP="00702258">
      <w:pPr>
        <w:autoSpaceDE w:val="0"/>
        <w:autoSpaceDN w:val="0"/>
        <w:adjustRightInd w:val="0"/>
        <w:spacing w:after="0" w:line="276" w:lineRule="auto"/>
        <w:ind w:left="708"/>
        <w:jc w:val="both"/>
        <w:rPr>
          <w:rFonts w:ascii="Arial" w:eastAsia="Calibri" w:hAnsi="Arial" w:cs="Arial"/>
          <w:lang w:val="es-CO" w:eastAsia="es-CO"/>
        </w:rPr>
      </w:pPr>
      <w:r w:rsidRPr="0034604B">
        <w:rPr>
          <w:rFonts w:ascii="Arial" w:eastAsia="Calibri" w:hAnsi="Arial" w:cs="Arial"/>
          <w:lang w:val="es-CO" w:eastAsia="es-CO"/>
        </w:rPr>
        <w:lastRenderedPageBreak/>
        <w:t xml:space="preserve">De la jurisprudencia anteriormente citada se infiere que no todo derecho laboral constituye una prestación periódica, en tanto, muchos de ellos se generan por tiempo determinado;  </w:t>
      </w:r>
      <w:r w:rsidR="00001794">
        <w:rPr>
          <w:rFonts w:ascii="Arial" w:eastAsia="Calibri" w:hAnsi="Arial" w:cs="Arial"/>
          <w:lang w:val="es-CO" w:eastAsia="es-CO"/>
        </w:rPr>
        <w:t>a</w:t>
      </w:r>
      <w:r w:rsidRPr="0034604B">
        <w:rPr>
          <w:rFonts w:ascii="Arial" w:eastAsia="Calibri" w:hAnsi="Arial" w:cs="Arial"/>
          <w:lang w:val="es-CO" w:eastAsia="es-CO"/>
        </w:rPr>
        <w:t>sí mismo, debe tomarse en consideración la diferencia que existe entre las prestaciones periódicas y aquellas que se causan por tiempo determinado.</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708"/>
        <w:jc w:val="both"/>
        <w:rPr>
          <w:rFonts w:ascii="Arial" w:eastAsia="Calibri" w:hAnsi="Arial" w:cs="Arial"/>
          <w:lang w:val="es-CO" w:eastAsia="es-CO"/>
        </w:rPr>
      </w:pPr>
      <w:r w:rsidRPr="0034604B">
        <w:rPr>
          <w:rFonts w:ascii="Arial" w:eastAsia="Calibri" w:hAnsi="Arial" w:cs="Arial"/>
          <w:lang w:val="es-CO" w:eastAsia="es-CO"/>
        </w:rPr>
        <w:t>Como se anotó en párrafos precedentes, la prima de servicio es una remuneración anual equivalente a quince (15) días de salario, pagadera los primeros días del mes de julio, por lo tanto, a diferencia de la pensión esta prestación se causa por un año laborado y por esa misma razón se paga de manera proporcional cuando el tiempo trabajado no corresponde a dicho término, por lo que respecto de este reconocimiento no puede hablarse de habitualidad y por ello no puede asignársele el carácter de periódica.</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708"/>
        <w:jc w:val="both"/>
        <w:rPr>
          <w:rFonts w:ascii="Arial" w:eastAsia="Times New Roman" w:hAnsi="Arial" w:cs="Arial"/>
          <w:spacing w:val="-3"/>
          <w:lang w:val="es-ES_tradnl" w:eastAsia="es-ES"/>
        </w:rPr>
      </w:pPr>
      <w:r w:rsidRPr="0034604B">
        <w:rPr>
          <w:rFonts w:ascii="Arial" w:eastAsia="Calibri" w:hAnsi="Arial" w:cs="Arial"/>
          <w:lang w:val="es-CO" w:eastAsia="es-CO"/>
        </w:rPr>
        <w:t>Por otra parte, en sentencia del veinticuatro (24) de mayo de dos mil siete (2007) el Consejo de Estado, manifestó que el mero hecho de que la prestación sea periódica no implica que se pueda demandarse en cualquier tiempo:</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autoSpaceDE w:val="0"/>
        <w:autoSpaceDN w:val="0"/>
        <w:adjustRightInd w:val="0"/>
        <w:spacing w:after="0" w:line="276" w:lineRule="auto"/>
        <w:ind w:left="1416"/>
        <w:jc w:val="both"/>
        <w:rPr>
          <w:rFonts w:ascii="Arial" w:eastAsia="Calibri" w:hAnsi="Arial" w:cs="Arial"/>
          <w:lang w:val="es-CO" w:eastAsia="es-CO"/>
        </w:rPr>
      </w:pPr>
      <w:r w:rsidRPr="0034604B">
        <w:rPr>
          <w:rFonts w:ascii="Arial" w:eastAsia="Calibri" w:hAnsi="Arial" w:cs="Arial"/>
          <w:lang w:val="es-CO" w:eastAsia="es-CO"/>
        </w:rPr>
        <w:t>“La posibilidad de demandar en cualquier tiempo, apunta a los actos que tienen el carácter de prestación periódica, es decir, aquellos actos que reconocen emolumentos que habitualmente percibe el beneficiario. En ese sentido, los actos que reconocen prestaciones periódicas, comprende no sólo decisiones que reconocen prestaciones sociales, sino también envuelve los actos que reconocen prestaciones salariales que periódicamente se sufragan al beneficiario, siempre y cuando la periodicidad en la retribución se encuentre vigente. La prima técnica se otorga a título de reconocimiento económico a los funcionarios altamente calificados o por evaluación del desempeño, en determinado porcentaje de la asignación básica mensual. Una vez asignada, se convierte en remuneración periódica del beneficiario. A lo anterior se agrega que la periodicidad de la prima técnica, depende de que una vez sea asignada, el beneficiario se encuentre percibiéndola, en caso contrario dejará de ser periódica.”</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1416"/>
        <w:jc w:val="both"/>
        <w:rPr>
          <w:rFonts w:ascii="Arial" w:eastAsia="Calibri" w:hAnsi="Arial" w:cs="Arial"/>
          <w:lang w:val="es-CO" w:eastAsia="es-CO"/>
        </w:rPr>
      </w:pPr>
      <w:r w:rsidRPr="0034604B">
        <w:rPr>
          <w:rFonts w:ascii="Arial" w:eastAsia="Calibri" w:hAnsi="Arial" w:cs="Arial"/>
          <w:lang w:val="es-CO" w:eastAsia="es-CO"/>
        </w:rPr>
        <w:t>“La posibilidad de demandar en cualquier tiempo, apunta a los actos que tienen el carácter de “prestación periódica”, es decir, aquellos actos que reconocen emolumentos que habitualmente percibe el beneficiario.</w:t>
      </w:r>
    </w:p>
    <w:p w:rsidR="00702258" w:rsidRPr="0034604B" w:rsidRDefault="00702258" w:rsidP="00702258">
      <w:pPr>
        <w:autoSpaceDE w:val="0"/>
        <w:autoSpaceDN w:val="0"/>
        <w:adjustRightInd w:val="0"/>
        <w:spacing w:after="0" w:line="276" w:lineRule="auto"/>
        <w:jc w:val="both"/>
        <w:rPr>
          <w:rFonts w:ascii="Arial" w:eastAsia="Calibri" w:hAnsi="Arial" w:cs="Arial"/>
          <w:lang w:val="es-CO" w:eastAsia="es-CO"/>
        </w:rPr>
      </w:pPr>
    </w:p>
    <w:p w:rsidR="00702258" w:rsidRPr="0034604B" w:rsidRDefault="00702258" w:rsidP="00702258">
      <w:pPr>
        <w:autoSpaceDE w:val="0"/>
        <w:autoSpaceDN w:val="0"/>
        <w:adjustRightInd w:val="0"/>
        <w:spacing w:after="0" w:line="276" w:lineRule="auto"/>
        <w:ind w:left="1416"/>
        <w:jc w:val="both"/>
        <w:rPr>
          <w:rFonts w:ascii="Arial" w:eastAsia="Times New Roman" w:hAnsi="Arial" w:cs="Arial"/>
          <w:spacing w:val="-3"/>
          <w:lang w:val="es-ES_tradnl" w:eastAsia="es-ES"/>
        </w:rPr>
      </w:pPr>
      <w:r w:rsidRPr="0034604B">
        <w:rPr>
          <w:rFonts w:ascii="Arial" w:eastAsia="Calibri" w:hAnsi="Arial" w:cs="Arial"/>
          <w:lang w:val="es-CO" w:eastAsia="es-CO"/>
        </w:rPr>
        <w:t>En ese sentido los actos que reconocen prestaciones periódicas, comprende no sólo decisiones que reconocen prestaciones sociales, sino que también envuelve los actos que reconocen prestaciones salariales que periódicamente se sufragan al beneficiario, siempre y cuando la periodicidad en la retribución se encuentre vigente.”</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autoSpaceDE w:val="0"/>
        <w:autoSpaceDN w:val="0"/>
        <w:adjustRightInd w:val="0"/>
        <w:spacing w:after="0" w:line="276" w:lineRule="auto"/>
        <w:ind w:left="708"/>
        <w:jc w:val="both"/>
        <w:rPr>
          <w:rFonts w:ascii="Arial" w:eastAsia="Calibri" w:hAnsi="Arial" w:cs="Arial"/>
          <w:lang w:val="es-CO" w:eastAsia="es-CO"/>
        </w:rPr>
      </w:pPr>
      <w:r w:rsidRPr="0034604B">
        <w:rPr>
          <w:rFonts w:ascii="Arial" w:eastAsia="Calibri" w:hAnsi="Arial" w:cs="Arial"/>
          <w:lang w:val="es-CO" w:eastAsia="es-CO"/>
        </w:rPr>
        <w:t>De conformidad con lo citado, se tiene que para demandar en cualquier tiempo una prestación periódica se requiere que la habitualidad de la misma se encuentra vigente, ahora bien, en el caso de la accionante con lo manifestado en el derecho de petición elevado ante la ent</w:t>
      </w:r>
      <w:r w:rsidR="00001794">
        <w:rPr>
          <w:rFonts w:ascii="Arial" w:eastAsia="Calibri" w:hAnsi="Arial" w:cs="Arial"/>
          <w:lang w:val="es-CO" w:eastAsia="es-CO"/>
        </w:rPr>
        <w:t>idad accionada el treinta y uno (31) de enero</w:t>
      </w:r>
      <w:r w:rsidRPr="0034604B">
        <w:rPr>
          <w:rFonts w:ascii="Arial" w:eastAsia="Calibri" w:hAnsi="Arial" w:cs="Arial"/>
          <w:lang w:val="es-CO" w:eastAsia="es-CO"/>
        </w:rPr>
        <w:t xml:space="preserve"> de dos mil </w:t>
      </w:r>
      <w:r w:rsidR="00001794">
        <w:rPr>
          <w:rFonts w:ascii="Arial" w:eastAsia="Calibri" w:hAnsi="Arial" w:cs="Arial"/>
          <w:lang w:val="es-CO" w:eastAsia="es-CO"/>
        </w:rPr>
        <w:t>trece (2013) obrante a folios 21 y 22</w:t>
      </w:r>
      <w:r w:rsidRPr="0034604B">
        <w:rPr>
          <w:rFonts w:ascii="Arial" w:eastAsia="Calibri" w:hAnsi="Arial" w:cs="Arial"/>
          <w:lang w:val="es-CO" w:eastAsia="es-CO"/>
        </w:rPr>
        <w:t xml:space="preserve">, se evidencia que la misma nunca ha </w:t>
      </w:r>
      <w:r w:rsidRPr="0034604B">
        <w:rPr>
          <w:rFonts w:ascii="Arial" w:eastAsia="Calibri" w:hAnsi="Arial" w:cs="Arial"/>
          <w:lang w:val="es-CO" w:eastAsia="es-CO"/>
        </w:rPr>
        <w:lastRenderedPageBreak/>
        <w:t>recibido pago alguno por concepto de prima de servicios, por lo tanto, no puede hablarse de periodicidad dado que la prima de servicios nunca ha sido asignada y por ende no cuenta con los elementos requeridos para que sea catalogada como una prestación periódica.</w:t>
      </w:r>
    </w:p>
    <w:p w:rsidR="00702258" w:rsidRPr="0034604B" w:rsidRDefault="00702258" w:rsidP="00702258">
      <w:pPr>
        <w:autoSpaceDE w:val="0"/>
        <w:autoSpaceDN w:val="0"/>
        <w:adjustRightInd w:val="0"/>
        <w:spacing w:after="0" w:line="276" w:lineRule="auto"/>
        <w:ind w:left="708"/>
        <w:jc w:val="both"/>
        <w:rPr>
          <w:rFonts w:ascii="Arial" w:eastAsia="Times New Roman" w:hAnsi="Arial" w:cs="Arial"/>
          <w:spacing w:val="-3"/>
          <w:lang w:val="es-ES_tradnl" w:eastAsia="es-ES"/>
        </w:rPr>
      </w:pPr>
      <w:r w:rsidRPr="0034604B">
        <w:rPr>
          <w:rFonts w:ascii="Arial" w:eastAsia="Calibri" w:hAnsi="Arial" w:cs="Arial"/>
          <w:b/>
          <w:lang w:val="es-CO" w:eastAsia="es-CO"/>
        </w:rPr>
        <w:t>Así las cosas, teniendo en cuenta que la prima de servicios no es una prestación periódica, para que la demanda interpuesta en ejercicio del medio de control de nulidad y restablecimiento del derecho mediante la cual se pretenda controvertir el acto administrativo que denegó la misma, se entienda presentada en tiempo deberá ser instaurada en el término de cuatro (4) meses, consagrado en el artículo 164 numeral 2° literal d del CPACA</w:t>
      </w:r>
      <w:r w:rsidRPr="0034604B">
        <w:rPr>
          <w:rFonts w:ascii="Arial" w:eastAsia="Calibri" w:hAnsi="Arial" w:cs="Arial"/>
          <w:lang w:val="es-CO" w:eastAsia="es-CO"/>
        </w:rPr>
        <w:t>.” (</w:t>
      </w:r>
      <w:r w:rsidR="003846B7" w:rsidRPr="0034604B">
        <w:rPr>
          <w:rFonts w:ascii="Arial" w:eastAsia="Calibri" w:hAnsi="Arial" w:cs="Arial"/>
          <w:lang w:val="es-CO" w:eastAsia="es-CO"/>
        </w:rPr>
        <w:t>Negrillas</w:t>
      </w:r>
      <w:r w:rsidRPr="0034604B">
        <w:rPr>
          <w:rFonts w:ascii="Arial" w:eastAsia="Calibri" w:hAnsi="Arial" w:cs="Arial"/>
          <w:lang w:val="es-CO" w:eastAsia="es-CO"/>
        </w:rPr>
        <w:t xml:space="preserve"> del despacho)</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z w:val="24"/>
          <w:szCs w:val="24"/>
          <w:lang w:val="es-ES_tradnl" w:eastAsia="es-ES"/>
        </w:rPr>
      </w:pPr>
      <w:r w:rsidRPr="0034604B">
        <w:rPr>
          <w:rFonts w:ascii="Arial" w:eastAsia="Times New Roman" w:hAnsi="Arial" w:cs="Arial"/>
          <w:spacing w:val="-3"/>
          <w:sz w:val="24"/>
          <w:szCs w:val="24"/>
          <w:lang w:val="es-ES_tradnl" w:eastAsia="es-ES"/>
        </w:rPr>
        <w:t xml:space="preserve">El despacho acoge íntegramente las anteriores consideraciones, recordando  </w:t>
      </w:r>
      <w:r w:rsidRPr="0034604B">
        <w:rPr>
          <w:rFonts w:ascii="Arial" w:eastAsia="Times New Roman" w:hAnsi="Arial" w:cs="Arial"/>
          <w:sz w:val="24"/>
          <w:szCs w:val="24"/>
          <w:lang w:val="es-ES_tradnl" w:eastAsia="es-ES"/>
        </w:rPr>
        <w:t xml:space="preserve">que la caducidad es la </w:t>
      </w:r>
      <w:r w:rsidRPr="0034604B">
        <w:rPr>
          <w:rFonts w:ascii="Arial" w:eastAsia="Times New Roman" w:hAnsi="Arial" w:cs="Arial"/>
          <w:iCs/>
          <w:sz w:val="24"/>
          <w:szCs w:val="24"/>
          <w:lang w:val="es-ES_tradnl" w:eastAsia="es-ES"/>
        </w:rPr>
        <w:t xml:space="preserve">sanción por la inactividad del administrado para ejercer en término la correspondiente demanda, y de conformidad con lo dispuesto en el artículo 164 de la Ley 1437 el accionante </w:t>
      </w:r>
      <w:r w:rsidRPr="0034604B">
        <w:rPr>
          <w:rFonts w:ascii="Arial" w:eastAsia="Times New Roman" w:hAnsi="Arial" w:cs="Arial"/>
          <w:sz w:val="24"/>
          <w:szCs w:val="24"/>
          <w:lang w:val="es-ES_tradnl" w:eastAsia="es-ES"/>
        </w:rPr>
        <w:t xml:space="preserve"> dispone de (4) meses contados a partir del día siguiente al de la publicación, notificación, comunicación o ejecución del acto, según el caso, para acudir a los estrados judiciales. </w:t>
      </w:r>
    </w:p>
    <w:p w:rsidR="00702258" w:rsidRPr="0034604B" w:rsidRDefault="00702258" w:rsidP="00702258">
      <w:pPr>
        <w:overflowPunct w:val="0"/>
        <w:autoSpaceDE w:val="0"/>
        <w:autoSpaceDN w:val="0"/>
        <w:adjustRightInd w:val="0"/>
        <w:spacing w:after="0" w:line="276" w:lineRule="auto"/>
        <w:jc w:val="both"/>
        <w:textAlignment w:val="baseline"/>
        <w:rPr>
          <w:rFonts w:ascii="Arial" w:eastAsia="Times New Roman" w:hAnsi="Arial" w:cs="Arial"/>
          <w:i/>
          <w:sz w:val="26"/>
          <w:szCs w:val="20"/>
          <w:lang w:val="es-ES_tradnl" w:eastAsia="es-ES"/>
        </w:rPr>
      </w:pPr>
    </w:p>
    <w:p w:rsidR="00702258" w:rsidRPr="00656327"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z w:val="24"/>
          <w:szCs w:val="24"/>
          <w:lang w:val="es-ES_tradnl" w:eastAsia="es-ES"/>
        </w:rPr>
        <w:t xml:space="preserve">En el presente asunto, </w:t>
      </w:r>
      <w:r w:rsidRPr="0034604B">
        <w:rPr>
          <w:rFonts w:ascii="Arial" w:eastAsia="Times New Roman" w:hAnsi="Arial" w:cs="Arial"/>
          <w:spacing w:val="-3"/>
          <w:sz w:val="24"/>
          <w:szCs w:val="24"/>
          <w:lang w:val="es-ES_tradnl" w:eastAsia="es-ES"/>
        </w:rPr>
        <w:t xml:space="preserve">la nulidad del </w:t>
      </w:r>
      <w:r w:rsidR="002A106C">
        <w:rPr>
          <w:rFonts w:ascii="Arial" w:eastAsia="Times New Roman" w:hAnsi="Arial" w:cs="Arial"/>
          <w:b/>
          <w:spacing w:val="-3"/>
          <w:sz w:val="24"/>
          <w:szCs w:val="24"/>
          <w:lang w:val="es-ES_tradnl" w:eastAsia="es-ES"/>
        </w:rPr>
        <w:t>Resolución</w:t>
      </w:r>
      <w:r w:rsidR="003846B7">
        <w:rPr>
          <w:rFonts w:ascii="Arial" w:eastAsia="Times New Roman" w:hAnsi="Arial" w:cs="Arial"/>
          <w:b/>
          <w:spacing w:val="-3"/>
          <w:sz w:val="24"/>
          <w:szCs w:val="24"/>
          <w:lang w:val="es-ES_tradnl" w:eastAsia="es-ES"/>
        </w:rPr>
        <w:t xml:space="preserve"> 606 DEL 13 DEFEBRERO DE 2013</w:t>
      </w:r>
      <w:r>
        <w:rPr>
          <w:rFonts w:ascii="Arial" w:eastAsia="Times New Roman" w:hAnsi="Arial" w:cs="Arial"/>
          <w:spacing w:val="-3"/>
          <w:sz w:val="24"/>
          <w:szCs w:val="24"/>
          <w:lang w:val="es-ES_tradnl" w:eastAsia="es-ES"/>
        </w:rPr>
        <w:t xml:space="preserve">, mediante el cual </w:t>
      </w:r>
      <w:r w:rsidRPr="0034604B">
        <w:rPr>
          <w:rFonts w:ascii="Arial" w:eastAsia="Times New Roman" w:hAnsi="Arial" w:cs="Arial"/>
          <w:spacing w:val="-3"/>
          <w:sz w:val="24"/>
          <w:szCs w:val="24"/>
          <w:lang w:val="es-ES_tradnl" w:eastAsia="es-ES"/>
        </w:rPr>
        <w:t xml:space="preserve">se </w:t>
      </w:r>
      <w:r>
        <w:rPr>
          <w:rFonts w:ascii="Arial" w:eastAsia="Times New Roman" w:hAnsi="Arial" w:cs="Arial"/>
          <w:spacing w:val="-3"/>
          <w:sz w:val="24"/>
          <w:szCs w:val="24"/>
          <w:lang w:val="es-ES_tradnl" w:eastAsia="es-ES"/>
        </w:rPr>
        <w:t xml:space="preserve">le </w:t>
      </w:r>
      <w:r w:rsidRPr="0034604B">
        <w:rPr>
          <w:rFonts w:ascii="Arial" w:eastAsia="Times New Roman" w:hAnsi="Arial" w:cs="Arial"/>
          <w:spacing w:val="-3"/>
          <w:sz w:val="24"/>
          <w:szCs w:val="24"/>
          <w:lang w:val="es-ES_tradnl" w:eastAsia="es-ES"/>
        </w:rPr>
        <w:t>niega el reconocimiento y pago de la prima  de servi</w:t>
      </w:r>
      <w:r>
        <w:rPr>
          <w:rFonts w:ascii="Arial" w:eastAsia="Times New Roman" w:hAnsi="Arial" w:cs="Arial"/>
          <w:spacing w:val="-3"/>
          <w:sz w:val="24"/>
          <w:szCs w:val="24"/>
          <w:lang w:val="es-ES_tradnl" w:eastAsia="es-ES"/>
        </w:rPr>
        <w:t>cios del cual no se aportó su constancia de notificación, publicación o</w:t>
      </w:r>
      <w:r w:rsidR="003846B7">
        <w:rPr>
          <w:rFonts w:ascii="Arial" w:eastAsia="Times New Roman" w:hAnsi="Arial" w:cs="Arial"/>
          <w:spacing w:val="-3"/>
          <w:sz w:val="24"/>
          <w:szCs w:val="24"/>
          <w:lang w:val="es-ES_tradnl" w:eastAsia="es-ES"/>
        </w:rPr>
        <w:t xml:space="preserve"> comunicación; sin embargo,  si</w:t>
      </w:r>
      <w:r>
        <w:rPr>
          <w:rFonts w:ascii="Arial" w:eastAsia="Times New Roman" w:hAnsi="Arial" w:cs="Arial"/>
          <w:spacing w:val="-3"/>
          <w:sz w:val="24"/>
          <w:szCs w:val="24"/>
          <w:lang w:val="es-ES_tradnl" w:eastAsia="es-ES"/>
        </w:rPr>
        <w:t xml:space="preserve"> contamos</w:t>
      </w:r>
      <w:r w:rsidRPr="00717696">
        <w:rPr>
          <w:rFonts w:ascii="Arial" w:eastAsia="Times New Roman" w:hAnsi="Arial" w:cs="Arial"/>
          <w:sz w:val="24"/>
          <w:szCs w:val="24"/>
          <w:lang w:val="es-ES_tradnl" w:eastAsia="es-ES"/>
        </w:rPr>
        <w:t xml:space="preserve"> el término de los cuatro meses a partir de la expedición de la constancia por parte de la Procuraduría, se configura la caducidad en tanto la misma fue proferida el </w:t>
      </w:r>
      <w:r w:rsidR="003846B7">
        <w:rPr>
          <w:rFonts w:ascii="Arial" w:eastAsia="Times New Roman" w:hAnsi="Arial" w:cs="Arial"/>
          <w:b/>
          <w:sz w:val="24"/>
          <w:szCs w:val="24"/>
          <w:lang w:val="es-ES_tradnl" w:eastAsia="es-ES"/>
        </w:rPr>
        <w:t>26  de mayo</w:t>
      </w:r>
      <w:r>
        <w:rPr>
          <w:rFonts w:ascii="Arial" w:eastAsia="Times New Roman" w:hAnsi="Arial" w:cs="Arial"/>
          <w:b/>
          <w:sz w:val="24"/>
          <w:szCs w:val="24"/>
          <w:lang w:val="es-ES_tradnl" w:eastAsia="es-ES"/>
        </w:rPr>
        <w:t xml:space="preserve">  de </w:t>
      </w:r>
      <w:bookmarkStart w:id="0" w:name="_GoBack"/>
      <w:bookmarkEnd w:id="0"/>
      <w:r>
        <w:rPr>
          <w:rFonts w:ascii="Arial" w:eastAsia="Times New Roman" w:hAnsi="Arial" w:cs="Arial"/>
          <w:b/>
          <w:sz w:val="24"/>
          <w:szCs w:val="24"/>
          <w:lang w:val="es-ES_tradnl" w:eastAsia="es-ES"/>
        </w:rPr>
        <w:t>2014</w:t>
      </w:r>
      <w:r w:rsidRPr="00717696">
        <w:rPr>
          <w:rFonts w:ascii="Arial" w:eastAsia="Times New Roman" w:hAnsi="Arial" w:cs="Arial"/>
          <w:sz w:val="24"/>
          <w:szCs w:val="24"/>
          <w:lang w:val="es-ES_tradnl" w:eastAsia="es-ES"/>
        </w:rPr>
        <w:t xml:space="preserve"> y la demanda fue presentada el </w:t>
      </w:r>
      <w:r>
        <w:rPr>
          <w:rFonts w:ascii="Arial" w:eastAsia="Times New Roman" w:hAnsi="Arial" w:cs="Arial"/>
          <w:b/>
          <w:sz w:val="24"/>
          <w:szCs w:val="24"/>
          <w:lang w:val="es-ES_tradnl" w:eastAsia="es-ES"/>
        </w:rPr>
        <w:t>16 de marzo  de 2015</w:t>
      </w:r>
      <w:r w:rsidRPr="00717696">
        <w:rPr>
          <w:rFonts w:ascii="Arial" w:eastAsia="Times New Roman" w:hAnsi="Arial" w:cs="Arial"/>
          <w:sz w:val="24"/>
          <w:szCs w:val="24"/>
          <w:lang w:val="es-ES_tradnl" w:eastAsia="es-ES"/>
        </w:rPr>
        <w:t xml:space="preserve">, operando la caducidad en este caso, el </w:t>
      </w:r>
      <w:r w:rsidR="002A106C">
        <w:rPr>
          <w:rFonts w:ascii="Arial" w:eastAsia="Times New Roman" w:hAnsi="Arial" w:cs="Arial"/>
          <w:b/>
          <w:sz w:val="24"/>
          <w:szCs w:val="24"/>
          <w:lang w:val="es-ES_tradnl" w:eastAsia="es-ES"/>
        </w:rPr>
        <w:t xml:space="preserve">27 de septiembre. </w:t>
      </w:r>
      <w:proofErr w:type="gramStart"/>
      <w:r w:rsidR="002A106C">
        <w:rPr>
          <w:rFonts w:ascii="Arial" w:eastAsia="Times New Roman" w:hAnsi="Arial" w:cs="Arial"/>
          <w:b/>
          <w:sz w:val="24"/>
          <w:szCs w:val="24"/>
          <w:lang w:val="es-ES_tradnl" w:eastAsia="es-ES"/>
        </w:rPr>
        <w:t>del</w:t>
      </w:r>
      <w:proofErr w:type="gramEnd"/>
      <w:r w:rsidR="002A106C">
        <w:rPr>
          <w:rFonts w:ascii="Arial" w:eastAsia="Times New Roman" w:hAnsi="Arial" w:cs="Arial"/>
          <w:b/>
          <w:sz w:val="24"/>
          <w:szCs w:val="24"/>
          <w:lang w:val="es-ES_tradnl" w:eastAsia="es-ES"/>
        </w:rPr>
        <w:t xml:space="preserve"> 2014 (sábado), </w:t>
      </w:r>
      <w:r w:rsidR="002A106C" w:rsidRPr="002A106C">
        <w:rPr>
          <w:rFonts w:ascii="Arial" w:eastAsia="Times New Roman" w:hAnsi="Arial" w:cs="Arial"/>
          <w:sz w:val="24"/>
          <w:szCs w:val="24"/>
          <w:lang w:val="es-ES_tradnl" w:eastAsia="es-ES"/>
        </w:rPr>
        <w:t>pero por ser día correspondiente al fin de semana, dicho plazo se extendió al siguiente día hábil, esto es</w:t>
      </w:r>
      <w:r w:rsidR="002A106C">
        <w:rPr>
          <w:rFonts w:ascii="Arial" w:eastAsia="Times New Roman" w:hAnsi="Arial" w:cs="Arial"/>
          <w:b/>
          <w:sz w:val="24"/>
          <w:szCs w:val="24"/>
          <w:lang w:val="es-ES_tradnl" w:eastAsia="es-ES"/>
        </w:rPr>
        <w:t>, el 29 de septiembre de 2014.</w:t>
      </w:r>
    </w:p>
    <w:p w:rsidR="00702258" w:rsidRDefault="00702258" w:rsidP="00702258">
      <w:pPr>
        <w:overflowPunct w:val="0"/>
        <w:autoSpaceDE w:val="0"/>
        <w:autoSpaceDN w:val="0"/>
        <w:adjustRightInd w:val="0"/>
        <w:spacing w:after="0" w:line="276" w:lineRule="auto"/>
        <w:jc w:val="both"/>
        <w:textAlignment w:val="baseline"/>
        <w:rPr>
          <w:rFonts w:ascii="Arial" w:eastAsia="Times New Roman" w:hAnsi="Arial" w:cs="Arial"/>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lang w:val="es-ES_tradnl" w:eastAsia="es-ES"/>
        </w:rPr>
      </w:pPr>
      <w:r w:rsidRPr="0034604B">
        <w:rPr>
          <w:rFonts w:ascii="Arial" w:eastAsia="Times New Roman" w:hAnsi="Arial" w:cs="Arial"/>
          <w:spacing w:val="-3"/>
          <w:sz w:val="24"/>
          <w:szCs w:val="24"/>
          <w:lang w:val="es-ES_tradnl" w:eastAsia="es-ES"/>
        </w:rPr>
        <w:t xml:space="preserve">Recuérdese, que cuando la caducidad aparece evidente debe rechazarse de plano la demanda, de conformidad con lo previsto en el artículo 169 de la Ley 1437 de 2011, por razones de economía procesal y para no crearle al demandante falsas expectativas sobre unas pretensiones que no pueden ser estudiadas de fondo, porque no fueron ventiladas ante la jurisdicción en la oportunidad </w:t>
      </w:r>
      <w:proofErr w:type="spellStart"/>
      <w:r w:rsidRPr="0034604B">
        <w:rPr>
          <w:rFonts w:ascii="Arial" w:eastAsia="Times New Roman" w:hAnsi="Arial" w:cs="Arial"/>
          <w:spacing w:val="-3"/>
          <w:sz w:val="24"/>
          <w:szCs w:val="24"/>
          <w:lang w:val="es-ES_tradnl" w:eastAsia="es-ES"/>
        </w:rPr>
        <w:t>preclusiva</w:t>
      </w:r>
      <w:proofErr w:type="spellEnd"/>
      <w:r w:rsidRPr="0034604B">
        <w:rPr>
          <w:rFonts w:ascii="Arial" w:eastAsia="Times New Roman" w:hAnsi="Arial" w:cs="Arial"/>
          <w:spacing w:val="-3"/>
          <w:sz w:val="24"/>
          <w:szCs w:val="24"/>
          <w:lang w:val="es-ES_tradnl" w:eastAsia="es-ES"/>
        </w:rPr>
        <w:t xml:space="preserve"> que se estableció para el efecto.  Sobre el particular enseña la doctrina:</w:t>
      </w:r>
    </w:p>
    <w:p w:rsidR="00702258" w:rsidRPr="0034604B" w:rsidRDefault="00702258" w:rsidP="00702258">
      <w:pPr>
        <w:suppressAutoHyphens/>
        <w:overflowPunct w:val="0"/>
        <w:autoSpaceDE w:val="0"/>
        <w:autoSpaceDN w:val="0"/>
        <w:adjustRightInd w:val="0"/>
        <w:spacing w:after="0" w:line="276" w:lineRule="auto"/>
        <w:ind w:left="540"/>
        <w:jc w:val="both"/>
        <w:textAlignment w:val="baseline"/>
        <w:rPr>
          <w:rFonts w:ascii="Arial" w:eastAsia="Times New Roman" w:hAnsi="Arial" w:cs="Arial"/>
          <w:spacing w:val="-3"/>
          <w:lang w:val="es-ES_tradnl" w:eastAsia="es-ES"/>
        </w:rPr>
      </w:pPr>
    </w:p>
    <w:p w:rsidR="00702258" w:rsidRPr="0034604B" w:rsidRDefault="00702258" w:rsidP="00702258">
      <w:pPr>
        <w:suppressAutoHyphens/>
        <w:overflowPunct w:val="0"/>
        <w:autoSpaceDE w:val="0"/>
        <w:autoSpaceDN w:val="0"/>
        <w:adjustRightInd w:val="0"/>
        <w:spacing w:after="0" w:line="276" w:lineRule="auto"/>
        <w:ind w:left="539"/>
        <w:jc w:val="both"/>
        <w:textAlignment w:val="baseline"/>
        <w:rPr>
          <w:rFonts w:ascii="Arial" w:eastAsia="Times New Roman" w:hAnsi="Arial" w:cs="Arial"/>
          <w:i/>
          <w:spacing w:val="-3"/>
          <w:sz w:val="20"/>
          <w:szCs w:val="20"/>
          <w:lang w:val="es-ES_tradnl" w:eastAsia="es-ES"/>
        </w:rPr>
      </w:pPr>
      <w:r w:rsidRPr="0034604B">
        <w:rPr>
          <w:rFonts w:ascii="Arial" w:eastAsia="Times New Roman" w:hAnsi="Arial" w:cs="Arial"/>
          <w:i/>
          <w:spacing w:val="-3"/>
          <w:lang w:val="es-ES_tradnl" w:eastAsia="es-ES"/>
        </w:rPr>
        <w:t xml:space="preserve">"Ha sostenido en forma reiterada el Consejo de Estado que la caducidad cuando aparezca clara, desde un principio deberá decretarse en el primer auto que se dicte dentro del proceso, por razones de economía procesal y de seriedad, ya que no tiene sentido que las partes se sometan a un debate costoso y de larga duración para terminar con una declaración de tal naturaleza... En cambio, cuando la caducidad no aparezca clara, bien porque se alegue falta de notificación o defectos en ésta o se discuta la fecha del acaecimiento de los hechos, u otra circunstancia similar, deberá tramitarse el proceso, para luego en la sentencia, mediante el análisis del acervo probatorio, definir en primer término si la acción fue ejercitada en tiempo o no. El fenómeno de la caducidad, que constituye así una excepción de fondo, podrá ser </w:t>
      </w:r>
      <w:r w:rsidRPr="0034604B">
        <w:rPr>
          <w:rFonts w:ascii="Arial" w:eastAsia="Times New Roman" w:hAnsi="Arial" w:cs="Arial"/>
          <w:i/>
          <w:spacing w:val="-3"/>
          <w:lang w:val="es-ES_tradnl" w:eastAsia="es-ES"/>
        </w:rPr>
        <w:lastRenderedPageBreak/>
        <w:t>motivo de alegación de parte o de declaratoria oficiosa.".(Carlos Betancur Jaramillo, Derecho Procesal Administrativo,  cuarta edición, Pág. 156).</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spacing w:val="-3"/>
          <w:sz w:val="24"/>
          <w:szCs w:val="24"/>
          <w:lang w:val="es-ES_tradnl" w:eastAsia="es-ES"/>
        </w:rPr>
        <w:t xml:space="preserve">Así las cosas, habiendo operado el fenómeno de la caducidad, la demanda no puede admitirse, se impone, en consecuencia,  dar aplicación al canon del artículo 169 de la Ley 1437 de 2011, que dispone que la demanda será rechazada cuando “hubiere operado el fenómeno de la caducidad”. </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b/>
          <w:spacing w:val="-3"/>
          <w:sz w:val="24"/>
          <w:szCs w:val="24"/>
          <w:lang w:val="es-ES_tradnl" w:eastAsia="es-ES"/>
        </w:rPr>
      </w:pPr>
      <w:r w:rsidRPr="0034604B">
        <w:rPr>
          <w:rFonts w:ascii="Arial" w:eastAsia="Times New Roman" w:hAnsi="Arial" w:cs="Arial"/>
          <w:spacing w:val="-3"/>
          <w:sz w:val="24"/>
          <w:szCs w:val="24"/>
          <w:lang w:val="es-ES_tradnl" w:eastAsia="es-ES"/>
        </w:rPr>
        <w:t>En mérito de lo expuesto,</w:t>
      </w:r>
      <w:r w:rsidRPr="0034604B">
        <w:rPr>
          <w:rFonts w:ascii="Arial" w:eastAsia="Times New Roman" w:hAnsi="Arial" w:cs="Arial"/>
          <w:b/>
          <w:spacing w:val="-3"/>
          <w:sz w:val="24"/>
          <w:szCs w:val="24"/>
          <w:lang w:val="es-ES_tradnl" w:eastAsia="es-ES"/>
        </w:rPr>
        <w:t xml:space="preserve"> EL JUZGADO VEINTE ADMINISTRATIVO ORAL DEL CIRCUITO DE MEDELLÍN</w:t>
      </w:r>
      <w:r w:rsidRPr="0034604B">
        <w:rPr>
          <w:rFonts w:ascii="Arial" w:eastAsia="Times New Roman" w:hAnsi="Arial" w:cs="Arial"/>
          <w:spacing w:val="-3"/>
          <w:sz w:val="24"/>
          <w:szCs w:val="24"/>
          <w:lang w:val="es-ES_tradnl" w:eastAsia="es-ES"/>
        </w:rPr>
        <w:t>,</w:t>
      </w:r>
      <w:r w:rsidRPr="0034604B">
        <w:rPr>
          <w:rFonts w:ascii="Arial" w:eastAsia="Times New Roman" w:hAnsi="Arial" w:cs="Arial"/>
          <w:b/>
          <w:spacing w:val="-3"/>
          <w:sz w:val="24"/>
          <w:szCs w:val="24"/>
          <w:lang w:val="es-ES_tradnl" w:eastAsia="es-ES"/>
        </w:rPr>
        <w:t xml:space="preserve"> </w:t>
      </w:r>
    </w:p>
    <w:p w:rsidR="00702258" w:rsidRPr="0034604B" w:rsidRDefault="00702258" w:rsidP="00702258">
      <w:pPr>
        <w:suppressAutoHyphens/>
        <w:overflowPunct w:val="0"/>
        <w:autoSpaceDE w:val="0"/>
        <w:autoSpaceDN w:val="0"/>
        <w:adjustRightInd w:val="0"/>
        <w:spacing w:after="0" w:line="276" w:lineRule="auto"/>
        <w:jc w:val="center"/>
        <w:textAlignment w:val="baseline"/>
        <w:rPr>
          <w:rFonts w:ascii="Arial" w:eastAsia="Times New Roman" w:hAnsi="Arial" w:cs="Arial"/>
          <w:b/>
          <w:spacing w:val="-3"/>
          <w:sz w:val="24"/>
          <w:szCs w:val="24"/>
          <w:lang w:val="es-ES_tradnl" w:eastAsia="es-ES"/>
        </w:rPr>
      </w:pPr>
      <w:r w:rsidRPr="0034604B">
        <w:rPr>
          <w:rFonts w:ascii="Arial" w:eastAsia="Times New Roman" w:hAnsi="Arial" w:cs="Arial"/>
          <w:b/>
          <w:spacing w:val="-3"/>
          <w:sz w:val="24"/>
          <w:szCs w:val="24"/>
          <w:lang w:val="es-ES_tradnl" w:eastAsia="es-ES"/>
        </w:rPr>
        <w:t xml:space="preserve">RESUELVE </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b/>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z w:val="24"/>
          <w:szCs w:val="24"/>
          <w:lang w:val="es-ES_tradnl" w:eastAsia="es-ES"/>
        </w:rPr>
      </w:pPr>
      <w:r w:rsidRPr="0034604B">
        <w:rPr>
          <w:rFonts w:ascii="Arial" w:eastAsia="Times New Roman" w:hAnsi="Arial" w:cs="Arial"/>
          <w:b/>
          <w:spacing w:val="-3"/>
          <w:sz w:val="24"/>
          <w:szCs w:val="24"/>
          <w:lang w:val="es-ES_tradnl" w:eastAsia="es-ES"/>
        </w:rPr>
        <w:t xml:space="preserve">PRIMERO: </w:t>
      </w:r>
      <w:r w:rsidRPr="0034604B">
        <w:rPr>
          <w:rFonts w:ascii="Arial" w:eastAsia="Times New Roman" w:hAnsi="Arial" w:cs="Arial"/>
          <w:sz w:val="24"/>
          <w:szCs w:val="24"/>
          <w:lang w:val="es-ES_tradnl" w:eastAsia="es-ES"/>
        </w:rPr>
        <w:t xml:space="preserve">Rechazar la presente demanda promovida por </w:t>
      </w:r>
      <w:r>
        <w:rPr>
          <w:rFonts w:ascii="Arial" w:eastAsia="Times New Roman" w:hAnsi="Arial" w:cs="Arial"/>
          <w:spacing w:val="-3"/>
          <w:sz w:val="24"/>
          <w:szCs w:val="24"/>
          <w:lang w:val="es-ES_tradnl" w:eastAsia="es-ES"/>
        </w:rPr>
        <w:t>l</w:t>
      </w:r>
      <w:r w:rsidRPr="00656327">
        <w:rPr>
          <w:rFonts w:ascii="Arial" w:eastAsia="Times New Roman" w:hAnsi="Arial" w:cs="Arial"/>
          <w:spacing w:val="-3"/>
          <w:sz w:val="24"/>
          <w:szCs w:val="24"/>
          <w:lang w:val="es-ES_tradnl" w:eastAsia="es-ES"/>
        </w:rPr>
        <w:t xml:space="preserve">a señora </w:t>
      </w:r>
      <w:r w:rsidR="003846B7">
        <w:rPr>
          <w:rFonts w:ascii="Arial" w:eastAsia="Times New Roman" w:hAnsi="Arial" w:cs="Arial"/>
          <w:b/>
          <w:spacing w:val="-3"/>
          <w:lang w:val="es-ES_tradnl" w:eastAsia="es-ES"/>
        </w:rPr>
        <w:t>MARIA EUGENIA ECHEVERRI CANO</w:t>
      </w:r>
      <w:r w:rsidRPr="00656327">
        <w:rPr>
          <w:rFonts w:ascii="Arial" w:eastAsia="Times New Roman" w:hAnsi="Arial" w:cs="Arial"/>
          <w:spacing w:val="-3"/>
          <w:sz w:val="24"/>
          <w:szCs w:val="24"/>
          <w:lang w:val="es-ES_tradnl" w:eastAsia="es-ES"/>
        </w:rPr>
        <w:t xml:space="preserve"> por intermedio de apoderada judicial, en ejercicio del medio de control de </w:t>
      </w:r>
      <w:r w:rsidRPr="00656327">
        <w:rPr>
          <w:rFonts w:ascii="Arial" w:eastAsia="Times New Roman" w:hAnsi="Arial" w:cs="Arial"/>
          <w:b/>
          <w:spacing w:val="-3"/>
          <w:sz w:val="24"/>
          <w:szCs w:val="24"/>
          <w:lang w:val="es-ES_tradnl" w:eastAsia="es-ES"/>
        </w:rPr>
        <w:t xml:space="preserve">NULIDAD Y RESTABLECIMIENTO DEL DERECHO </w:t>
      </w:r>
      <w:r w:rsidRPr="00656327">
        <w:rPr>
          <w:rFonts w:ascii="Arial" w:eastAsia="Times New Roman" w:hAnsi="Arial" w:cs="Arial"/>
          <w:spacing w:val="-3"/>
          <w:sz w:val="24"/>
          <w:szCs w:val="24"/>
          <w:lang w:val="es-ES_tradnl" w:eastAsia="es-ES"/>
        </w:rPr>
        <w:t>consagrada en el  artículo 138 de la Ley 1437 de 2011, presentó demanda contra</w:t>
      </w:r>
      <w:r w:rsidRPr="00656327">
        <w:rPr>
          <w:rFonts w:ascii="Arial" w:eastAsia="Times New Roman" w:hAnsi="Arial" w:cs="Arial"/>
          <w:b/>
          <w:spacing w:val="-3"/>
          <w:sz w:val="24"/>
          <w:szCs w:val="24"/>
          <w:lang w:val="es-ES_tradnl" w:eastAsia="es-ES"/>
        </w:rPr>
        <w:t xml:space="preserve"> </w:t>
      </w:r>
      <w:r w:rsidRPr="00656327">
        <w:rPr>
          <w:rFonts w:ascii="Arial" w:eastAsia="Times New Roman" w:hAnsi="Arial" w:cs="Arial"/>
          <w:spacing w:val="-3"/>
          <w:sz w:val="24"/>
          <w:szCs w:val="24"/>
          <w:lang w:val="es-ES_tradnl" w:eastAsia="es-ES"/>
        </w:rPr>
        <w:t xml:space="preserve">el </w:t>
      </w:r>
      <w:r w:rsidR="003846B7">
        <w:rPr>
          <w:rFonts w:ascii="Arial" w:eastAsia="Times New Roman" w:hAnsi="Arial" w:cs="Arial"/>
          <w:b/>
          <w:spacing w:val="-3"/>
          <w:sz w:val="24"/>
          <w:szCs w:val="24"/>
          <w:lang w:val="es-ES_tradnl" w:eastAsia="es-ES"/>
        </w:rPr>
        <w:t>MUNICIPIO DE ENVIGADO</w:t>
      </w:r>
      <w:r w:rsidRPr="0034604B">
        <w:rPr>
          <w:rFonts w:ascii="Arial" w:eastAsia="Times New Roman" w:hAnsi="Arial" w:cs="Arial"/>
          <w:b/>
          <w:bCs/>
          <w:sz w:val="24"/>
          <w:szCs w:val="24"/>
          <w:lang w:val="es-ES_tradnl" w:eastAsia="es-ES"/>
        </w:rPr>
        <w:t>,</w:t>
      </w:r>
      <w:r w:rsidRPr="0034604B">
        <w:rPr>
          <w:rFonts w:ascii="Arial" w:eastAsia="Batang" w:hAnsi="Arial" w:cs="Arial"/>
          <w:lang w:val="es-ES_tradnl" w:eastAsia="es-ES"/>
        </w:rPr>
        <w:t xml:space="preserve"> </w:t>
      </w:r>
      <w:r w:rsidRPr="0034604B">
        <w:rPr>
          <w:rFonts w:ascii="Arial" w:eastAsia="Times New Roman" w:hAnsi="Arial" w:cs="Arial"/>
          <w:sz w:val="24"/>
          <w:szCs w:val="24"/>
          <w:lang w:val="es-ES_tradnl" w:eastAsia="es-ES"/>
        </w:rPr>
        <w:t>por las razones indicadas en la parte motiva.</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b/>
          <w:spacing w:val="-3"/>
          <w:sz w:val="24"/>
          <w:szCs w:val="24"/>
          <w:u w:val="single"/>
          <w:lang w:val="es-ES_tradnl" w:eastAsia="es-ES"/>
        </w:rPr>
      </w:pPr>
      <w:r w:rsidRPr="0034604B">
        <w:rPr>
          <w:rFonts w:ascii="Arial" w:eastAsia="Times New Roman" w:hAnsi="Arial" w:cs="Arial"/>
          <w:b/>
          <w:spacing w:val="-3"/>
          <w:sz w:val="24"/>
          <w:szCs w:val="24"/>
          <w:lang w:val="es-ES_tradnl" w:eastAsia="es-ES"/>
        </w:rPr>
        <w:t xml:space="preserve">SEGUNDO: </w:t>
      </w:r>
      <w:r w:rsidRPr="0034604B">
        <w:rPr>
          <w:rFonts w:ascii="Arial" w:eastAsia="Times New Roman" w:hAnsi="Arial" w:cs="Arial"/>
          <w:spacing w:val="-3"/>
          <w:sz w:val="24"/>
          <w:szCs w:val="24"/>
          <w:lang w:val="es-ES_tradnl" w:eastAsia="es-ES"/>
        </w:rPr>
        <w:t>Se dispone la devolución de los anexos, sin necesidad de desglose, y el archivo de las diligencias.</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b/>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r w:rsidRPr="0034604B">
        <w:rPr>
          <w:rFonts w:ascii="Arial" w:eastAsia="Times New Roman" w:hAnsi="Arial" w:cs="Arial"/>
          <w:b/>
          <w:spacing w:val="-3"/>
          <w:sz w:val="24"/>
          <w:szCs w:val="24"/>
          <w:lang w:val="es-ES_tradnl" w:eastAsia="es-ES"/>
        </w:rPr>
        <w:t>TERCERO:</w:t>
      </w:r>
      <w:r w:rsidRPr="0034604B">
        <w:rPr>
          <w:rFonts w:ascii="Arial" w:eastAsia="Times New Roman" w:hAnsi="Arial" w:cs="Arial"/>
          <w:spacing w:val="-3"/>
          <w:sz w:val="24"/>
          <w:szCs w:val="24"/>
          <w:lang w:val="es-ES_tradnl" w:eastAsia="es-ES"/>
        </w:rPr>
        <w:t xml:space="preserve"> A la ejecutoria de la presente decisión se ordena el archivo de las diligencias, previa </w:t>
      </w:r>
      <w:proofErr w:type="spellStart"/>
      <w:r w:rsidRPr="0034604B">
        <w:rPr>
          <w:rFonts w:ascii="Arial" w:eastAsia="Times New Roman" w:hAnsi="Arial" w:cs="Arial"/>
          <w:spacing w:val="-3"/>
          <w:sz w:val="24"/>
          <w:szCs w:val="24"/>
          <w:lang w:val="es-ES_tradnl" w:eastAsia="es-ES"/>
        </w:rPr>
        <w:t>desanotación</w:t>
      </w:r>
      <w:proofErr w:type="spellEnd"/>
      <w:r w:rsidRPr="0034604B">
        <w:rPr>
          <w:rFonts w:ascii="Arial" w:eastAsia="Times New Roman" w:hAnsi="Arial" w:cs="Arial"/>
          <w:spacing w:val="-3"/>
          <w:sz w:val="24"/>
          <w:szCs w:val="24"/>
          <w:lang w:val="es-ES_tradnl" w:eastAsia="es-ES"/>
        </w:rPr>
        <w:t xml:space="preserve"> de su registro.</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center"/>
        <w:textAlignment w:val="baseline"/>
        <w:rPr>
          <w:rFonts w:ascii="Arial" w:eastAsia="Times New Roman" w:hAnsi="Arial" w:cs="Arial"/>
          <w:spacing w:val="-3"/>
          <w:sz w:val="24"/>
          <w:szCs w:val="24"/>
          <w:lang w:val="es-ES_tradnl" w:eastAsia="es-ES"/>
        </w:rPr>
      </w:pPr>
      <w:r w:rsidRPr="0034604B">
        <w:rPr>
          <w:rFonts w:ascii="Arial" w:eastAsia="Times New Roman" w:hAnsi="Arial" w:cs="Arial"/>
          <w:b/>
          <w:spacing w:val="-3"/>
          <w:sz w:val="24"/>
          <w:szCs w:val="24"/>
          <w:lang w:val="es-ES_tradnl" w:eastAsia="es-ES"/>
        </w:rPr>
        <w:t>NOTIFÍQUESE</w:t>
      </w: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both"/>
        <w:textAlignment w:val="baseline"/>
        <w:rPr>
          <w:rFonts w:ascii="Arial" w:eastAsia="Times New Roman" w:hAnsi="Arial" w:cs="Arial"/>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center"/>
        <w:textAlignment w:val="baseline"/>
        <w:rPr>
          <w:rFonts w:ascii="Arial" w:eastAsia="Times New Roman" w:hAnsi="Arial" w:cs="Arial"/>
          <w:b/>
          <w:spacing w:val="-3"/>
          <w:sz w:val="24"/>
          <w:szCs w:val="24"/>
          <w:lang w:val="es-ES_tradnl" w:eastAsia="es-ES"/>
        </w:rPr>
      </w:pPr>
      <w:r w:rsidRPr="0034604B">
        <w:rPr>
          <w:rFonts w:ascii="Arial" w:eastAsia="Times New Roman" w:hAnsi="Arial" w:cs="Arial"/>
          <w:b/>
          <w:spacing w:val="-3"/>
          <w:sz w:val="24"/>
          <w:szCs w:val="24"/>
          <w:lang w:val="es-ES_tradnl" w:eastAsia="es-ES"/>
        </w:rPr>
        <w:t>JORGE HUMBERTO CALLE LÓPEZ</w:t>
      </w:r>
    </w:p>
    <w:p w:rsidR="00702258" w:rsidRPr="0034604B" w:rsidRDefault="00702258" w:rsidP="00702258">
      <w:pPr>
        <w:suppressAutoHyphens/>
        <w:overflowPunct w:val="0"/>
        <w:autoSpaceDE w:val="0"/>
        <w:autoSpaceDN w:val="0"/>
        <w:adjustRightInd w:val="0"/>
        <w:spacing w:after="0" w:line="276" w:lineRule="auto"/>
        <w:jc w:val="center"/>
        <w:textAlignment w:val="baseline"/>
        <w:rPr>
          <w:rFonts w:ascii="Arial" w:eastAsia="Times New Roman" w:hAnsi="Arial" w:cs="Arial"/>
          <w:b/>
          <w:spacing w:val="-3"/>
          <w:sz w:val="24"/>
          <w:szCs w:val="24"/>
          <w:lang w:val="es-ES_tradnl" w:eastAsia="es-ES"/>
        </w:rPr>
      </w:pPr>
    </w:p>
    <w:p w:rsidR="00702258" w:rsidRPr="0034604B" w:rsidRDefault="00702258" w:rsidP="00702258">
      <w:pPr>
        <w:suppressAutoHyphens/>
        <w:overflowPunct w:val="0"/>
        <w:autoSpaceDE w:val="0"/>
        <w:autoSpaceDN w:val="0"/>
        <w:adjustRightInd w:val="0"/>
        <w:spacing w:after="0" w:line="276" w:lineRule="auto"/>
        <w:jc w:val="center"/>
        <w:textAlignment w:val="baseline"/>
        <w:rPr>
          <w:rFonts w:ascii="Arial" w:eastAsia="Times New Roman" w:hAnsi="Arial" w:cs="Arial"/>
          <w:b/>
          <w:spacing w:val="-3"/>
          <w:sz w:val="24"/>
          <w:szCs w:val="24"/>
          <w:lang w:val="es-ES_tradnl" w:eastAsia="es-ES"/>
        </w:rPr>
      </w:pPr>
      <w:r w:rsidRPr="0034604B">
        <w:rPr>
          <w:rFonts w:ascii="Arial" w:eastAsia="Times New Roman" w:hAnsi="Arial" w:cs="Arial"/>
          <w:b/>
          <w:spacing w:val="-3"/>
          <w:sz w:val="24"/>
          <w:szCs w:val="24"/>
          <w:lang w:val="es-ES_tradnl" w:eastAsia="es-ES"/>
        </w:rPr>
        <w:t>JUEZ</w:t>
      </w:r>
    </w:p>
    <w:p w:rsidR="00702258" w:rsidRPr="0034604B" w:rsidRDefault="003846B7" w:rsidP="00702258">
      <w:pPr>
        <w:suppressAutoHyphens/>
        <w:overflowPunct w:val="0"/>
        <w:autoSpaceDE w:val="0"/>
        <w:autoSpaceDN w:val="0"/>
        <w:adjustRightInd w:val="0"/>
        <w:spacing w:after="0" w:line="276" w:lineRule="auto"/>
        <w:textAlignment w:val="baseline"/>
        <w:rPr>
          <w:rFonts w:ascii="Brush Script MT" w:eastAsia="Times New Roman" w:hAnsi="Brush Script MT" w:cs="Times New Roman"/>
          <w:sz w:val="18"/>
          <w:szCs w:val="18"/>
          <w:lang w:val="es-ES_tradnl" w:eastAsia="es-ES"/>
        </w:rPr>
      </w:pPr>
      <w:r>
        <w:rPr>
          <w:rFonts w:ascii="Brush Script MT" w:eastAsia="Times New Roman" w:hAnsi="Brush Script MT" w:cs="Times New Roman"/>
          <w:sz w:val="18"/>
          <w:szCs w:val="18"/>
          <w:lang w:val="es-ES_tradnl" w:eastAsia="es-ES"/>
        </w:rPr>
        <w:t>JIMMY</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702258" w:rsidRPr="0034604B" w:rsidTr="00D33CF1">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b/>
                <w:sz w:val="16"/>
                <w:szCs w:val="16"/>
                <w:lang w:val="es-ES_tradnl" w:eastAsia="es-ES"/>
              </w:rPr>
            </w:pPr>
            <w:r w:rsidRPr="0034604B">
              <w:rPr>
                <w:rFonts w:ascii="Arial" w:eastAsia="Times New Roman" w:hAnsi="Arial" w:cs="Arial"/>
                <w:b/>
                <w:sz w:val="16"/>
                <w:szCs w:val="16"/>
                <w:lang w:val="es-ES_tradnl" w:eastAsia="es-ES"/>
              </w:rPr>
              <w:t>NOTIFICACIÓN POR ESTADO</w:t>
            </w: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b/>
                <w:sz w:val="16"/>
                <w:szCs w:val="16"/>
                <w:lang w:val="es-ES_tradnl" w:eastAsia="es-ES"/>
              </w:rPr>
            </w:pPr>
            <w:r w:rsidRPr="0034604B">
              <w:rPr>
                <w:rFonts w:ascii="Arial" w:eastAsia="Times New Roman" w:hAnsi="Arial" w:cs="Arial"/>
                <w:b/>
                <w:sz w:val="16"/>
                <w:szCs w:val="16"/>
                <w:lang w:val="es-ES_tradnl" w:eastAsia="es-ES"/>
              </w:rPr>
              <w:t>JUZGADO VEINTE (20°) ADMINISTRATIVO ORAL DEL CIRCUITO</w:t>
            </w: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sz w:val="16"/>
                <w:szCs w:val="16"/>
                <w:lang w:val="es-ES_tradnl" w:eastAsia="es-ES"/>
              </w:rPr>
            </w:pP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sz w:val="16"/>
                <w:szCs w:val="16"/>
                <w:lang w:val="es-ES_tradnl" w:eastAsia="es-ES"/>
              </w:rPr>
            </w:pPr>
            <w:r w:rsidRPr="0034604B">
              <w:rPr>
                <w:rFonts w:ascii="Arial" w:eastAsia="Times New Roman" w:hAnsi="Arial" w:cs="Arial"/>
                <w:sz w:val="16"/>
                <w:szCs w:val="16"/>
                <w:lang w:val="es-ES_tradnl" w:eastAsia="es-ES"/>
              </w:rPr>
              <w:t xml:space="preserve">En la fecha se notificó por </w:t>
            </w:r>
            <w:r w:rsidRPr="0034604B">
              <w:rPr>
                <w:rFonts w:ascii="Arial" w:eastAsia="Times New Roman" w:hAnsi="Arial" w:cs="Arial"/>
                <w:b/>
                <w:sz w:val="16"/>
                <w:szCs w:val="16"/>
                <w:lang w:val="es-ES_tradnl" w:eastAsia="es-ES"/>
              </w:rPr>
              <w:t>ESTADO</w:t>
            </w:r>
            <w:r w:rsidRPr="0034604B">
              <w:rPr>
                <w:rFonts w:ascii="Arial" w:eastAsia="Times New Roman" w:hAnsi="Arial" w:cs="Arial"/>
                <w:sz w:val="16"/>
                <w:szCs w:val="16"/>
                <w:lang w:val="es-ES_tradnl" w:eastAsia="es-ES"/>
              </w:rPr>
              <w:t xml:space="preserve"> el auto anterior.</w:t>
            </w: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sz w:val="16"/>
                <w:szCs w:val="16"/>
                <w:lang w:val="es-ES_tradnl" w:eastAsia="es-ES"/>
              </w:rPr>
            </w:pP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sz w:val="16"/>
                <w:szCs w:val="16"/>
                <w:lang w:val="es-ES_tradnl" w:eastAsia="es-ES"/>
              </w:rPr>
            </w:pPr>
            <w:r w:rsidRPr="0034604B">
              <w:rPr>
                <w:rFonts w:ascii="Arial" w:eastAsia="Times New Roman" w:hAnsi="Arial" w:cs="Arial"/>
                <w:sz w:val="16"/>
                <w:szCs w:val="16"/>
                <w:lang w:val="es-ES_tradnl" w:eastAsia="es-ES"/>
              </w:rPr>
              <w:t xml:space="preserve">Medellín, </w:t>
            </w:r>
            <w:r w:rsidR="003846B7">
              <w:rPr>
                <w:rFonts w:ascii="Arial" w:eastAsia="Times New Roman" w:hAnsi="Arial" w:cs="Arial"/>
                <w:sz w:val="16"/>
                <w:szCs w:val="16"/>
                <w:lang w:val="es-ES_tradnl" w:eastAsia="es-ES"/>
              </w:rPr>
              <w:t>4</w:t>
            </w:r>
            <w:r>
              <w:rPr>
                <w:rFonts w:ascii="Arial" w:eastAsia="Times New Roman" w:hAnsi="Arial" w:cs="Arial"/>
                <w:sz w:val="16"/>
                <w:szCs w:val="16"/>
                <w:lang w:val="es-ES_tradnl" w:eastAsia="es-ES"/>
              </w:rPr>
              <w:t xml:space="preserve">  de mayo </w:t>
            </w:r>
            <w:r w:rsidRPr="0034604B">
              <w:rPr>
                <w:rFonts w:ascii="Arial" w:eastAsia="Times New Roman" w:hAnsi="Arial" w:cs="Arial"/>
                <w:sz w:val="16"/>
                <w:szCs w:val="16"/>
                <w:lang w:val="es-ES_tradnl" w:eastAsia="es-ES"/>
              </w:rPr>
              <w:t xml:space="preserve"> de 2015 fijado a las </w:t>
            </w:r>
            <w:smartTag w:uri="urn:schemas-microsoft-com:office:smarttags" w:element="metricconverter">
              <w:smartTagPr>
                <w:attr w:name="ProductID" w:val="8 a"/>
              </w:smartTagPr>
              <w:r w:rsidRPr="0034604B">
                <w:rPr>
                  <w:rFonts w:ascii="Arial" w:eastAsia="Times New Roman" w:hAnsi="Arial" w:cs="Arial"/>
                  <w:sz w:val="16"/>
                  <w:szCs w:val="16"/>
                  <w:lang w:val="es-ES_tradnl" w:eastAsia="es-ES"/>
                </w:rPr>
                <w:t>8 a</w:t>
              </w:r>
            </w:smartTag>
            <w:r w:rsidRPr="0034604B">
              <w:rPr>
                <w:rFonts w:ascii="Arial" w:eastAsia="Times New Roman" w:hAnsi="Arial" w:cs="Arial"/>
                <w:sz w:val="16"/>
                <w:szCs w:val="16"/>
                <w:lang w:val="es-ES_tradnl" w:eastAsia="es-ES"/>
              </w:rPr>
              <w:t>.m.</w:t>
            </w: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sz w:val="16"/>
                <w:szCs w:val="16"/>
                <w:lang w:val="es-ES_tradnl" w:eastAsia="es-ES"/>
              </w:rPr>
            </w:pP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sz w:val="16"/>
                <w:szCs w:val="16"/>
                <w:lang w:val="es-ES_tradnl" w:eastAsia="es-ES"/>
              </w:rPr>
            </w:pP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sz w:val="16"/>
                <w:szCs w:val="16"/>
                <w:lang w:val="es-ES_tradnl" w:eastAsia="es-ES"/>
              </w:rPr>
            </w:pPr>
            <w:r w:rsidRPr="0034604B">
              <w:rPr>
                <w:rFonts w:ascii="Arial" w:eastAsia="Times New Roman" w:hAnsi="Arial" w:cs="Arial"/>
                <w:sz w:val="16"/>
                <w:szCs w:val="16"/>
                <w:lang w:val="es-ES_tradnl" w:eastAsia="es-ES"/>
              </w:rPr>
              <w:t>MIRYAN DUQUE BURITICÁ</w:t>
            </w:r>
          </w:p>
          <w:p w:rsidR="00702258" w:rsidRPr="0034604B" w:rsidRDefault="00702258" w:rsidP="00D33CF1">
            <w:pPr>
              <w:overflowPunct w:val="0"/>
              <w:autoSpaceDE w:val="0"/>
              <w:autoSpaceDN w:val="0"/>
              <w:adjustRightInd w:val="0"/>
              <w:spacing w:after="0" w:line="276" w:lineRule="auto"/>
              <w:jc w:val="center"/>
              <w:textAlignment w:val="baseline"/>
              <w:rPr>
                <w:rFonts w:ascii="Arial" w:eastAsia="Times New Roman" w:hAnsi="Arial" w:cs="Arial"/>
                <w:sz w:val="16"/>
                <w:szCs w:val="16"/>
                <w:lang w:val="es-ES_tradnl" w:eastAsia="es-ES"/>
              </w:rPr>
            </w:pPr>
            <w:r w:rsidRPr="0034604B">
              <w:rPr>
                <w:rFonts w:ascii="Arial" w:eastAsia="Times New Roman" w:hAnsi="Arial" w:cs="Arial"/>
                <w:sz w:val="16"/>
                <w:szCs w:val="16"/>
                <w:lang w:val="es-ES_tradnl" w:eastAsia="es-ES"/>
              </w:rPr>
              <w:t>SECRETARIA</w:t>
            </w:r>
          </w:p>
        </w:tc>
      </w:tr>
    </w:tbl>
    <w:p w:rsidR="00702258" w:rsidRPr="0034604B" w:rsidRDefault="00702258" w:rsidP="00702258">
      <w:pPr>
        <w:overflowPunct w:val="0"/>
        <w:autoSpaceDE w:val="0"/>
        <w:autoSpaceDN w:val="0"/>
        <w:adjustRightInd w:val="0"/>
        <w:spacing w:after="0" w:line="276" w:lineRule="auto"/>
        <w:jc w:val="both"/>
        <w:textAlignment w:val="baseline"/>
        <w:rPr>
          <w:rFonts w:ascii="Arial" w:eastAsia="Times New Roman" w:hAnsi="Arial" w:cs="Arial"/>
          <w:b/>
          <w:sz w:val="26"/>
          <w:szCs w:val="20"/>
          <w:lang w:val="es-ES_tradnl" w:eastAsia="es-ES"/>
        </w:rPr>
      </w:pPr>
    </w:p>
    <w:p w:rsidR="00702258" w:rsidRPr="0034604B" w:rsidRDefault="00702258" w:rsidP="00702258">
      <w:pPr>
        <w:suppressAutoHyphens/>
        <w:overflowPunct w:val="0"/>
        <w:autoSpaceDE w:val="0"/>
        <w:autoSpaceDN w:val="0"/>
        <w:adjustRightInd w:val="0"/>
        <w:spacing w:after="0" w:line="276" w:lineRule="auto"/>
        <w:textAlignment w:val="baseline"/>
        <w:rPr>
          <w:rFonts w:ascii="Arial" w:eastAsia="Times New Roman" w:hAnsi="Arial" w:cs="Times New Roman"/>
          <w:sz w:val="26"/>
          <w:szCs w:val="20"/>
          <w:lang w:val="es-ES_tradnl" w:eastAsia="es-ES"/>
        </w:rPr>
      </w:pPr>
    </w:p>
    <w:p w:rsidR="00702258" w:rsidRPr="0034604B" w:rsidRDefault="00702258" w:rsidP="00702258">
      <w:pPr>
        <w:overflowPunct w:val="0"/>
        <w:autoSpaceDE w:val="0"/>
        <w:autoSpaceDN w:val="0"/>
        <w:adjustRightInd w:val="0"/>
        <w:spacing w:after="0" w:line="240" w:lineRule="auto"/>
        <w:textAlignment w:val="baseline"/>
        <w:rPr>
          <w:rFonts w:ascii="Arial" w:eastAsia="Times New Roman" w:hAnsi="Arial" w:cs="Times New Roman"/>
          <w:sz w:val="26"/>
          <w:szCs w:val="20"/>
          <w:lang w:val="es-ES_tradnl" w:eastAsia="es-ES"/>
        </w:rPr>
      </w:pPr>
    </w:p>
    <w:p w:rsidR="00702258" w:rsidRDefault="00702258" w:rsidP="00702258"/>
    <w:p w:rsidR="00702258" w:rsidRDefault="00702258" w:rsidP="00702258"/>
    <w:p w:rsidR="00702258" w:rsidRDefault="00702258" w:rsidP="00702258"/>
    <w:p w:rsidR="00B3072F" w:rsidRDefault="00B3072F"/>
    <w:sectPr w:rsidR="00B3072F" w:rsidSect="003530E8">
      <w:footerReference w:type="even" r:id="rId7"/>
      <w:footerReference w:type="default" r:id="rId8"/>
      <w:pgSz w:w="12242" w:h="18722" w:code="14"/>
      <w:pgMar w:top="2694"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467" w:rsidRDefault="00526467" w:rsidP="00702258">
      <w:pPr>
        <w:spacing w:after="0" w:line="240" w:lineRule="auto"/>
      </w:pPr>
      <w:r>
        <w:separator/>
      </w:r>
    </w:p>
  </w:endnote>
  <w:endnote w:type="continuationSeparator" w:id="0">
    <w:p w:rsidR="00526467" w:rsidRDefault="00526467" w:rsidP="0070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TTE2636268t00">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8E4" w:rsidRDefault="002E03C3" w:rsidP="001278E4">
    <w:pPr>
      <w:pStyle w:val="Piedepgina"/>
      <w:framePr w:wrap="around" w:vAnchor="text" w:hAnchor="margin" w:xAlign="right" w:y="1"/>
      <w:rPr>
        <w:rStyle w:val="Nmerodepgina"/>
      </w:rPr>
    </w:pPr>
    <w:r>
      <w:rPr>
        <w:rStyle w:val="Nmerodepgina"/>
      </w:rPr>
      <w:fldChar w:fldCharType="begin"/>
    </w:r>
    <w:r w:rsidR="00526467">
      <w:rPr>
        <w:rStyle w:val="Nmerodepgina"/>
      </w:rPr>
      <w:instrText xml:space="preserve">PAGE  </w:instrText>
    </w:r>
    <w:r>
      <w:rPr>
        <w:rStyle w:val="Nmerodepgina"/>
      </w:rPr>
      <w:fldChar w:fldCharType="end"/>
    </w:r>
  </w:p>
  <w:p w:rsidR="001278E4" w:rsidRDefault="009A412C" w:rsidP="001278E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8E4" w:rsidRPr="00190525" w:rsidRDefault="002E03C3" w:rsidP="001278E4">
    <w:pPr>
      <w:pStyle w:val="Piedepgina"/>
      <w:framePr w:wrap="around" w:vAnchor="text" w:hAnchor="margin" w:xAlign="right" w:y="1"/>
      <w:rPr>
        <w:rStyle w:val="Nmerodepgina"/>
        <w:sz w:val="20"/>
      </w:rPr>
    </w:pPr>
    <w:r w:rsidRPr="00190525">
      <w:rPr>
        <w:rStyle w:val="Nmerodepgina"/>
        <w:sz w:val="20"/>
      </w:rPr>
      <w:fldChar w:fldCharType="begin"/>
    </w:r>
    <w:r w:rsidR="00526467" w:rsidRPr="00190525">
      <w:rPr>
        <w:rStyle w:val="Nmerodepgina"/>
        <w:sz w:val="20"/>
      </w:rPr>
      <w:instrText xml:space="preserve">PAGE  </w:instrText>
    </w:r>
    <w:r w:rsidRPr="00190525">
      <w:rPr>
        <w:rStyle w:val="Nmerodepgina"/>
        <w:sz w:val="20"/>
      </w:rPr>
      <w:fldChar w:fldCharType="separate"/>
    </w:r>
    <w:r w:rsidR="009A412C">
      <w:rPr>
        <w:rStyle w:val="Nmerodepgina"/>
        <w:noProof/>
        <w:sz w:val="20"/>
      </w:rPr>
      <w:t>8</w:t>
    </w:r>
    <w:r w:rsidRPr="00190525">
      <w:rPr>
        <w:rStyle w:val="Nmerodepgina"/>
        <w:sz w:val="20"/>
      </w:rPr>
      <w:fldChar w:fldCharType="end"/>
    </w:r>
  </w:p>
  <w:p w:rsidR="001278E4" w:rsidRDefault="009A412C" w:rsidP="001278E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467" w:rsidRDefault="00526467" w:rsidP="00702258">
      <w:pPr>
        <w:spacing w:after="0" w:line="240" w:lineRule="auto"/>
      </w:pPr>
      <w:r>
        <w:separator/>
      </w:r>
    </w:p>
  </w:footnote>
  <w:footnote w:type="continuationSeparator" w:id="0">
    <w:p w:rsidR="00526467" w:rsidRDefault="00526467" w:rsidP="00702258">
      <w:pPr>
        <w:spacing w:after="0" w:line="240" w:lineRule="auto"/>
      </w:pPr>
      <w:r>
        <w:continuationSeparator/>
      </w:r>
    </w:p>
  </w:footnote>
  <w:footnote w:id="1">
    <w:p w:rsidR="00702258" w:rsidRPr="007F6906" w:rsidRDefault="00702258" w:rsidP="00702258">
      <w:pPr>
        <w:pStyle w:val="Textonotapie"/>
        <w:rPr>
          <w:sz w:val="18"/>
          <w:szCs w:val="18"/>
          <w:lang w:val="es-CO"/>
        </w:rPr>
      </w:pPr>
      <w:r w:rsidRPr="007F6906">
        <w:rPr>
          <w:rStyle w:val="Refdenotaalpie"/>
          <w:sz w:val="18"/>
          <w:szCs w:val="18"/>
        </w:rPr>
        <w:footnoteRef/>
      </w:r>
      <w:r w:rsidRPr="007F6906">
        <w:rPr>
          <w:sz w:val="18"/>
          <w:szCs w:val="18"/>
        </w:rPr>
        <w:t xml:space="preserve"> </w:t>
      </w:r>
      <w:r w:rsidR="0071441F">
        <w:rPr>
          <w:sz w:val="18"/>
          <w:szCs w:val="18"/>
        </w:rPr>
        <w:t>16 de marzo</w:t>
      </w:r>
      <w:r w:rsidR="0071441F">
        <w:rPr>
          <w:sz w:val="18"/>
          <w:szCs w:val="18"/>
          <w:lang w:val="es-CO"/>
        </w:rPr>
        <w:t xml:space="preserve"> de 2015</w:t>
      </w:r>
      <w:r w:rsidRPr="007F6906">
        <w:rPr>
          <w:sz w:val="18"/>
          <w:szCs w:val="18"/>
          <w:lang w:val="es-CO"/>
        </w:rPr>
        <w:t xml:space="preserve"> (folio </w:t>
      </w:r>
      <w:r w:rsidR="0071441F">
        <w:rPr>
          <w:sz w:val="18"/>
          <w:szCs w:val="18"/>
          <w:lang w:val="es-CO"/>
        </w:rPr>
        <w:t>19</w:t>
      </w:r>
      <w:r>
        <w:rPr>
          <w:sz w:val="18"/>
          <w:szCs w:val="18"/>
          <w:lang w:val="es-CO"/>
        </w:rPr>
        <w:t>)</w:t>
      </w:r>
      <w:r w:rsidRPr="007F6906">
        <w:rPr>
          <w:sz w:val="18"/>
          <w:szCs w:val="18"/>
          <w:lang w:val="es-C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7332B"/>
    <w:multiLevelType w:val="hybridMultilevel"/>
    <w:tmpl w:val="BD7AAC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2258"/>
    <w:rsid w:val="00001794"/>
    <w:rsid w:val="0009621E"/>
    <w:rsid w:val="002A106C"/>
    <w:rsid w:val="002E03C3"/>
    <w:rsid w:val="003846B7"/>
    <w:rsid w:val="00387858"/>
    <w:rsid w:val="00526467"/>
    <w:rsid w:val="005F7C0A"/>
    <w:rsid w:val="00702258"/>
    <w:rsid w:val="0071441F"/>
    <w:rsid w:val="009A412C"/>
    <w:rsid w:val="00B26BA6"/>
    <w:rsid w:val="00B3072F"/>
    <w:rsid w:val="00E148E9"/>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36DEF983-6C6D-4EFD-9628-10E36005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2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7022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02258"/>
  </w:style>
  <w:style w:type="paragraph" w:styleId="Textonotapie">
    <w:name w:val="footnote text"/>
    <w:basedOn w:val="Normal"/>
    <w:link w:val="TextonotapieCar"/>
    <w:uiPriority w:val="99"/>
    <w:semiHidden/>
    <w:unhideWhenUsed/>
    <w:rsid w:val="007022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2258"/>
    <w:rPr>
      <w:sz w:val="20"/>
      <w:szCs w:val="20"/>
    </w:rPr>
  </w:style>
  <w:style w:type="character" w:styleId="Refdenotaalpie">
    <w:name w:val="footnote reference"/>
    <w:semiHidden/>
    <w:rsid w:val="00702258"/>
    <w:rPr>
      <w:vertAlign w:val="superscript"/>
    </w:rPr>
  </w:style>
  <w:style w:type="character" w:styleId="Nmerodepgina">
    <w:name w:val="page number"/>
    <w:basedOn w:val="Fuentedeprrafopredeter"/>
    <w:rsid w:val="00702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2669</Words>
  <Characters>14685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8</cp:revision>
  <dcterms:created xsi:type="dcterms:W3CDTF">2015-05-13T14:14:00Z</dcterms:created>
  <dcterms:modified xsi:type="dcterms:W3CDTF">2015-05-27T20:11:00Z</dcterms:modified>
</cp:coreProperties>
</file>