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BB7" w:rsidRPr="00C45504" w:rsidRDefault="00D84BB7" w:rsidP="00D84BB7">
      <w:pPr>
        <w:pStyle w:val="Encabezado"/>
        <w:jc w:val="center"/>
        <w:rPr>
          <w:rFonts w:ascii="Bradley Hand ITC" w:hAnsi="Bradley Hand ITC"/>
          <w:b/>
          <w:i/>
          <w:sz w:val="30"/>
          <w:szCs w:val="30"/>
          <w:lang w:val="es-CO"/>
        </w:rPr>
      </w:pPr>
      <w:r w:rsidRPr="00C45504">
        <w:rPr>
          <w:rFonts w:ascii="Bradley Hand ITC" w:hAnsi="Bradley Hand ITC"/>
          <w:b/>
          <w:noProof/>
          <w:sz w:val="30"/>
          <w:szCs w:val="30"/>
          <w:lang w:val="es-CO" w:eastAsia="es-CO"/>
        </w:rPr>
        <w:drawing>
          <wp:inline distT="0" distB="0" distL="0" distR="0">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D84BB7" w:rsidRDefault="00D84BB7" w:rsidP="00D84BB7">
      <w:pPr>
        <w:pStyle w:val="Encabezado"/>
        <w:jc w:val="center"/>
        <w:rPr>
          <w:rFonts w:ascii="Bradley Hand ITC" w:hAnsi="Bradley Hand ITC"/>
          <w:sz w:val="26"/>
          <w:szCs w:val="26"/>
          <w:lang w:val="es-CO"/>
        </w:rPr>
      </w:pPr>
      <w:r w:rsidRPr="00BE68DA">
        <w:rPr>
          <w:rFonts w:ascii="Bradley Hand ITC" w:hAnsi="Bradley Hand ITC"/>
          <w:sz w:val="26"/>
          <w:szCs w:val="26"/>
          <w:lang w:val="es-CO"/>
        </w:rPr>
        <w:t>REPÚBLICA DE COLOMBIA</w:t>
      </w:r>
    </w:p>
    <w:p w:rsidR="00D84BB7" w:rsidRDefault="00D84BB7" w:rsidP="00D84BB7">
      <w:pPr>
        <w:pStyle w:val="Encabezado"/>
        <w:jc w:val="center"/>
        <w:rPr>
          <w:rFonts w:ascii="Bradley Hand ITC" w:hAnsi="Bradley Hand ITC"/>
          <w:sz w:val="26"/>
          <w:szCs w:val="26"/>
          <w:lang w:val="es-CO"/>
        </w:rPr>
      </w:pPr>
    </w:p>
    <w:p w:rsidR="00D84BB7" w:rsidRPr="00BE68DA" w:rsidRDefault="00D84BB7" w:rsidP="00D84BB7">
      <w:pPr>
        <w:pStyle w:val="Encabezado"/>
        <w:jc w:val="center"/>
        <w:rPr>
          <w:rFonts w:ascii="Bradley Hand ITC" w:hAnsi="Bradley Hand ITC"/>
          <w:sz w:val="26"/>
          <w:szCs w:val="26"/>
          <w:lang w:val="es-CO"/>
        </w:rPr>
      </w:pPr>
    </w:p>
    <w:p w:rsidR="00D84BB7" w:rsidRDefault="00D84BB7" w:rsidP="00D84BB7">
      <w:pPr>
        <w:pStyle w:val="Encabezado"/>
        <w:jc w:val="center"/>
        <w:rPr>
          <w:rFonts w:ascii="Bradley Hand ITC" w:hAnsi="Bradley Hand ITC"/>
          <w:b/>
          <w:sz w:val="26"/>
          <w:szCs w:val="26"/>
          <w:lang w:val="es-CO"/>
        </w:rPr>
      </w:pPr>
      <w:r w:rsidRPr="00BE68DA">
        <w:rPr>
          <w:rFonts w:ascii="Bradley Hand ITC" w:hAnsi="Bradley Hand ITC"/>
          <w:b/>
          <w:sz w:val="26"/>
          <w:szCs w:val="26"/>
          <w:lang w:val="es-CO"/>
        </w:rPr>
        <w:t xml:space="preserve">JUZGADO DIECISÉIS ADMINISTRATIVO </w:t>
      </w:r>
      <w:r>
        <w:rPr>
          <w:rFonts w:ascii="Bradley Hand ITC" w:hAnsi="Bradley Hand ITC"/>
          <w:b/>
          <w:sz w:val="26"/>
          <w:szCs w:val="26"/>
          <w:lang w:val="es-CO"/>
        </w:rPr>
        <w:t>ORAL DE MEDELLÍN</w:t>
      </w:r>
    </w:p>
    <w:p w:rsidR="00D84BB7" w:rsidRDefault="00D84BB7" w:rsidP="00D84BB7">
      <w:pPr>
        <w:pStyle w:val="Encabezado"/>
        <w:jc w:val="center"/>
        <w:rPr>
          <w:rFonts w:ascii="Bradley Hand ITC" w:hAnsi="Bradley Hand ITC"/>
          <w:b/>
          <w:sz w:val="26"/>
          <w:szCs w:val="26"/>
          <w:lang w:val="es-CO"/>
        </w:rPr>
      </w:pPr>
    </w:p>
    <w:p w:rsidR="00D84BB7" w:rsidRPr="00336A0F" w:rsidRDefault="00D84BB7" w:rsidP="00D84BB7">
      <w:pPr>
        <w:pStyle w:val="Encabezado"/>
        <w:jc w:val="center"/>
        <w:rPr>
          <w:rFonts w:ascii="Bradley Hand ITC" w:hAnsi="Bradley Hand ITC"/>
          <w:b/>
          <w:sz w:val="26"/>
          <w:szCs w:val="26"/>
          <w:lang w:val="es-CO"/>
        </w:rPr>
      </w:pPr>
    </w:p>
    <w:p w:rsidR="00D84BB7" w:rsidRPr="008A3D7C" w:rsidRDefault="00FF658A" w:rsidP="00D84BB7">
      <w:pPr>
        <w:pStyle w:val="Encabezado"/>
        <w:spacing w:line="360" w:lineRule="auto"/>
        <w:jc w:val="center"/>
        <w:rPr>
          <w:rFonts w:ascii="Bradley Hand ITC" w:hAnsi="Bradley Hand ITC"/>
          <w:sz w:val="26"/>
          <w:szCs w:val="26"/>
          <w:lang w:val="es-CO"/>
        </w:rPr>
      </w:pPr>
      <w:r>
        <w:rPr>
          <w:rFonts w:ascii="Bradley Hand ITC" w:hAnsi="Bradley Hand ITC"/>
          <w:sz w:val="26"/>
          <w:szCs w:val="26"/>
          <w:lang w:val="es-CO"/>
        </w:rPr>
        <w:t>Medellín, t</w:t>
      </w:r>
      <w:r w:rsidR="003D6494">
        <w:rPr>
          <w:rFonts w:ascii="Bradley Hand ITC" w:hAnsi="Bradley Hand ITC"/>
          <w:sz w:val="26"/>
          <w:szCs w:val="26"/>
          <w:lang w:val="es-CO"/>
        </w:rPr>
        <w:t>res</w:t>
      </w:r>
      <w:r w:rsidR="00D84BB7">
        <w:rPr>
          <w:rFonts w:ascii="Bradley Hand ITC" w:hAnsi="Bradley Hand ITC"/>
          <w:sz w:val="26"/>
          <w:szCs w:val="26"/>
          <w:lang w:val="es-CO"/>
        </w:rPr>
        <w:t xml:space="preserve"> </w:t>
      </w:r>
      <w:r w:rsidR="00D84BB7" w:rsidRPr="008A3D7C">
        <w:rPr>
          <w:rFonts w:ascii="Bradley Hand ITC" w:hAnsi="Bradley Hand ITC"/>
          <w:sz w:val="26"/>
          <w:szCs w:val="26"/>
          <w:lang w:val="es-CO"/>
        </w:rPr>
        <w:t>(</w:t>
      </w:r>
      <w:r w:rsidR="003D6494">
        <w:rPr>
          <w:rFonts w:ascii="Bradley Hand ITC" w:hAnsi="Bradley Hand ITC"/>
          <w:sz w:val="26"/>
          <w:szCs w:val="26"/>
          <w:lang w:val="es-CO"/>
        </w:rPr>
        <w:t>03</w:t>
      </w:r>
      <w:r w:rsidR="00D84BB7" w:rsidRPr="008A3D7C">
        <w:rPr>
          <w:rFonts w:ascii="Bradley Hand ITC" w:hAnsi="Bradley Hand ITC"/>
          <w:sz w:val="26"/>
          <w:szCs w:val="26"/>
          <w:lang w:val="es-CO"/>
        </w:rPr>
        <w:t xml:space="preserve">) de </w:t>
      </w:r>
      <w:r w:rsidR="003D6494">
        <w:rPr>
          <w:rFonts w:ascii="Bradley Hand ITC" w:hAnsi="Bradley Hand ITC"/>
          <w:sz w:val="26"/>
          <w:szCs w:val="26"/>
          <w:lang w:val="es-CO"/>
        </w:rPr>
        <w:t>febr</w:t>
      </w:r>
      <w:r w:rsidR="00D84BB7">
        <w:rPr>
          <w:rFonts w:ascii="Bradley Hand ITC" w:hAnsi="Bradley Hand ITC"/>
          <w:sz w:val="26"/>
          <w:szCs w:val="26"/>
          <w:lang w:val="es-CO"/>
        </w:rPr>
        <w:t xml:space="preserve">ero de dos mil quince </w:t>
      </w:r>
      <w:r w:rsidR="00D84BB7" w:rsidRPr="008A3D7C">
        <w:rPr>
          <w:rFonts w:ascii="Bradley Hand ITC" w:hAnsi="Bradley Hand ITC"/>
          <w:sz w:val="26"/>
          <w:szCs w:val="26"/>
          <w:lang w:val="es-CO"/>
        </w:rPr>
        <w:t>(201</w:t>
      </w:r>
      <w:r w:rsidR="00D84BB7">
        <w:rPr>
          <w:rFonts w:ascii="Bradley Hand ITC" w:hAnsi="Bradley Hand ITC"/>
          <w:sz w:val="26"/>
          <w:szCs w:val="26"/>
          <w:lang w:val="es-CO"/>
        </w:rPr>
        <w:t>5</w:t>
      </w:r>
      <w:r w:rsidR="00D84BB7" w:rsidRPr="008A3D7C">
        <w:rPr>
          <w:rFonts w:ascii="Bradley Hand ITC" w:hAnsi="Bradley Hand ITC"/>
          <w:sz w:val="26"/>
          <w:szCs w:val="26"/>
          <w:lang w:val="es-CO"/>
        </w:rPr>
        <w:t>).</w:t>
      </w:r>
    </w:p>
    <w:p w:rsidR="00D84BB7" w:rsidRDefault="00D84BB7" w:rsidP="00D84BB7">
      <w:pPr>
        <w:pStyle w:val="Encabezado"/>
        <w:spacing w:line="360" w:lineRule="auto"/>
        <w:rPr>
          <w:rFonts w:ascii="Lucida Sans" w:hAnsi="Lucida Sans"/>
          <w:sz w:val="22"/>
          <w:szCs w:val="22"/>
        </w:rPr>
      </w:pPr>
      <w:r w:rsidRPr="00E92F70">
        <w:rPr>
          <w:rFonts w:ascii="Lucida Sans" w:hAnsi="Lucida Sans"/>
          <w:sz w:val="22"/>
          <w:szCs w:val="22"/>
        </w:rPr>
        <w:tab/>
      </w:r>
    </w:p>
    <w:p w:rsidR="00D84BB7" w:rsidRPr="00336A0F" w:rsidRDefault="00D84BB7" w:rsidP="00D84BB7">
      <w:pPr>
        <w:pStyle w:val="Encabezado"/>
        <w:spacing w:line="360" w:lineRule="auto"/>
        <w:rPr>
          <w:rFonts w:ascii="Lucida Sans" w:hAnsi="Lucida Sans"/>
          <w:sz w:val="22"/>
          <w:szCs w:val="22"/>
        </w:rPr>
      </w:pP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sidRPr="00C45504">
        <w:rPr>
          <w:rFonts w:ascii="MS Reference Sans Serif" w:hAnsi="MS Reference Sans Serif"/>
          <w:sz w:val="16"/>
          <w:szCs w:val="16"/>
          <w:lang w:val="es-CO"/>
        </w:rPr>
        <w:t xml:space="preserve">REFERENCIA: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color w:val="0000FF"/>
          <w:sz w:val="16"/>
          <w:szCs w:val="16"/>
          <w:lang w:val="es-CO"/>
        </w:rPr>
      </w:pPr>
      <w:r>
        <w:rPr>
          <w:rFonts w:ascii="MS Reference Sans Serif" w:hAnsi="MS Reference Sans Serif"/>
          <w:b/>
          <w:color w:val="0000FF"/>
          <w:sz w:val="16"/>
          <w:szCs w:val="16"/>
          <w:lang w:val="es-CO"/>
        </w:rPr>
        <w:t>EXPEDIENTE No. 05001-33-33</w:t>
      </w:r>
      <w:r w:rsidRPr="00C45504">
        <w:rPr>
          <w:rFonts w:ascii="MS Reference Sans Serif" w:hAnsi="MS Reference Sans Serif"/>
          <w:b/>
          <w:color w:val="0000FF"/>
          <w:sz w:val="16"/>
          <w:szCs w:val="16"/>
          <w:lang w:val="es-CO"/>
        </w:rPr>
        <w:t>-016-</w:t>
      </w:r>
      <w:r>
        <w:rPr>
          <w:rFonts w:ascii="MS Reference Sans Serif" w:hAnsi="MS Reference Sans Serif"/>
          <w:b/>
          <w:color w:val="0000FF"/>
          <w:sz w:val="16"/>
          <w:szCs w:val="16"/>
          <w:lang w:val="es-CO"/>
        </w:rPr>
        <w:t>2014</w:t>
      </w:r>
      <w:r w:rsidRPr="00C45504">
        <w:rPr>
          <w:rFonts w:ascii="MS Reference Sans Serif" w:hAnsi="MS Reference Sans Serif"/>
          <w:b/>
          <w:color w:val="0000FF"/>
          <w:sz w:val="16"/>
          <w:szCs w:val="16"/>
          <w:lang w:val="es-CO"/>
        </w:rPr>
        <w:t>-</w:t>
      </w:r>
      <w:r w:rsidR="000E7823">
        <w:rPr>
          <w:rFonts w:ascii="MS Reference Sans Serif" w:hAnsi="MS Reference Sans Serif"/>
          <w:b/>
          <w:color w:val="0000FF"/>
          <w:sz w:val="16"/>
          <w:szCs w:val="16"/>
          <w:lang w:val="es-CO"/>
        </w:rPr>
        <w:t>1622</w:t>
      </w:r>
      <w:r>
        <w:rPr>
          <w:rFonts w:ascii="MS Reference Sans Serif" w:hAnsi="MS Reference Sans Serif"/>
          <w:b/>
          <w:color w:val="0000FF"/>
          <w:sz w:val="16"/>
          <w:szCs w:val="16"/>
          <w:lang w:val="es-CO"/>
        </w:rPr>
        <w:t xml:space="preserve"> 00</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MEDIO DE CONTROL DE NULIDAD Y RESTABLECIMIENTO DEL DERECHO  - LABORAL</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DEMANDANTE</w:t>
      </w:r>
      <w:r w:rsidRPr="00C45504">
        <w:rPr>
          <w:rFonts w:ascii="MS Reference Sans Serif" w:hAnsi="MS Reference Sans Serif"/>
          <w:sz w:val="16"/>
          <w:szCs w:val="16"/>
          <w:lang w:val="es-CO"/>
        </w:rPr>
        <w:t>:</w:t>
      </w:r>
      <w:r>
        <w:rPr>
          <w:rFonts w:ascii="MS Reference Sans Serif" w:hAnsi="MS Reference Sans Serif"/>
          <w:sz w:val="16"/>
          <w:szCs w:val="16"/>
          <w:lang w:val="es-CO"/>
        </w:rPr>
        <w:t xml:space="preserve"> </w:t>
      </w:r>
      <w:r w:rsidR="000E7823">
        <w:rPr>
          <w:rFonts w:ascii="MS Reference Sans Serif" w:hAnsi="MS Reference Sans Serif"/>
          <w:sz w:val="16"/>
          <w:szCs w:val="16"/>
          <w:lang w:val="es-CO"/>
        </w:rPr>
        <w:t>NOELIA DEL CARMEN GONZALEZ</w:t>
      </w:r>
      <w:r>
        <w:rPr>
          <w:rFonts w:ascii="MS Reference Sans Serif" w:hAnsi="MS Reference Sans Serif"/>
          <w:sz w:val="16"/>
          <w:szCs w:val="16"/>
          <w:lang w:val="es-CO"/>
        </w:rPr>
        <w:t xml:space="preserve">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DEMANDADO</w:t>
      </w:r>
      <w:r w:rsidRPr="00C45504">
        <w:rPr>
          <w:rFonts w:ascii="MS Reference Sans Serif" w:hAnsi="MS Reference Sans Serif"/>
          <w:sz w:val="16"/>
          <w:szCs w:val="16"/>
          <w:lang w:val="es-CO"/>
        </w:rPr>
        <w:t xml:space="preserve">: </w:t>
      </w:r>
      <w:r>
        <w:rPr>
          <w:rFonts w:ascii="MS Reference Sans Serif" w:hAnsi="MS Reference Sans Serif"/>
          <w:sz w:val="16"/>
          <w:szCs w:val="16"/>
          <w:lang w:val="es-CO"/>
        </w:rPr>
        <w:t xml:space="preserve">DEPARTAMENTO DE ANTIOQUIA </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sz w:val="16"/>
          <w:szCs w:val="16"/>
          <w:lang w:val="es-CO"/>
        </w:rPr>
      </w:pPr>
      <w:r w:rsidRPr="00C45504">
        <w:rPr>
          <w:rFonts w:ascii="MS Reference Sans Serif" w:hAnsi="MS Reference Sans Serif"/>
          <w:b/>
          <w:sz w:val="16"/>
          <w:szCs w:val="16"/>
          <w:lang w:val="es-CO"/>
        </w:rPr>
        <w:t>AUTO INTERLOCUTORIO No.</w:t>
      </w:r>
      <w:r w:rsidR="00FF658A">
        <w:rPr>
          <w:rFonts w:ascii="MS Reference Sans Serif" w:hAnsi="MS Reference Sans Serif"/>
          <w:b/>
          <w:sz w:val="16"/>
          <w:szCs w:val="16"/>
          <w:lang w:val="es-CO"/>
        </w:rPr>
        <w:t xml:space="preserve"> 033</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Cs/>
          <w:sz w:val="16"/>
          <w:szCs w:val="16"/>
        </w:rPr>
      </w:pPr>
      <w:r w:rsidRPr="00C45504">
        <w:rPr>
          <w:rFonts w:ascii="MS Reference Sans Serif" w:hAnsi="MS Reference Sans Serif"/>
          <w:b/>
          <w:sz w:val="16"/>
          <w:szCs w:val="16"/>
          <w:lang w:val="es-CO"/>
        </w:rPr>
        <w:t xml:space="preserve">ASUNTO: </w:t>
      </w:r>
      <w:r>
        <w:rPr>
          <w:rFonts w:ascii="MS Reference Sans Serif" w:hAnsi="MS Reference Sans Serif" w:cs="Arial"/>
          <w:bCs/>
          <w:sz w:val="16"/>
          <w:szCs w:val="16"/>
        </w:rPr>
        <w:t xml:space="preserve">RECHAZA DEMANDA POR CADUCIDAD DEL MEDIO DE CONTROL </w:t>
      </w:r>
    </w:p>
    <w:p w:rsidR="00D84BB7" w:rsidRPr="004F2A8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bCs/>
          <w:sz w:val="16"/>
          <w:szCs w:val="16"/>
        </w:rPr>
      </w:pPr>
      <w:r w:rsidRPr="004F2A84">
        <w:rPr>
          <w:rFonts w:ascii="MS Reference Sans Serif" w:hAnsi="MS Reference Sans Serif" w:cs="Arial"/>
          <w:b/>
          <w:bCs/>
          <w:sz w:val="16"/>
          <w:szCs w:val="16"/>
        </w:rPr>
        <w:t xml:space="preserve">TEMA: </w:t>
      </w:r>
      <w:r w:rsidRPr="00CA748C">
        <w:rPr>
          <w:rFonts w:ascii="MS Reference Sans Serif" w:hAnsi="MS Reference Sans Serif" w:cs="Arial"/>
          <w:bCs/>
          <w:sz w:val="16"/>
          <w:szCs w:val="16"/>
        </w:rPr>
        <w:t>PRIMA DE SERVICIOS</w:t>
      </w:r>
      <w:r>
        <w:rPr>
          <w:rFonts w:ascii="MS Reference Sans Serif" w:hAnsi="MS Reference Sans Serif" w:cs="Arial"/>
          <w:bCs/>
          <w:sz w:val="16"/>
          <w:szCs w:val="16"/>
        </w:rPr>
        <w:t xml:space="preserve"> CARÁCTER NO PERIODICO DE ESTA PRESTACIÓN. CADUCIDAD.  </w:t>
      </w:r>
      <w:r>
        <w:rPr>
          <w:rFonts w:ascii="MS Reference Sans Serif" w:hAnsi="MS Reference Sans Serif" w:cs="Arial"/>
          <w:b/>
          <w:bCs/>
          <w:sz w:val="16"/>
          <w:szCs w:val="16"/>
        </w:rPr>
        <w:t xml:space="preserve">  </w:t>
      </w:r>
    </w:p>
    <w:p w:rsidR="00D84BB7" w:rsidRPr="00C45504" w:rsidRDefault="00D84BB7" w:rsidP="00D84BB7">
      <w:pPr>
        <w:suppressAutoHyphens/>
        <w:spacing w:line="360" w:lineRule="auto"/>
        <w:jc w:val="both"/>
        <w:rPr>
          <w:rFonts w:ascii="Lucida Sans" w:hAnsi="Lucida Sans" w:cs="Arial"/>
          <w:sz w:val="21"/>
          <w:szCs w:val="21"/>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Procede el Despacho a efectuar un análisis de la demanda formulada contra el Departamento de Antioquia con el fin de determinar si es procedente su admisión, inadmisión o rechazo para lo cual se parte del siguiente análisis:</w:t>
      </w: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 </w:t>
      </w:r>
    </w:p>
    <w:p w:rsidR="00D84BB7" w:rsidRDefault="004E2CA9"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La señora </w:t>
      </w:r>
      <w:r w:rsidR="000E7823" w:rsidRPr="000E7823">
        <w:rPr>
          <w:rFonts w:ascii="Lucida Sans" w:hAnsi="Lucida Sans" w:cs="Arial"/>
          <w:spacing w:val="-3"/>
          <w:sz w:val="22"/>
          <w:szCs w:val="22"/>
        </w:rPr>
        <w:t>NOELIA DEL CARMEN GONZALEZ</w:t>
      </w:r>
      <w:r w:rsidR="00FF658A">
        <w:rPr>
          <w:rFonts w:ascii="Lucida Sans" w:hAnsi="Lucida Sans" w:cs="Arial"/>
          <w:spacing w:val="-3"/>
          <w:sz w:val="22"/>
          <w:szCs w:val="22"/>
        </w:rPr>
        <w:t xml:space="preserve"> GONZÁLEZ</w:t>
      </w:r>
      <w:r w:rsidR="00D84BB7">
        <w:rPr>
          <w:rFonts w:ascii="Lucida Sans" w:hAnsi="Lucida Sans" w:cs="Arial"/>
          <w:sz w:val="22"/>
          <w:szCs w:val="22"/>
        </w:rPr>
        <w:t>,</w:t>
      </w:r>
      <w:r w:rsidR="00D84BB7" w:rsidRPr="004E1E7F">
        <w:rPr>
          <w:rFonts w:ascii="Lucida Sans" w:hAnsi="Lucida Sans" w:cs="Arial"/>
          <w:sz w:val="22"/>
          <w:szCs w:val="22"/>
        </w:rPr>
        <w:t xml:space="preserve"> </w:t>
      </w:r>
      <w:r w:rsidR="00D84BB7" w:rsidRPr="004E1E7F">
        <w:rPr>
          <w:rFonts w:ascii="Lucida Sans" w:hAnsi="Lucida Sans" w:cs="Arial"/>
          <w:spacing w:val="-3"/>
          <w:sz w:val="22"/>
          <w:szCs w:val="22"/>
        </w:rPr>
        <w:t xml:space="preserve">por intermedio de apoderada judicial, en ejercicio del medio de control de </w:t>
      </w:r>
      <w:r w:rsidR="00D84BB7" w:rsidRPr="004E1E7F">
        <w:rPr>
          <w:rFonts w:ascii="Lucida Sans" w:hAnsi="Lucida Sans" w:cs="Arial"/>
          <w:b/>
          <w:spacing w:val="-3"/>
          <w:sz w:val="22"/>
          <w:szCs w:val="22"/>
        </w:rPr>
        <w:t xml:space="preserve">NULIDAD Y RESTABLECIMIENTO DEL DERECHO </w:t>
      </w:r>
      <w:r w:rsidR="00D84BB7" w:rsidRPr="004E1E7F">
        <w:rPr>
          <w:rFonts w:ascii="Lucida Sans" w:hAnsi="Lucida Sans" w:cs="Arial"/>
          <w:spacing w:val="-3"/>
          <w:sz w:val="22"/>
          <w:szCs w:val="22"/>
        </w:rPr>
        <w:t>consagrada en el  artículo 138 de la Ley 1437 de 2011, presentó demanda contra</w:t>
      </w:r>
      <w:r w:rsidR="00D84BB7" w:rsidRPr="004E1E7F">
        <w:rPr>
          <w:rFonts w:ascii="Lucida Sans" w:hAnsi="Lucida Sans" w:cs="Arial"/>
          <w:b/>
          <w:spacing w:val="-3"/>
          <w:sz w:val="22"/>
          <w:szCs w:val="22"/>
        </w:rPr>
        <w:t xml:space="preserve"> </w:t>
      </w:r>
      <w:r w:rsidR="00D84BB7" w:rsidRPr="004E1E7F">
        <w:rPr>
          <w:rFonts w:ascii="Lucida Sans" w:hAnsi="Lucida Sans" w:cs="Arial"/>
          <w:spacing w:val="-3"/>
          <w:sz w:val="22"/>
          <w:szCs w:val="22"/>
        </w:rPr>
        <w:t xml:space="preserve">el </w:t>
      </w:r>
      <w:r>
        <w:rPr>
          <w:rFonts w:ascii="Lucida Sans" w:hAnsi="Lucida Sans" w:cs="Arial"/>
          <w:spacing w:val="-3"/>
          <w:sz w:val="22"/>
          <w:szCs w:val="22"/>
        </w:rPr>
        <w:t>Departamento de Antioquia</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 xml:space="preserve">con el fin de que se declare la nulidad del </w:t>
      </w:r>
      <w:r w:rsidR="00D84BB7">
        <w:rPr>
          <w:rFonts w:ascii="Lucida Sans" w:hAnsi="Lucida Sans" w:cs="Arial"/>
          <w:spacing w:val="-3"/>
          <w:sz w:val="22"/>
          <w:szCs w:val="22"/>
        </w:rPr>
        <w:t xml:space="preserve">acto administrativo contenido en </w:t>
      </w:r>
      <w:r w:rsidR="000E7823">
        <w:rPr>
          <w:rFonts w:ascii="Lucida Sans" w:hAnsi="Lucida Sans" w:cs="Arial"/>
          <w:spacing w:val="-3"/>
          <w:sz w:val="22"/>
          <w:szCs w:val="22"/>
        </w:rPr>
        <w:t>el Oficio No. E2012</w:t>
      </w:r>
      <w:r>
        <w:rPr>
          <w:rFonts w:ascii="Lucida Sans" w:hAnsi="Lucida Sans" w:cs="Arial"/>
          <w:spacing w:val="-3"/>
          <w:sz w:val="22"/>
          <w:szCs w:val="22"/>
        </w:rPr>
        <w:t>000</w:t>
      </w:r>
      <w:r w:rsidR="000E7823">
        <w:rPr>
          <w:rFonts w:ascii="Lucida Sans" w:hAnsi="Lucida Sans" w:cs="Arial"/>
          <w:spacing w:val="-3"/>
          <w:sz w:val="22"/>
          <w:szCs w:val="22"/>
        </w:rPr>
        <w:t>99542</w:t>
      </w:r>
      <w:r w:rsidR="00D84BB7">
        <w:rPr>
          <w:rFonts w:ascii="Lucida Sans" w:hAnsi="Lucida Sans" w:cs="Arial"/>
          <w:spacing w:val="-3"/>
          <w:sz w:val="22"/>
          <w:szCs w:val="22"/>
        </w:rPr>
        <w:t xml:space="preserve"> de </w:t>
      </w:r>
      <w:r w:rsidR="003D6494">
        <w:rPr>
          <w:rFonts w:ascii="Lucida Sans" w:hAnsi="Lucida Sans" w:cs="Arial"/>
          <w:spacing w:val="-3"/>
          <w:sz w:val="22"/>
          <w:szCs w:val="22"/>
        </w:rPr>
        <w:t>1</w:t>
      </w:r>
      <w:r w:rsidR="000E7823">
        <w:rPr>
          <w:rFonts w:ascii="Lucida Sans" w:hAnsi="Lucida Sans" w:cs="Arial"/>
          <w:spacing w:val="-3"/>
          <w:sz w:val="22"/>
          <w:szCs w:val="22"/>
        </w:rPr>
        <w:t>9 octubre de 2012</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por medio del cual se niega el reconocimiento y pago de la prima  de servicios.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Como fundamentos de hecho de su demanda, argumenta que se desempeña como docente de planta, al </w:t>
      </w:r>
      <w:r w:rsidR="004E2CA9">
        <w:rPr>
          <w:rFonts w:ascii="Lucida Sans" w:hAnsi="Lucida Sans" w:cs="Arial"/>
          <w:spacing w:val="-3"/>
          <w:sz w:val="22"/>
          <w:szCs w:val="22"/>
        </w:rPr>
        <w:t>servicio del Departamento de Antioquia</w:t>
      </w:r>
      <w:r>
        <w:rPr>
          <w:rFonts w:ascii="Lucida Sans" w:hAnsi="Lucida Sans" w:cs="Arial"/>
          <w:spacing w:val="-3"/>
          <w:sz w:val="22"/>
          <w:szCs w:val="22"/>
        </w:rPr>
        <w:t>, entidad que no le ha reconocido ni pagado la prima de servicios, rubro al cual considera tiene derecho.</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pacing w:line="360" w:lineRule="auto"/>
        <w:jc w:val="both"/>
        <w:rPr>
          <w:rFonts w:ascii="Lucida Sans" w:hAnsi="Lucida Sans"/>
          <w:bCs/>
          <w:spacing w:val="-3"/>
          <w:sz w:val="22"/>
          <w:szCs w:val="22"/>
        </w:rPr>
      </w:pPr>
      <w:r>
        <w:rPr>
          <w:rFonts w:ascii="Lucida Sans" w:hAnsi="Lucida Sans"/>
          <w:bCs/>
          <w:spacing w:val="-3"/>
          <w:sz w:val="22"/>
          <w:szCs w:val="22"/>
        </w:rPr>
        <w:t xml:space="preserve">Sustenta </w:t>
      </w:r>
      <w:r w:rsidRPr="004E1E7F">
        <w:rPr>
          <w:rFonts w:ascii="Lucida Sans" w:hAnsi="Lucida Sans"/>
          <w:bCs/>
          <w:spacing w:val="-3"/>
          <w:sz w:val="22"/>
          <w:szCs w:val="22"/>
        </w:rPr>
        <w:t xml:space="preserve">sus pretensiones </w:t>
      </w:r>
      <w:r>
        <w:rPr>
          <w:rFonts w:ascii="Lucida Sans" w:hAnsi="Lucida Sans"/>
          <w:bCs/>
          <w:spacing w:val="-3"/>
          <w:sz w:val="22"/>
          <w:szCs w:val="22"/>
        </w:rPr>
        <w:t xml:space="preserve">argumentado, </w:t>
      </w:r>
      <w:r w:rsidRPr="004E1E7F">
        <w:rPr>
          <w:rFonts w:ascii="Lucida Sans" w:hAnsi="Lucida Sans"/>
          <w:bCs/>
          <w:spacing w:val="-3"/>
          <w:sz w:val="22"/>
          <w:szCs w:val="22"/>
        </w:rPr>
        <w:t xml:space="preserve">que de conformidad con el artículo 15 </w:t>
      </w:r>
      <w:r>
        <w:rPr>
          <w:rFonts w:ascii="Lucida Sans" w:hAnsi="Lucida Sans"/>
          <w:bCs/>
          <w:spacing w:val="-3"/>
          <w:sz w:val="22"/>
          <w:szCs w:val="22"/>
        </w:rPr>
        <w:t xml:space="preserve">parágrafo segundo </w:t>
      </w:r>
      <w:r w:rsidRPr="004E1E7F">
        <w:rPr>
          <w:rFonts w:ascii="Lucida Sans" w:hAnsi="Lucida Sans"/>
          <w:bCs/>
          <w:spacing w:val="-3"/>
          <w:sz w:val="22"/>
          <w:szCs w:val="22"/>
        </w:rPr>
        <w:t xml:space="preserve">de la </w:t>
      </w:r>
      <w:r>
        <w:rPr>
          <w:rFonts w:ascii="Lucida Sans" w:hAnsi="Lucida Sans"/>
          <w:bCs/>
          <w:spacing w:val="-3"/>
          <w:sz w:val="22"/>
          <w:szCs w:val="22"/>
        </w:rPr>
        <w:t>L</w:t>
      </w:r>
      <w:r w:rsidRPr="004E1E7F">
        <w:rPr>
          <w:rFonts w:ascii="Lucida Sans" w:hAnsi="Lucida Sans"/>
          <w:bCs/>
          <w:spacing w:val="-3"/>
          <w:sz w:val="22"/>
          <w:szCs w:val="22"/>
        </w:rPr>
        <w:t>ey 91 de 1989</w:t>
      </w:r>
      <w:r>
        <w:rPr>
          <w:rFonts w:ascii="Lucida Sans" w:hAnsi="Lucida Sans"/>
          <w:bCs/>
          <w:spacing w:val="-3"/>
          <w:sz w:val="22"/>
          <w:szCs w:val="22"/>
        </w:rPr>
        <w:t xml:space="preserve">, se le otorgó a la Nación la condición de entidad nominadora de los docentes nacionales y nacionalizados, a quienes debía reconocer y pagar la prima de servicios, lo cual  nunca realizó durante el tiempo que fungió como tal, potestad que terminó con la expedición de las leyes 60 de 1993 y 115 de 1994, las que radicaron en los departamentos y municipios certificados, la potestad nominadora de estos docentes y por ende, les transfirió la obligación de </w:t>
      </w:r>
      <w:r>
        <w:rPr>
          <w:rFonts w:ascii="Lucida Sans" w:hAnsi="Lucida Sans"/>
          <w:bCs/>
          <w:spacing w:val="-3"/>
          <w:sz w:val="22"/>
          <w:szCs w:val="22"/>
        </w:rPr>
        <w:lastRenderedPageBreak/>
        <w:t>pagar la prestación aludida, con cargo al Sistema General de Participaciones, obligación que también se ha incumplido por estos entes territoriales.</w:t>
      </w:r>
    </w:p>
    <w:p w:rsidR="00D84BB7" w:rsidRDefault="00D84BB7" w:rsidP="00D84BB7">
      <w:pPr>
        <w:spacing w:line="360" w:lineRule="auto"/>
        <w:jc w:val="both"/>
        <w:rPr>
          <w:rFonts w:ascii="Lucida Sans" w:hAnsi="Lucida Sans"/>
          <w:bCs/>
          <w:spacing w:val="-3"/>
          <w:sz w:val="22"/>
          <w:szCs w:val="22"/>
        </w:rPr>
      </w:pPr>
    </w:p>
    <w:p w:rsidR="00D84BB7" w:rsidRDefault="00D84BB7" w:rsidP="00D84BB7">
      <w:pPr>
        <w:spacing w:line="360" w:lineRule="auto"/>
        <w:jc w:val="both"/>
        <w:rPr>
          <w:rFonts w:ascii="Lucida Sans" w:hAnsi="Lucida Sans"/>
          <w:bCs/>
          <w:spacing w:val="-3"/>
          <w:sz w:val="22"/>
          <w:szCs w:val="22"/>
        </w:rPr>
      </w:pPr>
    </w:p>
    <w:p w:rsidR="00D84BB7" w:rsidRPr="004E1E7F" w:rsidRDefault="00D84BB7" w:rsidP="00D84BB7">
      <w:pPr>
        <w:suppressAutoHyphens/>
        <w:spacing w:line="360" w:lineRule="auto"/>
        <w:jc w:val="center"/>
        <w:rPr>
          <w:rFonts w:ascii="Bradley Hand ITC" w:hAnsi="Bradley Hand ITC" w:cs="Arial"/>
          <w:b/>
          <w:spacing w:val="-3"/>
          <w:szCs w:val="28"/>
        </w:rPr>
      </w:pPr>
      <w:r w:rsidRPr="004E1E7F">
        <w:rPr>
          <w:rFonts w:ascii="Bradley Hand ITC" w:hAnsi="Bradley Hand ITC" w:cs="Arial"/>
          <w:b/>
          <w:spacing w:val="-3"/>
          <w:szCs w:val="28"/>
        </w:rPr>
        <w:t>CONSIDERACIONES</w:t>
      </w:r>
    </w:p>
    <w:p w:rsidR="00D84BB7" w:rsidRPr="004E7DB0" w:rsidRDefault="00D84BB7" w:rsidP="00D84BB7">
      <w:pPr>
        <w:suppressAutoHyphens/>
        <w:spacing w:line="360" w:lineRule="auto"/>
        <w:jc w:val="center"/>
        <w:rPr>
          <w:rFonts w:ascii="Berlin Sans FB" w:hAnsi="Berlin Sans FB" w:cs="Arial"/>
          <w:b/>
          <w:spacing w:val="-3"/>
          <w:sz w:val="24"/>
          <w:szCs w:val="24"/>
        </w:rPr>
      </w:pPr>
    </w:p>
    <w:p w:rsidR="00D84BB7" w:rsidRDefault="00D84BB7" w:rsidP="00D84BB7">
      <w:pPr>
        <w:pStyle w:val="Textoindependiente"/>
        <w:rPr>
          <w:rFonts w:ascii="Lucida Sans" w:hAnsi="Lucida Sans"/>
          <w:sz w:val="22"/>
          <w:szCs w:val="22"/>
        </w:rPr>
      </w:pPr>
      <w:r w:rsidRPr="004E1E7F">
        <w:rPr>
          <w:rFonts w:ascii="Lucida Sans" w:hAnsi="Lucida Sans"/>
          <w:b/>
          <w:bCs/>
          <w:sz w:val="22"/>
          <w:szCs w:val="22"/>
        </w:rPr>
        <w:t>1</w:t>
      </w:r>
      <w:r w:rsidRPr="004E1E7F">
        <w:rPr>
          <w:rFonts w:ascii="Lucida Sans" w:hAnsi="Lucida Sans"/>
          <w:sz w:val="22"/>
          <w:szCs w:val="22"/>
        </w:rPr>
        <w:t>.</w:t>
      </w:r>
      <w:r>
        <w:rPr>
          <w:rFonts w:ascii="Lucida Sans" w:hAnsi="Lucida Sans"/>
          <w:sz w:val="22"/>
          <w:szCs w:val="22"/>
        </w:rPr>
        <w:t xml:space="preserve"> La</w:t>
      </w:r>
      <w:r w:rsidRPr="004E1E7F">
        <w:rPr>
          <w:rFonts w:ascii="Lucida Sans" w:hAnsi="Lucida Sans"/>
          <w:sz w:val="22"/>
          <w:szCs w:val="22"/>
        </w:rPr>
        <w:t xml:space="preserve"> demanda fue </w:t>
      </w:r>
      <w:r>
        <w:rPr>
          <w:rFonts w:ascii="Lucida Sans" w:hAnsi="Lucida Sans"/>
          <w:sz w:val="22"/>
          <w:szCs w:val="22"/>
        </w:rPr>
        <w:t>presentada ante la Oficina de Apoyo Judicial de los Juzgados Administrativos del Circuito de Me</w:t>
      </w:r>
      <w:r w:rsidR="004E2CA9">
        <w:rPr>
          <w:rFonts w:ascii="Lucida Sans" w:hAnsi="Lucida Sans"/>
          <w:sz w:val="22"/>
          <w:szCs w:val="22"/>
        </w:rPr>
        <w:t>dellín,</w:t>
      </w:r>
      <w:r w:rsidR="000E7823">
        <w:rPr>
          <w:rFonts w:ascii="Lucida Sans" w:hAnsi="Lucida Sans"/>
          <w:sz w:val="22"/>
          <w:szCs w:val="22"/>
        </w:rPr>
        <w:t xml:space="preserve"> el pasado 22</w:t>
      </w:r>
      <w:r w:rsidR="003D6494">
        <w:rPr>
          <w:rFonts w:ascii="Lucida Sans" w:hAnsi="Lucida Sans"/>
          <w:sz w:val="22"/>
          <w:szCs w:val="22"/>
        </w:rPr>
        <w:t xml:space="preserve"> de octu</w:t>
      </w:r>
      <w:r w:rsidR="004E2CA9">
        <w:rPr>
          <w:rFonts w:ascii="Lucida Sans" w:hAnsi="Lucida Sans"/>
          <w:sz w:val="22"/>
          <w:szCs w:val="22"/>
        </w:rPr>
        <w:t>bre</w:t>
      </w:r>
      <w:r>
        <w:rPr>
          <w:rFonts w:ascii="Lucida Sans" w:hAnsi="Lucida Sans"/>
          <w:sz w:val="22"/>
          <w:szCs w:val="22"/>
        </w:rPr>
        <w:t xml:space="preserve"> de 2014, y a la misma se anexó constancia de agotamiento del requisito de </w:t>
      </w:r>
      <w:proofErr w:type="spellStart"/>
      <w:r>
        <w:rPr>
          <w:rFonts w:ascii="Lucida Sans" w:hAnsi="Lucida Sans"/>
          <w:sz w:val="22"/>
          <w:szCs w:val="22"/>
        </w:rPr>
        <w:t>procedibilidad</w:t>
      </w:r>
      <w:proofErr w:type="spellEnd"/>
      <w:r>
        <w:rPr>
          <w:rFonts w:ascii="Lucida Sans" w:hAnsi="Lucida Sans"/>
          <w:sz w:val="22"/>
          <w:szCs w:val="22"/>
        </w:rPr>
        <w:t xml:space="preserve"> referido a la Conciliación Prejudicial</w:t>
      </w:r>
      <w:r w:rsidR="003D6494">
        <w:rPr>
          <w:rFonts w:ascii="Lucida Sans" w:hAnsi="Lucida Sans"/>
          <w:sz w:val="22"/>
          <w:szCs w:val="22"/>
        </w:rPr>
        <w:t>,</w:t>
      </w:r>
      <w:r w:rsidR="000E7823">
        <w:rPr>
          <w:rFonts w:ascii="Lucida Sans" w:hAnsi="Lucida Sans"/>
          <w:sz w:val="22"/>
          <w:szCs w:val="22"/>
        </w:rPr>
        <w:t xml:space="preserve"> expedida por la Procuraduría 30</w:t>
      </w:r>
      <w:r>
        <w:rPr>
          <w:rFonts w:ascii="Lucida Sans" w:hAnsi="Lucida Sans"/>
          <w:sz w:val="22"/>
          <w:szCs w:val="22"/>
        </w:rPr>
        <w:t xml:space="preserve"> Judicial I</w:t>
      </w:r>
      <w:r w:rsidR="004E2CA9">
        <w:rPr>
          <w:rFonts w:ascii="Lucida Sans" w:hAnsi="Lucida Sans"/>
          <w:sz w:val="22"/>
          <w:szCs w:val="22"/>
        </w:rPr>
        <w:t>I</w:t>
      </w:r>
      <w:r>
        <w:rPr>
          <w:rFonts w:ascii="Lucida Sans" w:hAnsi="Lucida Sans"/>
          <w:sz w:val="22"/>
          <w:szCs w:val="22"/>
        </w:rPr>
        <w:t xml:space="preserve"> Administrativa, fechada el </w:t>
      </w:r>
      <w:r w:rsidR="000E7823">
        <w:rPr>
          <w:rFonts w:ascii="Lucida Sans" w:hAnsi="Lucida Sans"/>
          <w:sz w:val="22"/>
          <w:szCs w:val="22"/>
        </w:rPr>
        <w:t>26</w:t>
      </w:r>
      <w:r>
        <w:rPr>
          <w:rFonts w:ascii="Lucida Sans" w:hAnsi="Lucida Sans"/>
          <w:sz w:val="22"/>
          <w:szCs w:val="22"/>
        </w:rPr>
        <w:t xml:space="preserve"> </w:t>
      </w:r>
      <w:r w:rsidR="003D6494">
        <w:rPr>
          <w:rFonts w:ascii="Lucida Sans" w:hAnsi="Lucida Sans"/>
          <w:sz w:val="22"/>
          <w:szCs w:val="22"/>
        </w:rPr>
        <w:t>de febrero</w:t>
      </w:r>
      <w:r w:rsidR="000E7823">
        <w:rPr>
          <w:rFonts w:ascii="Lucida Sans" w:hAnsi="Lucida Sans"/>
          <w:sz w:val="22"/>
          <w:szCs w:val="22"/>
        </w:rPr>
        <w:t xml:space="preserve"> de 2013</w:t>
      </w:r>
      <w:r>
        <w:rPr>
          <w:rFonts w:ascii="Lucida Sans" w:hAnsi="Lucida Sans"/>
          <w:sz w:val="22"/>
          <w:szCs w:val="22"/>
        </w:rPr>
        <w:t>.</w:t>
      </w:r>
    </w:p>
    <w:p w:rsidR="00D84BB7" w:rsidRDefault="00D84BB7" w:rsidP="00D84BB7">
      <w:pPr>
        <w:pStyle w:val="Textoindependiente"/>
        <w:rPr>
          <w:rFonts w:ascii="Lucida Sans" w:hAnsi="Lucida Sans"/>
          <w:sz w:val="22"/>
          <w:szCs w:val="22"/>
        </w:rPr>
      </w:pPr>
    </w:p>
    <w:p w:rsidR="00D84BB7" w:rsidRDefault="00D84BB7" w:rsidP="00D84BB7">
      <w:pPr>
        <w:pStyle w:val="Textoindependiente"/>
        <w:rPr>
          <w:rFonts w:ascii="Lucida Sans" w:hAnsi="Lucida Sans"/>
          <w:sz w:val="22"/>
          <w:szCs w:val="22"/>
        </w:rPr>
      </w:pPr>
      <w:r>
        <w:rPr>
          <w:rFonts w:ascii="Lucida Sans" w:hAnsi="Lucida Sans"/>
          <w:sz w:val="22"/>
          <w:szCs w:val="22"/>
        </w:rPr>
        <w:t>Empero lo anterior, previo a dilucidar si la demanda presentada reúne los demás requisitos establecidos por el artículo 162 y siguientes del Código de Procedimiento Administrativo y de lo Contencioso Administrativo – Ley 1437 de 2011 – se precisa establecer en un primer momento, si para cuando esta fue radicada ante la jurisdicción, ya había operado el fenómeno de la caducidad.</w:t>
      </w:r>
    </w:p>
    <w:p w:rsidR="00D84BB7" w:rsidRDefault="00D84BB7" w:rsidP="00D84BB7">
      <w:pPr>
        <w:pStyle w:val="Textoindependiente"/>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b/>
          <w:bCs/>
          <w:spacing w:val="-3"/>
          <w:sz w:val="22"/>
          <w:szCs w:val="22"/>
        </w:rPr>
        <w:t>2</w:t>
      </w:r>
      <w:r w:rsidRPr="004E1E7F">
        <w:rPr>
          <w:rFonts w:ascii="Lucida Sans" w:hAnsi="Lucida Sans"/>
          <w:spacing w:val="-3"/>
          <w:sz w:val="22"/>
          <w:szCs w:val="22"/>
        </w:rPr>
        <w:t>. Sobre la caducidad del medio de control de Nulidad y Restablecimiento del Derecho, dispone el numeral 2º, literal d) del artículo 164 del Código de Procedimiento Administrativo y de lo Contencioso Administrativo – Ley 1437 de 2011-:</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i) Cuando se pretenda la nulidad y restablecimiento del derecho, la demanda deberá presentarse dentro del término de </w:t>
      </w:r>
      <w:r w:rsidRPr="004E1E7F">
        <w:rPr>
          <w:rFonts w:ascii="Lucida Sans" w:hAnsi="Lucida Sans"/>
          <w:b/>
          <w:i/>
          <w:spacing w:val="-3"/>
          <w:sz w:val="22"/>
          <w:szCs w:val="22"/>
          <w:u w:val="single"/>
        </w:rPr>
        <w:t xml:space="preserve">cuatro (4) meses contados a partir del día siguientes al de la comunicación, notificación, ejecución o publicación del acto administrativo, </w:t>
      </w:r>
      <w:r w:rsidRPr="004E1E7F">
        <w:rPr>
          <w:rFonts w:ascii="Lucida Sans" w:hAnsi="Lucida Sans"/>
          <w:i/>
          <w:spacing w:val="-3"/>
          <w:sz w:val="22"/>
          <w:szCs w:val="22"/>
        </w:rPr>
        <w:t xml:space="preserve">según el caso, salvo las excepciones establecidas en otras disposiciones legales.” </w:t>
      </w:r>
      <w:r>
        <w:rPr>
          <w:rFonts w:ascii="Lucida Sans" w:hAnsi="Lucida Sans"/>
          <w:i/>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ind w:left="709"/>
        <w:jc w:val="both"/>
        <w:rPr>
          <w:rFonts w:ascii="Lucida Sans" w:hAnsi="Lucida Sans"/>
          <w:spacing w:val="-3"/>
          <w:sz w:val="22"/>
          <w:szCs w:val="22"/>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Doctrina y jurisprudencia, ha definido la caducidad como una sanción por el no ejercicio oportuno del derecho de acción, de ahí, que en consideración a la naturaleza sustancial de éste, el fenómeno que limita el ejercicio del mismo, es decir la caducidad,  por simple deducción lógica, también ostenta la misma naturaleza sustancial y no procesal, como algunos equivocadamente le han atribuido. </w:t>
      </w:r>
    </w:p>
    <w:p w:rsidR="00D84BB7" w:rsidRPr="00540922" w:rsidRDefault="00D84BB7" w:rsidP="00D84BB7">
      <w:pPr>
        <w:pStyle w:val="Textoindependiente"/>
        <w:ind w:right="-260"/>
        <w:rPr>
          <w:rFonts w:ascii="Lucida Sans" w:hAnsi="Lucida Sans"/>
          <w:i/>
          <w:sz w:val="22"/>
          <w:szCs w:val="22"/>
        </w:rPr>
      </w:pPr>
    </w:p>
    <w:p w:rsidR="00D84BB7" w:rsidRPr="00254382" w:rsidRDefault="00D84BB7" w:rsidP="00D84BB7">
      <w:pPr>
        <w:pStyle w:val="Textoindependiente"/>
        <w:rPr>
          <w:rFonts w:ascii="Lucida Sans" w:hAnsi="Lucida Sans" w:cs="Arial"/>
          <w:spacing w:val="-4"/>
          <w:sz w:val="22"/>
          <w:szCs w:val="22"/>
        </w:rPr>
      </w:pPr>
      <w:r>
        <w:rPr>
          <w:rFonts w:ascii="Lucida Sans" w:hAnsi="Lucida Sans" w:cs="Arial"/>
          <w:i/>
          <w:sz w:val="22"/>
          <w:szCs w:val="22"/>
        </w:rPr>
        <w:t>“</w:t>
      </w:r>
      <w:r w:rsidRPr="00540922">
        <w:rPr>
          <w:rFonts w:ascii="Lucida Sans" w:hAnsi="Lucida Sans" w:cs="Arial"/>
          <w:i/>
          <w:sz w:val="22"/>
          <w:szCs w:val="22"/>
        </w:rPr>
        <w:t xml:space="preserve">La caducidad es la sanción que consagra la ley por el no ejercicio oportuno del derecho de acción, en tanto al exceder los plazos </w:t>
      </w:r>
      <w:proofErr w:type="spellStart"/>
      <w:r w:rsidRPr="00540922">
        <w:rPr>
          <w:rFonts w:ascii="Lucida Sans" w:hAnsi="Lucida Sans" w:cs="Arial"/>
          <w:i/>
          <w:sz w:val="22"/>
          <w:szCs w:val="22"/>
        </w:rPr>
        <w:t>preclusivos</w:t>
      </w:r>
      <w:proofErr w:type="spellEnd"/>
      <w:r w:rsidRPr="00540922">
        <w:rPr>
          <w:rFonts w:ascii="Lucida Sans" w:hAnsi="Lucida Sans" w:cs="Arial"/>
          <w:i/>
          <w:sz w:val="22"/>
          <w:szCs w:val="22"/>
        </w:rPr>
        <w:t xml:space="preserve"> para acudir a la jurisdicción, se ve limitado el derecho que le asiste a toda persona de solicitar que sea definido un conflicto por el aparato jurisdiccional del poder público. Es decir, </w:t>
      </w:r>
      <w:r w:rsidRPr="00540922">
        <w:rPr>
          <w:rFonts w:ascii="Lucida Sans" w:hAnsi="Lucida Sans" w:cs="Arial"/>
          <w:i/>
          <w:sz w:val="22"/>
          <w:szCs w:val="22"/>
        </w:rPr>
        <w:lastRenderedPageBreak/>
        <w:t xml:space="preserve">las normas de caducidad tienen fundamento en la seguridad jurídica que debe imperar en todo ordenamiento, en el sentido de impedir que situaciones permanezcan en el tiempo, sin que sean definidas judicialmente. En otros términos, el legislador establece unos plazos razonables para que las personas, en ejercicio de una determinada acción y, con el fin de satisfacer una pretensión específica, acudan al aparato jurisdiccional a efectos de que el respectivo litigio o controversia, sea resuelto de manera definitiva por un juez de la república con competencia para ello. Así las cosas, es la propia ley la que asigna una carga a los integrantes del conglomerado social para que, ante la materialización de un determinado hecho, actúen con diligencia en cuanto a la reclamación efectiva de los derechos reconocidos sustancialmente por las disposiciones jurídicas que de dichos supuestos fácticos se desprenden, sin que las partes puedan convenir en su desconocimiento, modificación o alteración. (…) </w:t>
      </w:r>
      <w:r w:rsidRPr="00540922">
        <w:rPr>
          <w:rFonts w:ascii="Lucida Sans" w:hAnsi="Lucida Sans" w:cs="Arial"/>
          <w:i/>
          <w:spacing w:val="-4"/>
          <w:sz w:val="22"/>
          <w:szCs w:val="22"/>
        </w:rPr>
        <w:t>debe entenderse la caducidad como un fenómeno jurídico en virtud del cual el administrado pierde la facultad de accionar ante la jurisdicción, por no haber ejercido su derecho dentro del término que señala la ley.  Ello ocurre cuando el plazo concedido por el legislador para formular una demanda vence sin que se haya hecho ejercicio del derecho de acción. Dicho lapso está edificado sobre la conveniencia de señalar un plazo objetivo, invariable, para que quien considere ser titular de un derecho opte por accionar o no</w:t>
      </w:r>
      <w:r w:rsidRPr="00254382">
        <w:rPr>
          <w:rFonts w:ascii="Lucida Sans" w:hAnsi="Lucida Sans" w:cs="Arial"/>
          <w:spacing w:val="-4"/>
          <w:sz w:val="22"/>
          <w:szCs w:val="22"/>
        </w:rPr>
        <w:t>.</w:t>
      </w:r>
      <w:r>
        <w:rPr>
          <w:rFonts w:ascii="Lucida Sans" w:hAnsi="Lucida Sans" w:cs="Arial"/>
          <w:spacing w:val="-4"/>
          <w:sz w:val="22"/>
          <w:szCs w:val="22"/>
        </w:rPr>
        <w:t>”</w:t>
      </w:r>
      <w:r>
        <w:rPr>
          <w:rStyle w:val="Refdenotaalpie"/>
          <w:rFonts w:ascii="Lucida Sans" w:hAnsi="Lucida Sans" w:cs="Arial"/>
          <w:spacing w:val="-4"/>
          <w:sz w:val="22"/>
          <w:szCs w:val="22"/>
        </w:rPr>
        <w:footnoteReference w:id="1"/>
      </w:r>
    </w:p>
    <w:p w:rsidR="00D84BB7" w:rsidRDefault="00D84BB7" w:rsidP="00D84BB7">
      <w:pPr>
        <w:pStyle w:val="Textoindependiente"/>
        <w:ind w:right="-260"/>
        <w:rPr>
          <w:rFonts w:cs="Arial"/>
          <w:spacing w:val="-4"/>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Respecto a los requisitos necesarios para que se configure la figura de la caducidad, la </w:t>
      </w:r>
      <w:r w:rsidRPr="004E1E7F">
        <w:rPr>
          <w:rFonts w:ascii="Lucida Sans" w:hAnsi="Lucida Sans"/>
          <w:sz w:val="22"/>
          <w:szCs w:val="22"/>
        </w:rPr>
        <w:t xml:space="preserve">Sala Plena de lo Contencioso Administrativo del  Consejo de Estado, </w:t>
      </w:r>
      <w:r>
        <w:rPr>
          <w:rFonts w:ascii="Lucida Sans" w:hAnsi="Lucida Sans"/>
          <w:sz w:val="22"/>
          <w:szCs w:val="22"/>
        </w:rPr>
        <w:t>afirmó:</w:t>
      </w:r>
    </w:p>
    <w:p w:rsidR="00D84BB7" w:rsidRDefault="00D84BB7" w:rsidP="00D84BB7">
      <w:pPr>
        <w:pStyle w:val="Textoindependiente"/>
        <w:ind w:right="-260"/>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...Para que se dé el fenómeno jurídico de la caducidad, sólo bastan dos supuestos: </w:t>
      </w:r>
      <w:r w:rsidRPr="004E1E7F">
        <w:rPr>
          <w:rFonts w:ascii="Lucida Sans" w:hAnsi="Lucida Sans"/>
          <w:b/>
          <w:i/>
          <w:spacing w:val="-3"/>
          <w:sz w:val="22"/>
          <w:szCs w:val="22"/>
          <w:u w:val="single"/>
        </w:rPr>
        <w:t>el transcurso del tiempo y el no ejercicio de la acción</w:t>
      </w:r>
      <w:r w:rsidRPr="004E1E7F">
        <w:rPr>
          <w:rFonts w:ascii="Lucida Sans" w:hAnsi="Lucida Sans"/>
          <w:i/>
          <w:spacing w:val="-3"/>
          <w:sz w:val="22"/>
          <w:szCs w:val="22"/>
        </w:rPr>
        <w:t xml:space="preserve">. </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2"/>
      </w:r>
      <w:r w:rsidRPr="004E1E7F">
        <w:rPr>
          <w:rFonts w:ascii="Lucida Sans" w:hAnsi="Lucida Sans"/>
          <w:spacing w:val="-3"/>
          <w:sz w:val="22"/>
          <w:szCs w:val="22"/>
        </w:rPr>
        <w:t>.</w:t>
      </w:r>
      <w:r>
        <w:rPr>
          <w:rFonts w:ascii="Lucida Sans" w:hAnsi="Lucida Sans"/>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 xml:space="preserve">Sobre </w:t>
      </w:r>
      <w:r>
        <w:rPr>
          <w:rFonts w:ascii="Lucida Sans" w:hAnsi="Lucida Sans"/>
          <w:spacing w:val="-3"/>
          <w:sz w:val="22"/>
          <w:szCs w:val="22"/>
        </w:rPr>
        <w:t>la etapa del proceso en la cual es viable declarar la estructuración u ocurrencia de la caducidad, l</w:t>
      </w:r>
      <w:r w:rsidRPr="004E1E7F">
        <w:rPr>
          <w:rFonts w:ascii="Lucida Sans" w:hAnsi="Lucida Sans"/>
          <w:spacing w:val="-3"/>
          <w:sz w:val="22"/>
          <w:szCs w:val="22"/>
        </w:rPr>
        <w:t>a doctrina con fundamento en la jurisprudencia, enseña lo siguiente:</w:t>
      </w:r>
    </w:p>
    <w:p w:rsidR="00D84BB7" w:rsidRPr="004E1E7F" w:rsidRDefault="00D84BB7" w:rsidP="00D84BB7">
      <w:pPr>
        <w:suppressAutoHyphens/>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Ha sostenido en forma reiterada el Consejo de Estado que la caducidad cuando aparezca clara, desde un principio deberá decretarse en el primer auto que se dicte dentro del proceso, por razones de economía procesal y de celeridad, ya que no tiene sentido que las partes se sometan a un debate costoso y de larga duración para terminar con una declaración de tal naturaleza...  En cambio, cuando la caducidad no aparezca clara, bien porque se alegue falta de notificación o defectos en ésta o se </w:t>
      </w:r>
      <w:r w:rsidRPr="004E1E7F">
        <w:rPr>
          <w:rFonts w:ascii="Lucida Sans" w:hAnsi="Lucida Sans"/>
          <w:i/>
          <w:spacing w:val="-3"/>
          <w:sz w:val="22"/>
          <w:szCs w:val="22"/>
        </w:rPr>
        <w:lastRenderedPageBreak/>
        <w:t>discuta la fecha del acaecimiento de los hechos, u otra circunstancia similar, deberá tramitarse el proceso, para luego en la sentencia, mediante el análisis del acervo probatorio, definir en primer término si la acción fue ejercitada en tiempo o no.  El fenómeno de la caducidad, que constituye así una excepción de fondo, podrá ser motivo de alegación de parte o de declaratoria oficiosa</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3"/>
      </w:r>
      <w:r w:rsidRPr="004E1E7F">
        <w:rPr>
          <w:rFonts w:ascii="Lucida Sans" w:hAnsi="Lucida Sans"/>
          <w:spacing w:val="-3"/>
          <w:sz w:val="22"/>
          <w:szCs w:val="22"/>
        </w:rPr>
        <w:t>.</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Esta percepción o interpretación frente al momento procesal en el cual se debe declarar estructurada o configurada la caducidad, se antoja perfectamente armónica y coherente con su condición de instituto jurídico, que en cierta forma se erige en una limitación – si bien válida – para el derecho de acceso a la jurisdicción, por tanto, su declaratoria exige el mayor de los celos por parte de la judicatura, pues de no procederse con extremo tacto, puede incurrirse en una restricción o injerencia arbitraria, en el ejercicio de un derecho de raigambre fundamental.</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Ahora en términos normativos, el actual Código de Procedimiento Administrativo y de lo Contencioso Administrativo, erige la caducidad, obviamente cuando esta se encuentra plenamente probada, en causal de rechazo de la demanda, conforme lo instituye el numeral 1) del artículo 169 del CPACA.</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Empero lo anterior, también debe tenerse en cuenta por el operador judicial, que el término de caducidad varía de un medio de control a otro e incluso, en un mismo medio de control se pueden presentar ciertos matices que tornan en arduo, el proceso de cómputo y determinación de este fenómeno, pues en ciertos eventos la caducidad ostenta particularísimas características, en lo que respecta al momento determinante para el inicio del conteo, sin dejar de lado que en algunos casos, ni siquiera tiene aplicación, tal y como ocurre en materia de nulidad y restablecimiento del derecho de carácter laboral, cuando se acusan actos que reconocen o niegan prestaciones periódicas o cuando se demanda la nulidad de actos fictos o presuntos.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 xml:space="preserve">En concreto, no ofrece relevancia alguna el instituto de la caducidad, como límite para el ejercicio del derecho de acción, conforme </w:t>
      </w:r>
      <w:r w:rsidRPr="004E1E7F">
        <w:rPr>
          <w:rFonts w:ascii="Lucida Sans" w:hAnsi="Lucida Sans"/>
          <w:spacing w:val="-3"/>
          <w:sz w:val="22"/>
          <w:szCs w:val="22"/>
        </w:rPr>
        <w:t xml:space="preserve">el numeral 1º del artículo 164 del CPACA, </w:t>
      </w:r>
      <w:r>
        <w:rPr>
          <w:rFonts w:ascii="Lucida Sans" w:hAnsi="Lucida Sans"/>
          <w:spacing w:val="-3"/>
          <w:sz w:val="22"/>
          <w:szCs w:val="22"/>
        </w:rPr>
        <w:t>en los siguientes eventos:</w:t>
      </w:r>
    </w:p>
    <w:p w:rsidR="00D84BB7"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“Artículo 164. La demanda deberá ser presentada:</w:t>
      </w:r>
    </w:p>
    <w:p w:rsidR="00D84BB7" w:rsidRPr="004E1E7F" w:rsidRDefault="00D84BB7" w:rsidP="00D84BB7">
      <w:pPr>
        <w:suppressAutoHyphens/>
        <w:spacing w:line="360" w:lineRule="auto"/>
        <w:ind w:firstLine="708"/>
        <w:jc w:val="both"/>
        <w:rPr>
          <w:rFonts w:ascii="Lucida Sans" w:hAnsi="Lucida Sans"/>
          <w:i/>
          <w:spacing w:val="-3"/>
          <w:sz w:val="22"/>
          <w:szCs w:val="22"/>
        </w:rPr>
      </w:pPr>
    </w:p>
    <w:p w:rsidR="00D84BB7" w:rsidRPr="004E1E7F" w:rsidRDefault="00D84BB7" w:rsidP="00D84BB7">
      <w:pPr>
        <w:numPr>
          <w:ilvl w:val="0"/>
          <w:numId w:val="1"/>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En cualquier tiempo, cuando: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pretenda la nulidad en los términos del artículo 137 de este Código.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El objeto del litigio lo constituyan bienes estatales imprescriptibles e inajenables.</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b/>
          <w:i/>
          <w:spacing w:val="-3"/>
          <w:sz w:val="22"/>
          <w:szCs w:val="22"/>
          <w:u w:val="single"/>
        </w:rPr>
        <w:lastRenderedPageBreak/>
        <w:t>Se dirija contra actos que reconozcan o nieguen total o parcialmente prestaciones periódicas</w:t>
      </w:r>
      <w:r w:rsidRPr="004E1E7F">
        <w:rPr>
          <w:rFonts w:ascii="Lucida Sans" w:hAnsi="Lucida Sans"/>
          <w:i/>
          <w:spacing w:val="-3"/>
          <w:sz w:val="22"/>
          <w:szCs w:val="22"/>
        </w:rPr>
        <w:t xml:space="preserve">. Sin embargo, no habrá lugar a recuperar las prestaciones pagadas a particulares de buena fe. </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dirija contra actos producto del silencio administrativo.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solicite el cumplimiento de una norma con fuerza material de ley o de un acto administrativo, siempre que este último no haya perdido fuerza ejecutoria</w:t>
      </w:r>
    </w:p>
    <w:p w:rsidR="00D84BB7" w:rsidRPr="009B5897" w:rsidRDefault="00D84BB7" w:rsidP="00D84BB7">
      <w:pPr>
        <w:numPr>
          <w:ilvl w:val="0"/>
          <w:numId w:val="2"/>
        </w:numPr>
        <w:suppressAutoHyphens/>
        <w:spacing w:line="360" w:lineRule="auto"/>
        <w:jc w:val="both"/>
        <w:rPr>
          <w:rFonts w:ascii="Lucida Sans" w:hAnsi="Lucida Sans"/>
          <w:spacing w:val="-3"/>
          <w:sz w:val="22"/>
          <w:szCs w:val="22"/>
        </w:rPr>
      </w:pPr>
      <w:r w:rsidRPr="009B5897">
        <w:rPr>
          <w:rFonts w:ascii="Lucida Sans" w:hAnsi="Lucida Sans"/>
          <w:i/>
          <w:spacing w:val="-3"/>
          <w:sz w:val="22"/>
          <w:szCs w:val="22"/>
        </w:rPr>
        <w:t xml:space="preserve">En los demás casos expresamente establecidos en la ley.” </w:t>
      </w:r>
      <w:r w:rsidRPr="009B5897">
        <w:rPr>
          <w:rFonts w:ascii="Lucida Sans" w:hAnsi="Lucida Sans"/>
          <w:spacing w:val="-3"/>
          <w:sz w:val="22"/>
          <w:szCs w:val="22"/>
        </w:rPr>
        <w:t>(Negrillas y subrayas fuera del texto original)</w:t>
      </w:r>
    </w:p>
    <w:p w:rsidR="00D84BB7" w:rsidRPr="004E1E7F" w:rsidRDefault="00D84BB7" w:rsidP="00D84BB7">
      <w:pPr>
        <w:suppressAutoHyphens/>
        <w:spacing w:line="360" w:lineRule="auto"/>
        <w:jc w:val="both"/>
        <w:rPr>
          <w:rFonts w:ascii="Lucida Sans" w:hAnsi="Lucida Sans"/>
          <w:sz w:val="22"/>
          <w:szCs w:val="22"/>
        </w:rPr>
      </w:pPr>
    </w:p>
    <w:p w:rsidR="00D84BB7" w:rsidRDefault="00D84BB7" w:rsidP="00D84BB7">
      <w:pPr>
        <w:spacing w:line="360" w:lineRule="auto"/>
        <w:jc w:val="both"/>
        <w:rPr>
          <w:rFonts w:ascii="Lucida Sans" w:hAnsi="Lucida Sans"/>
          <w:spacing w:val="-3"/>
          <w:sz w:val="22"/>
          <w:szCs w:val="22"/>
        </w:rPr>
      </w:pPr>
      <w:r w:rsidRPr="00BC2A23">
        <w:rPr>
          <w:rFonts w:ascii="Lucida Sans" w:hAnsi="Lucida Sans"/>
          <w:b/>
          <w:spacing w:val="-3"/>
          <w:sz w:val="22"/>
          <w:szCs w:val="22"/>
        </w:rPr>
        <w:t>3.</w:t>
      </w:r>
      <w:r w:rsidRPr="00BC2A23">
        <w:rPr>
          <w:rFonts w:ascii="Lucida Sans" w:hAnsi="Lucida Sans"/>
          <w:spacing w:val="-3"/>
          <w:sz w:val="22"/>
          <w:szCs w:val="22"/>
        </w:rPr>
        <w:t xml:space="preserve"> Con</w:t>
      </w:r>
      <w:r>
        <w:rPr>
          <w:rFonts w:ascii="Lucida Sans" w:hAnsi="Lucida Sans"/>
          <w:spacing w:val="-3"/>
          <w:sz w:val="22"/>
          <w:szCs w:val="22"/>
        </w:rPr>
        <w:t>forme lo anterior, se impone definir por parte del Despacho en un primer momento, si la prima de servicios cuyo reconocimiento y pago constituye el objeto principal de este medio de control, es una prestación de naturaleza periódica. Sobre este punto, el H. Consejo de Estado, refirió:</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overflowPunct/>
        <w:spacing w:line="360" w:lineRule="auto"/>
        <w:jc w:val="both"/>
        <w:textAlignment w:val="auto"/>
        <w:rPr>
          <w:rFonts w:ascii="Lucida Sans" w:hAnsi="Lucida Sans" w:cs="Arial"/>
          <w:i/>
          <w:spacing w:val="-3"/>
          <w:sz w:val="22"/>
          <w:szCs w:val="22"/>
        </w:rPr>
      </w:pPr>
      <w:r w:rsidRPr="004E1E7F">
        <w:rPr>
          <w:rFonts w:ascii="Lucida Sans" w:eastAsia="Calibri" w:hAnsi="Lucida Sans" w:cs="Arial"/>
          <w:i/>
          <w:sz w:val="22"/>
          <w:szCs w:val="22"/>
          <w:lang w:val="es-CO" w:eastAsia="es-CO"/>
        </w:rPr>
        <w:t xml:space="preserve"> “Como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beneficio por cuanto, no se consideran como prestaciones periódicas. Al respecto, esta Corporación ha señalado:</w:t>
      </w:r>
    </w:p>
    <w:p w:rsidR="00D84BB7" w:rsidRPr="004E1E7F" w:rsidRDefault="00D84BB7" w:rsidP="00D84BB7">
      <w:pPr>
        <w:suppressAutoHyphens/>
        <w:spacing w:line="360" w:lineRule="auto"/>
        <w:jc w:val="both"/>
        <w:rPr>
          <w:rFonts w:ascii="Lucida Sans" w:hAnsi="Lucida Sans" w:cs="Arial"/>
          <w:i/>
          <w:spacing w:val="-3"/>
          <w:sz w:val="22"/>
          <w:szCs w:val="22"/>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la interpretación sobre lo que debe entenderse por prestación periódica fuera el significado lingüístico de las palabras, sería elemental que el actor tendría razón.</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D84BB7" w:rsidRPr="004E1E7F" w:rsidRDefault="00D84BB7" w:rsidP="00D84BB7">
      <w:pPr>
        <w:overflowPunct/>
        <w:spacing w:line="276"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 xml:space="preserve">Si tal no fuera el alcance de la norma, resultaría que como en el derecho laboral casi todos los derechos se causan por un determinado tiempo, habría que concluir </w:t>
      </w:r>
      <w:r w:rsidRPr="004E1E7F">
        <w:rPr>
          <w:rFonts w:ascii="Lucida Sans" w:eastAsia="Calibri" w:hAnsi="Lucida Sans" w:cs="Arial"/>
          <w:i/>
          <w:sz w:val="22"/>
          <w:szCs w:val="22"/>
          <w:lang w:val="es-CO" w:eastAsia="es-CO"/>
        </w:rPr>
        <w:lastRenderedPageBreak/>
        <w:t>en esa materia la indefinición de los conflictos sería la constante, porque no operaría la caducidad en las acciones de nulidad y restablecimiento del derecho y tal interpretación sería absurda, a juicio de la Sala.</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la Jurisdicción Contenciosa dentro de los 4 meses, contados desde el día siguiente al de su notificación.</w:t>
      </w:r>
      <w:r>
        <w:rPr>
          <w:rStyle w:val="Refdenotaalpie"/>
          <w:rFonts w:ascii="Lucida Sans" w:eastAsia="Calibri" w:hAnsi="Lucida Sans" w:cs="Arial"/>
          <w:i/>
          <w:sz w:val="22"/>
          <w:szCs w:val="22"/>
          <w:lang w:val="es-CO" w:eastAsia="es-CO"/>
        </w:rPr>
        <w:footnoteReference w:id="4"/>
      </w:r>
      <w:r w:rsidRPr="004E1E7F">
        <w:rPr>
          <w:rFonts w:ascii="Lucida Sans" w:eastAsia="Calibri" w:hAnsi="Lucida Sans" w:cs="Arial"/>
          <w:i/>
          <w:sz w:val="22"/>
          <w:szCs w:val="22"/>
          <w:lang w:val="es-CO" w:eastAsia="es-CO"/>
        </w:rPr>
        <w:t>”</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Pr="00300F29"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Así las cosas, </w:t>
      </w:r>
      <w:r w:rsidRPr="00300F29">
        <w:rPr>
          <w:rFonts w:ascii="Lucida Sans" w:eastAsia="Calibri" w:hAnsi="Lucida Sans" w:cs="Arial"/>
          <w:sz w:val="22"/>
          <w:szCs w:val="22"/>
          <w:lang w:val="es-CO" w:eastAsia="es-CO"/>
        </w:rPr>
        <w:t>queda claro que no todo derecho laboral ostenta la connotación de periódic</w:t>
      </w:r>
      <w:r>
        <w:rPr>
          <w:rFonts w:ascii="Lucida Sans" w:eastAsia="Calibri" w:hAnsi="Lucida Sans" w:cs="Arial"/>
          <w:sz w:val="22"/>
          <w:szCs w:val="22"/>
          <w:lang w:val="es-CO" w:eastAsia="es-CO"/>
        </w:rPr>
        <w:t>o</w:t>
      </w:r>
      <w:r w:rsidRPr="00300F29">
        <w:rPr>
          <w:rFonts w:ascii="Lucida Sans" w:eastAsia="Calibri" w:hAnsi="Lucida Sans" w:cs="Arial"/>
          <w:sz w:val="22"/>
          <w:szCs w:val="22"/>
          <w:lang w:val="es-CO" w:eastAsia="es-CO"/>
        </w:rPr>
        <w:t>, además, que para encuadrar un derecho o prestación en esa clasificación, no basta que simplemente el mismo se cause y pague cada determinado per</w:t>
      </w:r>
      <w:r>
        <w:rPr>
          <w:rFonts w:ascii="Lucida Sans" w:eastAsia="Calibri" w:hAnsi="Lucida Sans" w:cs="Arial"/>
          <w:sz w:val="22"/>
          <w:szCs w:val="22"/>
          <w:lang w:val="es-CO" w:eastAsia="es-CO"/>
        </w:rPr>
        <w:t>ío</w:t>
      </w:r>
      <w:r w:rsidRPr="00300F29">
        <w:rPr>
          <w:rFonts w:ascii="Lucida Sans" w:eastAsia="Calibri" w:hAnsi="Lucida Sans" w:cs="Arial"/>
          <w:sz w:val="22"/>
          <w:szCs w:val="22"/>
          <w:lang w:val="es-CO" w:eastAsia="es-CO"/>
        </w:rPr>
        <w:t xml:space="preserve">do, pues ello equivaldría a la imposibilidad </w:t>
      </w:r>
      <w:r>
        <w:rPr>
          <w:rFonts w:ascii="Lucida Sans" w:eastAsia="Calibri" w:hAnsi="Lucida Sans" w:cs="Arial"/>
          <w:sz w:val="22"/>
          <w:szCs w:val="22"/>
          <w:lang w:val="es-CO" w:eastAsia="es-CO"/>
        </w:rPr>
        <w:t xml:space="preserve">absoluta, </w:t>
      </w:r>
      <w:r w:rsidRPr="00300F29">
        <w:rPr>
          <w:rFonts w:ascii="Lucida Sans" w:eastAsia="Calibri" w:hAnsi="Lucida Sans" w:cs="Arial"/>
          <w:sz w:val="22"/>
          <w:szCs w:val="22"/>
          <w:lang w:val="es-CO" w:eastAsia="es-CO"/>
        </w:rPr>
        <w:t>de aplicar caducidad a la reclamación judicial de todos los derechos de orden laboral.</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En alusión a si la prima de servicios ostenta carácter periódico, el Tribunal Administrativo de Antioquia, en auto del pasado 19 de junio de 2014, precisó:</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“De lo expuesto podemos concluir que la prima de servicios, no constituye una prestación periódica, ya que no tiene el carácter de vitalicia y por ello, debe ser atacada por el demandante en el término establecido en la ley para el ejercicio oportuno del derecho de acción.</w:t>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Se aplica entonces en estos casos, el artículo 164 en cuanto a la oportunidad para demandar, es decir, “cuatro (4) meses contados a partir del día siguiente a la comunicación, notificación, ejecución o publicación del acto administrativo, según el caso.”</w:t>
      </w:r>
      <w:r>
        <w:rPr>
          <w:rStyle w:val="Refdenotaalpie"/>
          <w:rFonts w:ascii="Lucida Sans" w:eastAsia="Calibri" w:hAnsi="Lucida Sans" w:cs="Arial"/>
          <w:i/>
          <w:sz w:val="22"/>
          <w:szCs w:val="22"/>
          <w:lang w:val="es-CO" w:eastAsia="es-CO"/>
        </w:rPr>
        <w:footnoteReference w:id="5"/>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No queda la menor hesitación, que la jurisprudencia imperante en la materia, niega a la prima de servicios el carácter periódico, sobre la base de que dicho atributo sólo resulta predicable de aquellos derechos y prestaciones con vocación vitalicia, condición que indudablemente no concurre en la prima de servicios, la cual, si bien se causa cada determinado período, no tiene la característica de perdurabilidad en el tiempo, pues sabemos, que sólo se tiene derecho a ella, mientras subsista la relación laboral, e incluso, se puede dar que persistiendo el </w:t>
      </w:r>
      <w:r>
        <w:rPr>
          <w:rFonts w:ascii="Lucida Sans" w:eastAsia="Calibri" w:hAnsi="Lucida Sans" w:cs="Arial"/>
          <w:sz w:val="22"/>
          <w:szCs w:val="22"/>
          <w:lang w:val="es-CO" w:eastAsia="es-CO"/>
        </w:rPr>
        <w:lastRenderedPageBreak/>
        <w:t>vínculo laboral o legal o reglamentario, no se cause dicho derecho o se cause solo parcialmente, como ocurre por ejemplo, cuando se presentan interrupciones en la prestación del servicio.</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hAnsi="Lucida Sans"/>
          <w:spacing w:val="-3"/>
          <w:sz w:val="22"/>
          <w:szCs w:val="22"/>
        </w:rPr>
      </w:pPr>
      <w:r>
        <w:rPr>
          <w:rFonts w:ascii="Lucida Sans" w:hAnsi="Lucida Sans"/>
          <w:spacing w:val="-3"/>
          <w:sz w:val="22"/>
          <w:szCs w:val="22"/>
        </w:rPr>
        <w:t xml:space="preserve">Es claro entonces </w:t>
      </w:r>
      <w:r w:rsidRPr="004E1E7F">
        <w:rPr>
          <w:rFonts w:ascii="Lucida Sans" w:hAnsi="Lucida Sans"/>
          <w:spacing w:val="-3"/>
          <w:sz w:val="22"/>
          <w:szCs w:val="22"/>
        </w:rPr>
        <w:t>para el Despacho</w:t>
      </w:r>
      <w:r>
        <w:rPr>
          <w:rFonts w:ascii="Lucida Sans" w:hAnsi="Lucida Sans"/>
          <w:spacing w:val="-3"/>
          <w:sz w:val="22"/>
          <w:szCs w:val="22"/>
        </w:rPr>
        <w:t>,</w:t>
      </w:r>
      <w:r w:rsidRPr="004E1E7F">
        <w:rPr>
          <w:rFonts w:ascii="Lucida Sans" w:hAnsi="Lucida Sans"/>
          <w:spacing w:val="-3"/>
          <w:sz w:val="22"/>
          <w:szCs w:val="22"/>
        </w:rPr>
        <w:t xml:space="preserve"> que al asunto aquí debatido – </w:t>
      </w:r>
      <w:r w:rsidRPr="004E1E7F">
        <w:rPr>
          <w:rFonts w:ascii="Lucida Sans" w:hAnsi="Lucida Sans"/>
          <w:b/>
          <w:spacing w:val="-3"/>
          <w:sz w:val="22"/>
          <w:szCs w:val="22"/>
        </w:rPr>
        <w:t>RECONOCIMIENTO DE LA PRIMA DE SERVICIOS-</w:t>
      </w:r>
      <w:r w:rsidRPr="004E1E7F">
        <w:rPr>
          <w:rFonts w:ascii="Lucida Sans" w:hAnsi="Lucida Sans"/>
          <w:spacing w:val="-3"/>
          <w:sz w:val="22"/>
          <w:szCs w:val="22"/>
        </w:rPr>
        <w:t xml:space="preserve"> debe dársele aplicación al t</w:t>
      </w:r>
      <w:r>
        <w:rPr>
          <w:rFonts w:ascii="Lucida Sans" w:hAnsi="Lucida Sans"/>
          <w:spacing w:val="-3"/>
          <w:sz w:val="22"/>
          <w:szCs w:val="22"/>
        </w:rPr>
        <w:t>é</w:t>
      </w:r>
      <w:r w:rsidRPr="004E1E7F">
        <w:rPr>
          <w:rFonts w:ascii="Lucida Sans" w:hAnsi="Lucida Sans"/>
          <w:spacing w:val="-3"/>
          <w:sz w:val="22"/>
          <w:szCs w:val="22"/>
        </w:rPr>
        <w:t xml:space="preserve">rmino de caducidad de cuatro (4) meses contemplado en el numeral 2º, literal d) del artículo 164 del CPACA, pues bajo la jurisprudencia expuesta, tal emolumento </w:t>
      </w:r>
      <w:r w:rsidRPr="004E1E7F">
        <w:rPr>
          <w:rFonts w:ascii="Lucida Sans" w:hAnsi="Lucida Sans"/>
          <w:b/>
          <w:spacing w:val="-3"/>
          <w:sz w:val="22"/>
          <w:szCs w:val="22"/>
        </w:rPr>
        <w:t>NO</w:t>
      </w:r>
      <w:r w:rsidRPr="004E1E7F">
        <w:rPr>
          <w:rFonts w:ascii="Lucida Sans" w:hAnsi="Lucida Sans"/>
          <w:spacing w:val="-3"/>
          <w:sz w:val="22"/>
          <w:szCs w:val="22"/>
        </w:rPr>
        <w:t xml:space="preserve"> es una prestación periódica</w:t>
      </w:r>
      <w:r>
        <w:rPr>
          <w:rFonts w:ascii="Lucida Sans" w:hAnsi="Lucida Sans"/>
          <w:spacing w:val="-3"/>
          <w:sz w:val="22"/>
          <w:szCs w:val="22"/>
        </w:rPr>
        <w:t>, pues no ostenta la connotación de vitalicia pues su causación es limitada en el tiempo.</w:t>
      </w:r>
    </w:p>
    <w:p w:rsidR="00D84BB7" w:rsidRDefault="00D84BB7" w:rsidP="00D84BB7">
      <w:pPr>
        <w:overflowPunct/>
        <w:spacing w:line="360" w:lineRule="auto"/>
        <w:jc w:val="both"/>
        <w:textAlignment w:val="auto"/>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 xml:space="preserve">Ahora bien, de los anexos de la demanda no es </w:t>
      </w:r>
      <w:r>
        <w:rPr>
          <w:rFonts w:ascii="Lucida Sans" w:hAnsi="Lucida Sans"/>
          <w:spacing w:val="-3"/>
          <w:sz w:val="22"/>
          <w:szCs w:val="22"/>
        </w:rPr>
        <w:t>posible para e</w:t>
      </w:r>
      <w:r w:rsidRPr="004E1E7F">
        <w:rPr>
          <w:rFonts w:ascii="Lucida Sans" w:hAnsi="Lucida Sans"/>
          <w:spacing w:val="-3"/>
          <w:sz w:val="22"/>
          <w:szCs w:val="22"/>
        </w:rPr>
        <w:t>l Despacho determinar de manera certera</w:t>
      </w:r>
      <w:r>
        <w:rPr>
          <w:rFonts w:ascii="Lucida Sans" w:hAnsi="Lucida Sans"/>
          <w:spacing w:val="-3"/>
          <w:sz w:val="22"/>
          <w:szCs w:val="22"/>
        </w:rPr>
        <w:t>,</w:t>
      </w:r>
      <w:r w:rsidRPr="004E1E7F">
        <w:rPr>
          <w:rFonts w:ascii="Lucida Sans" w:hAnsi="Lucida Sans"/>
          <w:spacing w:val="-3"/>
          <w:sz w:val="22"/>
          <w:szCs w:val="22"/>
        </w:rPr>
        <w:t xml:space="preserve"> la fecha en la cual le fue notificada a la parte actora </w:t>
      </w:r>
      <w:r>
        <w:rPr>
          <w:rFonts w:ascii="Lucida Sans" w:hAnsi="Lucida Sans"/>
          <w:spacing w:val="-3"/>
          <w:sz w:val="22"/>
          <w:szCs w:val="22"/>
        </w:rPr>
        <w:t xml:space="preserve">el acto administrativo acusado, </w:t>
      </w:r>
      <w:r w:rsidRPr="004E1E7F">
        <w:rPr>
          <w:rFonts w:ascii="Lucida Sans" w:hAnsi="Lucida Sans"/>
          <w:spacing w:val="-3"/>
          <w:sz w:val="22"/>
          <w:szCs w:val="22"/>
        </w:rPr>
        <w:t xml:space="preserve">no obstante, puede esta Agencia Judicial colegir que para la fecha de presentación de la solicitud de conciliación prejudicial </w:t>
      </w:r>
      <w:r w:rsidR="004E2CA9">
        <w:rPr>
          <w:rFonts w:ascii="Lucida Sans" w:hAnsi="Lucida Sans"/>
          <w:spacing w:val="-3"/>
          <w:sz w:val="22"/>
          <w:szCs w:val="22"/>
        </w:rPr>
        <w:t>la</w:t>
      </w:r>
      <w:r>
        <w:rPr>
          <w:rFonts w:ascii="Lucida Sans" w:hAnsi="Lucida Sans"/>
          <w:spacing w:val="-3"/>
          <w:sz w:val="22"/>
          <w:szCs w:val="22"/>
        </w:rPr>
        <w:t xml:space="preserve"> señor</w:t>
      </w:r>
      <w:r w:rsidR="004E2CA9">
        <w:rPr>
          <w:rFonts w:ascii="Lucida Sans" w:hAnsi="Lucida Sans"/>
          <w:spacing w:val="-3"/>
          <w:sz w:val="22"/>
          <w:szCs w:val="22"/>
        </w:rPr>
        <w:t>a</w:t>
      </w:r>
      <w:r>
        <w:rPr>
          <w:rFonts w:ascii="Lucida Sans" w:hAnsi="Lucida Sans"/>
          <w:spacing w:val="-3"/>
          <w:sz w:val="22"/>
          <w:szCs w:val="22"/>
        </w:rPr>
        <w:t xml:space="preserve"> </w:t>
      </w:r>
      <w:r w:rsidR="000E7823" w:rsidRPr="000E7823">
        <w:rPr>
          <w:rFonts w:ascii="Lucida Sans" w:hAnsi="Lucida Sans" w:cs="Arial"/>
          <w:b/>
          <w:sz w:val="22"/>
          <w:szCs w:val="22"/>
        </w:rPr>
        <w:t>NOELIA DEL CARMEN GONZALEZ</w:t>
      </w:r>
      <w:r w:rsidR="00FF658A">
        <w:rPr>
          <w:rFonts w:ascii="Lucida Sans" w:hAnsi="Lucida Sans" w:cs="Arial"/>
          <w:b/>
          <w:sz w:val="22"/>
          <w:szCs w:val="22"/>
        </w:rPr>
        <w:t xml:space="preserve"> GONZÁLEZ</w:t>
      </w:r>
      <w:r w:rsidRPr="004E1E7F">
        <w:rPr>
          <w:rFonts w:ascii="Lucida Sans" w:hAnsi="Lucida Sans" w:cs="Arial"/>
          <w:sz w:val="22"/>
          <w:szCs w:val="22"/>
        </w:rPr>
        <w:t xml:space="preserve"> </w:t>
      </w:r>
      <w:r w:rsidRPr="004E1E7F">
        <w:rPr>
          <w:rFonts w:ascii="Lucida Sans" w:hAnsi="Lucida Sans"/>
          <w:spacing w:val="-3"/>
          <w:sz w:val="22"/>
          <w:szCs w:val="22"/>
        </w:rPr>
        <w:t>conocía de la existencia de tal acto administrativo, pues en la diligencia prejudicial solicitó la anulación del mismo.</w:t>
      </w:r>
    </w:p>
    <w:p w:rsidR="00D84BB7" w:rsidRPr="004E1E7F"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En este orden de ideas, se tiene que el </w:t>
      </w:r>
      <w:r w:rsidR="000E7823">
        <w:rPr>
          <w:rFonts w:ascii="Lucida Sans" w:hAnsi="Lucida Sans"/>
          <w:spacing w:val="-3"/>
          <w:sz w:val="22"/>
          <w:szCs w:val="22"/>
        </w:rPr>
        <w:t>26</w:t>
      </w:r>
      <w:r w:rsidR="003D6494">
        <w:rPr>
          <w:rFonts w:ascii="Lucida Sans" w:hAnsi="Lucida Sans"/>
          <w:spacing w:val="-3"/>
          <w:sz w:val="22"/>
          <w:szCs w:val="22"/>
        </w:rPr>
        <w:t xml:space="preserve"> de febrer</w:t>
      </w:r>
      <w:r w:rsidR="000E7823">
        <w:rPr>
          <w:rFonts w:ascii="Lucida Sans" w:hAnsi="Lucida Sans"/>
          <w:spacing w:val="-3"/>
          <w:sz w:val="22"/>
          <w:szCs w:val="22"/>
        </w:rPr>
        <w:t>o de 2013</w:t>
      </w:r>
      <w:r>
        <w:rPr>
          <w:rFonts w:ascii="Lucida Sans" w:hAnsi="Lucida Sans"/>
          <w:spacing w:val="-3"/>
          <w:sz w:val="22"/>
          <w:szCs w:val="22"/>
        </w:rPr>
        <w:t xml:space="preserve">, la parte actora presentó solicitud de conciliación prejudicial, por lo que debe entenderse que en esa fecha se configuró la notificación por conducta concluyente, por lo que es a partir de ese día que se debe computar el plazo de cuatro (4) meses para impetrar el respectivo medio de control, anotando, que si bien este Juzgador es del criterio que en eventos como el que concita nuestro interés, no es exigible el agotamiento del requisito de </w:t>
      </w:r>
      <w:proofErr w:type="spellStart"/>
      <w:r>
        <w:rPr>
          <w:rFonts w:ascii="Lucida Sans" w:hAnsi="Lucida Sans"/>
          <w:spacing w:val="-3"/>
          <w:sz w:val="22"/>
          <w:szCs w:val="22"/>
        </w:rPr>
        <w:t>procedibilidad</w:t>
      </w:r>
      <w:proofErr w:type="spellEnd"/>
      <w:r>
        <w:rPr>
          <w:rFonts w:ascii="Lucida Sans" w:hAnsi="Lucida Sans"/>
          <w:spacing w:val="-3"/>
          <w:sz w:val="22"/>
          <w:szCs w:val="22"/>
        </w:rPr>
        <w:t xml:space="preserve"> de la conciliación prejudicial, no obstante,</w:t>
      </w:r>
      <w:r w:rsidR="004E2CA9">
        <w:rPr>
          <w:rFonts w:ascii="Lucida Sans" w:hAnsi="Lucida Sans"/>
          <w:spacing w:val="-3"/>
          <w:sz w:val="22"/>
          <w:szCs w:val="22"/>
        </w:rPr>
        <w:t xml:space="preserve"> como quiera que la</w:t>
      </w:r>
      <w:r>
        <w:rPr>
          <w:rFonts w:ascii="Lucida Sans" w:hAnsi="Lucida Sans"/>
          <w:spacing w:val="-3"/>
          <w:sz w:val="22"/>
          <w:szCs w:val="22"/>
        </w:rPr>
        <w:t xml:space="preserve"> actor</w:t>
      </w:r>
      <w:r w:rsidR="004E2CA9">
        <w:rPr>
          <w:rFonts w:ascii="Lucida Sans" w:hAnsi="Lucida Sans"/>
          <w:spacing w:val="-3"/>
          <w:sz w:val="22"/>
          <w:szCs w:val="22"/>
        </w:rPr>
        <w:t>a</w:t>
      </w:r>
      <w:r>
        <w:rPr>
          <w:rFonts w:ascii="Lucida Sans" w:hAnsi="Lucida Sans"/>
          <w:spacing w:val="-3"/>
          <w:sz w:val="22"/>
          <w:szCs w:val="22"/>
        </w:rPr>
        <w:t xml:space="preserve"> recurrió a ella y la misma no le fue rechazada por la Procuraduría, debe tenerse en cuenta la suspensión que para el término de caducidad representa dicho trámite, en las voces del Decreto 1716 de 2009.</w:t>
      </w:r>
    </w:p>
    <w:p w:rsidR="00D84BB7"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Así las cosas, para el caso concreto, mientras el asunto estuvo pendiente de finiquitar la conciliación, en sede de la Procuraduría </w:t>
      </w:r>
      <w:r w:rsidR="000E7823">
        <w:rPr>
          <w:rFonts w:ascii="Lucida Sans" w:hAnsi="Lucida Sans"/>
          <w:spacing w:val="-3"/>
          <w:sz w:val="22"/>
          <w:szCs w:val="22"/>
        </w:rPr>
        <w:t>30</w:t>
      </w:r>
      <w:r>
        <w:rPr>
          <w:rFonts w:ascii="Lucida Sans" w:hAnsi="Lucida Sans"/>
          <w:spacing w:val="-3"/>
          <w:sz w:val="22"/>
          <w:szCs w:val="22"/>
        </w:rPr>
        <w:t xml:space="preserve"> Judicial I</w:t>
      </w:r>
      <w:r w:rsidR="004E2CA9">
        <w:rPr>
          <w:rFonts w:ascii="Lucida Sans" w:hAnsi="Lucida Sans"/>
          <w:spacing w:val="-3"/>
          <w:sz w:val="22"/>
          <w:szCs w:val="22"/>
        </w:rPr>
        <w:t>I</w:t>
      </w:r>
      <w:r>
        <w:rPr>
          <w:rFonts w:ascii="Lucida Sans" w:hAnsi="Lucida Sans"/>
          <w:spacing w:val="-3"/>
          <w:sz w:val="22"/>
          <w:szCs w:val="22"/>
        </w:rPr>
        <w:t xml:space="preserve"> para asuntos  administrativos, se suspendió el término de la caducidad, la cual empezó a correr el día de expedición de la constancia por esa Procuraduría, esto es, el </w:t>
      </w:r>
      <w:r w:rsidR="000E7823">
        <w:rPr>
          <w:rFonts w:ascii="Lucida Sans" w:hAnsi="Lucida Sans"/>
          <w:spacing w:val="-3"/>
          <w:sz w:val="22"/>
          <w:szCs w:val="22"/>
        </w:rPr>
        <w:t>22 de mayo</w:t>
      </w:r>
      <w:r w:rsidR="00FF658A">
        <w:rPr>
          <w:rFonts w:ascii="Lucida Sans" w:hAnsi="Lucida Sans"/>
          <w:spacing w:val="-3"/>
          <w:sz w:val="22"/>
          <w:szCs w:val="22"/>
        </w:rPr>
        <w:t xml:space="preserve"> de 2013</w:t>
      </w:r>
      <w:r>
        <w:rPr>
          <w:rFonts w:ascii="Lucida Sans" w:hAnsi="Lucida Sans"/>
          <w:spacing w:val="-3"/>
          <w:sz w:val="22"/>
          <w:szCs w:val="22"/>
        </w:rPr>
        <w:t xml:space="preserve"> y desde esa fecha se computarán los cuatro (4) meses, con que contaba la demandante para impetrar el respectivo medio de control, es decir, tenía hasta el </w:t>
      </w:r>
      <w:r w:rsidR="00FF658A">
        <w:rPr>
          <w:rFonts w:ascii="Lucida Sans" w:hAnsi="Lucida Sans"/>
          <w:spacing w:val="-3"/>
          <w:sz w:val="22"/>
          <w:szCs w:val="22"/>
        </w:rPr>
        <w:t>22</w:t>
      </w:r>
      <w:r w:rsidR="005F2567">
        <w:rPr>
          <w:rFonts w:ascii="Lucida Sans" w:hAnsi="Lucida Sans"/>
          <w:spacing w:val="-3"/>
          <w:sz w:val="22"/>
          <w:szCs w:val="22"/>
        </w:rPr>
        <w:t xml:space="preserve"> de </w:t>
      </w:r>
      <w:r w:rsidR="000E7823">
        <w:rPr>
          <w:rFonts w:ascii="Lucida Sans" w:hAnsi="Lucida Sans"/>
          <w:spacing w:val="-3"/>
          <w:sz w:val="22"/>
          <w:szCs w:val="22"/>
        </w:rPr>
        <w:t>septiembre</w:t>
      </w:r>
      <w:r>
        <w:rPr>
          <w:rFonts w:ascii="Lucida Sans" w:hAnsi="Lucida Sans"/>
          <w:spacing w:val="-3"/>
          <w:sz w:val="22"/>
          <w:szCs w:val="22"/>
        </w:rPr>
        <w:t xml:space="preserve"> de</w:t>
      </w:r>
      <w:r w:rsidR="00FF658A">
        <w:rPr>
          <w:rFonts w:ascii="Lucida Sans" w:hAnsi="Lucida Sans"/>
          <w:spacing w:val="-3"/>
          <w:sz w:val="22"/>
          <w:szCs w:val="22"/>
        </w:rPr>
        <w:t xml:space="preserve"> 2013</w:t>
      </w:r>
      <w:r w:rsidR="005F2567">
        <w:rPr>
          <w:rFonts w:ascii="Lucida Sans" w:hAnsi="Lucida Sans"/>
          <w:spacing w:val="-3"/>
          <w:sz w:val="22"/>
          <w:szCs w:val="22"/>
        </w:rPr>
        <w:t>, para radicar la demanda.</w:t>
      </w:r>
    </w:p>
    <w:p w:rsidR="005F2567" w:rsidRDefault="005F256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 folio </w:t>
      </w:r>
      <w:r w:rsidR="000E7823">
        <w:rPr>
          <w:rFonts w:ascii="Lucida Sans" w:hAnsi="Lucida Sans"/>
          <w:spacing w:val="-3"/>
          <w:sz w:val="22"/>
          <w:szCs w:val="22"/>
        </w:rPr>
        <w:t>19</w:t>
      </w:r>
      <w:r>
        <w:rPr>
          <w:rFonts w:ascii="Lucida Sans" w:hAnsi="Lucida Sans"/>
          <w:spacing w:val="-3"/>
          <w:sz w:val="22"/>
          <w:szCs w:val="22"/>
        </w:rPr>
        <w:t xml:space="preserve"> del expediente, se observa que la demanda se radicó en la Oficina de Apoyo Judicial de los Juz</w:t>
      </w:r>
      <w:r w:rsidR="000E7823">
        <w:rPr>
          <w:rFonts w:ascii="Lucida Sans" w:hAnsi="Lucida Sans"/>
          <w:spacing w:val="-3"/>
          <w:sz w:val="22"/>
          <w:szCs w:val="22"/>
        </w:rPr>
        <w:t>gados Administrativos, el día 22</w:t>
      </w:r>
      <w:r w:rsidR="005F2567">
        <w:rPr>
          <w:rFonts w:ascii="Lucida Sans" w:hAnsi="Lucida Sans"/>
          <w:spacing w:val="-3"/>
          <w:sz w:val="22"/>
          <w:szCs w:val="22"/>
        </w:rPr>
        <w:t xml:space="preserve"> de octu</w:t>
      </w:r>
      <w:r w:rsidR="004E2CA9">
        <w:rPr>
          <w:rFonts w:ascii="Lucida Sans" w:hAnsi="Lucida Sans"/>
          <w:spacing w:val="-3"/>
          <w:sz w:val="22"/>
          <w:szCs w:val="22"/>
        </w:rPr>
        <w:t xml:space="preserve">bre </w:t>
      </w:r>
      <w:r>
        <w:rPr>
          <w:rFonts w:ascii="Lucida Sans" w:hAnsi="Lucida Sans"/>
          <w:spacing w:val="-3"/>
          <w:sz w:val="22"/>
          <w:szCs w:val="22"/>
        </w:rPr>
        <w:t xml:space="preserve">de 2014, esto es, cuando ya había operado la caducidad del medio de control, sin que se estime </w:t>
      </w:r>
      <w:r>
        <w:rPr>
          <w:rFonts w:ascii="Lucida Sans" w:hAnsi="Lucida Sans"/>
          <w:spacing w:val="-3"/>
          <w:sz w:val="22"/>
          <w:szCs w:val="22"/>
        </w:rPr>
        <w:lastRenderedPageBreak/>
        <w:t>necesario para arribar a dicha conclusión, e</w:t>
      </w:r>
      <w:r w:rsidR="004E2CA9">
        <w:rPr>
          <w:rFonts w:ascii="Lucida Sans" w:hAnsi="Lucida Sans"/>
          <w:spacing w:val="-3"/>
          <w:sz w:val="22"/>
          <w:szCs w:val="22"/>
        </w:rPr>
        <w:t>l oficiar al Departamento de Antioquia</w:t>
      </w:r>
      <w:r>
        <w:rPr>
          <w:rFonts w:ascii="Lucida Sans" w:hAnsi="Lucida Sans"/>
          <w:spacing w:val="-3"/>
          <w:sz w:val="22"/>
          <w:szCs w:val="22"/>
        </w:rPr>
        <w:t xml:space="preserve">, con el fin de que certifique la fecha de notificación, comunicación o ejecución del acto administrativo, conforme lo solicita la demandante, pues resulta imposible que se haya notificado el acto administrativo, con posterioridad a la fecha de expedición de la constancia de agotamiento de la conciliación prejudicial, que es a partir de </w:t>
      </w:r>
      <w:proofErr w:type="spellStart"/>
      <w:r>
        <w:rPr>
          <w:rFonts w:ascii="Lucida Sans" w:hAnsi="Lucida Sans"/>
          <w:spacing w:val="-3"/>
          <w:sz w:val="22"/>
          <w:szCs w:val="22"/>
        </w:rPr>
        <w:t>cuando</w:t>
      </w:r>
      <w:proofErr w:type="spellEnd"/>
      <w:r>
        <w:rPr>
          <w:rFonts w:ascii="Lucida Sans" w:hAnsi="Lucida Sans"/>
          <w:spacing w:val="-3"/>
          <w:sz w:val="22"/>
          <w:szCs w:val="22"/>
        </w:rPr>
        <w:t xml:space="preserve"> se empezó a computar la caducidad, la cual, en criterio de este fallador, es más benévola o favorable para la parte actora.</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Con</w:t>
      </w:r>
      <w:r>
        <w:rPr>
          <w:rFonts w:ascii="Lucida Sans" w:hAnsi="Lucida Sans"/>
          <w:spacing w:val="-3"/>
          <w:sz w:val="22"/>
          <w:szCs w:val="22"/>
        </w:rPr>
        <w:t xml:space="preserve">forme con lo antes expuesto, </w:t>
      </w:r>
      <w:r w:rsidRPr="004E1E7F">
        <w:rPr>
          <w:rFonts w:ascii="Lucida Sans" w:hAnsi="Lucida Sans"/>
          <w:spacing w:val="-3"/>
          <w:sz w:val="22"/>
          <w:szCs w:val="22"/>
        </w:rPr>
        <w:t xml:space="preserve">se impone dar aplicación al contenido del numeral 1º del artículo 169 del Código de Procedimiento Administrativo y de lo Contencioso Administrativo, en el cual se advierte: </w:t>
      </w:r>
    </w:p>
    <w:p w:rsidR="00D84BB7" w:rsidRPr="004E1E7F" w:rsidRDefault="00D84BB7" w:rsidP="00D84BB7">
      <w:pPr>
        <w:spacing w:line="360" w:lineRule="auto"/>
        <w:jc w:val="both"/>
        <w:rPr>
          <w:rFonts w:ascii="Lucida Sans" w:hAnsi="Lucida Sans"/>
          <w:i/>
          <w:iCs/>
          <w:spacing w:val="-3"/>
          <w:sz w:val="22"/>
          <w:szCs w:val="22"/>
        </w:rPr>
      </w:pP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“Artículo 169. Rechazo de la demanda. Se rechazara la demanda y se ordenará la devolución de los anexos en los siguientes casos:</w:t>
      </w: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1. Cuando hubiere operado la caducidad.</w:t>
      </w: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i/>
          <w:iCs/>
          <w:spacing w:val="-3"/>
          <w:sz w:val="22"/>
          <w:szCs w:val="22"/>
        </w:rPr>
        <w:t>(…)”</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p>
    <w:p w:rsidR="00D84BB7" w:rsidRPr="004E1E7F" w:rsidRDefault="00D84BB7" w:rsidP="00D84BB7">
      <w:pPr>
        <w:suppressAutoHyphens/>
        <w:spacing w:line="360" w:lineRule="auto"/>
        <w:jc w:val="both"/>
        <w:rPr>
          <w:rFonts w:ascii="Lucida Sans" w:hAnsi="Lucida Sans" w:cs="Arial"/>
          <w:b/>
          <w:spacing w:val="-3"/>
          <w:sz w:val="22"/>
          <w:szCs w:val="22"/>
        </w:rPr>
      </w:pPr>
      <w:r w:rsidRPr="004E1E7F">
        <w:rPr>
          <w:rFonts w:ascii="Lucida Sans" w:hAnsi="Lucida Sans" w:cs="Arial"/>
          <w:spacing w:val="-3"/>
          <w:sz w:val="22"/>
          <w:szCs w:val="22"/>
        </w:rPr>
        <w:t xml:space="preserve">En mérito de lo expuesto, el </w:t>
      </w:r>
      <w:r w:rsidRPr="004E1E7F">
        <w:rPr>
          <w:rFonts w:ascii="Lucida Sans" w:hAnsi="Lucida Sans" w:cs="Arial"/>
          <w:b/>
          <w:spacing w:val="-3"/>
          <w:sz w:val="22"/>
          <w:szCs w:val="22"/>
        </w:rPr>
        <w:t xml:space="preserve">JUZGADO </w:t>
      </w:r>
      <w:r>
        <w:rPr>
          <w:rFonts w:ascii="Lucida Sans" w:hAnsi="Lucida Sans" w:cs="Arial"/>
          <w:b/>
          <w:spacing w:val="-3"/>
          <w:sz w:val="22"/>
          <w:szCs w:val="22"/>
        </w:rPr>
        <w:t xml:space="preserve">DIECISÉIS </w:t>
      </w:r>
      <w:r w:rsidRPr="004E1E7F">
        <w:rPr>
          <w:rFonts w:ascii="Lucida Sans" w:hAnsi="Lucida Sans" w:cs="Arial"/>
          <w:b/>
          <w:spacing w:val="-3"/>
          <w:sz w:val="22"/>
          <w:szCs w:val="22"/>
        </w:rPr>
        <w:t>ADMINISTRATIVO ORAL DE MEDELLIN,</w:t>
      </w:r>
    </w:p>
    <w:p w:rsidR="00D84BB7" w:rsidRDefault="00D84BB7" w:rsidP="00D84BB7">
      <w:pPr>
        <w:pStyle w:val="Ttulo4"/>
        <w:spacing w:line="360" w:lineRule="auto"/>
        <w:jc w:val="center"/>
        <w:rPr>
          <w:rFonts w:ascii="Bradley Hand ITC" w:hAnsi="Bradley Hand ITC" w:cs="Arial"/>
          <w:iCs/>
        </w:rPr>
      </w:pPr>
    </w:p>
    <w:p w:rsidR="00D84BB7" w:rsidRDefault="00D84BB7" w:rsidP="00D84BB7">
      <w:pPr>
        <w:pStyle w:val="Ttulo4"/>
        <w:spacing w:line="360" w:lineRule="auto"/>
        <w:jc w:val="center"/>
        <w:rPr>
          <w:rFonts w:ascii="Bradley Hand ITC" w:hAnsi="Bradley Hand ITC" w:cs="Arial"/>
          <w:iCs/>
        </w:rPr>
      </w:pPr>
      <w:r w:rsidRPr="004E1E7F">
        <w:rPr>
          <w:rFonts w:ascii="Bradley Hand ITC" w:hAnsi="Bradley Hand ITC" w:cs="Arial"/>
          <w:iCs/>
        </w:rPr>
        <w:t>RESUELVE</w:t>
      </w:r>
    </w:p>
    <w:p w:rsidR="00D84BB7" w:rsidRDefault="00D84BB7" w:rsidP="00D84BB7">
      <w:pPr>
        <w:suppressAutoHyphens/>
        <w:spacing w:line="360" w:lineRule="auto"/>
        <w:jc w:val="both"/>
        <w:rPr>
          <w:rFonts w:ascii="Berlin Sans FB" w:hAnsi="Berlin Sans FB" w:cs="Arial"/>
          <w:b/>
          <w:spacing w:val="-3"/>
          <w:sz w:val="24"/>
          <w:szCs w:val="24"/>
        </w:rPr>
      </w:pPr>
    </w:p>
    <w:p w:rsidR="00D84BB7" w:rsidRPr="004E7DB0" w:rsidRDefault="00D84BB7" w:rsidP="00D84BB7">
      <w:pPr>
        <w:suppressAutoHyphens/>
        <w:spacing w:line="360" w:lineRule="auto"/>
        <w:jc w:val="both"/>
        <w:rPr>
          <w:rFonts w:ascii="Berlin Sans FB" w:hAnsi="Berlin Sans FB" w:cs="Arial"/>
          <w:b/>
          <w:spacing w:val="-3"/>
          <w:sz w:val="24"/>
          <w:szCs w:val="24"/>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PRIMERO. RE</w:t>
      </w:r>
      <w:r w:rsidRPr="004E1E7F">
        <w:rPr>
          <w:rFonts w:ascii="Lucida Sans" w:hAnsi="Lucida Sans"/>
          <w:b/>
          <w:sz w:val="22"/>
          <w:szCs w:val="22"/>
        </w:rPr>
        <w:t>CHAZAR DE PLANO</w:t>
      </w:r>
      <w:r w:rsidRPr="004E1E7F">
        <w:rPr>
          <w:rFonts w:ascii="Lucida Sans" w:hAnsi="Lucida Sans"/>
          <w:sz w:val="22"/>
          <w:szCs w:val="22"/>
        </w:rPr>
        <w:t xml:space="preserve"> la demanda que en ejercicio del medio de control de NULIDAD Y RESTABLECIMIENTO DEL DERECHO instauró </w:t>
      </w:r>
      <w:r w:rsidR="00D65BC3">
        <w:rPr>
          <w:rFonts w:ascii="Lucida Sans" w:hAnsi="Lucida Sans"/>
          <w:sz w:val="22"/>
          <w:szCs w:val="22"/>
        </w:rPr>
        <w:t>la</w:t>
      </w:r>
      <w:r>
        <w:rPr>
          <w:rFonts w:ascii="Lucida Sans" w:hAnsi="Lucida Sans"/>
          <w:sz w:val="22"/>
          <w:szCs w:val="22"/>
        </w:rPr>
        <w:t xml:space="preserve"> señor</w:t>
      </w:r>
      <w:r w:rsidR="00D65BC3">
        <w:rPr>
          <w:rFonts w:ascii="Lucida Sans" w:hAnsi="Lucida Sans"/>
          <w:sz w:val="22"/>
          <w:szCs w:val="22"/>
        </w:rPr>
        <w:t>a</w:t>
      </w:r>
      <w:r>
        <w:rPr>
          <w:rFonts w:ascii="Lucida Sans" w:hAnsi="Lucida Sans"/>
          <w:sz w:val="22"/>
          <w:szCs w:val="22"/>
        </w:rPr>
        <w:t xml:space="preserve"> </w:t>
      </w:r>
      <w:r w:rsidR="00D65BC3">
        <w:rPr>
          <w:rFonts w:ascii="Lucida Sans" w:hAnsi="Lucida Sans"/>
          <w:b/>
          <w:spacing w:val="-3"/>
          <w:sz w:val="22"/>
          <w:szCs w:val="22"/>
        </w:rPr>
        <w:t xml:space="preserve"> </w:t>
      </w:r>
      <w:r w:rsidR="000E7823" w:rsidRPr="000E7823">
        <w:rPr>
          <w:rFonts w:ascii="Lucida Sans" w:hAnsi="Lucida Sans"/>
          <w:b/>
          <w:spacing w:val="-3"/>
          <w:sz w:val="22"/>
          <w:szCs w:val="22"/>
        </w:rPr>
        <w:t>NOELIA DEL CARMEN GONZALEZ</w:t>
      </w:r>
      <w:r w:rsidR="00FF658A">
        <w:rPr>
          <w:rFonts w:ascii="Lucida Sans" w:hAnsi="Lucida Sans"/>
          <w:b/>
          <w:spacing w:val="-3"/>
          <w:sz w:val="22"/>
          <w:szCs w:val="22"/>
        </w:rPr>
        <w:t xml:space="preserve"> GONZÁLEZ</w:t>
      </w:r>
      <w:r>
        <w:rPr>
          <w:rFonts w:ascii="Lucida Sans" w:hAnsi="Lucida Sans" w:cs="Arial"/>
          <w:b/>
          <w:sz w:val="22"/>
          <w:szCs w:val="22"/>
        </w:rPr>
        <w:t xml:space="preserve">, </w:t>
      </w:r>
      <w:r w:rsidRPr="004E1E7F">
        <w:rPr>
          <w:rFonts w:ascii="Lucida Sans" w:hAnsi="Lucida Sans"/>
          <w:spacing w:val="-3"/>
          <w:sz w:val="22"/>
          <w:szCs w:val="22"/>
        </w:rPr>
        <w:t xml:space="preserve">contra el </w:t>
      </w:r>
      <w:r w:rsidR="00D65BC3">
        <w:rPr>
          <w:rFonts w:ascii="Lucida Sans" w:hAnsi="Lucida Sans"/>
          <w:b/>
          <w:bCs/>
          <w:spacing w:val="-3"/>
          <w:sz w:val="22"/>
          <w:szCs w:val="22"/>
        </w:rPr>
        <w:t xml:space="preserve">DEPARTAMENTO DE </w:t>
      </w:r>
      <w:r>
        <w:rPr>
          <w:rFonts w:ascii="Lucida Sans" w:hAnsi="Lucida Sans"/>
          <w:b/>
          <w:bCs/>
          <w:spacing w:val="-3"/>
          <w:sz w:val="22"/>
          <w:szCs w:val="22"/>
        </w:rPr>
        <w:t xml:space="preserve">ANTIOQUIA - </w:t>
      </w:r>
      <w:r w:rsidRPr="004E1E7F">
        <w:rPr>
          <w:rFonts w:ascii="Lucida Sans" w:hAnsi="Lucida Sans"/>
          <w:b/>
          <w:bCs/>
          <w:spacing w:val="-3"/>
          <w:sz w:val="22"/>
          <w:szCs w:val="22"/>
        </w:rPr>
        <w:t xml:space="preserve"> </w:t>
      </w:r>
      <w:r w:rsidRPr="004E1E7F">
        <w:rPr>
          <w:rFonts w:ascii="Lucida Sans" w:hAnsi="Lucida Sans"/>
          <w:sz w:val="22"/>
          <w:szCs w:val="22"/>
        </w:rPr>
        <w:t xml:space="preserve"> por las razones expuestas en la parte motiva.</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 xml:space="preserve">SEGUNDO. </w:t>
      </w:r>
      <w:r w:rsidRPr="004E1E7F">
        <w:rPr>
          <w:rFonts w:ascii="Lucida Sans" w:hAnsi="Lucida Sans"/>
          <w:bCs/>
          <w:sz w:val="22"/>
          <w:szCs w:val="22"/>
        </w:rPr>
        <w:t>S</w:t>
      </w:r>
      <w:r w:rsidRPr="004E1E7F">
        <w:rPr>
          <w:rFonts w:ascii="Lucida Sans" w:hAnsi="Lucida Sans"/>
          <w:sz w:val="22"/>
          <w:szCs w:val="22"/>
        </w:rPr>
        <w:t>e ordena la devolución de los anexos, sin necesidad de desglose y el archivo de la actuación.</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sz w:val="22"/>
          <w:szCs w:val="22"/>
        </w:rPr>
        <w:t>TERCERO:</w:t>
      </w:r>
      <w:r>
        <w:rPr>
          <w:rFonts w:ascii="Lucida Sans" w:hAnsi="Lucida Sans"/>
          <w:b/>
          <w:sz w:val="22"/>
          <w:szCs w:val="22"/>
        </w:rPr>
        <w:t xml:space="preserve"> </w:t>
      </w:r>
      <w:r w:rsidR="00FF658A" w:rsidRPr="00FF658A">
        <w:rPr>
          <w:rFonts w:ascii="Lucida Sans" w:hAnsi="Lucida Sans"/>
          <w:sz w:val="22"/>
          <w:szCs w:val="22"/>
        </w:rPr>
        <w:t xml:space="preserve">De conformidad con lo dispuesto en el artículo 74 del Código General del proceso se reconoce personería a la Doctora Diana Carolina </w:t>
      </w:r>
      <w:proofErr w:type="spellStart"/>
      <w:r w:rsidR="00FF658A" w:rsidRPr="00FF658A">
        <w:rPr>
          <w:rFonts w:ascii="Lucida Sans" w:hAnsi="Lucida Sans"/>
          <w:sz w:val="22"/>
          <w:szCs w:val="22"/>
        </w:rPr>
        <w:t>Alzate</w:t>
      </w:r>
      <w:proofErr w:type="spellEnd"/>
      <w:r w:rsidR="00FF658A" w:rsidRPr="00FF658A">
        <w:rPr>
          <w:rFonts w:ascii="Lucida Sans" w:hAnsi="Lucida Sans"/>
          <w:sz w:val="22"/>
          <w:szCs w:val="22"/>
        </w:rPr>
        <w:t xml:space="preserve"> Quintero, portadora de la tarjeta profesional No. 165.819 del C.S.J para representar a la</w:t>
      </w:r>
      <w:r w:rsidR="00FF658A">
        <w:rPr>
          <w:rFonts w:ascii="Lucida Sans" w:hAnsi="Lucida Sans"/>
          <w:sz w:val="22"/>
          <w:szCs w:val="22"/>
        </w:rPr>
        <w:t xml:space="preserve"> demandante en  los términos y para los efectos del poder conferido, visible a folios</w:t>
      </w:r>
      <w:r w:rsidR="00FF658A" w:rsidRPr="00FF658A">
        <w:rPr>
          <w:rFonts w:ascii="Lucida Sans" w:hAnsi="Lucida Sans"/>
          <w:sz w:val="22"/>
          <w:szCs w:val="22"/>
        </w:rPr>
        <w:t xml:space="preserve"> 29-30</w:t>
      </w:r>
      <w:r w:rsidR="00FF658A">
        <w:rPr>
          <w:rFonts w:ascii="Lucida Sans" w:hAnsi="Lucida Sans"/>
          <w:sz w:val="22"/>
          <w:szCs w:val="22"/>
        </w:rPr>
        <w:t>.</w:t>
      </w:r>
      <w:bookmarkStart w:id="0" w:name="_GoBack"/>
      <w:bookmarkEnd w:id="0"/>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sz w:val="22"/>
          <w:szCs w:val="22"/>
        </w:rPr>
        <w:t xml:space="preserve"> </w:t>
      </w:r>
    </w:p>
    <w:p w:rsidR="00D84BB7" w:rsidRDefault="00D84BB7" w:rsidP="00D84BB7">
      <w:pPr>
        <w:spacing w:line="360" w:lineRule="auto"/>
        <w:jc w:val="both"/>
        <w:rPr>
          <w:rFonts w:ascii="Lucida Sans" w:hAnsi="Lucida Sans" w:cs="Arial"/>
          <w:sz w:val="21"/>
          <w:szCs w:val="21"/>
        </w:rPr>
      </w:pPr>
    </w:p>
    <w:p w:rsidR="004B75E4" w:rsidRDefault="004B75E4" w:rsidP="00D84BB7">
      <w:pPr>
        <w:spacing w:line="360" w:lineRule="auto"/>
        <w:jc w:val="both"/>
        <w:rPr>
          <w:rFonts w:ascii="Lucida Sans" w:hAnsi="Lucida Sans" w:cs="Arial"/>
          <w:sz w:val="21"/>
          <w:szCs w:val="21"/>
        </w:rPr>
      </w:pPr>
    </w:p>
    <w:p w:rsidR="00D84BB7" w:rsidRPr="00D462C9" w:rsidRDefault="00D84BB7" w:rsidP="00D84BB7">
      <w:pPr>
        <w:pStyle w:val="Ttulo3"/>
        <w:jc w:val="center"/>
        <w:rPr>
          <w:rFonts w:ascii="Bradley Hand ITC" w:hAnsi="Bradley Hand ITC"/>
          <w:sz w:val="28"/>
          <w:szCs w:val="28"/>
        </w:rPr>
      </w:pPr>
      <w:r w:rsidRPr="00D462C9">
        <w:rPr>
          <w:rFonts w:ascii="Bradley Hand ITC" w:hAnsi="Bradley Hand ITC"/>
          <w:sz w:val="28"/>
          <w:szCs w:val="28"/>
        </w:rPr>
        <w:t>NOTIFÍQUESE</w:t>
      </w:r>
    </w:p>
    <w:p w:rsidR="00D84BB7" w:rsidRDefault="00D84BB7" w:rsidP="00D84BB7">
      <w:pPr>
        <w:rPr>
          <w:rFonts w:ascii="Bradley Hand ITC" w:hAnsi="Bradley Hand ITC"/>
          <w:szCs w:val="28"/>
        </w:rPr>
      </w:pPr>
    </w:p>
    <w:p w:rsidR="00D84BB7" w:rsidRPr="00D462C9" w:rsidRDefault="00D84BB7" w:rsidP="00D84BB7">
      <w:pPr>
        <w:rPr>
          <w:rFonts w:ascii="Bradley Hand ITC" w:hAnsi="Bradley Hand ITC"/>
          <w:szCs w:val="28"/>
        </w:rPr>
      </w:pPr>
    </w:p>
    <w:p w:rsidR="00D84BB7" w:rsidRPr="00D462C9" w:rsidRDefault="00D84BB7" w:rsidP="00D84BB7">
      <w:pPr>
        <w:jc w:val="center"/>
        <w:rPr>
          <w:rFonts w:ascii="Bradley Hand ITC" w:hAnsi="Bradley Hand ITC"/>
          <w:szCs w:val="28"/>
        </w:rPr>
      </w:pPr>
    </w:p>
    <w:p w:rsidR="00D84BB7" w:rsidRPr="00D462C9" w:rsidRDefault="00D84BB7" w:rsidP="00D84BB7">
      <w:pPr>
        <w:jc w:val="center"/>
        <w:rPr>
          <w:rFonts w:ascii="Bradley Hand ITC" w:hAnsi="Bradley Hand ITC" w:cs="Arial"/>
          <w:szCs w:val="28"/>
        </w:rPr>
      </w:pPr>
      <w:r>
        <w:rPr>
          <w:rFonts w:ascii="Bradley Hand ITC" w:hAnsi="Bradley Hand ITC" w:cs="Arial"/>
          <w:szCs w:val="28"/>
        </w:rPr>
        <w:t xml:space="preserve">RODRIGO VERGARA CORTÉS </w:t>
      </w:r>
    </w:p>
    <w:p w:rsidR="00D84BB7" w:rsidRDefault="00D84BB7" w:rsidP="00D84BB7">
      <w:pPr>
        <w:spacing w:line="360" w:lineRule="auto"/>
        <w:jc w:val="center"/>
        <w:rPr>
          <w:rFonts w:ascii="Bradley Hand ITC" w:hAnsi="Bradley Hand ITC"/>
          <w:szCs w:val="28"/>
        </w:rPr>
      </w:pPr>
      <w:r w:rsidRPr="00B90CF6">
        <w:rPr>
          <w:rFonts w:ascii="Lucida Sans" w:hAnsi="Lucida Sans"/>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948690</wp:posOffset>
                </wp:positionH>
                <wp:positionV relativeFrom="paragraph">
                  <wp:posOffset>329565</wp:posOffset>
                </wp:positionV>
                <wp:extent cx="3632200" cy="1143000"/>
                <wp:effectExtent l="7620" t="7620" r="825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3000"/>
                        </a:xfrm>
                        <a:prstGeom prst="rect">
                          <a:avLst/>
                        </a:prstGeom>
                        <a:solidFill>
                          <a:srgbClr val="FFFFFF"/>
                        </a:solidFill>
                        <a:ln w="9525">
                          <a:solidFill>
                            <a:srgbClr val="000000"/>
                          </a:solidFill>
                          <a:miter lim="800000"/>
                          <a:headEnd/>
                          <a:tailEnd/>
                        </a:ln>
                      </wps:spPr>
                      <wps:txb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7pt;margin-top:25.95pt;width:28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">
                <v:textbo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v:textbox>
              </v:shape>
            </w:pict>
          </mc:Fallback>
        </mc:AlternateContent>
      </w:r>
      <w:r w:rsidRPr="00D462C9">
        <w:rPr>
          <w:rFonts w:ascii="Bradley Hand ITC" w:hAnsi="Bradley Hand ITC"/>
          <w:szCs w:val="28"/>
        </w:rPr>
        <w:t xml:space="preserve">Juez </w:t>
      </w:r>
    </w:p>
    <w:p w:rsidR="00D84BB7" w:rsidRDefault="00D84BB7" w:rsidP="00D84BB7"/>
    <w:p w:rsidR="00D84BB7" w:rsidRDefault="00D84BB7" w:rsidP="00D84BB7"/>
    <w:p w:rsidR="00D84BB7" w:rsidRDefault="00D84BB7" w:rsidP="00D84BB7"/>
    <w:p w:rsidR="00D84BB7" w:rsidRDefault="00D84BB7" w:rsidP="00D84BB7"/>
    <w:p w:rsidR="006E6CD2" w:rsidRDefault="007363C3"/>
    <w:sectPr w:rsidR="006E6CD2" w:rsidSect="004B75E4">
      <w:headerReference w:type="even" r:id="rId8"/>
      <w:headerReference w:type="default" r:id="rId9"/>
      <w:footerReference w:type="even" r:id="rId10"/>
      <w:footerReference w:type="default" r:id="rId11"/>
      <w:pgSz w:w="12242" w:h="18722" w:code="120"/>
      <w:pgMar w:top="1985" w:right="1134" w:bottom="1134" w:left="226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3C3" w:rsidRDefault="007363C3" w:rsidP="00D84BB7">
      <w:r>
        <w:separator/>
      </w:r>
    </w:p>
  </w:endnote>
  <w:endnote w:type="continuationSeparator" w:id="0">
    <w:p w:rsidR="007363C3" w:rsidRDefault="007363C3" w:rsidP="00D8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7363C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7363C3">
    <w:pPr>
      <w:pStyle w:val="Piedepgina"/>
      <w:framePr w:wrap="around" w:vAnchor="text" w:hAnchor="margin" w:xAlign="right" w:y="1"/>
      <w:rPr>
        <w:rStyle w:val="Nmerodepgina"/>
        <w:sz w:val="24"/>
      </w:rPr>
    </w:pPr>
  </w:p>
  <w:p w:rsidR="00E0159E" w:rsidRDefault="007363C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3C3" w:rsidRDefault="007363C3" w:rsidP="00D84BB7">
      <w:r>
        <w:separator/>
      </w:r>
    </w:p>
  </w:footnote>
  <w:footnote w:type="continuationSeparator" w:id="0">
    <w:p w:rsidR="007363C3" w:rsidRDefault="007363C3" w:rsidP="00D84BB7">
      <w:r>
        <w:continuationSeparator/>
      </w:r>
    </w:p>
  </w:footnote>
  <w:footnote w:id="1">
    <w:p w:rsidR="00D84BB7" w:rsidRPr="002D7C1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Tercera. Subsección “C”. Rad. 1996 – 02181 – 01 (20836). </w:t>
      </w:r>
      <w:proofErr w:type="spellStart"/>
      <w:r>
        <w:rPr>
          <w:rFonts w:ascii="Lucida Sans" w:hAnsi="Lucida Sans"/>
          <w:sz w:val="16"/>
          <w:szCs w:val="16"/>
          <w:lang w:val="es-CO"/>
        </w:rPr>
        <w:t>Sent</w:t>
      </w:r>
      <w:proofErr w:type="spellEnd"/>
      <w:r>
        <w:rPr>
          <w:rFonts w:ascii="Lucida Sans" w:hAnsi="Lucida Sans"/>
          <w:sz w:val="16"/>
          <w:szCs w:val="16"/>
          <w:lang w:val="es-CO"/>
        </w:rPr>
        <w:t xml:space="preserve">. Del 24 de marzo de 2011. C. P. Dr. Enrique Gil Botero.  </w:t>
      </w:r>
    </w:p>
  </w:footnote>
  <w:footnote w:id="2">
    <w:p w:rsidR="00D84BB7" w:rsidRPr="000E548F" w:rsidRDefault="00D84BB7" w:rsidP="00D84BB7">
      <w:pPr>
        <w:suppressAutoHyphens/>
        <w:jc w:val="both"/>
        <w:rPr>
          <w:rFonts w:ascii="Lucida Sans" w:hAnsi="Lucida Sans" w:cs="Arial"/>
          <w:spacing w:val="-3"/>
          <w:sz w:val="16"/>
          <w:szCs w:val="16"/>
        </w:rPr>
      </w:pPr>
      <w:r w:rsidRPr="000E548F">
        <w:rPr>
          <w:rStyle w:val="Refdenotaalpie"/>
          <w:rFonts w:ascii="Lucida Sans" w:hAnsi="Lucida Sans" w:cs="Arial"/>
          <w:sz w:val="16"/>
          <w:szCs w:val="16"/>
        </w:rPr>
        <w:footnoteRef/>
      </w:r>
      <w:r w:rsidRPr="000E548F">
        <w:rPr>
          <w:rFonts w:ascii="Lucida Sans" w:hAnsi="Lucida Sans" w:cs="Arial"/>
          <w:sz w:val="16"/>
          <w:szCs w:val="16"/>
        </w:rPr>
        <w:t xml:space="preserve"> </w:t>
      </w:r>
      <w:r w:rsidRPr="000E548F">
        <w:rPr>
          <w:rFonts w:ascii="Lucida Sans" w:hAnsi="Lucida Sans" w:cs="Arial"/>
          <w:spacing w:val="-3"/>
          <w:sz w:val="16"/>
          <w:szCs w:val="16"/>
        </w:rPr>
        <w:t>Sentencia del 21 de noviembre de 1991. Consejera Ponente: Dra. Dolly Pedraza de Arenas.</w:t>
      </w:r>
    </w:p>
  </w:footnote>
  <w:footnote w:id="3">
    <w:p w:rsidR="00D84BB7" w:rsidRPr="006D18FE" w:rsidRDefault="00D84BB7" w:rsidP="00D84BB7">
      <w:pPr>
        <w:pStyle w:val="Textonotapie"/>
        <w:jc w:val="both"/>
        <w:rPr>
          <w:rFonts w:cs="Arial"/>
        </w:rPr>
      </w:pPr>
      <w:r w:rsidRPr="006D18FE">
        <w:rPr>
          <w:rStyle w:val="Refdenotaalpie"/>
          <w:rFonts w:cs="Arial"/>
        </w:rPr>
        <w:footnoteRef/>
      </w:r>
      <w:r w:rsidRPr="006D18FE">
        <w:rPr>
          <w:rFonts w:cs="Arial"/>
        </w:rPr>
        <w:t xml:space="preserve"> </w:t>
      </w:r>
      <w:r w:rsidRPr="00C50ED9">
        <w:rPr>
          <w:rFonts w:ascii="Lucida Sans" w:hAnsi="Lucida Sans" w:cs="Arial"/>
          <w:spacing w:val="-3"/>
          <w:sz w:val="16"/>
          <w:szCs w:val="16"/>
        </w:rPr>
        <w:t>Carlos Betancur Jaramillo, Derecho Procesal Administrativo, Cuarta edición, Pág. 156.</w:t>
      </w:r>
    </w:p>
  </w:footnote>
  <w:footnote w:id="4">
    <w:p w:rsidR="00D84BB7" w:rsidRPr="00BC2A2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Segunda. Rad. 2011 – 00026-01 (1041 – 2011). Auto del 15 de septiembre de 2011. C. P. Dr. Alfonso Vargas Rincón.   </w:t>
      </w:r>
    </w:p>
  </w:footnote>
  <w:footnote w:id="5">
    <w:p w:rsidR="00D84BB7" w:rsidRPr="000941E0"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Tribunal Administrativo de Antioquia. Sala Segunda de Oralidad. Auto del 19 de junio de 2014. M. P. Dr. Jorge Iván Duque Gutiérrez. Rad. 2013 – 00937 – 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7363C3">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7363C3">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BBD"/>
    <w:multiLevelType w:val="hybridMultilevel"/>
    <w:tmpl w:val="4A5C1230"/>
    <w:lvl w:ilvl="0" w:tplc="676E61C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D58083A"/>
    <w:multiLevelType w:val="hybridMultilevel"/>
    <w:tmpl w:val="29921B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B7"/>
    <w:rsid w:val="000658A5"/>
    <w:rsid w:val="000B20F1"/>
    <w:rsid w:val="000E7823"/>
    <w:rsid w:val="003B32A5"/>
    <w:rsid w:val="003D6494"/>
    <w:rsid w:val="00456A00"/>
    <w:rsid w:val="004B75E4"/>
    <w:rsid w:val="004E2CA9"/>
    <w:rsid w:val="005F2567"/>
    <w:rsid w:val="00602503"/>
    <w:rsid w:val="007363C3"/>
    <w:rsid w:val="009749CD"/>
    <w:rsid w:val="00991A38"/>
    <w:rsid w:val="00AF1EC3"/>
    <w:rsid w:val="00B05FA4"/>
    <w:rsid w:val="00C50D7C"/>
    <w:rsid w:val="00D65BC3"/>
    <w:rsid w:val="00D84BB7"/>
    <w:rsid w:val="00DA3809"/>
    <w:rsid w:val="00DE3E67"/>
    <w:rsid w:val="00EC6425"/>
    <w:rsid w:val="00FC0303"/>
    <w:rsid w:val="00FF65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FBB44C1-9ECF-4B79-930D-15D4567B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BB7"/>
    <w:pPr>
      <w:overflowPunct w:val="0"/>
      <w:autoSpaceDE w:val="0"/>
      <w:autoSpaceDN w:val="0"/>
      <w:adjustRightInd w:val="0"/>
      <w:spacing w:after="0" w:line="240" w:lineRule="auto"/>
      <w:textAlignment w:val="baseline"/>
    </w:pPr>
    <w:rPr>
      <w:rFonts w:ascii="Arial" w:eastAsia="Times New Roman" w:hAnsi="Arial" w:cs="Times New Roman"/>
      <w:sz w:val="28"/>
      <w:szCs w:val="20"/>
      <w:lang w:val="es-ES_tradnl" w:eastAsia="es-ES"/>
    </w:rPr>
  </w:style>
  <w:style w:type="paragraph" w:styleId="Ttulo3">
    <w:name w:val="heading 3"/>
    <w:basedOn w:val="Normal"/>
    <w:next w:val="Normal"/>
    <w:link w:val="Ttulo3Car"/>
    <w:qFormat/>
    <w:rsid w:val="00D84BB7"/>
    <w:pPr>
      <w:keepNext/>
      <w:spacing w:before="240" w:after="60"/>
      <w:outlineLvl w:val="2"/>
    </w:pPr>
    <w:rPr>
      <w:rFonts w:cs="Arial"/>
      <w:b/>
      <w:bCs/>
      <w:sz w:val="26"/>
      <w:szCs w:val="26"/>
    </w:rPr>
  </w:style>
  <w:style w:type="paragraph" w:styleId="Ttulo4">
    <w:name w:val="heading 4"/>
    <w:basedOn w:val="Normal"/>
    <w:next w:val="Normal"/>
    <w:link w:val="Ttulo4Car"/>
    <w:qFormat/>
    <w:rsid w:val="00D84BB7"/>
    <w:pPr>
      <w:keepNext/>
      <w:spacing w:before="240" w:after="60"/>
      <w:outlineLvl w:val="3"/>
    </w:pPr>
    <w:rPr>
      <w:rFonts w:ascii="Times New Roman" w:hAnsi="Times New Roman"/>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84BB7"/>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rsid w:val="00D84BB7"/>
    <w:rPr>
      <w:rFonts w:ascii="Times New Roman" w:eastAsia="Times New Roman" w:hAnsi="Times New Roman" w:cs="Times New Roman"/>
      <w:b/>
      <w:bCs/>
      <w:sz w:val="28"/>
      <w:szCs w:val="28"/>
      <w:lang w:val="es-ES_tradnl" w:eastAsia="es-ES"/>
    </w:rPr>
  </w:style>
  <w:style w:type="paragraph" w:styleId="Textoindependiente">
    <w:name w:val="Body Text"/>
    <w:basedOn w:val="Normal"/>
    <w:link w:val="TextoindependienteCar"/>
    <w:rsid w:val="00D84BB7"/>
    <w:pPr>
      <w:spacing w:line="360" w:lineRule="auto"/>
      <w:jc w:val="both"/>
    </w:pPr>
    <w:rPr>
      <w:sz w:val="24"/>
    </w:rPr>
  </w:style>
  <w:style w:type="character" w:customStyle="1" w:styleId="TextoindependienteCar">
    <w:name w:val="Texto independiente Car"/>
    <w:basedOn w:val="Fuentedeprrafopredeter"/>
    <w:link w:val="Textoindependiente"/>
    <w:rsid w:val="00D84BB7"/>
    <w:rPr>
      <w:rFonts w:ascii="Arial" w:eastAsia="Times New Roman" w:hAnsi="Arial" w:cs="Times New Roman"/>
      <w:sz w:val="24"/>
      <w:szCs w:val="20"/>
      <w:lang w:val="es-ES_tradnl" w:eastAsia="es-ES"/>
    </w:rPr>
  </w:style>
  <w:style w:type="paragraph" w:styleId="Encabezado">
    <w:name w:val="header"/>
    <w:basedOn w:val="Normal"/>
    <w:link w:val="EncabezadoCar"/>
    <w:rsid w:val="00D84BB7"/>
    <w:pPr>
      <w:tabs>
        <w:tab w:val="center" w:pos="4419"/>
        <w:tab w:val="right" w:pos="8838"/>
      </w:tabs>
    </w:pPr>
  </w:style>
  <w:style w:type="character" w:customStyle="1" w:styleId="EncabezadoCar">
    <w:name w:val="Encabezado Car"/>
    <w:basedOn w:val="Fuentedeprrafopredeter"/>
    <w:link w:val="Encabezado"/>
    <w:rsid w:val="00D84BB7"/>
    <w:rPr>
      <w:rFonts w:ascii="Arial" w:eastAsia="Times New Roman" w:hAnsi="Arial" w:cs="Times New Roman"/>
      <w:sz w:val="28"/>
      <w:szCs w:val="20"/>
      <w:lang w:val="es-ES_tradnl" w:eastAsia="es-ES"/>
    </w:rPr>
  </w:style>
  <w:style w:type="character" w:styleId="Nmerodepgina">
    <w:name w:val="page number"/>
    <w:basedOn w:val="Fuentedeprrafopredeter"/>
    <w:rsid w:val="00D84BB7"/>
  </w:style>
  <w:style w:type="paragraph" w:styleId="Piedepgina">
    <w:name w:val="footer"/>
    <w:basedOn w:val="Normal"/>
    <w:link w:val="PiedepginaCar"/>
    <w:rsid w:val="00D84BB7"/>
    <w:pPr>
      <w:tabs>
        <w:tab w:val="center" w:pos="4419"/>
        <w:tab w:val="right" w:pos="8838"/>
      </w:tabs>
    </w:pPr>
  </w:style>
  <w:style w:type="character" w:customStyle="1" w:styleId="PiedepginaCar">
    <w:name w:val="Pie de página Car"/>
    <w:basedOn w:val="Fuentedeprrafopredeter"/>
    <w:link w:val="Piedepgina"/>
    <w:rsid w:val="00D84BB7"/>
    <w:rPr>
      <w:rFonts w:ascii="Arial" w:eastAsia="Times New Roman" w:hAnsi="Arial" w:cs="Times New Roman"/>
      <w:sz w:val="28"/>
      <w:szCs w:val="20"/>
      <w:lang w:val="es-ES_tradnl"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MI NOTA PIE DE PÁGINA (TEXTO)"/>
    <w:basedOn w:val="Normal"/>
    <w:link w:val="TextonotapieCar"/>
    <w:rsid w:val="00D84BB7"/>
    <w:rPr>
      <w:sz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
    <w:basedOn w:val="Fuentedeprrafopredeter"/>
    <w:link w:val="Textonotapie"/>
    <w:rsid w:val="00D84BB7"/>
    <w:rPr>
      <w:rFonts w:ascii="Arial" w:eastAsia="Times New Roman" w:hAnsi="Arial" w:cs="Times New Roman"/>
      <w:sz w:val="20"/>
      <w:szCs w:val="20"/>
      <w:lang w:val="es-ES_tradnl" w:eastAsia="es-ES"/>
    </w:rPr>
  </w:style>
  <w:style w:type="character" w:styleId="Refdenotaalpie">
    <w:name w:val="footnote reference"/>
    <w:aliases w:val="Pie de Página,FC"/>
    <w:rsid w:val="00D84BB7"/>
    <w:rPr>
      <w:vertAlign w:val="superscript"/>
    </w:rPr>
  </w:style>
  <w:style w:type="paragraph" w:styleId="Prrafodelista">
    <w:name w:val="List Paragraph"/>
    <w:basedOn w:val="Normal"/>
    <w:uiPriority w:val="34"/>
    <w:qFormat/>
    <w:rsid w:val="00D84BB7"/>
    <w:pPr>
      <w:ind w:left="720"/>
      <w:contextualSpacing/>
    </w:pPr>
  </w:style>
  <w:style w:type="paragraph" w:styleId="Textodeglobo">
    <w:name w:val="Balloon Text"/>
    <w:basedOn w:val="Normal"/>
    <w:link w:val="TextodegloboCar"/>
    <w:uiPriority w:val="99"/>
    <w:semiHidden/>
    <w:unhideWhenUsed/>
    <w:rsid w:val="004B75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5E4"/>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2849</Words>
  <Characters>15675</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16 Administrativo de Medellin</dc:creator>
  <cp:lastModifiedBy>Juzgado 16 Administrativo de Medellin</cp:lastModifiedBy>
  <cp:revision>2</cp:revision>
  <cp:lastPrinted>2015-01-29T15:22:00Z</cp:lastPrinted>
  <dcterms:created xsi:type="dcterms:W3CDTF">2015-01-29T15:22:00Z</dcterms:created>
  <dcterms:modified xsi:type="dcterms:W3CDTF">2015-01-29T15:22:00Z</dcterms:modified>
</cp:coreProperties>
</file>