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062" w:rsidRPr="007A5AC6" w:rsidRDefault="00DA7062" w:rsidP="00DA7062">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DA7062" w:rsidRPr="007A5AC6" w:rsidRDefault="00DA7062" w:rsidP="00DA7062">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Tres (3) de Febrero</w:t>
      </w:r>
      <w:r w:rsidRPr="007A5AC6">
        <w:rPr>
          <w:rFonts w:ascii="Bradley Hand ITC" w:eastAsia="Times New Roman" w:hAnsi="Bradley Hand ITC" w:cs="Arial"/>
          <w:sz w:val="28"/>
          <w:szCs w:val="28"/>
          <w:lang w:val="es-ES" w:eastAsia="es-ES"/>
        </w:rPr>
        <w:t xml:space="preserve"> de dos mil quince (2015)</w:t>
      </w:r>
    </w:p>
    <w:p w:rsidR="00DA7062" w:rsidRPr="007A5AC6" w:rsidRDefault="00DA7062" w:rsidP="00DA7062">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 01439 00</w:t>
      </w: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Pr>
          <w:rFonts w:ascii="MS Reference Sans Serif" w:eastAsia="Times New Roman" w:hAnsi="MS Reference Sans Serif" w:cs="Arial"/>
          <w:sz w:val="16"/>
          <w:szCs w:val="16"/>
          <w:lang w:val="es-MX" w:eastAsia="es-ES"/>
        </w:rPr>
        <w:t>MEDIO DE CONTROL DE NULIDAD Y RESTABLECIMIENTO DEL DERECHO LABORAL</w:t>
      </w: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MARIBEL LORA URREA </w:t>
      </w: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NDADO</w:t>
      </w:r>
      <w:proofErr w:type="gramStart"/>
      <w:r>
        <w:rPr>
          <w:rFonts w:ascii="MS Reference Sans Serif" w:eastAsia="Times New Roman" w:hAnsi="MS Reference Sans Serif" w:cs="Arial"/>
          <w:sz w:val="16"/>
          <w:szCs w:val="16"/>
          <w:lang w:val="es-MX" w:eastAsia="es-ES"/>
        </w:rPr>
        <w:t>:  MUNICIPIO</w:t>
      </w:r>
      <w:proofErr w:type="gramEnd"/>
      <w:r>
        <w:rPr>
          <w:rFonts w:ascii="MS Reference Sans Serif" w:eastAsia="Times New Roman" w:hAnsi="MS Reference Sans Serif" w:cs="Arial"/>
          <w:sz w:val="16"/>
          <w:szCs w:val="16"/>
          <w:lang w:val="es-MX" w:eastAsia="es-ES"/>
        </w:rPr>
        <w:t xml:space="preserve"> DE RIONEGRO</w:t>
      </w: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DA7062" w:rsidRPr="007A5AC6" w:rsidRDefault="00DA7062" w:rsidP="00DA7062">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Pr>
          <w:rFonts w:ascii="MS Reference Sans Serif" w:eastAsia="Times New Roman" w:hAnsi="MS Reference Sans Serif" w:cs="Times New Roman"/>
          <w:sz w:val="16"/>
          <w:szCs w:val="16"/>
          <w:lang w:val="es-ES" w:eastAsia="es-ES"/>
        </w:rPr>
        <w:t>CONCEDE RECURSO DE APELACIÓN</w:t>
      </w:r>
      <w:r>
        <w:rPr>
          <w:rFonts w:ascii="MS Reference Sans Serif" w:eastAsia="Times New Roman" w:hAnsi="MS Reference Sans Serif" w:cs="Times New Roman"/>
          <w:sz w:val="16"/>
          <w:szCs w:val="16"/>
          <w:lang w:val="es-ES" w:eastAsia="es-ES"/>
        </w:rPr>
        <w:t xml:space="preserve"> CONTRA AUTO QUE RECHAZÓ DEMANDA.</w:t>
      </w:r>
    </w:p>
    <w:p w:rsidR="00DA7062" w:rsidRPr="007A5AC6" w:rsidRDefault="00DA7062" w:rsidP="00DA7062">
      <w:pPr>
        <w:spacing w:after="0" w:line="240" w:lineRule="auto"/>
        <w:jc w:val="both"/>
        <w:rPr>
          <w:rFonts w:ascii="Lucida Sans" w:eastAsia="Times New Roman" w:hAnsi="Lucida Sans" w:cs="Arial"/>
          <w:bCs/>
          <w:sz w:val="21"/>
          <w:szCs w:val="21"/>
          <w:lang w:val="es-ES" w:eastAsia="es-ES"/>
        </w:rPr>
      </w:pPr>
    </w:p>
    <w:p w:rsidR="00DA7062" w:rsidRDefault="00DA7062" w:rsidP="00DA7062">
      <w:pPr>
        <w:spacing w:after="0" w:line="240" w:lineRule="auto"/>
        <w:jc w:val="both"/>
        <w:rPr>
          <w:rFonts w:ascii="Lucida Sans" w:eastAsia="Times New Roman" w:hAnsi="Lucida Sans" w:cs="Times New Roman"/>
          <w:sz w:val="20"/>
          <w:szCs w:val="20"/>
          <w:lang w:eastAsia="es-ES"/>
        </w:rPr>
      </w:pPr>
    </w:p>
    <w:p w:rsidR="00DA7062" w:rsidRDefault="00DA7062" w:rsidP="00DA7062">
      <w:pPr>
        <w:spacing w:after="0" w:line="240" w:lineRule="auto"/>
        <w:jc w:val="both"/>
        <w:rPr>
          <w:rFonts w:ascii="Lucida Sans" w:eastAsia="Times New Roman" w:hAnsi="Lucida Sans" w:cs="Times New Roman"/>
          <w:sz w:val="20"/>
          <w:szCs w:val="20"/>
          <w:lang w:eastAsia="es-ES"/>
        </w:rPr>
      </w:pPr>
    </w:p>
    <w:p w:rsidR="00DA7062" w:rsidRDefault="00DA7062" w:rsidP="00DA7062">
      <w:pPr>
        <w:spacing w:after="0" w:line="240" w:lineRule="auto"/>
        <w:jc w:val="both"/>
        <w:rPr>
          <w:rFonts w:ascii="Lucida Sans" w:eastAsia="Times New Roman" w:hAnsi="Lucida Sans" w:cs="Times New Roman"/>
          <w:sz w:val="20"/>
          <w:szCs w:val="20"/>
          <w:lang w:eastAsia="es-ES"/>
        </w:rPr>
      </w:pPr>
    </w:p>
    <w:p w:rsidR="00DA7062" w:rsidRPr="00DA7062" w:rsidRDefault="00DA7062" w:rsidP="00DA7062">
      <w:pPr>
        <w:tabs>
          <w:tab w:val="left" w:pos="1653"/>
        </w:tabs>
        <w:spacing w:line="360" w:lineRule="auto"/>
        <w:jc w:val="both"/>
        <w:rPr>
          <w:rFonts w:ascii="Lucida Sans" w:hAnsi="Lucida Sans"/>
          <w:sz w:val="20"/>
          <w:szCs w:val="20"/>
        </w:rPr>
      </w:pPr>
      <w:r w:rsidRPr="00DA7062">
        <w:rPr>
          <w:rFonts w:ascii="Lucida Sans" w:hAnsi="Lucida Sans"/>
          <w:sz w:val="20"/>
          <w:szCs w:val="20"/>
        </w:rPr>
        <w:t>Dispone el artículo 243 del Código de Procedimiento Administrativo y de lo Contencioso Administrativo (Ley 1437 de 2011):</w:t>
      </w:r>
    </w:p>
    <w:p w:rsidR="00DA7062" w:rsidRPr="00DA7062" w:rsidRDefault="00DA7062" w:rsidP="00DA7062">
      <w:pPr>
        <w:tabs>
          <w:tab w:val="left" w:pos="1653"/>
        </w:tabs>
        <w:jc w:val="both"/>
        <w:rPr>
          <w:rFonts w:ascii="Lucida Sans" w:hAnsi="Lucida Sans"/>
          <w:sz w:val="20"/>
          <w:szCs w:val="20"/>
        </w:rPr>
      </w:pPr>
    </w:p>
    <w:p w:rsidR="00DA7062" w:rsidRPr="00DA7062" w:rsidRDefault="00DA7062" w:rsidP="00DA7062">
      <w:pPr>
        <w:ind w:right="51"/>
        <w:jc w:val="both"/>
        <w:rPr>
          <w:rFonts w:ascii="Lucida Sans" w:hAnsi="Lucida Sans"/>
          <w:i/>
          <w:sz w:val="20"/>
          <w:szCs w:val="20"/>
          <w:lang w:val="es-ES"/>
        </w:rPr>
      </w:pPr>
      <w:r w:rsidRPr="00DA7062">
        <w:rPr>
          <w:rFonts w:ascii="Lucida Sans" w:hAnsi="Lucida Sans"/>
          <w:i/>
          <w:sz w:val="20"/>
          <w:szCs w:val="20"/>
          <w:lang w:val="es-ES"/>
        </w:rPr>
        <w:t>“Son apelables las sentencias de primera instancia de los Tribunales y de los Jueces. También serán apelables los siguientes autos proferidos en la misma instancia por los jueces administrativos:</w:t>
      </w:r>
    </w:p>
    <w:p w:rsidR="00DA7062" w:rsidRPr="00DA7062" w:rsidRDefault="00DA7062" w:rsidP="00DA7062">
      <w:pPr>
        <w:ind w:right="51"/>
        <w:jc w:val="both"/>
        <w:rPr>
          <w:rFonts w:ascii="Lucida Sans" w:hAnsi="Lucida Sans"/>
          <w:i/>
          <w:sz w:val="20"/>
          <w:szCs w:val="20"/>
          <w:lang w:val="es-ES"/>
        </w:rPr>
      </w:pPr>
    </w:p>
    <w:p w:rsidR="00DA7062" w:rsidRPr="00DA7062" w:rsidRDefault="00DA7062" w:rsidP="00DA7062">
      <w:pPr>
        <w:pStyle w:val="Prrafodelista"/>
        <w:numPr>
          <w:ilvl w:val="0"/>
          <w:numId w:val="4"/>
        </w:numPr>
        <w:spacing w:after="0" w:line="240" w:lineRule="auto"/>
        <w:ind w:right="51"/>
        <w:jc w:val="both"/>
        <w:rPr>
          <w:rFonts w:ascii="Lucida Sans" w:hAnsi="Lucida Sans"/>
          <w:i/>
          <w:sz w:val="20"/>
          <w:szCs w:val="20"/>
          <w:lang w:val="es-ES"/>
        </w:rPr>
      </w:pPr>
      <w:r w:rsidRPr="00DA7062">
        <w:rPr>
          <w:rFonts w:ascii="Lucida Sans" w:hAnsi="Lucida Sans"/>
          <w:i/>
          <w:sz w:val="20"/>
          <w:szCs w:val="20"/>
          <w:lang w:val="es-ES"/>
        </w:rPr>
        <w:t xml:space="preserve">El que </w:t>
      </w:r>
      <w:r w:rsidRPr="00DA7062">
        <w:rPr>
          <w:rFonts w:ascii="Lucida Sans" w:hAnsi="Lucida Sans"/>
          <w:i/>
          <w:sz w:val="20"/>
          <w:szCs w:val="20"/>
          <w:lang w:val="es-ES"/>
        </w:rPr>
        <w:t>rechace la demanda</w:t>
      </w:r>
      <w:r w:rsidRPr="00DA7062">
        <w:rPr>
          <w:rFonts w:ascii="Lucida Sans" w:hAnsi="Lucida Sans"/>
          <w:i/>
          <w:sz w:val="20"/>
          <w:szCs w:val="20"/>
          <w:lang w:val="es-ES"/>
        </w:rPr>
        <w:t xml:space="preserve">. </w:t>
      </w:r>
    </w:p>
    <w:p w:rsidR="00DA7062" w:rsidRPr="00DA7062" w:rsidRDefault="00DA7062" w:rsidP="00DA7062">
      <w:pPr>
        <w:ind w:right="51"/>
        <w:jc w:val="both"/>
        <w:rPr>
          <w:rFonts w:ascii="Lucida Sans" w:hAnsi="Lucida Sans"/>
          <w:i/>
          <w:sz w:val="20"/>
          <w:szCs w:val="20"/>
          <w:lang w:val="es-ES"/>
        </w:rPr>
      </w:pPr>
    </w:p>
    <w:p w:rsidR="00DA7062" w:rsidRPr="00DA7062" w:rsidRDefault="00DA7062" w:rsidP="00DA7062">
      <w:pPr>
        <w:ind w:right="51"/>
        <w:jc w:val="both"/>
        <w:rPr>
          <w:rFonts w:ascii="Lucida Sans" w:hAnsi="Lucida Sans"/>
          <w:i/>
          <w:sz w:val="20"/>
          <w:szCs w:val="20"/>
          <w:lang w:val="es-ES"/>
        </w:rPr>
      </w:pPr>
      <w:r w:rsidRPr="00DA7062">
        <w:rPr>
          <w:rFonts w:ascii="Lucida Sans" w:hAnsi="Lucida Sans"/>
          <w:i/>
          <w:sz w:val="20"/>
          <w:szCs w:val="20"/>
          <w:lang w:val="es-ES"/>
        </w:rPr>
        <w:t>(…)</w:t>
      </w:r>
    </w:p>
    <w:p w:rsidR="00DA7062" w:rsidRPr="00DA7062" w:rsidRDefault="00DA7062" w:rsidP="00DA7062">
      <w:pPr>
        <w:ind w:right="51"/>
        <w:jc w:val="both"/>
        <w:rPr>
          <w:rFonts w:ascii="Lucida Sans" w:hAnsi="Lucida Sans"/>
          <w:i/>
          <w:sz w:val="20"/>
          <w:szCs w:val="20"/>
          <w:lang w:val="es-ES"/>
        </w:rPr>
      </w:pPr>
      <w:r w:rsidRPr="00DA7062">
        <w:rPr>
          <w:rFonts w:ascii="Lucida Sans" w:hAnsi="Lucida Sans"/>
          <w:i/>
          <w:sz w:val="20"/>
          <w:szCs w:val="20"/>
          <w:lang w:val="es-ES"/>
        </w:rPr>
        <w:t>El recurso de apelación se concederá en el efecto suspensivo, salvo en los casos a que se refieren los numerales 2, 6, 7 y 9 de este artículo, que se concederán en el efecto devolutivo.</w:t>
      </w:r>
    </w:p>
    <w:p w:rsidR="00DA7062" w:rsidRPr="00DA7062" w:rsidRDefault="00DA7062" w:rsidP="00DA7062">
      <w:pPr>
        <w:ind w:right="51"/>
        <w:jc w:val="both"/>
        <w:rPr>
          <w:rFonts w:ascii="Lucida Sans" w:hAnsi="Lucida Sans"/>
          <w:i/>
          <w:sz w:val="20"/>
          <w:szCs w:val="20"/>
          <w:lang w:val="es-ES"/>
        </w:rPr>
      </w:pPr>
    </w:p>
    <w:p w:rsidR="00DA7062" w:rsidRDefault="00DA7062" w:rsidP="00DA7062">
      <w:pPr>
        <w:ind w:right="51"/>
        <w:jc w:val="both"/>
        <w:rPr>
          <w:rFonts w:ascii="Lucida Sans" w:hAnsi="Lucida Sans"/>
          <w:i/>
          <w:sz w:val="20"/>
          <w:szCs w:val="20"/>
          <w:lang w:val="es-ES"/>
        </w:rPr>
      </w:pPr>
      <w:r>
        <w:rPr>
          <w:rFonts w:ascii="Lucida Sans" w:hAnsi="Lucida Sans"/>
          <w:i/>
          <w:sz w:val="20"/>
          <w:szCs w:val="20"/>
          <w:lang w:val="es-ES"/>
        </w:rPr>
        <w:t>(…)”</w:t>
      </w:r>
    </w:p>
    <w:p w:rsidR="00DA7062" w:rsidRPr="00DA7062" w:rsidRDefault="00DA7062" w:rsidP="00DA7062">
      <w:pPr>
        <w:ind w:right="51"/>
        <w:jc w:val="both"/>
        <w:rPr>
          <w:rFonts w:ascii="Lucida Sans" w:hAnsi="Lucida Sans"/>
          <w:i/>
          <w:sz w:val="20"/>
          <w:szCs w:val="20"/>
          <w:lang w:val="es-ES"/>
        </w:rPr>
      </w:pPr>
    </w:p>
    <w:p w:rsidR="00DA7062" w:rsidRPr="00DA7062" w:rsidRDefault="00DA7062" w:rsidP="00DA7062">
      <w:pPr>
        <w:tabs>
          <w:tab w:val="left" w:pos="1653"/>
        </w:tabs>
        <w:spacing w:line="360" w:lineRule="auto"/>
        <w:jc w:val="both"/>
        <w:rPr>
          <w:rFonts w:ascii="Lucida Sans" w:hAnsi="Lucida Sans"/>
          <w:sz w:val="20"/>
          <w:szCs w:val="20"/>
        </w:rPr>
      </w:pPr>
      <w:r w:rsidRPr="00DA7062">
        <w:rPr>
          <w:rFonts w:ascii="Lucida Sans" w:hAnsi="Lucida Sans"/>
          <w:sz w:val="20"/>
          <w:szCs w:val="20"/>
        </w:rPr>
        <w:t xml:space="preserve">En cuanto al trámite del recurso de apelación el artículo 244 ibídem,  prescribe: </w:t>
      </w:r>
    </w:p>
    <w:p w:rsidR="00DA7062" w:rsidRPr="00DA7062" w:rsidRDefault="00DA7062" w:rsidP="00DA7062">
      <w:pPr>
        <w:tabs>
          <w:tab w:val="left" w:pos="1653"/>
        </w:tabs>
        <w:spacing w:line="360" w:lineRule="auto"/>
        <w:jc w:val="both"/>
        <w:rPr>
          <w:rFonts w:ascii="Lucida Sans" w:hAnsi="Lucida Sans"/>
          <w:sz w:val="20"/>
          <w:szCs w:val="20"/>
        </w:rPr>
      </w:pPr>
    </w:p>
    <w:p w:rsidR="00DA7062" w:rsidRPr="00DA7062" w:rsidRDefault="00DA7062" w:rsidP="00DA7062">
      <w:pPr>
        <w:ind w:right="51"/>
        <w:jc w:val="both"/>
        <w:rPr>
          <w:rFonts w:ascii="Lucida Sans" w:hAnsi="Lucida Sans"/>
          <w:i/>
          <w:sz w:val="20"/>
          <w:szCs w:val="20"/>
        </w:rPr>
      </w:pPr>
      <w:r w:rsidRPr="00DA7062">
        <w:rPr>
          <w:rFonts w:ascii="Lucida Sans" w:hAnsi="Lucida Sans"/>
          <w:i/>
          <w:sz w:val="20"/>
          <w:szCs w:val="20"/>
        </w:rPr>
        <w:t xml:space="preserve">“La interposición y decisión del recurso de apelación contra autos se sujetará a las siguientes reglas: </w:t>
      </w:r>
    </w:p>
    <w:p w:rsidR="00DA7062" w:rsidRPr="00DA7062" w:rsidRDefault="00DA7062" w:rsidP="00DA7062">
      <w:pPr>
        <w:ind w:right="51"/>
        <w:jc w:val="both"/>
        <w:rPr>
          <w:rFonts w:ascii="Lucida Sans" w:hAnsi="Lucida Sans"/>
          <w:i/>
          <w:sz w:val="20"/>
          <w:szCs w:val="20"/>
        </w:rPr>
      </w:pPr>
    </w:p>
    <w:p w:rsidR="00DA7062" w:rsidRPr="00DA7062" w:rsidRDefault="00DA7062" w:rsidP="00DA7062">
      <w:pPr>
        <w:ind w:right="51"/>
        <w:jc w:val="both"/>
        <w:rPr>
          <w:rFonts w:ascii="Lucida Sans" w:hAnsi="Lucida Sans"/>
          <w:i/>
          <w:sz w:val="20"/>
          <w:szCs w:val="20"/>
        </w:rPr>
      </w:pPr>
      <w:r w:rsidRPr="00DA7062">
        <w:rPr>
          <w:rFonts w:ascii="Lucida Sans" w:hAnsi="Lucida Sans"/>
          <w:i/>
          <w:sz w:val="20"/>
          <w:szCs w:val="20"/>
        </w:rPr>
        <w:t>(…)</w:t>
      </w:r>
    </w:p>
    <w:p w:rsidR="00DA7062" w:rsidRPr="00DA7062" w:rsidRDefault="00DA7062" w:rsidP="00DA7062">
      <w:pPr>
        <w:ind w:right="51"/>
        <w:jc w:val="both"/>
        <w:rPr>
          <w:rFonts w:ascii="Lucida Sans" w:hAnsi="Lucida Sans"/>
          <w:i/>
          <w:sz w:val="20"/>
          <w:szCs w:val="20"/>
        </w:rPr>
      </w:pPr>
    </w:p>
    <w:p w:rsidR="00DA7062" w:rsidRPr="00DA7062" w:rsidRDefault="00DA7062" w:rsidP="00DA7062">
      <w:pPr>
        <w:ind w:right="51"/>
        <w:jc w:val="both"/>
        <w:rPr>
          <w:rFonts w:ascii="Lucida Sans" w:hAnsi="Lucida Sans"/>
          <w:i/>
          <w:sz w:val="20"/>
          <w:szCs w:val="20"/>
        </w:rPr>
      </w:pPr>
      <w:r w:rsidRPr="00DA7062">
        <w:rPr>
          <w:rFonts w:ascii="Lucida Sans" w:hAnsi="Lucida Sans"/>
          <w:b/>
          <w:i/>
          <w:sz w:val="20"/>
          <w:szCs w:val="20"/>
        </w:rPr>
        <w:t>1. Si el auto se notifica por estado, el recurso deberá interponerse y sustentarse por escrito dentro de los tres (3) días siguientes ante el juez que lo profirió.</w:t>
      </w:r>
      <w:r w:rsidRPr="00DA7062">
        <w:rPr>
          <w:rFonts w:ascii="Lucida Sans" w:hAnsi="Lucida Sans"/>
          <w:i/>
          <w:sz w:val="20"/>
          <w:szCs w:val="20"/>
        </w:rPr>
        <w:t xml:space="preserve"> </w:t>
      </w:r>
      <w:r w:rsidRPr="00DA7062">
        <w:rPr>
          <w:rFonts w:ascii="Lucida Sans" w:hAnsi="Lucida Sans"/>
          <w:b/>
          <w:i/>
          <w:sz w:val="20"/>
          <w:szCs w:val="20"/>
        </w:rPr>
        <w:t>De la sustentación se dará traslado por Secretaría a los demás sujetos procesales por igual término, sin necesidad de auto que así lo ordene. Si ambas partes apelaron los términos serán comunes. El juez concederá el recurso en caso de que sea procedente y haya sido sustentado</w:t>
      </w:r>
      <w:r w:rsidRPr="00DA7062">
        <w:rPr>
          <w:rFonts w:ascii="Lucida Sans" w:hAnsi="Lucida Sans"/>
          <w:i/>
          <w:sz w:val="20"/>
          <w:szCs w:val="20"/>
        </w:rPr>
        <w:t xml:space="preserve">. </w:t>
      </w:r>
    </w:p>
    <w:p w:rsidR="00DA7062" w:rsidRPr="00DA7062" w:rsidRDefault="00DA7062" w:rsidP="00DA7062">
      <w:pPr>
        <w:ind w:left="360" w:right="51"/>
        <w:jc w:val="both"/>
        <w:rPr>
          <w:rFonts w:ascii="Lucida Sans" w:hAnsi="Lucida Sans"/>
          <w:i/>
          <w:sz w:val="20"/>
          <w:szCs w:val="20"/>
        </w:rPr>
      </w:pPr>
    </w:p>
    <w:p w:rsidR="00DA7062" w:rsidRPr="00DA7062" w:rsidRDefault="00DA7062" w:rsidP="00DA7062">
      <w:pPr>
        <w:numPr>
          <w:ilvl w:val="0"/>
          <w:numId w:val="2"/>
        </w:numPr>
        <w:spacing w:after="0" w:line="240" w:lineRule="auto"/>
        <w:ind w:right="51"/>
        <w:jc w:val="both"/>
        <w:rPr>
          <w:rFonts w:ascii="Lucida Sans" w:hAnsi="Lucida Sans"/>
          <w:i/>
          <w:sz w:val="20"/>
          <w:szCs w:val="20"/>
        </w:rPr>
      </w:pPr>
      <w:r w:rsidRPr="00DA7062">
        <w:rPr>
          <w:rFonts w:ascii="Lucida Sans" w:hAnsi="Lucida Sans"/>
          <w:i/>
          <w:sz w:val="20"/>
          <w:szCs w:val="20"/>
        </w:rPr>
        <w:t xml:space="preserve">Una vez concedido el recurso, se remitirá el expediente al superior para que lo decida de plano.” </w:t>
      </w:r>
    </w:p>
    <w:p w:rsidR="00DA7062" w:rsidRPr="00DA7062" w:rsidRDefault="00DA7062" w:rsidP="00DA7062">
      <w:pPr>
        <w:ind w:left="1069" w:right="51"/>
        <w:jc w:val="both"/>
        <w:rPr>
          <w:rFonts w:ascii="Lucida Sans" w:hAnsi="Lucida Sans"/>
          <w:i/>
          <w:sz w:val="20"/>
          <w:szCs w:val="20"/>
        </w:rPr>
      </w:pPr>
    </w:p>
    <w:p w:rsidR="00DA7062" w:rsidRPr="00DA7062" w:rsidRDefault="00DA7062" w:rsidP="00DA7062">
      <w:pPr>
        <w:numPr>
          <w:ilvl w:val="0"/>
          <w:numId w:val="2"/>
        </w:numPr>
        <w:spacing w:after="0" w:line="240" w:lineRule="auto"/>
        <w:ind w:right="51"/>
        <w:jc w:val="both"/>
        <w:rPr>
          <w:rFonts w:ascii="Lucida Sans" w:hAnsi="Lucida Sans"/>
          <w:i/>
          <w:sz w:val="20"/>
          <w:szCs w:val="20"/>
        </w:rPr>
      </w:pPr>
      <w:r w:rsidRPr="00DA7062">
        <w:rPr>
          <w:rFonts w:ascii="Lucida Sans" w:hAnsi="Lucida Sans"/>
          <w:i/>
          <w:sz w:val="20"/>
          <w:szCs w:val="20"/>
        </w:rPr>
        <w:t>Contra el auto que decide la apelación no procede ningún recurso.”</w:t>
      </w:r>
    </w:p>
    <w:p w:rsidR="00DA7062" w:rsidRPr="00DA7062" w:rsidRDefault="00DA7062" w:rsidP="00DA7062">
      <w:pPr>
        <w:ind w:left="360" w:right="51"/>
        <w:jc w:val="both"/>
        <w:rPr>
          <w:rFonts w:ascii="Lucida Sans" w:hAnsi="Lucida Sans"/>
          <w:i/>
          <w:sz w:val="20"/>
          <w:szCs w:val="20"/>
        </w:rPr>
      </w:pPr>
    </w:p>
    <w:p w:rsidR="00DA7062" w:rsidRPr="00DA7062" w:rsidRDefault="00DA7062" w:rsidP="00DA7062">
      <w:pPr>
        <w:ind w:right="51"/>
        <w:jc w:val="both"/>
        <w:rPr>
          <w:rFonts w:ascii="Lucida Sans" w:hAnsi="Lucida Sans"/>
          <w:i/>
          <w:sz w:val="20"/>
          <w:szCs w:val="20"/>
        </w:rPr>
      </w:pPr>
    </w:p>
    <w:p w:rsidR="00DA7062" w:rsidRPr="00DA7062" w:rsidRDefault="00DA7062" w:rsidP="00DA7062">
      <w:pPr>
        <w:spacing w:line="360" w:lineRule="auto"/>
        <w:jc w:val="both"/>
        <w:rPr>
          <w:rFonts w:ascii="Lucida Sans" w:hAnsi="Lucida Sans"/>
          <w:sz w:val="20"/>
          <w:szCs w:val="20"/>
        </w:rPr>
      </w:pPr>
      <w:r>
        <w:rPr>
          <w:rFonts w:ascii="Lucida Sans" w:hAnsi="Lucida Sans"/>
          <w:sz w:val="20"/>
          <w:szCs w:val="20"/>
        </w:rPr>
        <w:t xml:space="preserve">Presentado oportunamente el recurso interpuesto y </w:t>
      </w:r>
      <w:r w:rsidRPr="00DA7062">
        <w:rPr>
          <w:rFonts w:ascii="Lucida Sans" w:hAnsi="Lucida Sans"/>
          <w:sz w:val="20"/>
          <w:szCs w:val="20"/>
        </w:rPr>
        <w:t xml:space="preserve">sustentando el mismo dentro del término exigido por la norma que se transcribió, SE CONCEDE en efecto </w:t>
      </w:r>
      <w:r w:rsidRPr="00DA7062">
        <w:rPr>
          <w:rFonts w:ascii="Lucida Sans" w:hAnsi="Lucida Sans"/>
          <w:b/>
          <w:sz w:val="20"/>
          <w:szCs w:val="20"/>
        </w:rPr>
        <w:t xml:space="preserve">SUSPENSIVO </w:t>
      </w:r>
      <w:r w:rsidRPr="00DA7062">
        <w:rPr>
          <w:rFonts w:ascii="Lucida Sans" w:hAnsi="Lucida Sans"/>
          <w:sz w:val="20"/>
          <w:szCs w:val="20"/>
        </w:rPr>
        <w:t xml:space="preserve">el RECURSO DE APELACIÓN </w:t>
      </w:r>
      <w:r>
        <w:rPr>
          <w:rFonts w:ascii="Lucida Sans" w:hAnsi="Lucida Sans"/>
          <w:sz w:val="20"/>
          <w:szCs w:val="20"/>
        </w:rPr>
        <w:t>presentado por la apoderada de la parte actora</w:t>
      </w:r>
      <w:r w:rsidRPr="00DA7062">
        <w:rPr>
          <w:rFonts w:ascii="Lucida Sans" w:hAnsi="Lucida Sans"/>
          <w:sz w:val="20"/>
          <w:szCs w:val="20"/>
        </w:rPr>
        <w:t xml:space="preserve">, frente al auto del </w:t>
      </w:r>
      <w:r>
        <w:rPr>
          <w:rFonts w:ascii="Lucida Sans" w:hAnsi="Lucida Sans"/>
          <w:sz w:val="20"/>
          <w:szCs w:val="20"/>
        </w:rPr>
        <w:t>notificado por estados el 10 de diciembre</w:t>
      </w:r>
      <w:r w:rsidRPr="00DA7062">
        <w:rPr>
          <w:rFonts w:ascii="Lucida Sans" w:hAnsi="Lucida Sans"/>
          <w:sz w:val="20"/>
          <w:szCs w:val="20"/>
        </w:rPr>
        <w:t xml:space="preserve"> de 2014.</w:t>
      </w:r>
    </w:p>
    <w:p w:rsidR="00DA7062" w:rsidRPr="007A5AC6" w:rsidRDefault="00DA7062" w:rsidP="00DA7062">
      <w:pPr>
        <w:spacing w:after="0" w:line="240" w:lineRule="auto"/>
        <w:rPr>
          <w:rFonts w:ascii="Times New Roman" w:eastAsia="Times New Roman" w:hAnsi="Times New Roman" w:cs="Times New Roman"/>
          <w:sz w:val="24"/>
          <w:szCs w:val="24"/>
          <w:lang w:val="es-ES_tradnl" w:eastAsia="es-ES"/>
        </w:rPr>
      </w:pPr>
      <w:bookmarkStart w:id="0" w:name="_GoBack"/>
      <w:bookmarkEnd w:id="0"/>
    </w:p>
    <w:p w:rsidR="00DA7062" w:rsidRPr="007A5AC6" w:rsidRDefault="00DA7062" w:rsidP="00DA7062">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DA7062" w:rsidRPr="007A5AC6" w:rsidRDefault="00DA7062" w:rsidP="00DA7062">
      <w:pPr>
        <w:spacing w:after="0" w:line="240" w:lineRule="auto"/>
        <w:jc w:val="center"/>
        <w:rPr>
          <w:rFonts w:ascii="Bradley Hand ITC" w:eastAsia="Times New Roman" w:hAnsi="Bradley Hand ITC" w:cs="Times New Roman"/>
          <w:sz w:val="28"/>
          <w:szCs w:val="28"/>
          <w:lang w:val="es-ES" w:eastAsia="es-ES"/>
        </w:rPr>
      </w:pPr>
    </w:p>
    <w:p w:rsidR="00DA7062" w:rsidRPr="007A5AC6" w:rsidRDefault="00DA7062" w:rsidP="00DA7062">
      <w:pPr>
        <w:spacing w:after="0" w:line="240" w:lineRule="auto"/>
        <w:rPr>
          <w:rFonts w:ascii="Bradley Hand ITC" w:eastAsia="Times New Roman" w:hAnsi="Bradley Hand ITC" w:cs="Times New Roman"/>
          <w:sz w:val="28"/>
          <w:szCs w:val="28"/>
          <w:lang w:val="es-ES" w:eastAsia="es-ES"/>
        </w:rPr>
      </w:pPr>
    </w:p>
    <w:p w:rsidR="00DA7062" w:rsidRPr="007A5AC6" w:rsidRDefault="00DA7062" w:rsidP="00DA7062">
      <w:pPr>
        <w:spacing w:after="0" w:line="240" w:lineRule="auto"/>
        <w:rPr>
          <w:rFonts w:ascii="Bradley Hand ITC" w:eastAsia="Times New Roman" w:hAnsi="Bradley Hand ITC" w:cs="Times New Roman"/>
          <w:sz w:val="28"/>
          <w:szCs w:val="28"/>
          <w:lang w:val="es-ES" w:eastAsia="es-ES"/>
        </w:rPr>
      </w:pPr>
    </w:p>
    <w:p w:rsidR="00DA7062" w:rsidRPr="007A5AC6" w:rsidRDefault="00DA7062" w:rsidP="00DA7062">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6E6CD2" w:rsidRPr="00DA7062" w:rsidRDefault="00DA7062" w:rsidP="00DA7062">
      <w:pPr>
        <w:spacing w:after="0" w:line="240" w:lineRule="auto"/>
        <w:jc w:val="center"/>
        <w:rPr>
          <w:rFonts w:ascii="Bradley Hand ITC" w:eastAsia="Times New Roman" w:hAnsi="Bradley Hand ITC" w:cs="Times New Roman"/>
          <w:sz w:val="26"/>
          <w:szCs w:val="26"/>
          <w:lang w:val="es-ES" w:eastAsia="es-ES"/>
        </w:rPr>
      </w:pPr>
      <w:r>
        <w:rPr>
          <w:rFonts w:ascii="Bradley Hand ITC" w:eastAsia="Times New Roman" w:hAnsi="Bradley Hand ITC" w:cs="Times New Roman"/>
          <w:sz w:val="28"/>
          <w:szCs w:val="28"/>
          <w:lang w:val="es-ES" w:eastAsia="es-ES"/>
        </w:rPr>
        <w:t>Ju</w:t>
      </w:r>
      <w:r w:rsidRPr="007A5AC6">
        <w:rPr>
          <w:rFonts w:ascii="Bradley Hand ITC" w:eastAsia="Times New Roman" w:hAnsi="Bradley Hand ITC" w:cs="Times New Roman"/>
          <w:sz w:val="28"/>
          <w:szCs w:val="28"/>
          <w:lang w:val="es-ES" w:eastAsia="es-ES"/>
        </w:rPr>
        <w:t>ez</w:t>
      </w:r>
      <w:r w:rsidRPr="007A5AC6">
        <w:rPr>
          <w:rFonts w:ascii="Bradley Hand ITC" w:eastAsia="Times New Roman" w:hAnsi="Bradley Hand ITC" w:cs="Times New Roman"/>
          <w:sz w:val="26"/>
          <w:szCs w:val="26"/>
          <w:lang w:val="es-ES" w:eastAsia="es-ES"/>
        </w:rPr>
        <w:t xml:space="preserve"> </w: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58B14A64" wp14:editId="247FB552">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DA7062" w:rsidRPr="007A5AC6" w:rsidRDefault="00DA7062" w:rsidP="00DA7062">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DA7062" w:rsidRPr="007A5AC6" w:rsidRDefault="00DA7062" w:rsidP="00DA7062">
                            <w:pPr>
                              <w:jc w:val="center"/>
                              <w:rPr>
                                <w:rFonts w:ascii="Georgia" w:hAnsi="Georgia"/>
                                <w:b/>
                                <w:sz w:val="18"/>
                                <w:szCs w:val="18"/>
                              </w:rPr>
                            </w:pPr>
                            <w:r>
                              <w:rPr>
                                <w:rFonts w:ascii="Georgia" w:hAnsi="Georgia"/>
                                <w:b/>
                                <w:sz w:val="18"/>
                                <w:szCs w:val="18"/>
                              </w:rPr>
                              <w:t>NOTIFICACIÓN POR ESTADO</w:t>
                            </w:r>
                          </w:p>
                          <w:p w:rsidR="00DA7062" w:rsidRDefault="00DA7062" w:rsidP="00DA7062">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DA7062" w:rsidRPr="007A5AC6" w:rsidRDefault="00DA7062" w:rsidP="00DA7062">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DA7062" w:rsidRDefault="00DA7062" w:rsidP="00DA7062">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DA7062" w:rsidRDefault="00DA7062" w:rsidP="00DA7062">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4A64" id="_x0000_t202" coordsize="21600,21600" o:spt="202" path="m,l,21600r21600,l21600,xe">
                <v:stroke joinstyle="miter"/>
                <v:path gradientshapeok="t" o:connecttype="rect"/>
              </v:shapetype>
              <v:shape id="Cuadro de texto 1" o:spid="_x0000_s1026"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8mMQIAAFk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" strokeweight="1.75pt">
                <v:textbox>
                  <w:txbxContent>
                    <w:p w:rsidR="00DA7062" w:rsidRPr="007A5AC6" w:rsidRDefault="00DA7062" w:rsidP="00DA7062">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DA7062" w:rsidRPr="007A5AC6" w:rsidRDefault="00DA7062" w:rsidP="00DA7062">
                      <w:pPr>
                        <w:jc w:val="center"/>
                        <w:rPr>
                          <w:rFonts w:ascii="Georgia" w:hAnsi="Georgia"/>
                          <w:b/>
                          <w:sz w:val="18"/>
                          <w:szCs w:val="18"/>
                        </w:rPr>
                      </w:pPr>
                      <w:r>
                        <w:rPr>
                          <w:rFonts w:ascii="Georgia" w:hAnsi="Georgia"/>
                          <w:b/>
                          <w:sz w:val="18"/>
                          <w:szCs w:val="18"/>
                        </w:rPr>
                        <w:t>NOTIFICACIÓN POR ESTADO</w:t>
                      </w:r>
                    </w:p>
                    <w:p w:rsidR="00DA7062" w:rsidRDefault="00DA7062" w:rsidP="00DA7062">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DA7062" w:rsidRPr="007A5AC6" w:rsidRDefault="00DA7062" w:rsidP="00DA7062">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DA7062" w:rsidRDefault="00DA7062" w:rsidP="00DA7062">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DA7062" w:rsidRDefault="00DA7062" w:rsidP="00DA7062">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sectPr w:rsidR="006E6CD2" w:rsidRPr="00DA706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858F6"/>
    <w:multiLevelType w:val="hybridMultilevel"/>
    <w:tmpl w:val="A41A16B2"/>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F9A1DC5"/>
    <w:multiLevelType w:val="hybridMultilevel"/>
    <w:tmpl w:val="01D813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0FE7563"/>
    <w:multiLevelType w:val="hybridMultilevel"/>
    <w:tmpl w:val="FCBC7C5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6C4C6B8D"/>
    <w:multiLevelType w:val="hybridMultilevel"/>
    <w:tmpl w:val="FEBAC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62"/>
    <w:rsid w:val="00456A00"/>
    <w:rsid w:val="009749CD"/>
    <w:rsid w:val="00B05FA4"/>
    <w:rsid w:val="00DA7062"/>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A2998E-8DA3-4C6F-A433-06D7CBBE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0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DA7062"/>
    <w:pPr>
      <w:ind w:left="720"/>
      <w:contextualSpacing/>
    </w:pPr>
  </w:style>
  <w:style w:type="paragraph" w:styleId="Textodeglobo">
    <w:name w:val="Balloon Text"/>
    <w:basedOn w:val="Normal"/>
    <w:link w:val="TextodegloboCar"/>
    <w:uiPriority w:val="99"/>
    <w:semiHidden/>
    <w:unhideWhenUsed/>
    <w:rsid w:val="00DA70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1</cp:revision>
  <cp:lastPrinted>2015-01-27T14:10:00Z</cp:lastPrinted>
  <dcterms:created xsi:type="dcterms:W3CDTF">2015-01-27T14:03:00Z</dcterms:created>
  <dcterms:modified xsi:type="dcterms:W3CDTF">2015-01-27T14:10:00Z</dcterms:modified>
</cp:coreProperties>
</file>