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5F1" w:rsidRPr="00C137C4" w:rsidRDefault="00F215F1" w:rsidP="00F215F1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  <w:r w:rsidRPr="00C137C4">
        <w:rPr>
          <w:rFonts w:ascii="Bradley Hand ITC" w:hAnsi="Bradley Hand ITC" w:cs="Arial"/>
          <w:b/>
          <w:bCs/>
          <w:sz w:val="28"/>
          <w:szCs w:val="28"/>
          <w:lang w:val="es-ES" w:eastAsia="es-ES"/>
        </w:rPr>
        <w:t>JUZGADO DIECISÉIS ADMINISTRATIVO ORAL DE MEDELLÍN</w:t>
      </w:r>
    </w:p>
    <w:p w:rsidR="00F215F1" w:rsidRPr="00C137C4" w:rsidRDefault="00F215F1" w:rsidP="00F215F1">
      <w:pPr>
        <w:spacing w:after="0" w:line="240" w:lineRule="auto"/>
        <w:jc w:val="center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  <w:r>
        <w:rPr>
          <w:rFonts w:ascii="Bradley Hand ITC" w:eastAsia="Times New Roman" w:hAnsi="Bradley Hand ITC" w:cs="Arial"/>
          <w:sz w:val="28"/>
          <w:szCs w:val="28"/>
          <w:lang w:val="es-ES" w:eastAsia="es-ES"/>
        </w:rPr>
        <w:t>Tres (3) de febrero</w:t>
      </w:r>
      <w:r w:rsidRPr="00C137C4">
        <w:rPr>
          <w:rFonts w:ascii="Bradley Hand ITC" w:eastAsia="Times New Roman" w:hAnsi="Bradley Hand ITC" w:cs="Arial"/>
          <w:sz w:val="28"/>
          <w:szCs w:val="28"/>
          <w:lang w:val="es-ES" w:eastAsia="es-ES"/>
        </w:rPr>
        <w:t xml:space="preserve"> de dos mil quince (2015)</w:t>
      </w:r>
    </w:p>
    <w:p w:rsidR="00F215F1" w:rsidRPr="00C137C4" w:rsidRDefault="00F215F1" w:rsidP="00F215F1">
      <w:pPr>
        <w:spacing w:after="0" w:line="240" w:lineRule="auto"/>
        <w:rPr>
          <w:rFonts w:ascii="Lucida Sans" w:eastAsia="Times New Roman" w:hAnsi="Lucida Sans" w:cs="Arial"/>
          <w:sz w:val="30"/>
          <w:szCs w:val="30"/>
          <w:lang w:val="es-ES" w:eastAsia="es-ES"/>
        </w:rPr>
      </w:pPr>
    </w:p>
    <w:p w:rsidR="00F215F1" w:rsidRPr="00C137C4" w:rsidRDefault="00F215F1" w:rsidP="00F215F1">
      <w:pPr>
        <w:spacing w:after="0" w:line="360" w:lineRule="auto"/>
        <w:rPr>
          <w:rFonts w:ascii="Lucida Sans" w:eastAsia="Times New Roman" w:hAnsi="Lucida Sans" w:cs="Arial"/>
          <w:sz w:val="18"/>
          <w:szCs w:val="18"/>
          <w:lang w:val="es-ES" w:eastAsia="es-ES"/>
        </w:rPr>
      </w:pPr>
    </w:p>
    <w:p w:rsidR="00F215F1" w:rsidRPr="00C137C4" w:rsidRDefault="00F215F1" w:rsidP="00F215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</w:p>
    <w:p w:rsidR="00F215F1" w:rsidRPr="00C137C4" w:rsidRDefault="00F215F1" w:rsidP="00F215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C137C4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REFERENCIA:</w:t>
      </w:r>
    </w:p>
    <w:p w:rsidR="00F215F1" w:rsidRPr="00C137C4" w:rsidRDefault="00F215F1" w:rsidP="00F215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b/>
          <w:color w:val="0000FF"/>
          <w:sz w:val="18"/>
          <w:szCs w:val="18"/>
          <w:lang w:val="es-MX" w:eastAsia="es-ES"/>
        </w:rPr>
      </w:pPr>
      <w:r w:rsidRPr="00C137C4">
        <w:rPr>
          <w:rFonts w:ascii="MS Reference Sans Serif" w:eastAsia="Times New Roman" w:hAnsi="MS Reference Sans Serif" w:cs="Arial"/>
          <w:b/>
          <w:color w:val="0000FF"/>
          <w:sz w:val="18"/>
          <w:szCs w:val="18"/>
          <w:lang w:val="es-MX" w:eastAsia="es-ES"/>
        </w:rPr>
        <w:t>EXPEDIENTE No</w:t>
      </w:r>
      <w:r>
        <w:rPr>
          <w:rFonts w:ascii="MS Reference Sans Serif" w:eastAsia="Times New Roman" w:hAnsi="MS Reference Sans Serif" w:cs="Arial"/>
          <w:b/>
          <w:color w:val="0000FF"/>
          <w:sz w:val="18"/>
          <w:szCs w:val="18"/>
          <w:lang w:val="es-MX" w:eastAsia="es-ES"/>
        </w:rPr>
        <w:t>.  05001-33-31-016-2014 01402 00</w:t>
      </w:r>
    </w:p>
    <w:p w:rsidR="00F215F1" w:rsidRPr="00C137C4" w:rsidRDefault="00F215F1" w:rsidP="00F215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EJECUTIVO</w:t>
      </w:r>
    </w:p>
    <w:p w:rsidR="00F215F1" w:rsidRPr="00C137C4" w:rsidRDefault="00F215F1" w:rsidP="00F215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DEMANDANTE: GILBERTO DE JESÚS ARANGO HOLGUÍN</w:t>
      </w:r>
    </w:p>
    <w:p w:rsidR="00F215F1" w:rsidRPr="00C137C4" w:rsidRDefault="00F215F1" w:rsidP="00F215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C137C4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DEMANDADO: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MUNICIPIO DE MEDELLÍN</w:t>
      </w:r>
    </w:p>
    <w:p w:rsidR="00F215F1" w:rsidRPr="00C137C4" w:rsidRDefault="00F215F1" w:rsidP="00F215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</w:pPr>
      <w:r w:rsidRPr="00C137C4"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  <w:tab/>
      </w:r>
      <w:r w:rsidRPr="00C137C4"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  <w:tab/>
      </w:r>
      <w:r w:rsidRPr="00C137C4"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  <w:tab/>
      </w:r>
    </w:p>
    <w:p w:rsidR="00F215F1" w:rsidRPr="00C137C4" w:rsidRDefault="00F215F1" w:rsidP="00F215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</w:pPr>
      <w:r w:rsidRPr="00C137C4">
        <w:rPr>
          <w:rFonts w:ascii="MS Reference Sans Serif" w:eastAsia="Times New Roman" w:hAnsi="MS Reference Sans Serif" w:cs="Arial"/>
          <w:b/>
          <w:bCs/>
          <w:sz w:val="18"/>
          <w:szCs w:val="18"/>
          <w:lang w:val="es-ES" w:eastAsia="es-ES"/>
        </w:rPr>
        <w:t xml:space="preserve">ASUNTO: </w:t>
      </w:r>
      <w:r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  <w:t>RECHAZA RECURSO PROPUESTO POR EXTEMPORÁNEO.</w:t>
      </w:r>
    </w:p>
    <w:p w:rsidR="00F215F1" w:rsidRPr="00C137C4" w:rsidRDefault="00F215F1" w:rsidP="00F215F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</w:pPr>
    </w:p>
    <w:p w:rsidR="00F215F1" w:rsidRPr="00C137C4" w:rsidRDefault="00F215F1" w:rsidP="00F215F1">
      <w:pPr>
        <w:spacing w:after="0" w:line="240" w:lineRule="auto"/>
        <w:jc w:val="both"/>
        <w:rPr>
          <w:rFonts w:ascii="Lucida Sans" w:eastAsia="Times New Roman" w:hAnsi="Lucida Sans" w:cs="Arial"/>
          <w:sz w:val="24"/>
          <w:szCs w:val="24"/>
          <w:lang w:val="es-ES" w:eastAsia="es-ES"/>
        </w:rPr>
      </w:pPr>
    </w:p>
    <w:p w:rsidR="00F215F1" w:rsidRDefault="00F215F1" w:rsidP="00F215F1">
      <w:pPr>
        <w:spacing w:after="0" w:line="360" w:lineRule="auto"/>
        <w:jc w:val="both"/>
        <w:rPr>
          <w:rFonts w:ascii="Lucida Sans" w:hAnsi="Lucida Sans"/>
        </w:rPr>
      </w:pPr>
    </w:p>
    <w:p w:rsidR="00F215F1" w:rsidRDefault="00F215F1" w:rsidP="00F215F1">
      <w:pPr>
        <w:spacing w:after="0" w:line="360" w:lineRule="auto"/>
        <w:jc w:val="both"/>
        <w:rPr>
          <w:rFonts w:ascii="Lucida Sans" w:hAnsi="Lucida Sans"/>
        </w:rPr>
      </w:pPr>
      <w:r>
        <w:rPr>
          <w:rFonts w:ascii="Lucida Sans" w:hAnsi="Lucida Sans"/>
        </w:rPr>
        <w:t>Mediante auto proferido el 21 de octubre de 2014, notificado por estados del mismo mes y año, se denegó el mandamiento de pago solicitado por el señor Gilberto de Jesús Arango Holguín</w:t>
      </w:r>
      <w:r w:rsidR="008A43B1">
        <w:rPr>
          <w:rFonts w:ascii="Lucida Sans" w:hAnsi="Lucida Sans"/>
        </w:rPr>
        <w:t>, providencia frente a la que el apoderado de la parte actora formuló recurso de reposición a través de escrito presentado en la Oficina de Apoyo de los Juzgados Administrativos el 28 de octubre de 2014-</w:t>
      </w:r>
      <w:r w:rsidR="008A43B1" w:rsidRPr="008A43B1">
        <w:rPr>
          <w:rFonts w:ascii="Lucida Sans" w:hAnsi="Lucida Sans"/>
          <w:b/>
        </w:rPr>
        <w:t>Fl. 111-112</w:t>
      </w:r>
      <w:r w:rsidR="008A43B1">
        <w:rPr>
          <w:rFonts w:ascii="Lucida Sans" w:hAnsi="Lucida Sans"/>
        </w:rPr>
        <w:t>.</w:t>
      </w:r>
    </w:p>
    <w:p w:rsidR="008A43B1" w:rsidRDefault="008A43B1" w:rsidP="00F215F1">
      <w:pPr>
        <w:spacing w:after="0" w:line="360" w:lineRule="auto"/>
        <w:jc w:val="both"/>
        <w:rPr>
          <w:rFonts w:ascii="Lucida Sans" w:hAnsi="Lucida Sans"/>
        </w:rPr>
      </w:pPr>
    </w:p>
    <w:p w:rsidR="008A43B1" w:rsidRDefault="008A43B1" w:rsidP="00F215F1">
      <w:pPr>
        <w:spacing w:after="0" w:line="360" w:lineRule="auto"/>
        <w:jc w:val="both"/>
        <w:rPr>
          <w:rFonts w:ascii="Lucida Sans" w:hAnsi="Lucida Sans"/>
        </w:rPr>
      </w:pPr>
      <w:r>
        <w:rPr>
          <w:rFonts w:ascii="Lucida Sans" w:hAnsi="Lucida Sans"/>
        </w:rPr>
        <w:t>El Despacho rechazará el recurso formulado por el apoderado de la parte demandante, teniendo en cuenta que el mismo fue presentado extemporáneamente, tal como pasara a explicarse.</w:t>
      </w:r>
    </w:p>
    <w:p w:rsidR="008A43B1" w:rsidRDefault="008A43B1" w:rsidP="00F215F1">
      <w:pPr>
        <w:spacing w:after="0" w:line="360" w:lineRule="auto"/>
        <w:jc w:val="both"/>
        <w:rPr>
          <w:rFonts w:ascii="Lucida Sans" w:hAnsi="Lucida Sans"/>
        </w:rPr>
      </w:pPr>
    </w:p>
    <w:p w:rsidR="00F215F1" w:rsidRDefault="00F215F1" w:rsidP="00F215F1">
      <w:pPr>
        <w:tabs>
          <w:tab w:val="left" w:pos="1653"/>
        </w:tabs>
        <w:spacing w:after="0" w:line="360" w:lineRule="auto"/>
        <w:jc w:val="both"/>
        <w:rPr>
          <w:rFonts w:ascii="Lucida Sans" w:eastAsia="Times New Roman" w:hAnsi="Lucida Sans" w:cs="Times New Roman"/>
          <w:sz w:val="20"/>
          <w:szCs w:val="20"/>
          <w:lang w:eastAsia="es-ES"/>
        </w:rPr>
      </w:pPr>
      <w:r w:rsidRPr="004224D9">
        <w:rPr>
          <w:rFonts w:ascii="Lucida Sans" w:eastAsia="Times New Roman" w:hAnsi="Lucida Sans" w:cs="Times New Roman"/>
          <w:sz w:val="20"/>
          <w:szCs w:val="20"/>
          <w:lang w:eastAsia="es-ES"/>
        </w:rPr>
        <w:t xml:space="preserve">Dispone el artículo </w:t>
      </w:r>
      <w:r w:rsidR="004403D4">
        <w:rPr>
          <w:rFonts w:ascii="Lucida Sans" w:eastAsia="Times New Roman" w:hAnsi="Lucida Sans" w:cs="Times New Roman"/>
          <w:sz w:val="20"/>
          <w:szCs w:val="20"/>
          <w:lang w:eastAsia="es-ES"/>
        </w:rPr>
        <w:t>505</w:t>
      </w:r>
      <w:r w:rsidRPr="004224D9">
        <w:rPr>
          <w:rFonts w:ascii="Lucida Sans" w:eastAsia="Times New Roman" w:hAnsi="Lucida Sans" w:cs="Times New Roman"/>
          <w:sz w:val="20"/>
          <w:szCs w:val="20"/>
          <w:lang w:eastAsia="es-ES"/>
        </w:rPr>
        <w:t xml:space="preserve"> del Códig</w:t>
      </w:r>
      <w:r w:rsidR="004403D4">
        <w:rPr>
          <w:rFonts w:ascii="Lucida Sans" w:eastAsia="Times New Roman" w:hAnsi="Lucida Sans" w:cs="Times New Roman"/>
          <w:sz w:val="20"/>
          <w:szCs w:val="20"/>
          <w:lang w:eastAsia="es-ES"/>
        </w:rPr>
        <w:t>o de Procedimiento Civil respecto a la notificación del mandamiento ejecutivo y los recursos procedentes:</w:t>
      </w:r>
    </w:p>
    <w:p w:rsidR="004403D4" w:rsidRDefault="004403D4" w:rsidP="00F215F1">
      <w:pPr>
        <w:tabs>
          <w:tab w:val="left" w:pos="1653"/>
        </w:tabs>
        <w:spacing w:after="0" w:line="360" w:lineRule="auto"/>
        <w:jc w:val="both"/>
        <w:rPr>
          <w:rFonts w:ascii="Lucida Sans" w:eastAsia="Times New Roman" w:hAnsi="Lucida Sans" w:cs="Times New Roman"/>
          <w:sz w:val="20"/>
          <w:szCs w:val="20"/>
          <w:lang w:eastAsia="es-ES"/>
        </w:rPr>
      </w:pPr>
    </w:p>
    <w:p w:rsidR="004403D4" w:rsidRPr="004403D4" w:rsidRDefault="004403D4" w:rsidP="00F215F1">
      <w:pPr>
        <w:tabs>
          <w:tab w:val="left" w:pos="1653"/>
        </w:tabs>
        <w:spacing w:after="0" w:line="360" w:lineRule="auto"/>
        <w:jc w:val="both"/>
        <w:rPr>
          <w:rFonts w:ascii="Lucida Sans" w:eastAsia="Times New Roman" w:hAnsi="Lucida Sans" w:cs="Times New Roman"/>
          <w:i/>
          <w:sz w:val="20"/>
          <w:szCs w:val="20"/>
          <w:lang w:eastAsia="es-ES"/>
        </w:rPr>
      </w:pPr>
      <w:r w:rsidRPr="004403D4">
        <w:rPr>
          <w:rFonts w:ascii="Lucida Sans" w:eastAsia="Times New Roman" w:hAnsi="Lucida Sans" w:cs="Times New Roman"/>
          <w:i/>
          <w:sz w:val="20"/>
          <w:szCs w:val="20"/>
          <w:lang w:eastAsia="es-ES"/>
        </w:rPr>
        <w:t>“Art. 505. Modificado. Decr. 2282 de 1989, art. 1, mod. 266. Modificado. Ley 794 de 2003, art. 48. El mandamiento ejecutivo se notificará en la forma indicada en los artículos 315 a 320 y 330.</w:t>
      </w:r>
    </w:p>
    <w:p w:rsidR="004403D4" w:rsidRPr="004403D4" w:rsidRDefault="004403D4" w:rsidP="00F215F1">
      <w:pPr>
        <w:tabs>
          <w:tab w:val="left" w:pos="1653"/>
        </w:tabs>
        <w:spacing w:after="0" w:line="360" w:lineRule="auto"/>
        <w:jc w:val="both"/>
        <w:rPr>
          <w:rFonts w:ascii="Lucida Sans" w:eastAsia="Times New Roman" w:hAnsi="Lucida Sans" w:cs="Times New Roman"/>
          <w:i/>
          <w:sz w:val="20"/>
          <w:szCs w:val="20"/>
          <w:lang w:eastAsia="es-ES"/>
        </w:rPr>
      </w:pPr>
    </w:p>
    <w:p w:rsidR="004403D4" w:rsidRPr="004403D4" w:rsidRDefault="004403D4" w:rsidP="00F215F1">
      <w:pPr>
        <w:tabs>
          <w:tab w:val="left" w:pos="1653"/>
        </w:tabs>
        <w:spacing w:after="0" w:line="360" w:lineRule="auto"/>
        <w:jc w:val="both"/>
        <w:rPr>
          <w:rFonts w:ascii="Lucida Sans" w:eastAsia="Times New Roman" w:hAnsi="Lucida Sans" w:cs="Times New Roman"/>
          <w:b/>
          <w:i/>
          <w:sz w:val="20"/>
          <w:szCs w:val="20"/>
          <w:u w:val="single"/>
          <w:lang w:eastAsia="es-ES"/>
        </w:rPr>
      </w:pPr>
      <w:r w:rsidRPr="004403D4">
        <w:rPr>
          <w:rFonts w:ascii="Lucida Sans" w:eastAsia="Times New Roman" w:hAnsi="Lucida Sans" w:cs="Times New Roman"/>
          <w:b/>
          <w:i/>
          <w:sz w:val="20"/>
          <w:szCs w:val="20"/>
          <w:u w:val="single"/>
          <w:lang w:eastAsia="es-ES"/>
        </w:rPr>
        <w:t>El mandamiento ejecutivo no es apelable; el auto que lo niegue total o parcialmente, lo será en el efecto suspensivo; y el que por vía de reposición lo revoque, en el diferido.</w:t>
      </w:r>
    </w:p>
    <w:p w:rsidR="004403D4" w:rsidRPr="004224D9" w:rsidRDefault="004403D4" w:rsidP="00F215F1">
      <w:pPr>
        <w:tabs>
          <w:tab w:val="left" w:pos="1653"/>
        </w:tabs>
        <w:spacing w:after="0" w:line="360" w:lineRule="auto"/>
        <w:jc w:val="both"/>
        <w:rPr>
          <w:rFonts w:ascii="Lucida Sans" w:eastAsia="Times New Roman" w:hAnsi="Lucida Sans" w:cs="Times New Roman"/>
          <w:b/>
          <w:i/>
          <w:sz w:val="20"/>
          <w:szCs w:val="20"/>
          <w:u w:val="single"/>
          <w:lang w:eastAsia="es-ES"/>
        </w:rPr>
      </w:pPr>
      <w:r w:rsidRPr="004403D4">
        <w:rPr>
          <w:rFonts w:ascii="Lucida Sans" w:eastAsia="Times New Roman" w:hAnsi="Lucida Sans" w:cs="Times New Roman"/>
          <w:b/>
          <w:i/>
          <w:sz w:val="20"/>
          <w:szCs w:val="20"/>
          <w:u w:val="single"/>
          <w:lang w:eastAsia="es-ES"/>
        </w:rPr>
        <w:t>Cuando se revoque el mandamiento ejecutivo se condenará al ejecutante en costas y perjuicios.”</w:t>
      </w:r>
    </w:p>
    <w:p w:rsidR="00F215F1" w:rsidRDefault="004403D4" w:rsidP="00F215F1">
      <w:pPr>
        <w:tabs>
          <w:tab w:val="left" w:pos="1653"/>
        </w:tabs>
        <w:spacing w:after="0" w:line="240" w:lineRule="auto"/>
        <w:jc w:val="both"/>
        <w:rPr>
          <w:rFonts w:ascii="Lucida Sans" w:eastAsia="Times New Roman" w:hAnsi="Lucida Sans" w:cs="Times New Roman"/>
          <w:sz w:val="20"/>
          <w:szCs w:val="20"/>
          <w:lang w:eastAsia="es-ES"/>
        </w:rPr>
      </w:pPr>
      <w:r>
        <w:rPr>
          <w:rFonts w:ascii="Lucida Sans" w:eastAsia="Times New Roman" w:hAnsi="Lucida Sans" w:cs="Times New Roman"/>
          <w:sz w:val="20"/>
          <w:szCs w:val="20"/>
          <w:lang w:eastAsia="es-ES"/>
        </w:rPr>
        <w:t>Negrillas y subrayas fuera de texto original</w:t>
      </w:r>
    </w:p>
    <w:p w:rsidR="004403D4" w:rsidRPr="004224D9" w:rsidRDefault="004403D4" w:rsidP="00F215F1">
      <w:pPr>
        <w:tabs>
          <w:tab w:val="left" w:pos="1653"/>
        </w:tabs>
        <w:spacing w:after="0" w:line="240" w:lineRule="auto"/>
        <w:jc w:val="both"/>
        <w:rPr>
          <w:rFonts w:ascii="Lucida Sans" w:eastAsia="Times New Roman" w:hAnsi="Lucida Sans" w:cs="Times New Roman"/>
          <w:sz w:val="20"/>
          <w:szCs w:val="20"/>
          <w:lang w:eastAsia="es-ES"/>
        </w:rPr>
      </w:pPr>
    </w:p>
    <w:p w:rsidR="00F215F1" w:rsidRPr="004224D9" w:rsidRDefault="00F215F1" w:rsidP="00F215F1">
      <w:pPr>
        <w:tabs>
          <w:tab w:val="left" w:pos="1653"/>
        </w:tabs>
        <w:spacing w:after="0" w:line="360" w:lineRule="auto"/>
        <w:jc w:val="both"/>
        <w:rPr>
          <w:rFonts w:ascii="Lucida Sans" w:eastAsia="Times New Roman" w:hAnsi="Lucida Sans" w:cs="Times New Roman"/>
          <w:sz w:val="20"/>
          <w:szCs w:val="20"/>
          <w:lang w:eastAsia="es-ES"/>
        </w:rPr>
      </w:pPr>
    </w:p>
    <w:p w:rsidR="00F215F1" w:rsidRPr="004224D9" w:rsidRDefault="00F215F1" w:rsidP="00F215F1">
      <w:pPr>
        <w:tabs>
          <w:tab w:val="left" w:pos="1653"/>
        </w:tabs>
        <w:spacing w:after="0" w:line="360" w:lineRule="auto"/>
        <w:jc w:val="both"/>
        <w:rPr>
          <w:rFonts w:ascii="Lucida Sans" w:eastAsia="Times New Roman" w:hAnsi="Lucida Sans" w:cs="Times New Roman"/>
          <w:sz w:val="20"/>
          <w:szCs w:val="20"/>
          <w:lang w:eastAsia="es-ES"/>
        </w:rPr>
      </w:pPr>
      <w:r w:rsidRPr="004224D9">
        <w:rPr>
          <w:rFonts w:ascii="Lucida Sans" w:eastAsia="Times New Roman" w:hAnsi="Lucida Sans" w:cs="Times New Roman"/>
          <w:sz w:val="20"/>
          <w:szCs w:val="20"/>
          <w:lang w:eastAsia="es-ES"/>
        </w:rPr>
        <w:t xml:space="preserve">En cuanto al trámite </w:t>
      </w:r>
      <w:r w:rsidR="004403D4">
        <w:rPr>
          <w:rFonts w:ascii="Lucida Sans" w:eastAsia="Times New Roman" w:hAnsi="Lucida Sans" w:cs="Times New Roman"/>
          <w:sz w:val="20"/>
          <w:szCs w:val="20"/>
          <w:lang w:eastAsia="es-ES"/>
        </w:rPr>
        <w:t>y oportunidad para formular el mencionado recurso</w:t>
      </w:r>
      <w:r w:rsidRPr="004224D9">
        <w:rPr>
          <w:rFonts w:ascii="Lucida Sans" w:eastAsia="Times New Roman" w:hAnsi="Lucida Sans" w:cs="Times New Roman"/>
          <w:sz w:val="20"/>
          <w:szCs w:val="20"/>
          <w:lang w:eastAsia="es-ES"/>
        </w:rPr>
        <w:t>,</w:t>
      </w:r>
      <w:r w:rsidR="004403D4">
        <w:rPr>
          <w:rFonts w:ascii="Lucida Sans" w:eastAsia="Times New Roman" w:hAnsi="Lucida Sans" w:cs="Times New Roman"/>
          <w:sz w:val="20"/>
          <w:szCs w:val="20"/>
          <w:lang w:eastAsia="es-ES"/>
        </w:rPr>
        <w:t xml:space="preserve"> el artículo 352 ibídem,</w:t>
      </w:r>
      <w:r w:rsidRPr="004224D9">
        <w:rPr>
          <w:rFonts w:ascii="Lucida Sans" w:eastAsia="Times New Roman" w:hAnsi="Lucida Sans" w:cs="Times New Roman"/>
          <w:sz w:val="20"/>
          <w:szCs w:val="20"/>
          <w:lang w:eastAsia="es-ES"/>
        </w:rPr>
        <w:t xml:space="preserve"> prescribe: </w:t>
      </w:r>
    </w:p>
    <w:p w:rsidR="00F215F1" w:rsidRPr="004224D9" w:rsidRDefault="00F215F1" w:rsidP="00F215F1">
      <w:pPr>
        <w:spacing w:after="0" w:line="240" w:lineRule="auto"/>
        <w:ind w:right="51"/>
        <w:jc w:val="both"/>
        <w:rPr>
          <w:rFonts w:ascii="Lucida Sans" w:eastAsia="Times New Roman" w:hAnsi="Lucida Sans" w:cs="Times New Roman"/>
          <w:i/>
          <w:sz w:val="20"/>
          <w:szCs w:val="20"/>
          <w:lang w:eastAsia="es-ES"/>
        </w:rPr>
      </w:pPr>
    </w:p>
    <w:p w:rsidR="00F215F1" w:rsidRPr="004224D9" w:rsidRDefault="00F215F1" w:rsidP="00F215F1">
      <w:pPr>
        <w:spacing w:after="0" w:line="240" w:lineRule="auto"/>
        <w:ind w:left="1417" w:right="51"/>
        <w:rPr>
          <w:rFonts w:ascii="Lucida Sans" w:eastAsia="Times New Roman" w:hAnsi="Lucida Sans" w:cs="Times New Roman"/>
          <w:i/>
          <w:sz w:val="20"/>
          <w:szCs w:val="20"/>
          <w:lang w:eastAsia="es-ES"/>
        </w:rPr>
      </w:pPr>
    </w:p>
    <w:p w:rsidR="00F215F1" w:rsidRPr="004224D9" w:rsidRDefault="00F215F1" w:rsidP="00F215F1">
      <w:pPr>
        <w:spacing w:after="0" w:line="240" w:lineRule="auto"/>
        <w:ind w:left="1069" w:right="51"/>
        <w:jc w:val="both"/>
        <w:rPr>
          <w:rFonts w:ascii="Lucida Sans" w:eastAsia="Times New Roman" w:hAnsi="Lucida Sans" w:cs="Times New Roman"/>
          <w:i/>
          <w:sz w:val="20"/>
          <w:szCs w:val="20"/>
          <w:lang w:eastAsia="es-ES"/>
        </w:rPr>
      </w:pPr>
    </w:p>
    <w:p w:rsidR="00F215F1" w:rsidRDefault="004403D4" w:rsidP="004403D4">
      <w:pPr>
        <w:spacing w:after="0" w:line="240" w:lineRule="auto"/>
        <w:ind w:left="360" w:right="51"/>
        <w:jc w:val="both"/>
        <w:rPr>
          <w:rFonts w:ascii="Lucida Sans" w:eastAsia="Times New Roman" w:hAnsi="Lucida Sans" w:cs="Times New Roman"/>
          <w:i/>
          <w:sz w:val="20"/>
          <w:szCs w:val="20"/>
          <w:lang w:eastAsia="es-ES"/>
        </w:rPr>
      </w:pPr>
      <w:r>
        <w:rPr>
          <w:rFonts w:ascii="Lucida Sans" w:eastAsia="Times New Roman" w:hAnsi="Lucida Sans" w:cs="Times New Roman"/>
          <w:i/>
          <w:sz w:val="20"/>
          <w:szCs w:val="20"/>
          <w:lang w:eastAsia="es-ES"/>
        </w:rPr>
        <w:t>“</w:t>
      </w:r>
      <w:r w:rsidRPr="00E75DB5">
        <w:rPr>
          <w:rFonts w:ascii="Lucida Sans" w:eastAsia="Times New Roman" w:hAnsi="Lucida Sans" w:cs="Times New Roman"/>
          <w:i/>
          <w:sz w:val="20"/>
          <w:szCs w:val="20"/>
          <w:u w:val="single"/>
          <w:lang w:eastAsia="es-ES"/>
        </w:rPr>
        <w:t xml:space="preserve">El recurso de apelación deberá interponerse ante el juez que dictó la providencia, en el acto de su notificación personal o por escrito dentro de los tres días </w:t>
      </w:r>
      <w:r w:rsidR="00E75DB5" w:rsidRPr="00E75DB5">
        <w:rPr>
          <w:rFonts w:ascii="Lucida Sans" w:eastAsia="Times New Roman" w:hAnsi="Lucida Sans" w:cs="Times New Roman"/>
          <w:i/>
          <w:sz w:val="20"/>
          <w:szCs w:val="20"/>
          <w:u w:val="single"/>
          <w:lang w:eastAsia="es-ES"/>
        </w:rPr>
        <w:t>siguientes</w:t>
      </w:r>
      <w:r w:rsidR="00E75DB5">
        <w:rPr>
          <w:rFonts w:ascii="Lucida Sans" w:eastAsia="Times New Roman" w:hAnsi="Lucida Sans" w:cs="Times New Roman"/>
          <w:i/>
          <w:sz w:val="20"/>
          <w:szCs w:val="20"/>
          <w:lang w:eastAsia="es-ES"/>
        </w:rPr>
        <w:t>. S</w:t>
      </w:r>
      <w:r>
        <w:rPr>
          <w:rFonts w:ascii="Lucida Sans" w:eastAsia="Times New Roman" w:hAnsi="Lucida Sans" w:cs="Times New Roman"/>
          <w:i/>
          <w:sz w:val="20"/>
          <w:szCs w:val="20"/>
          <w:lang w:eastAsia="es-ES"/>
        </w:rPr>
        <w:t xml:space="preserve">i aquella se dicta en el curso de una audiencia o diligencia, el recurso deberá proponerse en la forma verbal inmediatamente se profiera; el juez </w:t>
      </w:r>
      <w:r w:rsidR="00E75DB5">
        <w:rPr>
          <w:rFonts w:ascii="Lucida Sans" w:eastAsia="Times New Roman" w:hAnsi="Lucida Sans" w:cs="Times New Roman"/>
          <w:i/>
          <w:sz w:val="20"/>
          <w:szCs w:val="20"/>
          <w:lang w:eastAsia="es-ES"/>
        </w:rPr>
        <w:t>resolverá</w:t>
      </w:r>
      <w:r>
        <w:rPr>
          <w:rFonts w:ascii="Lucida Sans" w:eastAsia="Times New Roman" w:hAnsi="Lucida Sans" w:cs="Times New Roman"/>
          <w:i/>
          <w:sz w:val="20"/>
          <w:szCs w:val="20"/>
          <w:lang w:eastAsia="es-ES"/>
        </w:rPr>
        <w:t xml:space="preserve"> sobre su procedencia al final de la misma.</w:t>
      </w:r>
    </w:p>
    <w:p w:rsidR="00317F23" w:rsidRPr="004224D9" w:rsidRDefault="00317F23" w:rsidP="004403D4">
      <w:pPr>
        <w:spacing w:after="0" w:line="240" w:lineRule="auto"/>
        <w:ind w:left="360" w:right="51"/>
        <w:jc w:val="both"/>
        <w:rPr>
          <w:rFonts w:ascii="Lucida Sans" w:eastAsia="Times New Roman" w:hAnsi="Lucida Sans" w:cs="Times New Roman"/>
          <w:i/>
          <w:sz w:val="20"/>
          <w:szCs w:val="20"/>
          <w:lang w:eastAsia="es-ES"/>
        </w:rPr>
      </w:pPr>
      <w:r>
        <w:rPr>
          <w:rFonts w:ascii="Lucida Sans" w:eastAsia="Times New Roman" w:hAnsi="Lucida Sans" w:cs="Times New Roman"/>
          <w:i/>
          <w:sz w:val="20"/>
          <w:szCs w:val="20"/>
          <w:lang w:eastAsia="es-ES"/>
        </w:rPr>
        <w:lastRenderedPageBreak/>
        <w:t>(…)”</w:t>
      </w:r>
    </w:p>
    <w:p w:rsidR="00F215F1" w:rsidRPr="004224D9" w:rsidRDefault="00F215F1" w:rsidP="00F215F1">
      <w:pPr>
        <w:spacing w:after="0" w:line="240" w:lineRule="auto"/>
        <w:ind w:left="360" w:right="51"/>
        <w:jc w:val="both"/>
        <w:rPr>
          <w:rFonts w:ascii="Lucida Sans" w:eastAsia="Times New Roman" w:hAnsi="Lucida Sans" w:cs="Times New Roman"/>
          <w:i/>
          <w:sz w:val="20"/>
          <w:szCs w:val="20"/>
          <w:lang w:eastAsia="es-ES"/>
        </w:rPr>
      </w:pPr>
    </w:p>
    <w:p w:rsidR="00F215F1" w:rsidRPr="004224D9" w:rsidRDefault="00F215F1" w:rsidP="00F215F1">
      <w:pPr>
        <w:spacing w:after="0" w:line="360" w:lineRule="auto"/>
        <w:jc w:val="both"/>
        <w:rPr>
          <w:rFonts w:ascii="Lucida Sans" w:eastAsia="Times New Roman" w:hAnsi="Lucida Sans" w:cs="Times New Roman"/>
          <w:sz w:val="20"/>
          <w:szCs w:val="20"/>
          <w:lang w:eastAsia="es-ES"/>
        </w:rPr>
      </w:pPr>
    </w:p>
    <w:p w:rsidR="00F215F1" w:rsidRPr="004224D9" w:rsidRDefault="00F215F1" w:rsidP="00F215F1">
      <w:pPr>
        <w:spacing w:after="0" w:line="360" w:lineRule="auto"/>
        <w:jc w:val="both"/>
        <w:rPr>
          <w:rFonts w:ascii="Lucida Sans" w:eastAsia="Times New Roman" w:hAnsi="Lucida Sans" w:cs="Times New Roman"/>
          <w:sz w:val="20"/>
          <w:szCs w:val="20"/>
          <w:lang w:eastAsia="es-ES"/>
        </w:rPr>
      </w:pPr>
    </w:p>
    <w:p w:rsidR="00F215F1" w:rsidRPr="004224D9" w:rsidRDefault="00F215F1" w:rsidP="00F215F1">
      <w:pPr>
        <w:spacing w:after="0" w:line="360" w:lineRule="auto"/>
        <w:jc w:val="both"/>
        <w:rPr>
          <w:rFonts w:ascii="Lucida Sans" w:eastAsia="Times New Roman" w:hAnsi="Lucida Sans" w:cs="Times New Roman"/>
          <w:sz w:val="20"/>
          <w:szCs w:val="20"/>
          <w:lang w:eastAsia="es-ES"/>
        </w:rPr>
      </w:pPr>
      <w:r w:rsidRPr="004224D9">
        <w:rPr>
          <w:rFonts w:ascii="Lucida Sans" w:eastAsia="Times New Roman" w:hAnsi="Lucida Sans" w:cs="Times New Roman"/>
          <w:sz w:val="20"/>
          <w:szCs w:val="20"/>
          <w:lang w:eastAsia="es-ES"/>
        </w:rPr>
        <w:t xml:space="preserve">Advierte esta Agencia Judicial que el recurso de reposición presentado por el apoderado de la </w:t>
      </w:r>
      <w:r w:rsidR="00317F23">
        <w:rPr>
          <w:rFonts w:ascii="Lucida Sans" w:eastAsia="Times New Roman" w:hAnsi="Lucida Sans" w:cs="Times New Roman"/>
          <w:sz w:val="20"/>
          <w:szCs w:val="20"/>
          <w:lang w:eastAsia="es-ES"/>
        </w:rPr>
        <w:t>parte ejecutante es extemporáneo, pues el auto que denegó el mandamiento de pago solicitado fue notificado por estados el 22 de octubre de 2014</w:t>
      </w:r>
      <w:r w:rsidRPr="004224D9">
        <w:rPr>
          <w:rFonts w:ascii="Lucida Sans" w:eastAsia="Times New Roman" w:hAnsi="Lucida Sans" w:cs="Times New Roman"/>
          <w:sz w:val="20"/>
          <w:szCs w:val="20"/>
          <w:lang w:eastAsia="es-ES"/>
        </w:rPr>
        <w:t xml:space="preserve">, tal como se lee en la constancia </w:t>
      </w:r>
      <w:r w:rsidR="00317F23">
        <w:rPr>
          <w:rFonts w:ascii="Lucida Sans" w:eastAsia="Times New Roman" w:hAnsi="Lucida Sans" w:cs="Times New Roman"/>
          <w:sz w:val="20"/>
          <w:szCs w:val="20"/>
          <w:lang w:eastAsia="es-ES"/>
        </w:rPr>
        <w:t>secretarial visible a folios 110</w:t>
      </w:r>
      <w:r w:rsidRPr="004224D9">
        <w:rPr>
          <w:rFonts w:ascii="Lucida Sans" w:eastAsia="Times New Roman" w:hAnsi="Lucida Sans" w:cs="Times New Roman"/>
          <w:sz w:val="20"/>
          <w:szCs w:val="20"/>
          <w:lang w:eastAsia="es-ES"/>
        </w:rPr>
        <w:t xml:space="preserve"> del expediente, y el recurso fue interpuesto expirado el termino de tres dí</w:t>
      </w:r>
      <w:r w:rsidR="00317F23">
        <w:rPr>
          <w:rFonts w:ascii="Lucida Sans" w:eastAsia="Times New Roman" w:hAnsi="Lucida Sans" w:cs="Times New Roman"/>
          <w:sz w:val="20"/>
          <w:szCs w:val="20"/>
          <w:lang w:eastAsia="es-ES"/>
        </w:rPr>
        <w:t>as consagrado en el artículo 352</w:t>
      </w:r>
      <w:r w:rsidRPr="004224D9">
        <w:rPr>
          <w:rFonts w:ascii="Lucida Sans" w:eastAsia="Times New Roman" w:hAnsi="Lucida Sans" w:cs="Times New Roman"/>
          <w:sz w:val="20"/>
          <w:szCs w:val="20"/>
          <w:lang w:eastAsia="es-ES"/>
        </w:rPr>
        <w:t xml:space="preserve"> del Código </w:t>
      </w:r>
      <w:r w:rsidR="00317F23">
        <w:rPr>
          <w:rFonts w:ascii="Lucida Sans" w:eastAsia="Times New Roman" w:hAnsi="Lucida Sans" w:cs="Times New Roman"/>
          <w:sz w:val="20"/>
          <w:szCs w:val="20"/>
          <w:lang w:eastAsia="es-ES"/>
        </w:rPr>
        <w:t>de Procedimiento Civil.</w:t>
      </w:r>
    </w:p>
    <w:p w:rsidR="00F215F1" w:rsidRPr="004224D9" w:rsidRDefault="00F215F1" w:rsidP="00F215F1">
      <w:pPr>
        <w:spacing w:after="0" w:line="360" w:lineRule="auto"/>
        <w:jc w:val="both"/>
        <w:rPr>
          <w:rFonts w:ascii="Lucida Sans" w:eastAsia="Times New Roman" w:hAnsi="Lucida Sans" w:cs="Times New Roman"/>
          <w:sz w:val="20"/>
          <w:szCs w:val="20"/>
          <w:lang w:eastAsia="es-ES"/>
        </w:rPr>
      </w:pPr>
    </w:p>
    <w:p w:rsidR="00F215F1" w:rsidRPr="004224D9" w:rsidRDefault="00F215F1" w:rsidP="00F215F1">
      <w:pPr>
        <w:spacing w:after="0" w:line="360" w:lineRule="auto"/>
        <w:jc w:val="both"/>
        <w:rPr>
          <w:rFonts w:ascii="Lucida Sans" w:eastAsia="Times New Roman" w:hAnsi="Lucida Sans" w:cs="Times New Roman"/>
          <w:sz w:val="20"/>
          <w:szCs w:val="20"/>
          <w:lang w:eastAsia="es-ES"/>
        </w:rPr>
      </w:pPr>
      <w:r w:rsidRPr="004224D9">
        <w:rPr>
          <w:rFonts w:ascii="Lucida Sans" w:eastAsia="Times New Roman" w:hAnsi="Lucida Sans" w:cs="Times New Roman"/>
          <w:sz w:val="20"/>
          <w:szCs w:val="20"/>
          <w:lang w:eastAsia="es-ES"/>
        </w:rPr>
        <w:t>En efecto, si la notificación se e</w:t>
      </w:r>
      <w:r w:rsidR="00317F23">
        <w:rPr>
          <w:rFonts w:ascii="Lucida Sans" w:eastAsia="Times New Roman" w:hAnsi="Lucida Sans" w:cs="Times New Roman"/>
          <w:sz w:val="20"/>
          <w:szCs w:val="20"/>
          <w:lang w:eastAsia="es-ES"/>
        </w:rPr>
        <w:t>fectuó el día martes 22 de octubre</w:t>
      </w:r>
      <w:r w:rsidRPr="004224D9">
        <w:rPr>
          <w:rFonts w:ascii="Lucida Sans" w:eastAsia="Times New Roman" w:hAnsi="Lucida Sans" w:cs="Times New Roman"/>
          <w:sz w:val="20"/>
          <w:szCs w:val="20"/>
          <w:lang w:eastAsia="es-ES"/>
        </w:rPr>
        <w:t xml:space="preserve"> de 2014, el recurrente podía interponer el mencionado recurso dentro del término de tres días siguientes a dicha notificación, esto es, los días </w:t>
      </w:r>
      <w:r w:rsidR="00317F23">
        <w:rPr>
          <w:rFonts w:ascii="Lucida Sans" w:eastAsia="Times New Roman" w:hAnsi="Lucida Sans" w:cs="Times New Roman"/>
          <w:b/>
          <w:i/>
          <w:sz w:val="20"/>
          <w:szCs w:val="20"/>
          <w:lang w:eastAsia="es-ES"/>
        </w:rPr>
        <w:t>jueves 23</w:t>
      </w:r>
      <w:r w:rsidRPr="004224D9">
        <w:rPr>
          <w:rFonts w:ascii="Lucida Sans" w:eastAsia="Times New Roman" w:hAnsi="Lucida Sans" w:cs="Times New Roman"/>
          <w:b/>
          <w:i/>
          <w:sz w:val="20"/>
          <w:szCs w:val="20"/>
          <w:lang w:eastAsia="es-ES"/>
        </w:rPr>
        <w:t xml:space="preserve">, </w:t>
      </w:r>
      <w:r w:rsidR="00317F23">
        <w:rPr>
          <w:rFonts w:ascii="Lucida Sans" w:eastAsia="Times New Roman" w:hAnsi="Lucida Sans" w:cs="Times New Roman"/>
          <w:b/>
          <w:i/>
          <w:sz w:val="20"/>
          <w:szCs w:val="20"/>
          <w:lang w:eastAsia="es-ES"/>
        </w:rPr>
        <w:t>viernes 24 y lunes 27 de octubre</w:t>
      </w:r>
      <w:r w:rsidRPr="004224D9">
        <w:rPr>
          <w:rFonts w:ascii="Lucida Sans" w:eastAsia="Times New Roman" w:hAnsi="Lucida Sans" w:cs="Times New Roman"/>
          <w:b/>
          <w:i/>
          <w:sz w:val="20"/>
          <w:szCs w:val="20"/>
          <w:lang w:eastAsia="es-ES"/>
        </w:rPr>
        <w:t xml:space="preserve"> de 2014</w:t>
      </w:r>
      <w:r w:rsidRPr="004224D9">
        <w:rPr>
          <w:rFonts w:ascii="Lucida Sans" w:eastAsia="Times New Roman" w:hAnsi="Lucida Sans" w:cs="Times New Roman"/>
          <w:sz w:val="20"/>
          <w:szCs w:val="20"/>
          <w:lang w:eastAsia="es-ES"/>
        </w:rPr>
        <w:t xml:space="preserve">; sin embargo el memorial contentivo del recurso fue presentado ante la Oficina de Apoyo de los Juzgados Administrativo </w:t>
      </w:r>
      <w:r w:rsidR="00317F23">
        <w:rPr>
          <w:rFonts w:ascii="Lucida Sans" w:eastAsia="Times New Roman" w:hAnsi="Lucida Sans" w:cs="Times New Roman"/>
          <w:b/>
          <w:sz w:val="20"/>
          <w:szCs w:val="20"/>
          <w:u w:val="single"/>
          <w:lang w:eastAsia="es-ES"/>
        </w:rPr>
        <w:t>el 28 de octubre</w:t>
      </w:r>
      <w:r w:rsidRPr="004224D9">
        <w:rPr>
          <w:rFonts w:ascii="Lucida Sans" w:eastAsia="Times New Roman" w:hAnsi="Lucida Sans" w:cs="Times New Roman"/>
          <w:b/>
          <w:sz w:val="20"/>
          <w:szCs w:val="20"/>
          <w:u w:val="single"/>
          <w:lang w:eastAsia="es-ES"/>
        </w:rPr>
        <w:t xml:space="preserve"> de 2014,</w:t>
      </w:r>
      <w:r w:rsidRPr="004224D9">
        <w:rPr>
          <w:rFonts w:ascii="Lucida Sans" w:eastAsia="Times New Roman" w:hAnsi="Lucida Sans" w:cs="Times New Roman"/>
          <w:sz w:val="20"/>
          <w:szCs w:val="20"/>
          <w:lang w:eastAsia="es-ES"/>
        </w:rPr>
        <w:t xml:space="preserve"> encontrándose fenecido el término legal contemplado en la norma citada, procediendo su rechazo por dicha circunstancia.</w:t>
      </w:r>
    </w:p>
    <w:p w:rsidR="00F215F1" w:rsidRDefault="00F215F1" w:rsidP="00F215F1">
      <w:pPr>
        <w:spacing w:after="0" w:line="360" w:lineRule="auto"/>
        <w:jc w:val="both"/>
        <w:rPr>
          <w:rFonts w:ascii="Lucida Sans" w:hAnsi="Lucida Sans"/>
        </w:rPr>
      </w:pPr>
    </w:p>
    <w:p w:rsidR="00F215F1" w:rsidRDefault="00F215F1" w:rsidP="00F215F1">
      <w:pPr>
        <w:spacing w:after="0" w:line="360" w:lineRule="auto"/>
        <w:jc w:val="both"/>
        <w:rPr>
          <w:rFonts w:ascii="Lucida Sans" w:hAnsi="Lucida Sans"/>
        </w:rPr>
      </w:pPr>
    </w:p>
    <w:p w:rsidR="00F215F1" w:rsidRDefault="00317F23" w:rsidP="00F215F1">
      <w:pPr>
        <w:spacing w:after="0" w:line="360" w:lineRule="auto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De conformidad con lo anterior, </w:t>
      </w:r>
      <w:r w:rsidRPr="00317F23">
        <w:rPr>
          <w:rFonts w:ascii="Lucida Sans" w:hAnsi="Lucida Sans"/>
          <w:b/>
        </w:rPr>
        <w:t>SE RECHAZA</w:t>
      </w:r>
      <w:r>
        <w:rPr>
          <w:rFonts w:ascii="Lucida Sans" w:hAnsi="Lucida Sans"/>
        </w:rPr>
        <w:t xml:space="preserve"> el recurso de reposición formulado por el apoderado de la parte ejecutante por </w:t>
      </w:r>
      <w:r w:rsidRPr="00B669DA">
        <w:rPr>
          <w:rFonts w:ascii="Lucida Sans" w:hAnsi="Lucida Sans"/>
          <w:b/>
        </w:rPr>
        <w:t>EXTEMPORÁNEO.</w:t>
      </w:r>
    </w:p>
    <w:p w:rsidR="00F215F1" w:rsidRPr="00C137C4" w:rsidRDefault="00F215F1" w:rsidP="00F215F1">
      <w:pPr>
        <w:spacing w:after="0" w:line="360" w:lineRule="auto"/>
        <w:jc w:val="both"/>
        <w:rPr>
          <w:rFonts w:ascii="Lucida Sans" w:eastAsia="Times New Roman" w:hAnsi="Lucida Sans" w:cs="Times New Roman"/>
          <w:sz w:val="21"/>
          <w:szCs w:val="21"/>
          <w:lang w:val="es-ES" w:eastAsia="es-ES"/>
        </w:rPr>
      </w:pPr>
    </w:p>
    <w:p w:rsidR="00F215F1" w:rsidRPr="00C137C4" w:rsidRDefault="00F215F1" w:rsidP="00F215F1">
      <w:pPr>
        <w:tabs>
          <w:tab w:val="left" w:pos="6195"/>
        </w:tabs>
        <w:spacing w:after="0" w:line="240" w:lineRule="auto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</w:p>
    <w:p w:rsidR="00F215F1" w:rsidRPr="00C137C4" w:rsidRDefault="00F215F1" w:rsidP="00F215F1">
      <w:pPr>
        <w:spacing w:after="0" w:line="240" w:lineRule="auto"/>
        <w:jc w:val="center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  <w:r w:rsidRPr="00C137C4"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  <w:t>NOTIFÍQUESE</w:t>
      </w:r>
    </w:p>
    <w:p w:rsidR="00F215F1" w:rsidRPr="00C137C4" w:rsidRDefault="00F215F1" w:rsidP="00F215F1">
      <w:pPr>
        <w:spacing w:after="0" w:line="240" w:lineRule="auto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</w:p>
    <w:p w:rsidR="00F215F1" w:rsidRPr="00C137C4" w:rsidRDefault="00F215F1" w:rsidP="00F215F1">
      <w:pPr>
        <w:spacing w:after="0" w:line="240" w:lineRule="auto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</w:p>
    <w:p w:rsidR="00F215F1" w:rsidRPr="00C137C4" w:rsidRDefault="00F215F1" w:rsidP="00F215F1">
      <w:pPr>
        <w:keepNext/>
        <w:spacing w:after="0" w:line="240" w:lineRule="auto"/>
        <w:jc w:val="center"/>
        <w:outlineLvl w:val="0"/>
        <w:rPr>
          <w:rFonts w:ascii="Bradley Hand ITC" w:eastAsia="Times New Roman" w:hAnsi="Bradley Hand ITC" w:cs="Arial"/>
          <w:b/>
          <w:bCs/>
          <w:sz w:val="28"/>
          <w:szCs w:val="28"/>
          <w:lang w:val="es-ES" w:eastAsia="es-ES"/>
        </w:rPr>
      </w:pPr>
      <w:r w:rsidRPr="00C137C4">
        <w:rPr>
          <w:rFonts w:ascii="Bradley Hand ITC" w:eastAsia="Times New Roman" w:hAnsi="Bradley Hand ITC" w:cs="Arial"/>
          <w:b/>
          <w:bCs/>
          <w:sz w:val="28"/>
          <w:szCs w:val="28"/>
          <w:lang w:val="es-ES" w:eastAsia="es-ES"/>
        </w:rPr>
        <w:t xml:space="preserve">RODRIGO VERGARA CORTÉS </w:t>
      </w:r>
    </w:p>
    <w:p w:rsidR="00F215F1" w:rsidRPr="00C137C4" w:rsidRDefault="00F215F1" w:rsidP="00F21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137C4">
        <w:rPr>
          <w:rFonts w:ascii="Bradley Hand ITC" w:eastAsia="Times New Roman" w:hAnsi="Bradley Hand ITC" w:cs="Arial"/>
          <w:sz w:val="28"/>
          <w:szCs w:val="28"/>
          <w:lang w:val="es-ES" w:eastAsia="es-ES"/>
        </w:rPr>
        <w:t xml:space="preserve">Juez </w:t>
      </w:r>
    </w:p>
    <w:p w:rsidR="00F215F1" w:rsidRPr="00C137C4" w:rsidRDefault="00F215F1" w:rsidP="00F215F1">
      <w:pPr>
        <w:spacing w:after="0" w:line="240" w:lineRule="auto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</w:p>
    <w:p w:rsidR="00F215F1" w:rsidRPr="00C137C4" w:rsidRDefault="00F215F1" w:rsidP="00F215F1">
      <w:pPr>
        <w:spacing w:after="0" w:line="240" w:lineRule="auto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</w:p>
    <w:p w:rsidR="00F215F1" w:rsidRPr="00C137C4" w:rsidRDefault="00F215F1" w:rsidP="00F215F1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  <w:r w:rsidRPr="00C137C4">
        <w:rPr>
          <w:rFonts w:ascii="Trebuchet MS" w:hAnsi="Trebuchet MS"/>
          <w:b/>
          <w:bCs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7B3E5" wp14:editId="51AD164E">
                <wp:simplePos x="0" y="0"/>
                <wp:positionH relativeFrom="column">
                  <wp:posOffset>923925</wp:posOffset>
                </wp:positionH>
                <wp:positionV relativeFrom="paragraph">
                  <wp:posOffset>-3810</wp:posOffset>
                </wp:positionV>
                <wp:extent cx="3610610" cy="1501140"/>
                <wp:effectExtent l="13335" t="13335" r="508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5F1" w:rsidRDefault="00F215F1" w:rsidP="00F215F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JUZGADO 16 ADMINISTRATIVO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 xml:space="preserve"> ORAL DE MEDELLÍN</w:t>
                            </w:r>
                          </w:p>
                          <w:p w:rsidR="00F215F1" w:rsidRPr="00622BAF" w:rsidRDefault="00F215F1" w:rsidP="00F215F1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  <w:szCs w:val="20"/>
                              </w:rPr>
                              <w:t>NOTIFICACIÓN POR ESTADO</w:t>
                            </w:r>
                          </w:p>
                          <w:p w:rsidR="00F215F1" w:rsidRDefault="00F215F1" w:rsidP="00F215F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En la fecha se notificó por ESTADO el auto anterior.</w:t>
                            </w:r>
                          </w:p>
                          <w:p w:rsidR="00F215F1" w:rsidRDefault="00F215F1" w:rsidP="00F215F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</w:p>
                          <w:p w:rsidR="00F215F1" w:rsidRDefault="00F215F1" w:rsidP="00F215F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  <w:szCs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.m.</w:t>
                            </w:r>
                          </w:p>
                          <w:p w:rsidR="00F215F1" w:rsidRDefault="00F215F1" w:rsidP="00F215F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MAURICIO FRANCO VERGARA</w:t>
                            </w:r>
                          </w:p>
                          <w:p w:rsidR="00F215F1" w:rsidRDefault="00F215F1" w:rsidP="00F215F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MAURICIO FRANCO VERGARA</w:t>
                            </w:r>
                          </w:p>
                          <w:p w:rsidR="00F215F1" w:rsidRDefault="00F215F1" w:rsidP="00F215F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7B3E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72.75pt;margin-top:-.3pt;width:284.3pt;height:1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">
                <v:textbox>
                  <w:txbxContent>
                    <w:p w:rsidR="00F215F1" w:rsidRDefault="00F215F1" w:rsidP="00F215F1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JUZGADO 16 ADMINISTRATIVO</w:t>
                      </w:r>
                      <w:bookmarkStart w:id="1" w:name="_GoBack"/>
                      <w:bookmarkEnd w:id="1"/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 xml:space="preserve"> ORAL DE MEDELLÍN</w:t>
                      </w:r>
                    </w:p>
                    <w:p w:rsidR="00F215F1" w:rsidRPr="00622BAF" w:rsidRDefault="00F215F1" w:rsidP="00F215F1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  <w:szCs w:val="20"/>
                        </w:rPr>
                        <w:t>NOTIFICACIÓN POR ESTADO</w:t>
                      </w:r>
                    </w:p>
                    <w:p w:rsidR="00F215F1" w:rsidRDefault="00F215F1" w:rsidP="00F215F1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En la fecha se notificó por ESTADO el auto anterior.</w:t>
                      </w:r>
                    </w:p>
                    <w:p w:rsidR="00F215F1" w:rsidRDefault="00F215F1" w:rsidP="00F215F1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</w:p>
                    <w:p w:rsidR="00F215F1" w:rsidRDefault="00F215F1" w:rsidP="00F215F1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  <w:szCs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.m.</w:t>
                      </w:r>
                    </w:p>
                    <w:p w:rsidR="00F215F1" w:rsidRDefault="00F215F1" w:rsidP="00F215F1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MAURICIO FRANCO VERGARA</w:t>
                      </w:r>
                    </w:p>
                    <w:p w:rsidR="00F215F1" w:rsidRDefault="00F215F1" w:rsidP="00F215F1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MAURICIO FRANCO VERGARA</w:t>
                      </w:r>
                    </w:p>
                    <w:p w:rsidR="00F215F1" w:rsidRDefault="00F215F1" w:rsidP="00F215F1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F215F1" w:rsidRPr="00C137C4" w:rsidRDefault="00F215F1" w:rsidP="00F215F1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</w:p>
    <w:p w:rsidR="00F215F1" w:rsidRPr="00C137C4" w:rsidRDefault="00F215F1" w:rsidP="00F215F1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</w:p>
    <w:p w:rsidR="00F215F1" w:rsidRPr="00C137C4" w:rsidRDefault="00F215F1" w:rsidP="00F21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215F1" w:rsidRDefault="00F215F1" w:rsidP="00F215F1"/>
    <w:p w:rsidR="006E6CD2" w:rsidRDefault="00215DB5"/>
    <w:sectPr w:rsidR="006E6CD2" w:rsidSect="00622BAF">
      <w:pgSz w:w="12242" w:h="18722" w:code="1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DB5" w:rsidRDefault="00215DB5" w:rsidP="00F215F1">
      <w:pPr>
        <w:spacing w:after="0" w:line="240" w:lineRule="auto"/>
      </w:pPr>
      <w:r>
        <w:separator/>
      </w:r>
    </w:p>
  </w:endnote>
  <w:endnote w:type="continuationSeparator" w:id="0">
    <w:p w:rsidR="00215DB5" w:rsidRDefault="00215DB5" w:rsidP="00F2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DB5" w:rsidRDefault="00215DB5" w:rsidP="00F215F1">
      <w:pPr>
        <w:spacing w:after="0" w:line="240" w:lineRule="auto"/>
      </w:pPr>
      <w:r>
        <w:separator/>
      </w:r>
    </w:p>
  </w:footnote>
  <w:footnote w:type="continuationSeparator" w:id="0">
    <w:p w:rsidR="00215DB5" w:rsidRDefault="00215DB5" w:rsidP="00F215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F1"/>
    <w:rsid w:val="00215DB5"/>
    <w:rsid w:val="00317F23"/>
    <w:rsid w:val="004403D4"/>
    <w:rsid w:val="00456A00"/>
    <w:rsid w:val="008A43B1"/>
    <w:rsid w:val="009749CD"/>
    <w:rsid w:val="00B05FA4"/>
    <w:rsid w:val="00B669DA"/>
    <w:rsid w:val="00C74508"/>
    <w:rsid w:val="00E75DB5"/>
    <w:rsid w:val="00EC6425"/>
    <w:rsid w:val="00F2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8789875-7C8A-46CD-A5F8-C2A46A2D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5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F215F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215F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215F1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5</cp:revision>
  <cp:lastPrinted>2015-01-27T15:19:00Z</cp:lastPrinted>
  <dcterms:created xsi:type="dcterms:W3CDTF">2015-01-27T14:51:00Z</dcterms:created>
  <dcterms:modified xsi:type="dcterms:W3CDTF">2015-01-27T15:27:00Z</dcterms:modified>
</cp:coreProperties>
</file>