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F66" w:rsidRPr="002223CB" w:rsidRDefault="00ED2F66" w:rsidP="00ED2F66">
      <w:pPr>
        <w:pStyle w:val="a"/>
        <w:spacing w:line="240" w:lineRule="auto"/>
        <w:rPr>
          <w:rFonts w:ascii="Bradley Hand ITC" w:hAnsi="Bradley Hand ITC" w:cs="Arial"/>
          <w:sz w:val="28"/>
          <w:szCs w:val="28"/>
        </w:rPr>
      </w:pPr>
      <w:bookmarkStart w:id="0" w:name="_GoBack"/>
      <w:bookmarkEnd w:id="0"/>
      <w:r w:rsidRPr="002223CB">
        <w:rPr>
          <w:rFonts w:ascii="Bradley Hand ITC" w:hAnsi="Bradley Hand ITC" w:cs="Arial"/>
          <w:sz w:val="28"/>
          <w:szCs w:val="28"/>
        </w:rPr>
        <w:t xml:space="preserve">JUZGADO </w:t>
      </w:r>
      <w:r>
        <w:rPr>
          <w:rFonts w:ascii="Bradley Hand ITC" w:hAnsi="Bradley Hand ITC" w:cs="Arial"/>
          <w:sz w:val="28"/>
          <w:szCs w:val="28"/>
        </w:rPr>
        <w:t>DIECISÉIS</w:t>
      </w:r>
      <w:r w:rsidRPr="002223CB">
        <w:rPr>
          <w:rFonts w:ascii="Bradley Hand ITC" w:hAnsi="Bradley Hand ITC" w:cs="Arial"/>
          <w:sz w:val="28"/>
          <w:szCs w:val="28"/>
        </w:rPr>
        <w:t xml:space="preserve"> ADMINISTRATIVO </w:t>
      </w:r>
      <w:r>
        <w:rPr>
          <w:rFonts w:ascii="Bradley Hand ITC" w:hAnsi="Bradley Hand ITC" w:cs="Arial"/>
          <w:sz w:val="28"/>
          <w:szCs w:val="28"/>
        </w:rPr>
        <w:t xml:space="preserve">ORAL DE MEDELLÍN </w:t>
      </w:r>
    </w:p>
    <w:p w:rsidR="00ED2F66" w:rsidRPr="00FD6F00" w:rsidRDefault="00ED2F66" w:rsidP="00ED2F66">
      <w:pPr>
        <w:jc w:val="center"/>
        <w:rPr>
          <w:rFonts w:ascii="Bradley Hand ITC" w:hAnsi="Bradley Hand ITC" w:cs="Arial"/>
          <w:sz w:val="28"/>
          <w:szCs w:val="28"/>
        </w:rPr>
      </w:pPr>
      <w:r>
        <w:rPr>
          <w:rFonts w:ascii="Bradley Hand ITC" w:hAnsi="Bradley Hand ITC" w:cs="Arial"/>
          <w:sz w:val="28"/>
          <w:szCs w:val="28"/>
        </w:rPr>
        <w:t>Veintisiete (27) de enero de dos mil quince (2015)</w:t>
      </w:r>
    </w:p>
    <w:p w:rsidR="00ED2F66" w:rsidRDefault="00ED2F66" w:rsidP="00ED2F66">
      <w:pPr>
        <w:pStyle w:val="Encabezado"/>
        <w:rPr>
          <w:rFonts w:ascii="Lucida Sans" w:hAnsi="Lucida Sans" w:cs="Tunga"/>
          <w:bCs/>
          <w:iCs/>
          <w:sz w:val="22"/>
        </w:rPr>
      </w:pP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16"/>
          <w:szCs w:val="16"/>
          <w:lang w:val="es-MX"/>
        </w:rPr>
      </w:pPr>
      <w:r>
        <w:rPr>
          <w:rFonts w:ascii="MS Reference Sans Serif" w:hAnsi="MS Reference Sans Serif" w:cs="Arial"/>
          <w:sz w:val="16"/>
          <w:szCs w:val="16"/>
          <w:lang w:val="es-MX"/>
        </w:rPr>
        <w:t>REFERENCIA:</w:t>
      </w: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color w:val="0000FF"/>
          <w:sz w:val="16"/>
          <w:szCs w:val="16"/>
          <w:lang w:val="es-MX"/>
        </w:rPr>
      </w:pPr>
      <w:r>
        <w:rPr>
          <w:rFonts w:ascii="MS Reference Sans Serif" w:hAnsi="MS Reference Sans Serif" w:cs="Arial"/>
          <w:b/>
          <w:color w:val="0000FF"/>
          <w:sz w:val="16"/>
          <w:szCs w:val="16"/>
          <w:lang w:val="es-MX"/>
        </w:rPr>
        <w:t>EXPEDIENTE No. 05001-33-33-016-2014-01461 00</w:t>
      </w: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16"/>
          <w:szCs w:val="16"/>
          <w:lang w:val="es-MX"/>
        </w:rPr>
      </w:pPr>
      <w:r>
        <w:rPr>
          <w:rFonts w:ascii="MS Reference Sans Serif" w:hAnsi="MS Reference Sans Serif" w:cs="Arial"/>
          <w:sz w:val="16"/>
          <w:szCs w:val="16"/>
          <w:lang w:val="es-MX"/>
        </w:rPr>
        <w:t xml:space="preserve">MEDIO DE CONTROL DE NULIDAD Y RESTABLECIMIENTO DEL DERECHO – LABORAL </w:t>
      </w: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cs="Arial"/>
          <w:sz w:val="16"/>
          <w:szCs w:val="16"/>
          <w:lang w:val="es-MX"/>
        </w:rPr>
      </w:pPr>
      <w:r>
        <w:rPr>
          <w:rFonts w:ascii="MS Reference Sans Serif" w:hAnsi="MS Reference Sans Serif" w:cs="Arial"/>
          <w:sz w:val="16"/>
          <w:szCs w:val="16"/>
          <w:lang w:val="es-MX"/>
        </w:rPr>
        <w:t xml:space="preserve">DEMANDANTE: PIEDAD DE JESUS MUÑOZ FLOREZ </w:t>
      </w: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b/>
          <w:bCs/>
          <w:sz w:val="16"/>
          <w:szCs w:val="16"/>
        </w:rPr>
      </w:pPr>
      <w:r>
        <w:rPr>
          <w:rFonts w:ascii="MS Reference Sans Serif" w:hAnsi="MS Reference Sans Serif" w:cs="Arial"/>
          <w:sz w:val="16"/>
          <w:szCs w:val="16"/>
          <w:lang w:val="es-MX"/>
        </w:rPr>
        <w:t>DEMANDADO: DEPARTAMENTO DE ANTIOQUIA</w:t>
      </w: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bCs/>
          <w:sz w:val="16"/>
          <w:szCs w:val="16"/>
        </w:rPr>
      </w:pPr>
    </w:p>
    <w:p w:rsidR="00ED2F66" w:rsidRDefault="00ED2F66" w:rsidP="00ED2F66">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Pr>
          <w:rFonts w:ascii="MS Reference Sans Serif" w:hAnsi="MS Reference Sans Serif"/>
          <w:b/>
          <w:bCs/>
          <w:sz w:val="16"/>
          <w:szCs w:val="16"/>
        </w:rPr>
        <w:t>ASUNTO</w:t>
      </w:r>
      <w:r>
        <w:rPr>
          <w:rFonts w:ascii="MS Reference Sans Serif" w:hAnsi="MS Reference Sans Serif"/>
          <w:bCs/>
          <w:sz w:val="16"/>
          <w:szCs w:val="16"/>
        </w:rPr>
        <w:t xml:space="preserve">: </w:t>
      </w:r>
      <w:r>
        <w:rPr>
          <w:rFonts w:ascii="MS Reference Sans Serif" w:hAnsi="MS Reference Sans Serif"/>
          <w:sz w:val="16"/>
          <w:szCs w:val="16"/>
        </w:rPr>
        <w:t xml:space="preserve">AUTO ADMISORIO DE </w:t>
      </w:r>
      <w:smartTag w:uri="urn:schemas-microsoft-com:office:smarttags" w:element="PersonName">
        <w:smartTagPr>
          <w:attr w:name="ProductID" w:val="LA DEMANDA."/>
        </w:smartTagPr>
        <w:r>
          <w:rPr>
            <w:rFonts w:ascii="MS Reference Sans Serif" w:hAnsi="MS Reference Sans Serif"/>
            <w:sz w:val="16"/>
            <w:szCs w:val="16"/>
          </w:rPr>
          <w:t>LA DEMANDA.</w:t>
        </w:r>
      </w:smartTag>
    </w:p>
    <w:p w:rsidR="00ED2F66" w:rsidRDefault="00ED2F66" w:rsidP="00ED2F66">
      <w:pPr>
        <w:jc w:val="both"/>
        <w:rPr>
          <w:rFonts w:ascii="Lucida Sans" w:hAnsi="Lucida Sans" w:cs="Arial"/>
          <w:bCs/>
          <w:sz w:val="21"/>
          <w:szCs w:val="21"/>
        </w:rPr>
      </w:pPr>
    </w:p>
    <w:p w:rsidR="00ED2F66" w:rsidRDefault="00ED2F66" w:rsidP="00ED2F66">
      <w:pPr>
        <w:jc w:val="both"/>
        <w:rPr>
          <w:rFonts w:ascii="Lucida Sans" w:hAnsi="Lucida Sans" w:cs="Arial"/>
          <w:bCs/>
          <w:sz w:val="21"/>
          <w:szCs w:val="21"/>
        </w:rPr>
      </w:pPr>
    </w:p>
    <w:p w:rsidR="00ED2F66" w:rsidRDefault="00ED2F66" w:rsidP="00ED2F66">
      <w:pPr>
        <w:jc w:val="both"/>
        <w:rPr>
          <w:rFonts w:ascii="Lucida Sans" w:hAnsi="Lucida Sans" w:cs="Arial"/>
          <w:b/>
          <w:sz w:val="20"/>
          <w:szCs w:val="20"/>
        </w:rPr>
      </w:pPr>
      <w:r>
        <w:rPr>
          <w:rFonts w:ascii="Lucida Sans" w:hAnsi="Lucida Sans" w:cs="Arial"/>
          <w:bCs/>
          <w:sz w:val="20"/>
          <w:szCs w:val="20"/>
        </w:rPr>
        <w:t>P</w:t>
      </w:r>
      <w:r w:rsidRPr="007A3272">
        <w:rPr>
          <w:rFonts w:ascii="Lucida Sans" w:hAnsi="Lucida Sans" w:cs="Arial"/>
          <w:bCs/>
          <w:sz w:val="20"/>
          <w:szCs w:val="20"/>
        </w:rPr>
        <w:t xml:space="preserve">or reunir los requisitos establecidos en los artículos 161 y siguientes del </w:t>
      </w:r>
      <w:r w:rsidRPr="007A3272">
        <w:rPr>
          <w:rFonts w:ascii="Lucida Sans" w:hAnsi="Lucida Sans"/>
          <w:b/>
          <w:bCs/>
          <w:color w:val="0000FF"/>
          <w:sz w:val="20"/>
          <w:szCs w:val="20"/>
        </w:rPr>
        <w:t>Código de Procedimiento Administrativo y de lo Contencioso Administrativo Ley 1437 de 2011</w:t>
      </w:r>
      <w:r w:rsidRPr="007A3272">
        <w:rPr>
          <w:rFonts w:ascii="Lucida Sans" w:hAnsi="Lucida Sans" w:cs="Arial"/>
          <w:bCs/>
          <w:sz w:val="20"/>
          <w:szCs w:val="20"/>
        </w:rPr>
        <w:t xml:space="preserve">, </w:t>
      </w:r>
      <w:r w:rsidRPr="007A3272">
        <w:rPr>
          <w:rFonts w:ascii="Lucida Sans" w:hAnsi="Lucida Sans" w:cs="Arial"/>
          <w:b/>
          <w:bCs/>
          <w:sz w:val="20"/>
          <w:szCs w:val="20"/>
        </w:rPr>
        <w:t>SE ADMITE</w:t>
      </w:r>
      <w:r w:rsidRPr="007A3272">
        <w:rPr>
          <w:rFonts w:ascii="Lucida Sans" w:hAnsi="Lucida Sans" w:cs="Arial"/>
          <w:sz w:val="20"/>
          <w:szCs w:val="20"/>
        </w:rPr>
        <w:t xml:space="preserve"> la demanda que en ejercicio del medio de control de</w:t>
      </w:r>
      <w:r>
        <w:rPr>
          <w:rFonts w:ascii="Lucida Sans" w:hAnsi="Lucida Sans" w:cs="Arial"/>
          <w:sz w:val="20"/>
          <w:szCs w:val="20"/>
        </w:rPr>
        <w:t xml:space="preserve"> NULIDAD Y RESTABLECIMIENTO DEL DERECHO - LABORAL</w:t>
      </w:r>
      <w:r w:rsidRPr="007A3272">
        <w:rPr>
          <w:rFonts w:ascii="Lucida Sans" w:hAnsi="Lucida Sans" w:cs="Arial"/>
          <w:sz w:val="20"/>
          <w:szCs w:val="20"/>
        </w:rPr>
        <w:t>,</w:t>
      </w:r>
      <w:r>
        <w:rPr>
          <w:rFonts w:ascii="Lucida Sans" w:hAnsi="Lucida Sans" w:cs="Arial"/>
          <w:b/>
          <w:sz w:val="20"/>
          <w:szCs w:val="20"/>
        </w:rPr>
        <w:t xml:space="preserve"> </w:t>
      </w:r>
      <w:r>
        <w:rPr>
          <w:rFonts w:ascii="Lucida Sans" w:hAnsi="Lucida Sans" w:cs="Arial"/>
          <w:sz w:val="20"/>
          <w:szCs w:val="20"/>
        </w:rPr>
        <w:t>consagrado en el artículo 138</w:t>
      </w:r>
      <w:r w:rsidRPr="007A3272">
        <w:rPr>
          <w:rFonts w:ascii="Lucida Sans" w:hAnsi="Lucida Sans" w:cs="Arial"/>
          <w:sz w:val="20"/>
          <w:szCs w:val="20"/>
        </w:rPr>
        <w:t xml:space="preserve"> ibídem, </w:t>
      </w:r>
      <w:r>
        <w:rPr>
          <w:rFonts w:ascii="Lucida Sans" w:hAnsi="Lucida Sans" w:cs="Arial"/>
          <w:sz w:val="20"/>
          <w:szCs w:val="20"/>
        </w:rPr>
        <w:t>que instaura la señora</w:t>
      </w:r>
      <w:r>
        <w:rPr>
          <w:rFonts w:ascii="Lucida Sans" w:hAnsi="Lucida Sans" w:cs="Arial"/>
          <w:b/>
          <w:sz w:val="20"/>
          <w:szCs w:val="20"/>
        </w:rPr>
        <w:t xml:space="preserve"> PIEDAD DE JESUS MUÑOZ FLOREZ, </w:t>
      </w:r>
      <w:r w:rsidRPr="007A3272">
        <w:rPr>
          <w:rFonts w:ascii="Lucida Sans" w:hAnsi="Lucida Sans" w:cs="Arial"/>
          <w:sz w:val="20"/>
          <w:szCs w:val="20"/>
        </w:rPr>
        <w:t>en contra de</w:t>
      </w:r>
      <w:r>
        <w:rPr>
          <w:rFonts w:ascii="Lucida Sans" w:hAnsi="Lucida Sans" w:cs="Arial"/>
          <w:sz w:val="20"/>
          <w:szCs w:val="20"/>
        </w:rPr>
        <w:t xml:space="preserve">l </w:t>
      </w:r>
      <w:r>
        <w:rPr>
          <w:rFonts w:ascii="Lucida Sans" w:hAnsi="Lucida Sans" w:cs="Arial"/>
          <w:b/>
          <w:sz w:val="20"/>
          <w:szCs w:val="20"/>
        </w:rPr>
        <w:t>DEPARTAMENTO DE ANTIOQUIA.</w:t>
      </w:r>
    </w:p>
    <w:p w:rsidR="00ED2F66" w:rsidRDefault="00ED2F66" w:rsidP="00ED2F66">
      <w:pPr>
        <w:jc w:val="both"/>
        <w:rPr>
          <w:rFonts w:ascii="Lucida Sans" w:hAnsi="Lucida Sans" w:cs="Arial"/>
          <w:sz w:val="20"/>
          <w:szCs w:val="20"/>
        </w:rPr>
      </w:pPr>
    </w:p>
    <w:p w:rsidR="00ED2F66" w:rsidRPr="007A3272" w:rsidRDefault="00ED2F66" w:rsidP="00ED2F66">
      <w:pPr>
        <w:jc w:val="both"/>
        <w:rPr>
          <w:rFonts w:ascii="Lucida Sans" w:hAnsi="Lucida Sans" w:cs="Arial"/>
          <w:sz w:val="20"/>
          <w:szCs w:val="20"/>
        </w:rPr>
      </w:pPr>
      <w:r w:rsidRPr="007A3272">
        <w:rPr>
          <w:rFonts w:ascii="Lucida Sans" w:hAnsi="Lucida Sans" w:cs="Arial"/>
          <w:sz w:val="20"/>
          <w:szCs w:val="20"/>
        </w:rPr>
        <w:t xml:space="preserve">Notifíquese personalmente al </w:t>
      </w:r>
      <w:r w:rsidRPr="007A3272">
        <w:rPr>
          <w:rFonts w:ascii="Lucida Sans" w:hAnsi="Lucida Sans" w:cs="Arial"/>
          <w:b/>
          <w:sz w:val="20"/>
          <w:szCs w:val="20"/>
        </w:rPr>
        <w:t>representante legal de la entidad demandada</w:t>
      </w:r>
      <w:r>
        <w:rPr>
          <w:rFonts w:ascii="Lucida Sans" w:hAnsi="Lucida Sans" w:cs="Arial"/>
          <w:sz w:val="20"/>
          <w:szCs w:val="20"/>
        </w:rPr>
        <w:t xml:space="preserve"> o a quien este haya</w:t>
      </w:r>
      <w:r w:rsidRPr="007A3272">
        <w:rPr>
          <w:rFonts w:ascii="Lucida Sans" w:hAnsi="Lucida Sans" w:cs="Arial"/>
          <w:sz w:val="20"/>
          <w:szCs w:val="20"/>
        </w:rPr>
        <w:t xml:space="preserve"> delegado la facultad de recibir notificaciones, de conformidad con lo establecido en los </w:t>
      </w:r>
      <w:r w:rsidRPr="006753AA">
        <w:rPr>
          <w:rFonts w:ascii="Lucida Sans" w:hAnsi="Lucida Sans" w:cs="Arial"/>
          <w:b/>
          <w:color w:val="0000FF"/>
          <w:sz w:val="20"/>
          <w:szCs w:val="20"/>
        </w:rPr>
        <w:t xml:space="preserve">artículos 198 </w:t>
      </w:r>
      <w:r w:rsidRPr="006753AA">
        <w:rPr>
          <w:rFonts w:ascii="Lucida Sans" w:hAnsi="Lucida Sans" w:cs="Arial"/>
          <w:b/>
          <w:bCs/>
          <w:color w:val="0000FF"/>
          <w:sz w:val="20"/>
          <w:szCs w:val="20"/>
        </w:rPr>
        <w:t>del</w:t>
      </w:r>
      <w:r w:rsidRPr="007A3272">
        <w:rPr>
          <w:rFonts w:ascii="Lucida Sans" w:hAnsi="Lucida Sans" w:cs="Arial"/>
          <w:bCs/>
          <w:sz w:val="20"/>
          <w:szCs w:val="20"/>
        </w:rPr>
        <w:t xml:space="preserve"> </w:t>
      </w:r>
      <w:r w:rsidRPr="007A3272">
        <w:rPr>
          <w:rFonts w:ascii="Lucida Sans" w:hAnsi="Lucida Sans"/>
          <w:b/>
          <w:bCs/>
          <w:color w:val="0000FF"/>
          <w:sz w:val="20"/>
          <w:szCs w:val="20"/>
        </w:rPr>
        <w:t>Código de Procedimiento Administrativo y de lo Contencioso Administrativo – Ley 1437 de 2011 y 612 del Código General del Proceso</w:t>
      </w:r>
      <w:r w:rsidRPr="007A3272">
        <w:rPr>
          <w:rFonts w:ascii="Lucida Sans" w:hAnsi="Lucida Sans" w:cs="Arial"/>
          <w:sz w:val="20"/>
          <w:szCs w:val="20"/>
        </w:rPr>
        <w:t xml:space="preserve">, que modificó </w:t>
      </w:r>
      <w:r w:rsidRPr="001955BC">
        <w:rPr>
          <w:rFonts w:ascii="Lucida Sans" w:hAnsi="Lucida Sans" w:cs="Arial"/>
          <w:b/>
          <w:color w:val="0000FF"/>
          <w:sz w:val="20"/>
          <w:szCs w:val="20"/>
        </w:rPr>
        <w:t xml:space="preserve">el artículo 199 de </w:t>
      </w:r>
      <w:smartTag w:uri="urn:schemas-microsoft-com:office:smarttags" w:element="PersonName">
        <w:smartTagPr>
          <w:attr w:name="ProductID" w:val="la Ley"/>
        </w:smartTagPr>
        <w:r w:rsidRPr="001955BC">
          <w:rPr>
            <w:rFonts w:ascii="Lucida Sans" w:hAnsi="Lucida Sans" w:cs="Arial"/>
            <w:b/>
            <w:color w:val="0000FF"/>
            <w:sz w:val="20"/>
            <w:szCs w:val="20"/>
          </w:rPr>
          <w:t xml:space="preserve">la </w:t>
        </w:r>
        <w:r w:rsidRPr="001955BC">
          <w:rPr>
            <w:rFonts w:ascii="Lucida Sans" w:hAnsi="Lucida Sans" w:cs="Arial"/>
            <w:b/>
            <w:bCs/>
            <w:color w:val="0000FF"/>
            <w:sz w:val="20"/>
            <w:szCs w:val="20"/>
          </w:rPr>
          <w:t>Ley</w:t>
        </w:r>
      </w:smartTag>
      <w:r w:rsidRPr="001955BC">
        <w:rPr>
          <w:rFonts w:ascii="Lucida Sans" w:hAnsi="Lucida Sans" w:cs="Arial"/>
          <w:b/>
          <w:bCs/>
          <w:color w:val="0000FF"/>
          <w:sz w:val="20"/>
          <w:szCs w:val="20"/>
        </w:rPr>
        <w:t xml:space="preserve"> 1437 de 2011</w:t>
      </w:r>
      <w:r w:rsidRPr="001955BC">
        <w:rPr>
          <w:rFonts w:ascii="Lucida Sans" w:hAnsi="Lucida Sans" w:cs="Arial"/>
          <w:b/>
          <w:color w:val="0000FF"/>
          <w:sz w:val="20"/>
          <w:szCs w:val="20"/>
        </w:rPr>
        <w:t>.</w:t>
      </w:r>
      <w:r w:rsidRPr="007A3272">
        <w:rPr>
          <w:rFonts w:ascii="Lucida Sans" w:hAnsi="Lucida Sans" w:cs="Arial"/>
          <w:sz w:val="20"/>
          <w:szCs w:val="20"/>
        </w:rPr>
        <w:t xml:space="preserve"> El expediente quedará en </w:t>
      </w:r>
      <w:smartTag w:uri="urn:schemas-microsoft-com:office:smarttags" w:element="PersonName">
        <w:smartTagPr>
          <w:attr w:name="ProductID" w:val="la Secretar￭a"/>
        </w:smartTagPr>
        <w:r w:rsidRPr="007A3272">
          <w:rPr>
            <w:rFonts w:ascii="Lucida Sans" w:hAnsi="Lucida Sans" w:cs="Arial"/>
            <w:sz w:val="20"/>
            <w:szCs w:val="20"/>
          </w:rPr>
          <w:t>la Secretaría</w:t>
        </w:r>
      </w:smartTag>
      <w:r w:rsidRPr="007A3272">
        <w:rPr>
          <w:rFonts w:ascii="Lucida Sans" w:hAnsi="Lucida Sans" w:cs="Arial"/>
          <w:sz w:val="20"/>
          <w:szCs w:val="20"/>
        </w:rPr>
        <w:t xml:space="preserve"> del Despacho a disposición de las partes.</w:t>
      </w:r>
    </w:p>
    <w:p w:rsidR="00ED2F66" w:rsidRDefault="00ED2F66" w:rsidP="00ED2F66">
      <w:pPr>
        <w:jc w:val="both"/>
        <w:rPr>
          <w:rFonts w:ascii="Lucida Sans" w:hAnsi="Lucida Sans" w:cs="Arial"/>
          <w:sz w:val="20"/>
          <w:szCs w:val="20"/>
        </w:rPr>
      </w:pPr>
    </w:p>
    <w:p w:rsidR="00ED2F66" w:rsidRPr="007A3272" w:rsidRDefault="00ED2F66" w:rsidP="00ED2F66">
      <w:pPr>
        <w:jc w:val="both"/>
        <w:rPr>
          <w:rFonts w:ascii="Lucida Sans" w:hAnsi="Lucida Sans" w:cs="Arial"/>
          <w:sz w:val="20"/>
          <w:szCs w:val="20"/>
        </w:rPr>
      </w:pPr>
      <w:r w:rsidRPr="007A3272">
        <w:rPr>
          <w:rFonts w:ascii="Lucida Sans" w:hAnsi="Lucida Sans" w:cs="Arial"/>
          <w:sz w:val="20"/>
          <w:szCs w:val="20"/>
        </w:rPr>
        <w:t xml:space="preserve">Notifíquese por estados al </w:t>
      </w:r>
      <w:r w:rsidRPr="00F257FE">
        <w:rPr>
          <w:rFonts w:ascii="Lucida Sans" w:hAnsi="Lucida Sans" w:cs="Arial"/>
          <w:b/>
          <w:sz w:val="20"/>
          <w:szCs w:val="20"/>
        </w:rPr>
        <w:t>demandante</w:t>
      </w:r>
      <w:r w:rsidRPr="007A3272">
        <w:rPr>
          <w:rFonts w:ascii="Lucida Sans" w:hAnsi="Lucida Sans" w:cs="Arial"/>
          <w:sz w:val="20"/>
          <w:szCs w:val="20"/>
        </w:rPr>
        <w:t xml:space="preserve"> el presente auto admisorio, de conformidad con el artículo </w:t>
      </w:r>
      <w:r>
        <w:rPr>
          <w:rFonts w:ascii="Lucida Sans" w:hAnsi="Lucida Sans" w:cs="Arial"/>
          <w:sz w:val="20"/>
          <w:szCs w:val="20"/>
        </w:rPr>
        <w:t xml:space="preserve">201 </w:t>
      </w:r>
      <w:r w:rsidRPr="007A3272">
        <w:rPr>
          <w:rFonts w:ascii="Lucida Sans" w:hAnsi="Lucida Sans" w:cs="Arial"/>
          <w:bCs/>
          <w:sz w:val="20"/>
          <w:szCs w:val="20"/>
        </w:rPr>
        <w:t xml:space="preserve">del </w:t>
      </w:r>
      <w:r w:rsidRPr="007A3272">
        <w:rPr>
          <w:rFonts w:ascii="Lucida Sans" w:hAnsi="Lucida Sans"/>
          <w:b/>
          <w:bCs/>
          <w:color w:val="0000FF"/>
          <w:sz w:val="20"/>
          <w:szCs w:val="20"/>
        </w:rPr>
        <w:t>Código de Procedimiento Administrativo y de lo Contencioso Administrativo – Ley 1437 de 2011</w:t>
      </w:r>
      <w:r w:rsidRPr="007A3272">
        <w:rPr>
          <w:rFonts w:ascii="Lucida Sans" w:hAnsi="Lucida Sans" w:cs="Arial"/>
          <w:sz w:val="20"/>
          <w:szCs w:val="20"/>
        </w:rPr>
        <w:t xml:space="preserve">. </w:t>
      </w:r>
    </w:p>
    <w:p w:rsidR="00ED2F66" w:rsidRPr="007A3272" w:rsidRDefault="00ED2F66" w:rsidP="00ED2F66">
      <w:pPr>
        <w:jc w:val="both"/>
        <w:rPr>
          <w:rFonts w:ascii="Lucida Sans" w:hAnsi="Lucida Sans" w:cs="Tahoma"/>
          <w:sz w:val="20"/>
          <w:szCs w:val="20"/>
        </w:rPr>
      </w:pPr>
    </w:p>
    <w:p w:rsidR="00ED2F66" w:rsidRDefault="00ED2F66" w:rsidP="00ED2F66">
      <w:pPr>
        <w:jc w:val="both"/>
        <w:rPr>
          <w:rFonts w:ascii="Lucida Sans" w:hAnsi="Lucida Sans" w:cs="Tahoma"/>
          <w:sz w:val="20"/>
          <w:szCs w:val="20"/>
        </w:rPr>
      </w:pPr>
      <w:r w:rsidRPr="007A3272">
        <w:rPr>
          <w:rFonts w:ascii="Lucida Sans" w:hAnsi="Lucida Sans" w:cs="Tahoma"/>
          <w:sz w:val="20"/>
          <w:szCs w:val="20"/>
        </w:rPr>
        <w:t xml:space="preserve">Notifíquese personalmente al </w:t>
      </w:r>
      <w:r w:rsidRPr="007A3272">
        <w:rPr>
          <w:rFonts w:ascii="Lucida Sans" w:hAnsi="Lucida Sans" w:cs="Tahoma"/>
          <w:b/>
          <w:sz w:val="20"/>
          <w:szCs w:val="20"/>
        </w:rPr>
        <w:t>Ministerio Público</w:t>
      </w:r>
      <w:r w:rsidRPr="007A3272">
        <w:rPr>
          <w:rFonts w:ascii="Lucida Sans" w:hAnsi="Lucida Sans" w:cs="Tahoma"/>
          <w:sz w:val="20"/>
          <w:szCs w:val="20"/>
        </w:rPr>
        <w:t xml:space="preserve">, en este caso, al señor Procurador 167 Judicial Delegado ante este Despacho, de conformidad con lo establecido en los artículos 198 </w:t>
      </w:r>
      <w:r w:rsidRPr="007A3272">
        <w:rPr>
          <w:rFonts w:ascii="Lucida Sans" w:hAnsi="Lucida Sans" w:cs="Arial"/>
          <w:bCs/>
          <w:sz w:val="20"/>
          <w:szCs w:val="20"/>
        </w:rPr>
        <w:t xml:space="preserve">del </w:t>
      </w:r>
      <w:r w:rsidRPr="007A3272">
        <w:rPr>
          <w:rFonts w:ascii="Lucida Sans" w:hAnsi="Lucida Sans"/>
          <w:b/>
          <w:bCs/>
          <w:color w:val="0000FF"/>
          <w:sz w:val="20"/>
          <w:szCs w:val="20"/>
        </w:rPr>
        <w:t>Código de Procedimiento Administrativo y de lo Contencioso Administrativo – Ley 1437 de 2011 y 612 del Código General del Proceso</w:t>
      </w:r>
      <w:r w:rsidRPr="007A3272">
        <w:rPr>
          <w:rFonts w:ascii="Lucida Sans" w:hAnsi="Lucida Sans" w:cs="Tahoma"/>
          <w:sz w:val="20"/>
          <w:szCs w:val="20"/>
        </w:rPr>
        <w:t xml:space="preserve">, que modificó el artículo 199 de </w:t>
      </w:r>
      <w:smartTag w:uri="urn:schemas-microsoft-com:office:smarttags" w:element="PersonName">
        <w:smartTagPr>
          <w:attr w:name="ProductID" w:val="la Ley"/>
        </w:smartTagPr>
        <w:r w:rsidRPr="007A3272">
          <w:rPr>
            <w:rFonts w:ascii="Lucida Sans" w:hAnsi="Lucida Sans" w:cs="Tahoma"/>
            <w:sz w:val="20"/>
            <w:szCs w:val="20"/>
          </w:rPr>
          <w:t>la Ley</w:t>
        </w:r>
      </w:smartTag>
      <w:r w:rsidRPr="007A3272">
        <w:rPr>
          <w:rFonts w:ascii="Lucida Sans" w:hAnsi="Lucida Sans" w:cs="Tahoma"/>
          <w:sz w:val="20"/>
          <w:szCs w:val="20"/>
        </w:rPr>
        <w:t xml:space="preserve"> 1437 de 2011. </w:t>
      </w:r>
    </w:p>
    <w:p w:rsidR="00ED2F66" w:rsidRDefault="00ED2F66" w:rsidP="00ED2F66">
      <w:pPr>
        <w:jc w:val="both"/>
        <w:rPr>
          <w:rFonts w:ascii="Lucida Sans" w:hAnsi="Lucida Sans" w:cs="Tahoma"/>
          <w:sz w:val="20"/>
          <w:szCs w:val="20"/>
        </w:rPr>
      </w:pPr>
    </w:p>
    <w:p w:rsidR="00ED2F66" w:rsidRPr="00502301" w:rsidRDefault="00ED2F66" w:rsidP="00ED2F66">
      <w:pPr>
        <w:jc w:val="both"/>
        <w:rPr>
          <w:rFonts w:ascii="Lucida Sans" w:hAnsi="Lucida Sans" w:cs="Tahoma"/>
          <w:sz w:val="20"/>
          <w:szCs w:val="20"/>
        </w:rPr>
      </w:pPr>
      <w:r>
        <w:rPr>
          <w:rFonts w:ascii="Lucida Sans" w:hAnsi="Lucida Sans" w:cs="Tahoma"/>
          <w:sz w:val="20"/>
          <w:szCs w:val="20"/>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Pr>
              <w:rFonts w:ascii="Lucida Sans" w:hAnsi="Lucida Sans" w:cs="Tahoma"/>
              <w:sz w:val="20"/>
              <w:szCs w:val="20"/>
            </w:rPr>
            <w:t xml:space="preserve">la </w:t>
          </w:r>
          <w:r w:rsidRPr="00F257FE">
            <w:rPr>
              <w:rFonts w:ascii="Lucida Sans" w:hAnsi="Lucida Sans" w:cs="Tahoma"/>
              <w:b/>
              <w:sz w:val="20"/>
              <w:szCs w:val="20"/>
            </w:rPr>
            <w:t>Agencia</w:t>
          </w:r>
        </w:smartTag>
        <w:r w:rsidRPr="00F257FE">
          <w:rPr>
            <w:rFonts w:ascii="Lucida Sans" w:hAnsi="Lucida Sans" w:cs="Tahoma"/>
            <w:b/>
            <w:sz w:val="20"/>
            <w:szCs w:val="20"/>
          </w:rPr>
          <w:t xml:space="preserve"> Nacional</w:t>
        </w:r>
      </w:smartTag>
      <w:r w:rsidRPr="00F257FE">
        <w:rPr>
          <w:rFonts w:ascii="Lucida Sans" w:hAnsi="Lucida Sans" w:cs="Tahoma"/>
          <w:b/>
          <w:sz w:val="20"/>
          <w:szCs w:val="20"/>
        </w:rPr>
        <w:t xml:space="preserve"> de Defensa Jurídica del Estado</w:t>
      </w:r>
      <w:r>
        <w:rPr>
          <w:rFonts w:ascii="Lucida Sans" w:hAnsi="Lucida Sans" w:cs="Tahoma"/>
          <w:sz w:val="20"/>
          <w:szCs w:val="20"/>
        </w:rPr>
        <w:t xml:space="preserve">, de conformidad con el artículo 199 de </w:t>
      </w:r>
      <w:smartTag w:uri="urn:schemas-microsoft-com:office:smarttags" w:element="PersonName">
        <w:smartTagPr>
          <w:attr w:name="ProductID" w:val="la Ley"/>
        </w:smartTagPr>
        <w:r>
          <w:rPr>
            <w:rFonts w:ascii="Lucida Sans" w:hAnsi="Lucida Sans" w:cs="Tahoma"/>
            <w:sz w:val="20"/>
            <w:szCs w:val="20"/>
          </w:rPr>
          <w:t>la Ley</w:t>
        </w:r>
      </w:smartTag>
      <w:r>
        <w:rPr>
          <w:rFonts w:ascii="Lucida Sans" w:hAnsi="Lucida Sans" w:cs="Tahoma"/>
          <w:sz w:val="20"/>
          <w:szCs w:val="20"/>
        </w:rPr>
        <w:t xml:space="preserve"> 1437 de 2011, modificado por el artículo 612 del Código General del Proceso y en los términos allí establecidos.</w:t>
      </w:r>
    </w:p>
    <w:p w:rsidR="00ED2F66" w:rsidRPr="007A3272" w:rsidRDefault="00ED2F66" w:rsidP="00ED2F66">
      <w:pPr>
        <w:jc w:val="both"/>
        <w:rPr>
          <w:rFonts w:ascii="Lucida Sans" w:hAnsi="Lucida Sans" w:cs="Arial"/>
          <w:sz w:val="20"/>
          <w:szCs w:val="20"/>
        </w:rPr>
      </w:pPr>
    </w:p>
    <w:p w:rsidR="00ED2F66" w:rsidRPr="007A3272" w:rsidRDefault="00ED2F66" w:rsidP="00ED2F66">
      <w:pPr>
        <w:jc w:val="both"/>
        <w:rPr>
          <w:rFonts w:ascii="Lucida Sans" w:hAnsi="Lucida Sans" w:cs="Arial"/>
          <w:sz w:val="20"/>
          <w:szCs w:val="20"/>
        </w:rPr>
      </w:pPr>
      <w:r w:rsidRPr="007A3272">
        <w:rPr>
          <w:rFonts w:ascii="Lucida Sans" w:hAnsi="Lucida Sans" w:cs="Arial"/>
          <w:sz w:val="20"/>
          <w:szCs w:val="20"/>
        </w:rPr>
        <w:t xml:space="preserve">De conformidad con lo dispuesto en el </w:t>
      </w:r>
      <w:r w:rsidRPr="00F00D5A">
        <w:rPr>
          <w:rFonts w:ascii="Lucida Sans" w:hAnsi="Lucida Sans" w:cs="Arial"/>
          <w:b/>
          <w:color w:val="0000FF"/>
          <w:sz w:val="20"/>
          <w:szCs w:val="20"/>
        </w:rPr>
        <w:t xml:space="preserve">artículo 172 </w:t>
      </w:r>
      <w:r w:rsidRPr="00F00D5A">
        <w:rPr>
          <w:rFonts w:ascii="Lucida Sans" w:hAnsi="Lucida Sans" w:cs="Arial"/>
          <w:b/>
          <w:bCs/>
          <w:color w:val="0000FF"/>
          <w:sz w:val="20"/>
          <w:szCs w:val="20"/>
        </w:rPr>
        <w:t>del</w:t>
      </w:r>
      <w:r w:rsidRPr="007A3272">
        <w:rPr>
          <w:rFonts w:ascii="Lucida Sans" w:hAnsi="Lucida Sans" w:cs="Arial"/>
          <w:bCs/>
          <w:sz w:val="20"/>
          <w:szCs w:val="20"/>
        </w:rPr>
        <w:t xml:space="preserve"> </w:t>
      </w:r>
      <w:r w:rsidRPr="007A3272">
        <w:rPr>
          <w:rFonts w:ascii="Lucida Sans" w:hAnsi="Lucida Sans"/>
          <w:b/>
          <w:bCs/>
          <w:color w:val="0000FF"/>
          <w:sz w:val="20"/>
          <w:szCs w:val="20"/>
        </w:rPr>
        <w:t>Código de Procedimiento Administrativo y de lo Contencioso Administrativo – Ley 1437 de 2011</w:t>
      </w:r>
      <w:r w:rsidRPr="007A3272">
        <w:rPr>
          <w:rFonts w:ascii="Lucida Sans" w:hAnsi="Lucida Sans" w:cs="Arial"/>
          <w:sz w:val="20"/>
          <w:szCs w:val="20"/>
        </w:rPr>
        <w:t xml:space="preserve">, se correrá traslado a la parte demandada, al Ministerio Público, a </w:t>
      </w:r>
      <w:smartTag w:uri="urn:schemas-microsoft-com:office:smarttags" w:element="PersonName">
        <w:smartTagPr>
          <w:attr w:name="ProductID" w:val="la Agencia Nacional"/>
        </w:smartTagPr>
        <w:r w:rsidRPr="007A3272">
          <w:rPr>
            <w:rFonts w:ascii="Lucida Sans" w:hAnsi="Lucida Sans" w:cs="Arial"/>
            <w:sz w:val="20"/>
            <w:szCs w:val="20"/>
          </w:rPr>
          <w:t>la Agencia Nacional</w:t>
        </w:r>
      </w:smartTag>
      <w:r w:rsidRPr="007A3272">
        <w:rPr>
          <w:rFonts w:ascii="Lucida Sans" w:hAnsi="Lucida Sans" w:cs="Arial"/>
          <w:sz w:val="20"/>
          <w:szCs w:val="20"/>
        </w:rPr>
        <w:t xml:space="preserve"> de Defensa Jurídica del Estado y a los sujetos que según la demanda o las actuaciones acusadas, tengan interés directo en el resultado del proceso, por el término de </w:t>
      </w:r>
      <w:r w:rsidRPr="007A3272">
        <w:rPr>
          <w:rFonts w:ascii="Lucida Sans" w:hAnsi="Lucida Sans" w:cs="Arial"/>
          <w:b/>
          <w:sz w:val="20"/>
          <w:szCs w:val="20"/>
          <w:u w:val="single"/>
        </w:rPr>
        <w:t>treinta (30) días</w:t>
      </w:r>
      <w:r w:rsidRPr="007A3272">
        <w:rPr>
          <w:rFonts w:ascii="Lucida Sans" w:hAnsi="Lucida Sans" w:cs="Arial"/>
          <w:sz w:val="20"/>
          <w:szCs w:val="20"/>
        </w:rPr>
        <w:t xml:space="preserve">, para contestar la demanda, proponer excepciones, solicitar pruebas, llamar en garantía y presentar demanda de reconvención. Este plazo comenzará a correr al vencimiento del término común de </w:t>
      </w:r>
      <w:r w:rsidRPr="007A3272">
        <w:rPr>
          <w:rFonts w:ascii="Lucida Sans" w:hAnsi="Lucida Sans" w:cs="Arial"/>
          <w:b/>
          <w:sz w:val="20"/>
          <w:szCs w:val="20"/>
          <w:u w:val="single"/>
        </w:rPr>
        <w:t>veinticinco (25) días</w:t>
      </w:r>
      <w:r w:rsidRPr="007A3272">
        <w:rPr>
          <w:rFonts w:ascii="Lucida Sans" w:hAnsi="Lucida Sans" w:cs="Arial"/>
          <w:sz w:val="20"/>
          <w:szCs w:val="20"/>
        </w:rPr>
        <w:t>, después de surtida la última notificación personal. (</w:t>
      </w:r>
      <w:r w:rsidRPr="007A3272">
        <w:rPr>
          <w:rFonts w:ascii="Lucida Sans" w:hAnsi="Lucida Sans" w:cs="Arial"/>
          <w:b/>
          <w:color w:val="0000FF"/>
          <w:sz w:val="20"/>
          <w:szCs w:val="20"/>
        </w:rPr>
        <w:t xml:space="preserve">Artículo 612 del Código General del Proceso, que modificó el artículo 199 del </w:t>
      </w:r>
      <w:r w:rsidRPr="007A3272">
        <w:rPr>
          <w:rFonts w:ascii="Lucida Sans" w:hAnsi="Lucida Sans" w:cs="Arial"/>
          <w:b/>
          <w:bCs/>
          <w:color w:val="0000FF"/>
          <w:sz w:val="20"/>
          <w:szCs w:val="20"/>
        </w:rPr>
        <w:t>Código de Procedimiento Administrativo y de lo Contencioso Administrativo – Ley 1437 de 2011</w:t>
      </w:r>
      <w:r w:rsidRPr="007A3272">
        <w:rPr>
          <w:rFonts w:ascii="Lucida Sans" w:hAnsi="Lucida Sans" w:cs="Arial"/>
          <w:sz w:val="20"/>
          <w:szCs w:val="20"/>
        </w:rPr>
        <w:t>).</w:t>
      </w:r>
    </w:p>
    <w:p w:rsidR="00ED2F66" w:rsidRPr="007A3272" w:rsidRDefault="00ED2F66" w:rsidP="00ED2F66">
      <w:pPr>
        <w:jc w:val="both"/>
        <w:rPr>
          <w:rFonts w:ascii="Lucida Sans" w:hAnsi="Lucida Sans" w:cs="Arial"/>
          <w:sz w:val="20"/>
          <w:szCs w:val="20"/>
        </w:rPr>
      </w:pPr>
    </w:p>
    <w:p w:rsidR="00ED2F66" w:rsidRPr="00353E0A" w:rsidRDefault="00ED2F66" w:rsidP="00ED2F66">
      <w:pPr>
        <w:pStyle w:val="Textoindependiente"/>
        <w:spacing w:line="240" w:lineRule="auto"/>
        <w:rPr>
          <w:rFonts w:ascii="Lucida Sans" w:hAnsi="Lucida Sans"/>
          <w:sz w:val="21"/>
          <w:szCs w:val="21"/>
        </w:rPr>
      </w:pPr>
      <w:r w:rsidRPr="00353E0A">
        <w:rPr>
          <w:rFonts w:ascii="Lucida Sans" w:hAnsi="Lucida Sans"/>
          <w:sz w:val="21"/>
          <w:szCs w:val="21"/>
        </w:rPr>
        <w:t xml:space="preserve">Toda vez que a la fecha no se ha reglamentado el tema de los gastos ordinarios del proceso a los que se refiere el </w:t>
      </w:r>
      <w:r w:rsidRPr="00353E0A">
        <w:rPr>
          <w:rFonts w:ascii="Lucida Sans" w:hAnsi="Lucida Sans"/>
          <w:b/>
          <w:color w:val="0000FF"/>
          <w:sz w:val="21"/>
          <w:szCs w:val="21"/>
        </w:rPr>
        <w:t xml:space="preserve">numeral 4° del artículo 171 del </w:t>
      </w:r>
      <w:r w:rsidRPr="00353E0A">
        <w:rPr>
          <w:rFonts w:ascii="Lucida Sans" w:hAnsi="Lucida Sans"/>
          <w:b/>
          <w:bCs/>
          <w:color w:val="0000FF"/>
          <w:sz w:val="21"/>
          <w:szCs w:val="21"/>
        </w:rPr>
        <w:t>Código de Procedimiento Administrativo y de lo Contencioso Administrativo – Ley 1437 de 2011</w:t>
      </w:r>
      <w:r w:rsidRPr="00353E0A">
        <w:rPr>
          <w:rFonts w:ascii="Lucida Sans" w:hAnsi="Lucida Sans"/>
          <w:sz w:val="21"/>
          <w:szCs w:val="21"/>
        </w:rPr>
        <w:t xml:space="preserve">, el Despacho se abstendrá por ahora de fijarlos, sin perjuicio, de que posteriormente y una vez sean regulados tales gastos por la autoridad competente, se proceda a la fijación de los mismos. </w:t>
      </w:r>
    </w:p>
    <w:p w:rsidR="00ED2F66" w:rsidRPr="00353E0A" w:rsidRDefault="00ED2F66" w:rsidP="00ED2F66">
      <w:pPr>
        <w:pStyle w:val="Textoindependiente"/>
        <w:spacing w:line="240" w:lineRule="auto"/>
        <w:rPr>
          <w:sz w:val="21"/>
          <w:szCs w:val="21"/>
        </w:rPr>
      </w:pPr>
    </w:p>
    <w:p w:rsidR="00ED2F66" w:rsidRPr="00353E0A" w:rsidRDefault="00ED2F66" w:rsidP="00ED2F66">
      <w:pPr>
        <w:pStyle w:val="Textoindependiente"/>
        <w:spacing w:line="240" w:lineRule="auto"/>
        <w:rPr>
          <w:rFonts w:ascii="Lucida Sans" w:hAnsi="Lucida Sans"/>
          <w:sz w:val="21"/>
          <w:szCs w:val="21"/>
        </w:rPr>
      </w:pPr>
      <w:r w:rsidRPr="00353E0A">
        <w:rPr>
          <w:rFonts w:ascii="Lucida Sans" w:hAnsi="Lucida Sans" w:cs="Tahoma"/>
          <w:sz w:val="21"/>
          <w:szCs w:val="21"/>
        </w:rPr>
        <w:t>En consecuencia, la parte actora deberá realizar las gestiones necesarias para el envío</w:t>
      </w:r>
      <w:r w:rsidRPr="00353E0A">
        <w:rPr>
          <w:rFonts w:ascii="Lucida Sans" w:hAnsi="Lucida Sans"/>
          <w:sz w:val="21"/>
          <w:szCs w:val="21"/>
        </w:rPr>
        <w:t xml:space="preserve"> a través del servicio postal autorizado de la copias de la demanda, de sus anexos y de este auto, con destino tanto a la entidad demandada como a la Agencia Nacional de Defensa Jurídica del Estado</w:t>
      </w:r>
      <w:r w:rsidRPr="00353E0A">
        <w:rPr>
          <w:rFonts w:ascii="Lucida Sans" w:hAnsi="Lucida Sans" w:cs="Tahoma"/>
          <w:sz w:val="21"/>
          <w:szCs w:val="21"/>
        </w:rPr>
        <w:t xml:space="preserve">. </w:t>
      </w:r>
      <w:r w:rsidRPr="00353E0A">
        <w:rPr>
          <w:rFonts w:ascii="Lucida Sans" w:hAnsi="Lucida Sans"/>
          <w:sz w:val="21"/>
          <w:szCs w:val="21"/>
          <w:lang w:val="es-ES"/>
        </w:rPr>
        <w:t xml:space="preserve">Para el efecto, se concede un término de </w:t>
      </w:r>
      <w:r w:rsidRPr="00353E0A">
        <w:rPr>
          <w:rFonts w:ascii="Lucida Sans" w:hAnsi="Lucida Sans"/>
          <w:b/>
          <w:sz w:val="21"/>
          <w:szCs w:val="21"/>
          <w:u w:val="single"/>
          <w:lang w:val="es-ES"/>
        </w:rPr>
        <w:t>treinta (30) días</w:t>
      </w:r>
      <w:r w:rsidRPr="00353E0A">
        <w:rPr>
          <w:rFonts w:ascii="Lucida Sans" w:hAnsi="Lucida Sans"/>
          <w:sz w:val="21"/>
          <w:szCs w:val="21"/>
          <w:lang w:val="es-ES"/>
        </w:rPr>
        <w:t xml:space="preserve"> contados a partir de la notificación por estados de esta providencia.</w:t>
      </w:r>
      <w:r w:rsidRPr="00353E0A">
        <w:rPr>
          <w:rFonts w:ascii="Lucida Sans" w:hAnsi="Lucida Sans"/>
          <w:b/>
          <w:sz w:val="21"/>
          <w:szCs w:val="21"/>
          <w:lang w:val="es-ES"/>
        </w:rPr>
        <w:t xml:space="preserve"> </w:t>
      </w:r>
      <w:r w:rsidRPr="00353E0A">
        <w:rPr>
          <w:rFonts w:ascii="Lucida Sans" w:hAnsi="Lucida Sans"/>
          <w:sz w:val="21"/>
          <w:szCs w:val="21"/>
          <w:lang w:val="es-ES"/>
        </w:rPr>
        <w:t xml:space="preserve">De no efectuarse la remisión de los traslados dentro de los términos establecidos, se procederá en la forma prevista en lo dispuesto en el </w:t>
      </w:r>
      <w:r w:rsidRPr="00353E0A">
        <w:rPr>
          <w:rFonts w:ascii="Lucida Sans" w:hAnsi="Lucida Sans"/>
          <w:sz w:val="21"/>
          <w:szCs w:val="21"/>
          <w:lang w:val="es-ES"/>
        </w:rPr>
        <w:lastRenderedPageBreak/>
        <w:t xml:space="preserve">Artículo 178 del </w:t>
      </w:r>
      <w:r w:rsidRPr="00353E0A">
        <w:rPr>
          <w:rFonts w:ascii="Lucida Sans" w:hAnsi="Lucida Sans"/>
          <w:b/>
          <w:bCs/>
          <w:color w:val="0000FF"/>
          <w:sz w:val="21"/>
          <w:szCs w:val="21"/>
        </w:rPr>
        <w:t>Código de Procedimiento Administrativo y de lo Contencioso Administrativo – Ley 1437 de 2011</w:t>
      </w:r>
      <w:r w:rsidRPr="00353E0A">
        <w:rPr>
          <w:rFonts w:ascii="Lucida Sans" w:hAnsi="Lucida Sans"/>
          <w:sz w:val="21"/>
          <w:szCs w:val="21"/>
          <w:lang w:val="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ED2F66" w:rsidRDefault="00ED2F66" w:rsidP="00ED2F66">
      <w:pPr>
        <w:jc w:val="both"/>
        <w:rPr>
          <w:rFonts w:ascii="Lucida Sans" w:hAnsi="Lucida Sans" w:cs="Arial"/>
          <w:sz w:val="21"/>
          <w:szCs w:val="21"/>
          <w:lang w:val="es-ES_tradnl"/>
        </w:rPr>
      </w:pPr>
    </w:p>
    <w:p w:rsidR="00ED2F66" w:rsidRPr="00CC5237" w:rsidRDefault="00ED2F66" w:rsidP="00ED2F66">
      <w:pPr>
        <w:jc w:val="both"/>
        <w:rPr>
          <w:rFonts w:ascii="Lucida Sans" w:hAnsi="Lucida Sans" w:cs="Arial"/>
          <w:sz w:val="20"/>
          <w:szCs w:val="20"/>
          <w:lang w:val="es-ES_tradnl"/>
        </w:rPr>
      </w:pPr>
    </w:p>
    <w:p w:rsidR="00ED2F66" w:rsidRDefault="00ED2F66" w:rsidP="00ED2F66">
      <w:pPr>
        <w:jc w:val="both"/>
        <w:rPr>
          <w:rFonts w:ascii="Lucida Sans" w:hAnsi="Lucida Sans" w:cs="Arial"/>
          <w:sz w:val="20"/>
          <w:szCs w:val="20"/>
        </w:rPr>
      </w:pPr>
      <w:r w:rsidRPr="007A3272">
        <w:rPr>
          <w:rFonts w:ascii="Lucida Sans" w:hAnsi="Lucida Sans" w:cs="Arial"/>
          <w:sz w:val="20"/>
          <w:szCs w:val="20"/>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3272">
        <w:rPr>
          <w:rFonts w:ascii="Lucida Sans" w:hAnsi="Lucida Sans"/>
          <w:b/>
          <w:bCs/>
          <w:color w:val="0000FF"/>
          <w:sz w:val="20"/>
          <w:szCs w:val="20"/>
        </w:rPr>
        <w:t>Código de Procedimiento Administrativo y de lo Contencioso Administrativo – Ley 1437 de 2011</w:t>
      </w:r>
      <w:r w:rsidRPr="007A3272">
        <w:rPr>
          <w:rFonts w:ascii="Lucida Sans" w:hAnsi="Lucida Sans" w:cs="Arial"/>
          <w:sz w:val="20"/>
          <w:szCs w:val="20"/>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ED2F66" w:rsidRPr="00FD6F00" w:rsidRDefault="00ED2F66" w:rsidP="00ED2F66">
      <w:pPr>
        <w:jc w:val="both"/>
        <w:rPr>
          <w:rFonts w:ascii="Lucida Sans" w:hAnsi="Lucida Sans" w:cs="Arial"/>
          <w:sz w:val="20"/>
          <w:szCs w:val="20"/>
        </w:rPr>
      </w:pPr>
    </w:p>
    <w:p w:rsidR="00ED2F66" w:rsidRPr="007A3272" w:rsidRDefault="00ED2F66" w:rsidP="00ED2F66">
      <w:pPr>
        <w:jc w:val="both"/>
        <w:rPr>
          <w:rFonts w:ascii="Lucida Sans" w:hAnsi="Lucida Sans" w:cs="Arial"/>
          <w:sz w:val="20"/>
          <w:szCs w:val="20"/>
          <w:lang w:val="es-ES_tradnl"/>
        </w:rPr>
      </w:pPr>
    </w:p>
    <w:p w:rsidR="00ED2F66" w:rsidRDefault="00ED2F66" w:rsidP="00ED2F66">
      <w:pPr>
        <w:jc w:val="both"/>
        <w:rPr>
          <w:rFonts w:ascii="Lucida Sans" w:hAnsi="Lucida Sans" w:cs="Arial"/>
          <w:sz w:val="20"/>
          <w:szCs w:val="20"/>
        </w:rPr>
      </w:pPr>
      <w:r w:rsidRPr="007A3272">
        <w:rPr>
          <w:rFonts w:ascii="Lucida Sans" w:hAnsi="Lucida Sans" w:cs="Arial"/>
          <w:b/>
          <w:bCs/>
          <w:sz w:val="20"/>
          <w:szCs w:val="20"/>
        </w:rPr>
        <w:t xml:space="preserve">PERSONERÍA. </w:t>
      </w:r>
      <w:r>
        <w:rPr>
          <w:rFonts w:ascii="Lucida Sans" w:hAnsi="Lucida Sans" w:cs="Arial"/>
          <w:sz w:val="20"/>
          <w:szCs w:val="20"/>
        </w:rPr>
        <w:t>Se reconoce personería a la Doctora</w:t>
      </w:r>
      <w:r w:rsidRPr="007A3272">
        <w:rPr>
          <w:rFonts w:ascii="Lucida Sans" w:hAnsi="Lucida Sans" w:cs="Arial"/>
          <w:sz w:val="20"/>
          <w:szCs w:val="20"/>
        </w:rPr>
        <w:t xml:space="preserve"> </w:t>
      </w:r>
      <w:r>
        <w:rPr>
          <w:rFonts w:ascii="Lucida Sans" w:hAnsi="Lucida Sans" w:cs="Arial"/>
          <w:b/>
          <w:sz w:val="20"/>
          <w:szCs w:val="20"/>
        </w:rPr>
        <w:t>DIANA CAROLINA ALZATE QUINTERO</w:t>
      </w:r>
      <w:r w:rsidRPr="007A3272">
        <w:rPr>
          <w:rFonts w:ascii="Lucida Sans" w:hAnsi="Lucida Sans" w:cs="Arial"/>
          <w:sz w:val="20"/>
          <w:szCs w:val="20"/>
        </w:rPr>
        <w:t>, para representar a la parte demandante en el proceso de la re</w:t>
      </w:r>
      <w:r>
        <w:rPr>
          <w:rFonts w:ascii="Lucida Sans" w:hAnsi="Lucida Sans" w:cs="Arial"/>
          <w:sz w:val="20"/>
          <w:szCs w:val="20"/>
        </w:rPr>
        <w:t>ferencia, en los términos del poder conferido</w:t>
      </w:r>
      <w:r w:rsidRPr="007A3272">
        <w:rPr>
          <w:rFonts w:ascii="Lucida Sans" w:hAnsi="Lucida Sans" w:cs="Arial"/>
          <w:sz w:val="20"/>
          <w:szCs w:val="20"/>
        </w:rPr>
        <w:t xml:space="preserve"> (</w:t>
      </w:r>
      <w:r>
        <w:rPr>
          <w:rFonts w:ascii="Lucida Sans" w:hAnsi="Lucida Sans" w:cs="Arial"/>
          <w:b/>
          <w:color w:val="0000FF"/>
          <w:sz w:val="20"/>
          <w:szCs w:val="20"/>
        </w:rPr>
        <w:t>folios 30-31</w:t>
      </w:r>
      <w:r w:rsidRPr="007A3272">
        <w:rPr>
          <w:rFonts w:ascii="Lucida Sans" w:hAnsi="Lucida Sans" w:cs="Arial"/>
          <w:sz w:val="20"/>
          <w:szCs w:val="20"/>
        </w:rPr>
        <w:t xml:space="preserve">). </w:t>
      </w:r>
    </w:p>
    <w:p w:rsidR="00ED2F66" w:rsidRDefault="00ED2F66" w:rsidP="00ED2F66">
      <w:pPr>
        <w:jc w:val="both"/>
        <w:rPr>
          <w:rFonts w:ascii="Lucida Sans" w:hAnsi="Lucida Sans" w:cs="Arial"/>
          <w:sz w:val="20"/>
          <w:szCs w:val="20"/>
        </w:rPr>
      </w:pPr>
    </w:p>
    <w:p w:rsidR="00ED2F66" w:rsidRDefault="00ED2F66" w:rsidP="00ED2F66">
      <w:pPr>
        <w:jc w:val="both"/>
        <w:rPr>
          <w:rFonts w:ascii="Lucida Sans" w:hAnsi="Lucida Sans" w:cs="Arial"/>
          <w:sz w:val="20"/>
          <w:szCs w:val="20"/>
        </w:rPr>
      </w:pPr>
    </w:p>
    <w:p w:rsidR="00ED2F66" w:rsidRDefault="00ED2F66" w:rsidP="00ED2F66">
      <w:pPr>
        <w:jc w:val="both"/>
        <w:rPr>
          <w:rFonts w:ascii="Lucida Sans" w:hAnsi="Lucida Sans" w:cs="Arial"/>
          <w:sz w:val="20"/>
          <w:szCs w:val="20"/>
        </w:rPr>
      </w:pPr>
    </w:p>
    <w:p w:rsidR="00ED2F66" w:rsidRDefault="00ED2F66" w:rsidP="00ED2F66">
      <w:pPr>
        <w:jc w:val="both"/>
        <w:rPr>
          <w:rFonts w:ascii="Lucida Sans" w:hAnsi="Lucida Sans" w:cs="Arial"/>
          <w:sz w:val="20"/>
          <w:szCs w:val="20"/>
        </w:rPr>
      </w:pPr>
    </w:p>
    <w:p w:rsidR="00ED2F66" w:rsidRPr="007550A4" w:rsidRDefault="00ED2F66" w:rsidP="00ED2F66">
      <w:pPr>
        <w:rPr>
          <w:lang w:val="es-ES_tradnl"/>
        </w:rPr>
      </w:pPr>
    </w:p>
    <w:p w:rsidR="00ED2F66" w:rsidRPr="005562DF" w:rsidRDefault="00ED2F66" w:rsidP="00ED2F66">
      <w:pPr>
        <w:pStyle w:val="Ttulo3"/>
        <w:spacing w:before="0" w:after="0"/>
        <w:jc w:val="center"/>
        <w:rPr>
          <w:rFonts w:ascii="Bradley Hand ITC" w:hAnsi="Bradley Hand ITC"/>
          <w:b w:val="0"/>
          <w:sz w:val="28"/>
          <w:szCs w:val="28"/>
        </w:rPr>
      </w:pPr>
      <w:r w:rsidRPr="005562DF">
        <w:rPr>
          <w:rFonts w:ascii="Bradley Hand ITC" w:hAnsi="Bradley Hand ITC"/>
          <w:b w:val="0"/>
          <w:sz w:val="28"/>
          <w:szCs w:val="28"/>
        </w:rPr>
        <w:t>NOTIFÍQUESE Y CÚMPLASE</w:t>
      </w:r>
    </w:p>
    <w:p w:rsidR="00ED2F66" w:rsidRPr="005562DF" w:rsidRDefault="00ED2F66" w:rsidP="00ED2F66">
      <w:pPr>
        <w:jc w:val="center"/>
        <w:rPr>
          <w:rFonts w:ascii="Bradley Hand ITC" w:hAnsi="Bradley Hand ITC"/>
          <w:sz w:val="28"/>
          <w:szCs w:val="28"/>
        </w:rPr>
      </w:pPr>
    </w:p>
    <w:p w:rsidR="00ED2F66" w:rsidRDefault="00ED2F66" w:rsidP="00ED2F66">
      <w:pPr>
        <w:rPr>
          <w:rFonts w:ascii="Bradley Hand ITC" w:hAnsi="Bradley Hand ITC"/>
          <w:sz w:val="28"/>
          <w:szCs w:val="28"/>
        </w:rPr>
      </w:pPr>
    </w:p>
    <w:p w:rsidR="00ED2F66" w:rsidRPr="005562DF" w:rsidRDefault="00ED2F66" w:rsidP="00ED2F66">
      <w:pPr>
        <w:rPr>
          <w:rFonts w:ascii="Bradley Hand ITC" w:hAnsi="Bradley Hand ITC"/>
          <w:sz w:val="28"/>
          <w:szCs w:val="28"/>
        </w:rPr>
      </w:pPr>
    </w:p>
    <w:p w:rsidR="00ED2F66" w:rsidRPr="005562DF" w:rsidRDefault="00ED2F66" w:rsidP="00ED2F66">
      <w:pPr>
        <w:jc w:val="center"/>
        <w:rPr>
          <w:rFonts w:ascii="Bradley Hand ITC" w:hAnsi="Bradley Hand ITC" w:cs="Arial"/>
          <w:b/>
          <w:sz w:val="28"/>
          <w:szCs w:val="28"/>
        </w:rPr>
      </w:pPr>
      <w:r>
        <w:rPr>
          <w:rFonts w:ascii="Bradley Hand ITC" w:hAnsi="Bradley Hand ITC" w:cs="Arial"/>
          <w:b/>
          <w:sz w:val="28"/>
          <w:szCs w:val="28"/>
        </w:rPr>
        <w:t xml:space="preserve">RODRIGO VERGARA CORTÉS </w:t>
      </w:r>
    </w:p>
    <w:p w:rsidR="00ED2F66" w:rsidRDefault="00ED2F66" w:rsidP="00ED2F66">
      <w:pPr>
        <w:jc w:val="center"/>
        <w:rPr>
          <w:rFonts w:ascii="Bradley Hand ITC" w:hAnsi="Bradley Hand ITC"/>
          <w:sz w:val="26"/>
          <w:szCs w:val="26"/>
        </w:rPr>
      </w:pPr>
      <w:r w:rsidRPr="005562DF">
        <w:rPr>
          <w:rFonts w:ascii="Bradley Hand ITC" w:hAnsi="Bradley Hand ITC"/>
          <w:sz w:val="28"/>
          <w:szCs w:val="28"/>
        </w:rPr>
        <w:t>Juez</w:t>
      </w:r>
      <w:r>
        <w:rPr>
          <w:rFonts w:ascii="Bradley Hand ITC" w:hAnsi="Bradley Hand ITC"/>
          <w:sz w:val="26"/>
          <w:szCs w:val="26"/>
        </w:rPr>
        <w:t xml:space="preserve"> </w:t>
      </w:r>
    </w:p>
    <w:p w:rsidR="00ED2F66" w:rsidRDefault="00ED2F66" w:rsidP="00ED2F66">
      <w:pPr>
        <w:spacing w:line="360" w:lineRule="auto"/>
        <w:jc w:val="center"/>
        <w:rPr>
          <w:rFonts w:ascii="Bradley Hand ITC" w:hAnsi="Bradley Hand ITC"/>
          <w:sz w:val="28"/>
          <w:szCs w:val="28"/>
        </w:rPr>
      </w:pP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ED2F66" w:rsidRDefault="00ED2F66" w:rsidP="00ED2F66">
                            <w:pPr>
                              <w:jc w:val="center"/>
                              <w:rPr>
                                <w:rFonts w:ascii="MS Reference Sans Serif" w:hAnsi="MS Reference Sans Serif"/>
                                <w:b/>
                                <w:sz w:val="16"/>
                                <w:szCs w:val="16"/>
                              </w:rPr>
                            </w:pPr>
                          </w:p>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ED2F66" w:rsidRDefault="00ED2F66" w:rsidP="00ED2F66">
                            <w:pPr>
                              <w:rPr>
                                <w:rFonts w:ascii="MS Reference Sans Serif" w:hAnsi="MS Reference Sans Serif"/>
                                <w:b/>
                                <w:sz w:val="16"/>
                                <w:szCs w:val="16"/>
                              </w:rPr>
                            </w:pPr>
                          </w:p>
                          <w:p w:rsidR="00ED2F66" w:rsidRDefault="00ED2F66" w:rsidP="00ED2F6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ED2F66" w:rsidRDefault="00ED2F66" w:rsidP="00ED2F66">
                      <w:pPr>
                        <w:jc w:val="center"/>
                        <w:rPr>
                          <w:rFonts w:ascii="MS Reference Sans Serif" w:hAnsi="MS Reference Sans Serif"/>
                          <w:b/>
                          <w:sz w:val="16"/>
                          <w:szCs w:val="16"/>
                        </w:rPr>
                      </w:pPr>
                    </w:p>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ED2F66" w:rsidRDefault="00ED2F66" w:rsidP="00ED2F66">
                      <w:pPr>
                        <w:rPr>
                          <w:rFonts w:ascii="MS Reference Sans Serif" w:hAnsi="MS Reference Sans Serif"/>
                          <w:b/>
                          <w:sz w:val="16"/>
                          <w:szCs w:val="16"/>
                        </w:rPr>
                      </w:pPr>
                    </w:p>
                    <w:p w:rsidR="00ED2F66" w:rsidRDefault="00ED2F66" w:rsidP="00ED2F66">
                      <w:pPr>
                        <w:jc w:val="both"/>
                        <w:rPr>
                          <w:rFonts w:ascii="MS Reference Sans Serif" w:hAnsi="MS Reference Sans Serif"/>
                          <w:b/>
                          <w:sz w:val="16"/>
                          <w:szCs w:val="16"/>
                        </w:rPr>
                      </w:pPr>
                      <w:r>
                        <w:rPr>
                          <w:rFonts w:ascii="MS Reference Sans Serif" w:hAnsi="MS Reference Sans Serif"/>
                          <w:sz w:val="16"/>
                          <w:szCs w:val="16"/>
                        </w:rPr>
                        <w:t>En Medellín</w:t>
                      </w:r>
                      <w:r>
                        <w:rPr>
                          <w:rFonts w:ascii="MS Reference Sans Serif" w:hAnsi="MS Reference Sans Serif"/>
                          <w:sz w:val="16"/>
                          <w:szCs w:val="16"/>
                        </w:rPr>
                        <w:t>, a los ________________ de 2015</w:t>
                      </w:r>
                      <w:bookmarkStart w:id="1" w:name="_GoBack"/>
                      <w:bookmarkEnd w:id="1"/>
                      <w:r>
                        <w:rPr>
                          <w:rFonts w:ascii="MS Reference Sans Serif" w:hAnsi="MS Reference Sans Serif"/>
                          <w:sz w:val="16"/>
                          <w:szCs w:val="16"/>
                        </w:rPr>
                        <w:t xml:space="preserve">,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ED2F66" w:rsidRDefault="00ED2F66" w:rsidP="00ED2F6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ED2F66" w:rsidRDefault="00ED2F66" w:rsidP="00ED2F66">
                            <w:pPr>
                              <w:jc w:val="center"/>
                              <w:rPr>
                                <w:rFonts w:ascii="MS Reference Sans Serif" w:hAnsi="MS Reference Sans Serif"/>
                                <w:b/>
                                <w:sz w:val="16"/>
                                <w:szCs w:val="16"/>
                              </w:rPr>
                            </w:pPr>
                          </w:p>
                          <w:p w:rsidR="00ED2F66" w:rsidRDefault="00ED2F66" w:rsidP="00ED2F66">
                            <w:pPr>
                              <w:jc w:val="center"/>
                              <w:rPr>
                                <w:rFonts w:ascii="Georgia" w:hAnsi="Georgia"/>
                                <w:b/>
                                <w:sz w:val="18"/>
                                <w:szCs w:val="18"/>
                              </w:rPr>
                            </w:pPr>
                            <w:r>
                              <w:rPr>
                                <w:rFonts w:ascii="Georgia" w:hAnsi="Georgia"/>
                                <w:b/>
                                <w:sz w:val="18"/>
                                <w:szCs w:val="18"/>
                              </w:rPr>
                              <w:t>NOTIFICACIÓN POR ESTADO</w:t>
                            </w:r>
                          </w:p>
                          <w:p w:rsidR="00ED2F66" w:rsidRDefault="00ED2F66" w:rsidP="00ED2F66">
                            <w:pPr>
                              <w:jc w:val="center"/>
                              <w:rPr>
                                <w:rFonts w:ascii="MS Reference Sans Serif" w:hAnsi="MS Reference Sans Serif"/>
                                <w:sz w:val="16"/>
                                <w:szCs w:val="16"/>
                              </w:rPr>
                            </w:pP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ED2F66" w:rsidRDefault="00ED2F66" w:rsidP="00ED2F66">
                            <w:pPr>
                              <w:jc w:val="center"/>
                              <w:rPr>
                                <w:rFonts w:ascii="MS Reference Sans Serif" w:hAnsi="MS Reference Sans Serif"/>
                                <w:sz w:val="16"/>
                                <w:szCs w:val="16"/>
                              </w:rPr>
                            </w:pPr>
                          </w:p>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ED2F66" w:rsidRDefault="00ED2F66" w:rsidP="00ED2F66">
                            <w:pPr>
                              <w:rPr>
                                <w:rFonts w:ascii="MS Reference Sans Serif" w:hAnsi="MS Reference Sans Serif"/>
                                <w:sz w:val="16"/>
                                <w:szCs w:val="16"/>
                              </w:rPr>
                            </w:pP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ED2F66" w:rsidRDefault="00ED2F66" w:rsidP="00ED2F6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ED2F66" w:rsidRDefault="00ED2F66" w:rsidP="00ED2F66">
                      <w:pPr>
                        <w:jc w:val="center"/>
                        <w:rPr>
                          <w:rFonts w:ascii="MS Reference Sans Serif" w:hAnsi="MS Reference Sans Serif"/>
                          <w:b/>
                          <w:sz w:val="16"/>
                          <w:szCs w:val="16"/>
                        </w:rPr>
                      </w:pPr>
                    </w:p>
                    <w:p w:rsidR="00ED2F66" w:rsidRDefault="00ED2F66" w:rsidP="00ED2F66">
                      <w:pPr>
                        <w:jc w:val="center"/>
                        <w:rPr>
                          <w:rFonts w:ascii="Georgia" w:hAnsi="Georgia"/>
                          <w:b/>
                          <w:sz w:val="18"/>
                          <w:szCs w:val="18"/>
                        </w:rPr>
                      </w:pPr>
                      <w:r>
                        <w:rPr>
                          <w:rFonts w:ascii="Georgia" w:hAnsi="Georgia"/>
                          <w:b/>
                          <w:sz w:val="18"/>
                          <w:szCs w:val="18"/>
                        </w:rPr>
                        <w:t>NOTIFICACIÓN POR ESTADO</w:t>
                      </w:r>
                    </w:p>
                    <w:p w:rsidR="00ED2F66" w:rsidRDefault="00ED2F66" w:rsidP="00ED2F66">
                      <w:pPr>
                        <w:jc w:val="center"/>
                        <w:rPr>
                          <w:rFonts w:ascii="MS Reference Sans Serif" w:hAnsi="MS Reference Sans Serif"/>
                          <w:sz w:val="16"/>
                          <w:szCs w:val="16"/>
                        </w:rPr>
                      </w:pP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ED2F66" w:rsidRDefault="00ED2F66" w:rsidP="00ED2F66">
                      <w:pPr>
                        <w:jc w:val="center"/>
                        <w:rPr>
                          <w:rFonts w:ascii="MS Reference Sans Serif" w:hAnsi="MS Reference Sans Serif"/>
                          <w:sz w:val="16"/>
                          <w:szCs w:val="16"/>
                        </w:rPr>
                      </w:pPr>
                    </w:p>
                    <w:p w:rsidR="00ED2F66" w:rsidRDefault="00ED2F66" w:rsidP="00ED2F6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ED2F66" w:rsidRDefault="00ED2F66" w:rsidP="00ED2F66">
                      <w:pPr>
                        <w:rPr>
                          <w:rFonts w:ascii="MS Reference Sans Serif" w:hAnsi="MS Reference Sans Serif"/>
                          <w:sz w:val="16"/>
                          <w:szCs w:val="16"/>
                        </w:rPr>
                      </w:pP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ED2F66" w:rsidRDefault="00ED2F66" w:rsidP="00ED2F6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ED2F66" w:rsidRDefault="00ED2F66" w:rsidP="00ED2F66">
      <w:pPr>
        <w:spacing w:line="360" w:lineRule="auto"/>
        <w:jc w:val="center"/>
        <w:rPr>
          <w:rFonts w:ascii="Bradley Hand ITC" w:hAnsi="Bradley Hand ITC"/>
          <w:sz w:val="28"/>
          <w:szCs w:val="28"/>
        </w:rPr>
      </w:pPr>
    </w:p>
    <w:p w:rsidR="00ED2F66" w:rsidRDefault="00ED2F66" w:rsidP="00ED2F66">
      <w:pPr>
        <w:spacing w:line="360" w:lineRule="auto"/>
        <w:jc w:val="center"/>
        <w:rPr>
          <w:rFonts w:ascii="Lucida Sans" w:hAnsi="Lucida Sans"/>
          <w:sz w:val="22"/>
          <w:szCs w:val="22"/>
        </w:rPr>
      </w:pPr>
    </w:p>
    <w:p w:rsidR="00ED2F66" w:rsidRDefault="00ED2F66" w:rsidP="00ED2F66">
      <w:pPr>
        <w:spacing w:line="360" w:lineRule="auto"/>
        <w:jc w:val="center"/>
        <w:rPr>
          <w:rFonts w:ascii="Lucida Sans" w:hAnsi="Lucida Sans"/>
        </w:rPr>
      </w:pPr>
    </w:p>
    <w:p w:rsidR="00ED2F66" w:rsidRDefault="00ED2F66" w:rsidP="00ED2F66"/>
    <w:p w:rsidR="00ED2F66" w:rsidRDefault="00ED2F66" w:rsidP="00ED2F66"/>
    <w:p w:rsidR="00ED2F66" w:rsidRDefault="00ED2F66" w:rsidP="00ED2F66"/>
    <w:p w:rsidR="00ED2F66" w:rsidRDefault="00ED2F66" w:rsidP="00ED2F66"/>
    <w:p w:rsidR="00ED2F66" w:rsidRDefault="00ED2F66" w:rsidP="00ED2F66">
      <w:r>
        <w:rPr>
          <w:rFonts w:ascii="Bradley Hand ITC" w:hAnsi="Bradley Hand ITC"/>
          <w:sz w:val="18"/>
          <w:szCs w:val="18"/>
        </w:rPr>
        <w:t>JCG</w:t>
      </w:r>
    </w:p>
    <w:p w:rsidR="006E6CD2" w:rsidRDefault="00F009C9"/>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66"/>
    <w:rsid w:val="00456A00"/>
    <w:rsid w:val="009749CD"/>
    <w:rsid w:val="00B05FA4"/>
    <w:rsid w:val="00EC6425"/>
    <w:rsid w:val="00ED2F66"/>
    <w:rsid w:val="00F009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5B4C99-735C-4FA5-A57A-53BB7C88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66"/>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D2F66"/>
    <w:pPr>
      <w:keepNext/>
      <w:overflowPunct w:val="0"/>
      <w:autoSpaceDE w:val="0"/>
      <w:autoSpaceDN w:val="0"/>
      <w:adjustRightInd w:val="0"/>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D2F66"/>
    <w:rPr>
      <w:rFonts w:ascii="Arial" w:eastAsia="Times New Roman" w:hAnsi="Arial" w:cs="Arial"/>
      <w:b/>
      <w:bCs/>
      <w:sz w:val="26"/>
      <w:szCs w:val="26"/>
      <w:lang w:val="es-ES_tradnl" w:eastAsia="es-ES"/>
    </w:rPr>
  </w:style>
  <w:style w:type="character" w:customStyle="1" w:styleId="EncabezadoCar">
    <w:name w:val="Encabezado Car"/>
    <w:link w:val="Encabezado"/>
    <w:locked/>
    <w:rsid w:val="00ED2F66"/>
    <w:rPr>
      <w:rFonts w:ascii="Arial" w:hAnsi="Arial" w:cs="Arial"/>
      <w:sz w:val="28"/>
      <w:lang w:val="es-ES_tradnl" w:eastAsia="es-ES"/>
    </w:rPr>
  </w:style>
  <w:style w:type="paragraph" w:styleId="Encabezado">
    <w:name w:val="header"/>
    <w:basedOn w:val="Normal"/>
    <w:link w:val="EncabezadoCar"/>
    <w:rsid w:val="00ED2F66"/>
    <w:pPr>
      <w:tabs>
        <w:tab w:val="center" w:pos="4419"/>
        <w:tab w:val="right" w:pos="8838"/>
      </w:tabs>
      <w:overflowPunct w:val="0"/>
      <w:autoSpaceDE w:val="0"/>
      <w:autoSpaceDN w:val="0"/>
      <w:adjustRightInd w:val="0"/>
    </w:pPr>
    <w:rPr>
      <w:rFonts w:ascii="Arial" w:eastAsiaTheme="minorHAnsi" w:hAnsi="Arial" w:cs="Arial"/>
      <w:sz w:val="28"/>
      <w:szCs w:val="22"/>
      <w:lang w:val="es-ES_tradnl"/>
    </w:rPr>
  </w:style>
  <w:style w:type="character" w:customStyle="1" w:styleId="EncabezadoCar1">
    <w:name w:val="Encabezado Car1"/>
    <w:basedOn w:val="Fuentedeprrafopredeter"/>
    <w:uiPriority w:val="99"/>
    <w:semiHidden/>
    <w:rsid w:val="00ED2F66"/>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semiHidden/>
    <w:locked/>
    <w:rsid w:val="00ED2F66"/>
    <w:rPr>
      <w:rFonts w:ascii="Arial" w:hAnsi="Arial" w:cs="Arial"/>
      <w:sz w:val="24"/>
      <w:lang w:val="es-ES_tradnl" w:eastAsia="es-ES"/>
    </w:rPr>
  </w:style>
  <w:style w:type="paragraph" w:styleId="Textoindependiente">
    <w:name w:val="Body Text"/>
    <w:basedOn w:val="Normal"/>
    <w:link w:val="TextoindependienteCar"/>
    <w:semiHidden/>
    <w:rsid w:val="00ED2F66"/>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uiPriority w:val="99"/>
    <w:semiHidden/>
    <w:rsid w:val="00ED2F66"/>
    <w:rPr>
      <w:rFonts w:ascii="Times New Roman" w:eastAsia="Times New Roman" w:hAnsi="Times New Roman" w:cs="Times New Roman"/>
      <w:sz w:val="24"/>
      <w:szCs w:val="24"/>
      <w:lang w:val="es-ES" w:eastAsia="es-ES"/>
    </w:rPr>
  </w:style>
  <w:style w:type="paragraph" w:customStyle="1" w:styleId="a">
    <w:basedOn w:val="Normal"/>
    <w:next w:val="Puesto"/>
    <w:link w:val="TtuloCar"/>
    <w:qFormat/>
    <w:rsid w:val="00ED2F66"/>
    <w:pPr>
      <w:spacing w:line="360" w:lineRule="auto"/>
      <w:jc w:val="center"/>
    </w:pPr>
    <w:rPr>
      <w:rFonts w:ascii="Trebuchet MS" w:eastAsiaTheme="minorHAnsi" w:hAnsi="Trebuchet MS" w:cstheme="minorBidi"/>
      <w:b/>
      <w:bCs/>
      <w:sz w:val="22"/>
    </w:rPr>
  </w:style>
  <w:style w:type="character" w:customStyle="1" w:styleId="TtuloCar">
    <w:name w:val="Título Car"/>
    <w:link w:val="a"/>
    <w:rsid w:val="00ED2F66"/>
    <w:rPr>
      <w:rFonts w:ascii="Trebuchet MS" w:hAnsi="Trebuchet MS"/>
      <w:b/>
      <w:bCs/>
      <w:sz w:val="22"/>
      <w:szCs w:val="24"/>
      <w:lang w:val="es-ES" w:eastAsia="es-ES" w:bidi="ar-SA"/>
    </w:rPr>
  </w:style>
  <w:style w:type="paragraph" w:styleId="Puesto">
    <w:name w:val="Title"/>
    <w:basedOn w:val="Normal"/>
    <w:next w:val="Normal"/>
    <w:link w:val="PuestoCar"/>
    <w:uiPriority w:val="10"/>
    <w:qFormat/>
    <w:rsid w:val="00ED2F66"/>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D2F66"/>
    <w:rPr>
      <w:rFonts w:asciiTheme="majorHAnsi" w:eastAsiaTheme="majorEastAsia" w:hAnsiTheme="majorHAnsi" w:cstheme="majorBidi"/>
      <w:spacing w:val="-10"/>
      <w:kern w:val="28"/>
      <w:sz w:val="56"/>
      <w:szCs w:val="56"/>
      <w:lang w:val="es-ES" w:eastAsia="es-ES"/>
    </w:rPr>
  </w:style>
  <w:style w:type="paragraph" w:styleId="Textodeglobo">
    <w:name w:val="Balloon Text"/>
    <w:basedOn w:val="Normal"/>
    <w:link w:val="TextodegloboCar"/>
    <w:uiPriority w:val="99"/>
    <w:semiHidden/>
    <w:unhideWhenUsed/>
    <w:rsid w:val="00ED2F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F6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2015-01-20T21:24:00Z</cp:lastPrinted>
  <dcterms:created xsi:type="dcterms:W3CDTF">2015-01-27T20:47:00Z</dcterms:created>
  <dcterms:modified xsi:type="dcterms:W3CDTF">2015-01-27T20:47:00Z</dcterms:modified>
</cp:coreProperties>
</file>