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08" w:rsidRPr="007A5AC6" w:rsidRDefault="006E5708" w:rsidP="006E5708">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6E5708" w:rsidRPr="007A5AC6" w:rsidRDefault="006E5708" w:rsidP="006E5708">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6E5708" w:rsidRPr="007A5AC6" w:rsidRDefault="006E5708" w:rsidP="006E5708">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05001-33-33-016-2014-01343 00</w:t>
      </w: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SENITH DEL CARMEN VALENCIA LENIS</w:t>
      </w: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6E5708" w:rsidRPr="007A5AC6" w:rsidRDefault="006E5708" w:rsidP="006E570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6E5708" w:rsidRPr="007A5AC6" w:rsidRDefault="006E5708" w:rsidP="006E5708">
      <w:pPr>
        <w:spacing w:after="0" w:line="240" w:lineRule="auto"/>
        <w:jc w:val="both"/>
        <w:rPr>
          <w:rFonts w:ascii="Lucida Sans" w:eastAsia="Times New Roman" w:hAnsi="Lucida Sans" w:cs="Arial"/>
          <w:bCs/>
          <w:sz w:val="21"/>
          <w:szCs w:val="21"/>
          <w:lang w:val="es-ES" w:eastAsia="es-ES"/>
        </w:rPr>
      </w:pPr>
    </w:p>
    <w:p w:rsidR="006E5708" w:rsidRPr="007A5AC6" w:rsidRDefault="006E5708" w:rsidP="006E5708">
      <w:pPr>
        <w:spacing w:after="0" w:line="240" w:lineRule="auto"/>
        <w:jc w:val="both"/>
        <w:rPr>
          <w:rFonts w:ascii="Lucida Sans" w:eastAsia="Times New Roman" w:hAnsi="Lucida Sans" w:cs="Arial"/>
          <w:bCs/>
          <w:sz w:val="21"/>
          <w:szCs w:val="21"/>
          <w:lang w:val="es-ES" w:eastAsia="es-ES"/>
        </w:rPr>
      </w:pPr>
    </w:p>
    <w:p w:rsidR="006E5708" w:rsidRPr="007A5AC6" w:rsidRDefault="006E5708" w:rsidP="006E5708">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SENITH DEL CARMEN VALENCIA LENIS,</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7A5AC6">
        <w:rPr>
          <w:rFonts w:ascii="Lucida Sans" w:eastAsia="Times New Roman" w:hAnsi="Lucida Sans" w:cs="Arial"/>
          <w:b/>
          <w:sz w:val="20"/>
          <w:szCs w:val="20"/>
          <w:lang w:val="es-ES" w:eastAsia="es-ES"/>
        </w:rPr>
        <w:t>.</w:t>
      </w: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w:t>
      </w:r>
      <w:proofErr w:type="spellStart"/>
      <w:r w:rsidRPr="007A5AC6">
        <w:rPr>
          <w:rFonts w:ascii="Lucida Sans" w:eastAsia="Times New Roman" w:hAnsi="Lucida Sans" w:cs="Arial"/>
          <w:sz w:val="20"/>
          <w:szCs w:val="20"/>
          <w:lang w:val="es-ES" w:eastAsia="es-ES"/>
        </w:rPr>
        <w:t>admisorio</w:t>
      </w:r>
      <w:proofErr w:type="spellEnd"/>
      <w:r w:rsidRPr="007A5AC6">
        <w:rPr>
          <w:rFonts w:ascii="Lucida Sans" w:eastAsia="Times New Roman" w:hAnsi="Lucida Sans" w:cs="Arial"/>
          <w:sz w:val="20"/>
          <w:szCs w:val="20"/>
          <w:lang w:val="es-ES" w:eastAsia="es-ES"/>
        </w:rPr>
        <w:t xml:space="preserve">,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6E5708" w:rsidRPr="007A5AC6" w:rsidRDefault="006E5708" w:rsidP="006E5708">
      <w:pPr>
        <w:spacing w:after="0" w:line="240" w:lineRule="auto"/>
        <w:jc w:val="both"/>
        <w:rPr>
          <w:rFonts w:ascii="Lucida Sans" w:eastAsia="Times New Roman" w:hAnsi="Lucida Sans" w:cs="Tahoma"/>
          <w:sz w:val="20"/>
          <w:szCs w:val="20"/>
          <w:lang w:val="es-ES" w:eastAsia="es-ES"/>
        </w:rPr>
      </w:pPr>
    </w:p>
    <w:p w:rsidR="006E5708" w:rsidRPr="007A5AC6" w:rsidRDefault="006E5708" w:rsidP="006E5708">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6E5708" w:rsidRPr="007A5AC6" w:rsidRDefault="006E5708" w:rsidP="006E5708">
      <w:pPr>
        <w:spacing w:after="0" w:line="240" w:lineRule="auto"/>
        <w:jc w:val="both"/>
        <w:rPr>
          <w:rFonts w:ascii="Lucida Sans" w:eastAsia="Times New Roman" w:hAnsi="Lucida Sans" w:cs="Tahoma"/>
          <w:sz w:val="20"/>
          <w:szCs w:val="20"/>
          <w:lang w:val="es-ES" w:eastAsia="es-ES"/>
        </w:rPr>
      </w:pPr>
    </w:p>
    <w:p w:rsidR="006E5708" w:rsidRPr="007A5AC6" w:rsidRDefault="006E5708" w:rsidP="006E5708">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6B5E26" w:rsidRDefault="006E5708" w:rsidP="006E5708">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6E5708" w:rsidRPr="006B5E26" w:rsidRDefault="006E5708" w:rsidP="006E5708">
      <w:pPr>
        <w:overflowPunct w:val="0"/>
        <w:autoSpaceDE w:val="0"/>
        <w:autoSpaceDN w:val="0"/>
        <w:adjustRightInd w:val="0"/>
        <w:spacing w:after="0" w:line="240" w:lineRule="auto"/>
        <w:jc w:val="both"/>
        <w:rPr>
          <w:rFonts w:ascii="Arial" w:hAnsi="Arial" w:cs="Arial"/>
          <w:sz w:val="20"/>
          <w:szCs w:val="20"/>
          <w:lang w:val="es-ES_tradnl" w:eastAsia="es-ES"/>
        </w:rPr>
      </w:pPr>
    </w:p>
    <w:p w:rsidR="006E5708" w:rsidRPr="006B5E26" w:rsidRDefault="006E5708" w:rsidP="006E5708">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6E5708" w:rsidRPr="007A5AC6" w:rsidRDefault="006E5708" w:rsidP="006E5708">
      <w:pPr>
        <w:spacing w:after="0" w:line="240" w:lineRule="auto"/>
        <w:jc w:val="both"/>
        <w:rPr>
          <w:rFonts w:ascii="Lucida Sans" w:eastAsia="Times New Roman" w:hAnsi="Lucida Sans" w:cs="Arial"/>
          <w:sz w:val="21"/>
          <w:szCs w:val="21"/>
          <w:lang w:val="es-ES_tradnl" w:eastAsia="es-ES"/>
        </w:rPr>
      </w:pPr>
    </w:p>
    <w:p w:rsidR="006E5708" w:rsidRPr="007A5AC6" w:rsidRDefault="006E5708" w:rsidP="006E5708">
      <w:pPr>
        <w:spacing w:after="0" w:line="240" w:lineRule="auto"/>
        <w:jc w:val="both"/>
        <w:rPr>
          <w:rFonts w:ascii="Lucida Sans" w:eastAsia="Times New Roman" w:hAnsi="Lucida Sans" w:cs="Arial"/>
          <w:sz w:val="20"/>
          <w:szCs w:val="20"/>
          <w:lang w:val="es-ES_tradnl"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_tradnl"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27-28</w:t>
      </w:r>
      <w:r w:rsidRPr="007A5AC6">
        <w:rPr>
          <w:rFonts w:ascii="Lucida Sans" w:eastAsia="Times New Roman" w:hAnsi="Lucida Sans" w:cs="Arial"/>
          <w:sz w:val="20"/>
          <w:szCs w:val="20"/>
          <w:lang w:val="es-ES" w:eastAsia="es-ES"/>
        </w:rPr>
        <w:t xml:space="preserve">). </w:t>
      </w: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jc w:val="both"/>
        <w:rPr>
          <w:rFonts w:ascii="Lucida Sans" w:eastAsia="Times New Roman" w:hAnsi="Lucida Sans" w:cs="Arial"/>
          <w:sz w:val="20"/>
          <w:szCs w:val="20"/>
          <w:lang w:val="es-ES" w:eastAsia="es-ES"/>
        </w:rPr>
      </w:pPr>
    </w:p>
    <w:p w:rsidR="006E5708" w:rsidRPr="007A5AC6" w:rsidRDefault="006E5708" w:rsidP="006E5708">
      <w:pPr>
        <w:spacing w:after="0" w:line="240" w:lineRule="auto"/>
        <w:rPr>
          <w:rFonts w:ascii="Times New Roman" w:eastAsia="Times New Roman" w:hAnsi="Times New Roman" w:cs="Times New Roman"/>
          <w:sz w:val="24"/>
          <w:szCs w:val="24"/>
          <w:lang w:val="es-ES_tradnl" w:eastAsia="es-ES"/>
        </w:rPr>
      </w:pPr>
    </w:p>
    <w:p w:rsidR="006E5708" w:rsidRPr="007A5AC6" w:rsidRDefault="006E5708" w:rsidP="006E5708">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6E5708" w:rsidRPr="007A5AC6" w:rsidRDefault="006E5708" w:rsidP="006E5708">
      <w:pPr>
        <w:spacing w:after="0" w:line="240" w:lineRule="auto"/>
        <w:jc w:val="center"/>
        <w:rPr>
          <w:rFonts w:ascii="Bradley Hand ITC" w:eastAsia="Times New Roman" w:hAnsi="Bradley Hand ITC" w:cs="Times New Roman"/>
          <w:sz w:val="28"/>
          <w:szCs w:val="28"/>
          <w:lang w:val="es-ES" w:eastAsia="es-ES"/>
        </w:rPr>
      </w:pPr>
    </w:p>
    <w:p w:rsidR="006E5708" w:rsidRPr="007A5AC6" w:rsidRDefault="006E5708" w:rsidP="006E5708">
      <w:pPr>
        <w:spacing w:after="0" w:line="240" w:lineRule="auto"/>
        <w:rPr>
          <w:rFonts w:ascii="Bradley Hand ITC" w:eastAsia="Times New Roman" w:hAnsi="Bradley Hand ITC" w:cs="Times New Roman"/>
          <w:sz w:val="28"/>
          <w:szCs w:val="28"/>
          <w:lang w:val="es-ES" w:eastAsia="es-ES"/>
        </w:rPr>
      </w:pPr>
    </w:p>
    <w:p w:rsidR="006E5708" w:rsidRPr="007A5AC6" w:rsidRDefault="006E5708" w:rsidP="006E5708">
      <w:pPr>
        <w:spacing w:after="0" w:line="240" w:lineRule="auto"/>
        <w:rPr>
          <w:rFonts w:ascii="Bradley Hand ITC" w:eastAsia="Times New Roman" w:hAnsi="Bradley Hand ITC" w:cs="Times New Roman"/>
          <w:sz w:val="28"/>
          <w:szCs w:val="28"/>
          <w:lang w:val="es-ES" w:eastAsia="es-ES"/>
        </w:rPr>
      </w:pPr>
    </w:p>
    <w:p w:rsidR="006E5708" w:rsidRPr="007A5AC6" w:rsidRDefault="006E5708" w:rsidP="006E5708">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6E5708" w:rsidRPr="007A5AC6" w:rsidRDefault="006E5708" w:rsidP="006E5708">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6E5708" w:rsidRPr="007A5AC6" w:rsidRDefault="006E5708" w:rsidP="006E5708">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5560B8B7" wp14:editId="7A9B346C">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6E5708" w:rsidRDefault="006E5708" w:rsidP="006E5708">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6E5708" w:rsidRDefault="006E5708" w:rsidP="006E5708">
                            <w:pPr>
                              <w:jc w:val="center"/>
                              <w:rPr>
                                <w:rFonts w:ascii="MS Reference Sans Serif" w:hAnsi="MS Reference Sans Serif"/>
                                <w:b/>
                                <w:sz w:val="16"/>
                                <w:szCs w:val="16"/>
                              </w:rPr>
                            </w:pPr>
                          </w:p>
                          <w:p w:rsidR="006E5708" w:rsidRDefault="006E5708" w:rsidP="006E5708">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6E5708" w:rsidRDefault="006E5708" w:rsidP="006E5708">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0B8B7"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6E5708" w:rsidRDefault="006E5708" w:rsidP="006E5708">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6E5708" w:rsidRDefault="006E5708" w:rsidP="006E5708">
                      <w:pPr>
                        <w:jc w:val="center"/>
                        <w:rPr>
                          <w:rFonts w:ascii="MS Reference Sans Serif" w:hAnsi="MS Reference Sans Serif"/>
                          <w:b/>
                          <w:sz w:val="16"/>
                          <w:szCs w:val="16"/>
                        </w:rPr>
                      </w:pPr>
                    </w:p>
                    <w:p w:rsidR="006E5708" w:rsidRDefault="006E5708" w:rsidP="006E5708">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6E5708" w:rsidRDefault="006E5708" w:rsidP="006E5708">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2F36FB50" wp14:editId="6B53EB13">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6E5708" w:rsidRPr="007A5AC6" w:rsidRDefault="006E5708" w:rsidP="006E5708">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6E5708" w:rsidRPr="007A5AC6" w:rsidRDefault="006E5708" w:rsidP="006E5708">
                            <w:pPr>
                              <w:jc w:val="center"/>
                              <w:rPr>
                                <w:rFonts w:ascii="Georgia" w:hAnsi="Georgia"/>
                                <w:b/>
                                <w:sz w:val="18"/>
                                <w:szCs w:val="18"/>
                              </w:rPr>
                            </w:pPr>
                            <w:r>
                              <w:rPr>
                                <w:rFonts w:ascii="Georgia" w:hAnsi="Georgia"/>
                                <w:b/>
                                <w:sz w:val="18"/>
                                <w:szCs w:val="18"/>
                              </w:rPr>
                              <w:t>NOTIFICACIÓN POR ESTADO</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6E5708" w:rsidRPr="007A5AC6" w:rsidRDefault="006E5708" w:rsidP="006E5708">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6FB50"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6E5708" w:rsidRPr="007A5AC6" w:rsidRDefault="006E5708" w:rsidP="006E5708">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6E5708" w:rsidRPr="007A5AC6" w:rsidRDefault="006E5708" w:rsidP="006E5708">
                      <w:pPr>
                        <w:jc w:val="center"/>
                        <w:rPr>
                          <w:rFonts w:ascii="Georgia" w:hAnsi="Georgia"/>
                          <w:b/>
                          <w:sz w:val="18"/>
                          <w:szCs w:val="18"/>
                        </w:rPr>
                      </w:pPr>
                      <w:r>
                        <w:rPr>
                          <w:rFonts w:ascii="Georgia" w:hAnsi="Georgia"/>
                          <w:b/>
                          <w:sz w:val="18"/>
                          <w:szCs w:val="18"/>
                        </w:rPr>
                        <w:t>NOTIFICACIÓN POR ESTADO</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6E5708" w:rsidRPr="007A5AC6" w:rsidRDefault="006E5708" w:rsidP="006E5708">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6E5708" w:rsidRDefault="006E5708" w:rsidP="006E5708">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6E5708" w:rsidRPr="007A5AC6" w:rsidRDefault="006E5708" w:rsidP="006E5708">
      <w:pPr>
        <w:spacing w:after="0" w:line="360" w:lineRule="auto"/>
        <w:jc w:val="center"/>
        <w:rPr>
          <w:rFonts w:ascii="Bradley Hand ITC" w:eastAsia="Times New Roman" w:hAnsi="Bradley Hand ITC" w:cs="Times New Roman"/>
          <w:sz w:val="28"/>
          <w:szCs w:val="28"/>
          <w:lang w:val="es-ES" w:eastAsia="es-ES"/>
        </w:rPr>
      </w:pPr>
    </w:p>
    <w:p w:rsidR="006E5708" w:rsidRPr="007A5AC6" w:rsidRDefault="006E5708" w:rsidP="006E5708">
      <w:pPr>
        <w:spacing w:after="0" w:line="360" w:lineRule="auto"/>
        <w:jc w:val="center"/>
        <w:rPr>
          <w:rFonts w:ascii="Lucida Sans" w:eastAsia="Times New Roman" w:hAnsi="Lucida Sans" w:cs="Times New Roman"/>
          <w:lang w:val="es-ES" w:eastAsia="es-ES"/>
        </w:rPr>
      </w:pPr>
    </w:p>
    <w:p w:rsidR="006E5708" w:rsidRPr="007A5AC6" w:rsidRDefault="006E5708" w:rsidP="006E5708">
      <w:pPr>
        <w:spacing w:after="0" w:line="360" w:lineRule="auto"/>
        <w:jc w:val="center"/>
        <w:rPr>
          <w:rFonts w:ascii="Lucida Sans" w:eastAsia="Times New Roman" w:hAnsi="Lucida Sans" w:cs="Times New Roman"/>
          <w:sz w:val="24"/>
          <w:szCs w:val="24"/>
          <w:lang w:val="es-ES" w:eastAsia="es-ES"/>
        </w:rPr>
      </w:pPr>
    </w:p>
    <w:p w:rsidR="006E5708" w:rsidRPr="007A5AC6" w:rsidRDefault="006E5708" w:rsidP="006E5708">
      <w:pPr>
        <w:spacing w:after="0" w:line="240" w:lineRule="auto"/>
        <w:rPr>
          <w:rFonts w:ascii="Times New Roman" w:eastAsia="Times New Roman" w:hAnsi="Times New Roman" w:cs="Times New Roman"/>
          <w:sz w:val="24"/>
          <w:szCs w:val="24"/>
          <w:lang w:val="es-ES" w:eastAsia="es-ES"/>
        </w:rPr>
      </w:pPr>
    </w:p>
    <w:p w:rsidR="006E5708" w:rsidRPr="007A5AC6" w:rsidRDefault="006E5708" w:rsidP="006E5708">
      <w:pPr>
        <w:spacing w:after="0" w:line="240" w:lineRule="auto"/>
        <w:rPr>
          <w:rFonts w:ascii="Times New Roman" w:eastAsia="Times New Roman" w:hAnsi="Times New Roman" w:cs="Times New Roman"/>
          <w:sz w:val="24"/>
          <w:szCs w:val="24"/>
          <w:lang w:val="es-ES" w:eastAsia="es-ES"/>
        </w:rPr>
      </w:pPr>
    </w:p>
    <w:p w:rsidR="006E5708" w:rsidRPr="007A5AC6" w:rsidRDefault="006E5708" w:rsidP="006E5708">
      <w:pPr>
        <w:spacing w:after="0" w:line="240" w:lineRule="auto"/>
        <w:rPr>
          <w:rFonts w:ascii="Times New Roman" w:eastAsia="Times New Roman" w:hAnsi="Times New Roman" w:cs="Times New Roman"/>
          <w:sz w:val="24"/>
          <w:szCs w:val="24"/>
          <w:lang w:val="es-ES" w:eastAsia="es-ES"/>
        </w:rPr>
      </w:pPr>
    </w:p>
    <w:p w:rsidR="006E5708" w:rsidRPr="007A5AC6" w:rsidRDefault="006E5708" w:rsidP="006E5708">
      <w:pPr>
        <w:spacing w:after="0" w:line="240" w:lineRule="auto"/>
        <w:rPr>
          <w:rFonts w:ascii="Times New Roman" w:eastAsia="Times New Roman" w:hAnsi="Times New Roman" w:cs="Times New Roman"/>
          <w:sz w:val="24"/>
          <w:szCs w:val="24"/>
          <w:lang w:val="es-ES" w:eastAsia="es-ES"/>
        </w:rPr>
      </w:pPr>
    </w:p>
    <w:p w:rsidR="006E5708" w:rsidRPr="007A5AC6" w:rsidRDefault="006E5708" w:rsidP="006E5708">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6E5708" w:rsidRPr="007A5AC6" w:rsidRDefault="006E5708" w:rsidP="006E5708">
      <w:pPr>
        <w:spacing w:after="0" w:line="240" w:lineRule="auto"/>
        <w:rPr>
          <w:rFonts w:ascii="Times New Roman" w:eastAsia="Times New Roman" w:hAnsi="Times New Roman" w:cs="Times New Roman"/>
          <w:sz w:val="24"/>
          <w:szCs w:val="24"/>
          <w:lang w:val="es-ES" w:eastAsia="es-ES"/>
        </w:rPr>
      </w:pPr>
    </w:p>
    <w:p w:rsidR="006E5708" w:rsidRDefault="006E5708" w:rsidP="006E5708"/>
    <w:p w:rsidR="006E5708" w:rsidRDefault="006E5708" w:rsidP="006E5708"/>
    <w:p w:rsidR="006E5708" w:rsidRDefault="006E5708" w:rsidP="006E5708"/>
    <w:p w:rsidR="006E6CD2" w:rsidRDefault="00BE1CB5"/>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08"/>
    <w:rsid w:val="00456A00"/>
    <w:rsid w:val="006E5708"/>
    <w:rsid w:val="009749CD"/>
    <w:rsid w:val="00B05FA4"/>
    <w:rsid w:val="00BE1CB5"/>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1690010-E208-478A-ADE6-FC1C1D8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57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5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4409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2015-01-22T17:07:00Z</cp:lastPrinted>
  <dcterms:created xsi:type="dcterms:W3CDTF">2015-01-27T20:42:00Z</dcterms:created>
  <dcterms:modified xsi:type="dcterms:W3CDTF">2015-01-27T20:42:00Z</dcterms:modified>
</cp:coreProperties>
</file>