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1C" w:rsidRPr="00C137C4" w:rsidRDefault="00CB1D1C" w:rsidP="00CB1D1C">
      <w:pPr>
        <w:spacing w:after="0" w:line="240" w:lineRule="auto"/>
        <w:jc w:val="center"/>
        <w:rPr>
          <w:rFonts w:ascii="Bradley Hand ITC" w:hAnsi="Bradley Hand ITC" w:cs="Arial"/>
          <w:b/>
          <w:bCs/>
          <w:sz w:val="28"/>
          <w:szCs w:val="28"/>
          <w:lang w:val="es-ES" w:eastAsia="es-ES"/>
        </w:rPr>
      </w:pPr>
      <w:bookmarkStart w:id="0" w:name="_GoBack"/>
      <w:bookmarkEnd w:id="0"/>
      <w:r w:rsidRPr="00C137C4">
        <w:rPr>
          <w:rFonts w:ascii="Bradley Hand ITC" w:hAnsi="Bradley Hand ITC" w:cs="Arial"/>
          <w:b/>
          <w:bCs/>
          <w:sz w:val="28"/>
          <w:szCs w:val="28"/>
          <w:lang w:val="es-ES" w:eastAsia="es-ES"/>
        </w:rPr>
        <w:t>JUZGADO DIECISÉIS ADMINISTRATIVO ORAL DE MEDELLÍN</w:t>
      </w:r>
    </w:p>
    <w:p w:rsidR="00CB1D1C" w:rsidRPr="00C137C4" w:rsidRDefault="00CB1D1C" w:rsidP="00CB1D1C">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Veintisiete (27</w:t>
      </w:r>
      <w:r w:rsidRPr="00C137C4">
        <w:rPr>
          <w:rFonts w:ascii="Bradley Hand ITC" w:eastAsia="Times New Roman" w:hAnsi="Bradley Hand ITC" w:cs="Arial"/>
          <w:sz w:val="28"/>
          <w:szCs w:val="28"/>
          <w:lang w:val="es-ES" w:eastAsia="es-ES"/>
        </w:rPr>
        <w:t>) de enero de dos mil quince (2015)</w:t>
      </w:r>
    </w:p>
    <w:p w:rsidR="00CB1D1C" w:rsidRPr="00C137C4" w:rsidRDefault="00CB1D1C" w:rsidP="00CB1D1C">
      <w:pPr>
        <w:spacing w:after="0" w:line="240" w:lineRule="auto"/>
        <w:rPr>
          <w:rFonts w:ascii="Lucida Sans" w:eastAsia="Times New Roman" w:hAnsi="Lucida Sans" w:cs="Arial"/>
          <w:sz w:val="30"/>
          <w:szCs w:val="30"/>
          <w:lang w:val="es-ES" w:eastAsia="es-ES"/>
        </w:rPr>
      </w:pPr>
    </w:p>
    <w:p w:rsidR="00CB1D1C" w:rsidRPr="00C137C4" w:rsidRDefault="00CB1D1C" w:rsidP="00CB1D1C">
      <w:pPr>
        <w:spacing w:after="0" w:line="360" w:lineRule="auto"/>
        <w:rPr>
          <w:rFonts w:ascii="Lucida Sans" w:eastAsia="Times New Roman" w:hAnsi="Lucida Sans" w:cs="Arial"/>
          <w:sz w:val="18"/>
          <w:szCs w:val="18"/>
          <w:lang w:val="es-ES" w:eastAsia="es-ES"/>
        </w:rPr>
      </w:pP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REFERENCIA:</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8"/>
          <w:szCs w:val="18"/>
          <w:lang w:val="es-MX" w:eastAsia="es-ES"/>
        </w:rPr>
      </w:pPr>
      <w:r w:rsidRPr="00C137C4">
        <w:rPr>
          <w:rFonts w:ascii="MS Reference Sans Serif" w:eastAsia="Times New Roman" w:hAnsi="MS Reference Sans Serif" w:cs="Arial"/>
          <w:b/>
          <w:color w:val="0000FF"/>
          <w:sz w:val="18"/>
          <w:szCs w:val="18"/>
          <w:lang w:val="es-MX" w:eastAsia="es-ES"/>
        </w:rPr>
        <w:t>EXPEDIENTE No</w:t>
      </w:r>
      <w:r>
        <w:rPr>
          <w:rFonts w:ascii="MS Reference Sans Serif" w:eastAsia="Times New Roman" w:hAnsi="MS Reference Sans Serif" w:cs="Arial"/>
          <w:b/>
          <w:color w:val="0000FF"/>
          <w:sz w:val="18"/>
          <w:szCs w:val="18"/>
          <w:lang w:val="es-MX" w:eastAsia="es-ES"/>
        </w:rPr>
        <w:t>.  05001-33-31-016-2014 01322 00</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 xml:space="preserve">NULIDAD Y RESTABLECIMIENTO DEL DERECHO LABORAL </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 xml:space="preserve">DEMANDANTE: WULSON ANTONIO MARIN HENAO </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 xml:space="preserve">DEMANDADO: </w:t>
      </w:r>
      <w:r>
        <w:rPr>
          <w:rFonts w:ascii="MS Reference Sans Serif" w:eastAsia="Times New Roman" w:hAnsi="MS Reference Sans Serif" w:cs="Arial"/>
          <w:sz w:val="18"/>
          <w:szCs w:val="18"/>
          <w:lang w:val="es-MX" w:eastAsia="es-ES"/>
        </w:rPr>
        <w:t>DEPARTAMENTO DE ANTIOQUIA</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b/>
          <w:bCs/>
          <w:sz w:val="18"/>
          <w:szCs w:val="18"/>
          <w:lang w:val="es-ES" w:eastAsia="es-ES"/>
        </w:rPr>
        <w:t xml:space="preserve">ASUNTO: </w:t>
      </w:r>
      <w:r>
        <w:rPr>
          <w:rFonts w:ascii="MS Reference Sans Serif" w:eastAsia="Times New Roman" w:hAnsi="MS Reference Sans Serif" w:cs="Arial"/>
          <w:sz w:val="18"/>
          <w:szCs w:val="18"/>
          <w:lang w:val="es-ES" w:eastAsia="es-ES"/>
        </w:rPr>
        <w:t xml:space="preserve">EXHORTA PREVIA ADMISION-NO ACCEDE A SOLICITUD </w:t>
      </w:r>
    </w:p>
    <w:p w:rsidR="00CB1D1C" w:rsidRPr="00C137C4" w:rsidRDefault="00CB1D1C" w:rsidP="00CB1D1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p>
    <w:p w:rsidR="00CB1D1C" w:rsidRPr="00C137C4" w:rsidRDefault="00CB1D1C" w:rsidP="00CB1D1C">
      <w:pPr>
        <w:spacing w:after="0" w:line="240" w:lineRule="auto"/>
        <w:jc w:val="both"/>
        <w:rPr>
          <w:rFonts w:ascii="Lucida Sans" w:eastAsia="Times New Roman" w:hAnsi="Lucida Sans" w:cs="Arial"/>
          <w:sz w:val="24"/>
          <w:szCs w:val="24"/>
          <w:lang w:val="es-ES" w:eastAsia="es-ES"/>
        </w:rPr>
      </w:pPr>
    </w:p>
    <w:p w:rsidR="00CB1D1C" w:rsidRPr="00C137C4" w:rsidRDefault="00CB1D1C" w:rsidP="00CB1D1C">
      <w:pPr>
        <w:spacing w:after="0" w:line="240" w:lineRule="auto"/>
        <w:jc w:val="both"/>
        <w:rPr>
          <w:rFonts w:ascii="Lucida Sans" w:eastAsia="Times New Roman" w:hAnsi="Lucida Sans" w:cs="Arial"/>
          <w:sz w:val="24"/>
          <w:szCs w:val="24"/>
          <w:lang w:val="es-ES" w:eastAsia="es-ES"/>
        </w:rPr>
      </w:pPr>
    </w:p>
    <w:p w:rsidR="00CB1D1C" w:rsidRDefault="00CB1D1C" w:rsidP="00CB1D1C">
      <w:pPr>
        <w:spacing w:line="360" w:lineRule="auto"/>
        <w:jc w:val="both"/>
        <w:rPr>
          <w:rFonts w:ascii="Lucida Sans" w:hAnsi="Lucida Sans"/>
        </w:rPr>
      </w:pPr>
      <w:r>
        <w:rPr>
          <w:rFonts w:ascii="Lucida Sans" w:hAnsi="Lucida Sans"/>
        </w:rPr>
        <w:t>Mediante auto notificado por estados el 26 de noviembre del año 2014 se inadmitió la demanda para que la parte actora acreditara el cumplimiento de los requisitos exigidos en dicha providencia, oportunidad en la que la apoderada de la parte demandante allegó el poder conferido por el señor Wilson Antonio Marín Henao y la copia de la demanda en medio magnético, solicitando un término adicional para aportar el certificado del último lugar en el que el accionante prestó sus servicios a la entidad demandada.</w:t>
      </w:r>
    </w:p>
    <w:p w:rsidR="00CB1D1C" w:rsidRDefault="00CB1D1C" w:rsidP="00CB1D1C">
      <w:pPr>
        <w:spacing w:line="360" w:lineRule="auto"/>
        <w:jc w:val="both"/>
        <w:rPr>
          <w:rFonts w:ascii="Lucida Sans" w:hAnsi="Lucida Sans"/>
        </w:rPr>
      </w:pPr>
    </w:p>
    <w:p w:rsidR="00CB1D1C" w:rsidRDefault="00CB1D1C" w:rsidP="00CB1D1C">
      <w:pPr>
        <w:spacing w:line="360" w:lineRule="auto"/>
        <w:jc w:val="both"/>
        <w:rPr>
          <w:rFonts w:ascii="Lucida Sans" w:hAnsi="Lucida Sans"/>
        </w:rPr>
      </w:pPr>
      <w:r>
        <w:rPr>
          <w:rFonts w:ascii="Lucida Sans" w:hAnsi="Lucida Sans"/>
        </w:rPr>
        <w:t>El Despacho no accederá a la solicitud efectuada por la apoderada de la parte actora debido a la perentoriedad de los términos procesales</w:t>
      </w:r>
      <w:r>
        <w:rPr>
          <w:rStyle w:val="Refdenotaalpie"/>
          <w:rFonts w:ascii="Lucida Sans" w:hAnsi="Lucida Sans"/>
        </w:rPr>
        <w:footnoteReference w:id="1"/>
      </w:r>
      <w:r>
        <w:rPr>
          <w:rFonts w:ascii="Lucida Sans" w:hAnsi="Lucida Sans"/>
        </w:rPr>
        <w:t xml:space="preserve">, sin embargo, teniendo en cuenta que es imprescindible la certificación exigida para efectos de determinar la competencia para conocer del proceso de la referencia, previo admitir la demanda se dispone </w:t>
      </w:r>
      <w:r w:rsidRPr="009B5C50">
        <w:rPr>
          <w:rFonts w:ascii="Lucida Sans" w:hAnsi="Lucida Sans"/>
          <w:b/>
        </w:rPr>
        <w:t>EXHORTAR</w:t>
      </w:r>
      <w:r>
        <w:rPr>
          <w:rFonts w:ascii="Lucida Sans" w:hAnsi="Lucida Sans"/>
        </w:rPr>
        <w:t xml:space="preserve"> al </w:t>
      </w:r>
      <w:r>
        <w:rPr>
          <w:rFonts w:ascii="Lucida Sans" w:hAnsi="Lucida Sans"/>
          <w:b/>
        </w:rPr>
        <w:t>DEPARTAMENTO DE ANTIOQUIA</w:t>
      </w:r>
      <w:r>
        <w:rPr>
          <w:rFonts w:ascii="Lucida Sans" w:hAnsi="Lucida Sans"/>
        </w:rPr>
        <w:t xml:space="preserve">, para que dentro del término de quince (15) días, contados a partir del recibo del correspondiente oficio, allegue certificado del último lugar en el cual el demandante prestó sus servicios a la entidad, so pena de hacerse acreedor de las sanciones de ley por desacato a orden judicial. </w:t>
      </w:r>
    </w:p>
    <w:p w:rsidR="00CB1D1C" w:rsidRDefault="00CB1D1C" w:rsidP="00CB1D1C">
      <w:pPr>
        <w:spacing w:line="360" w:lineRule="auto"/>
        <w:jc w:val="both"/>
        <w:rPr>
          <w:rFonts w:ascii="Lucida Sans" w:hAnsi="Lucida Sans"/>
        </w:rPr>
      </w:pPr>
    </w:p>
    <w:p w:rsidR="00CB1D1C" w:rsidRPr="00155CD0" w:rsidRDefault="00CB1D1C" w:rsidP="00CB1D1C">
      <w:pPr>
        <w:spacing w:line="360" w:lineRule="auto"/>
        <w:jc w:val="both"/>
        <w:rPr>
          <w:rFonts w:ascii="Lucida Sans" w:hAnsi="Lucida Sans"/>
        </w:rPr>
      </w:pPr>
      <w:r>
        <w:rPr>
          <w:rFonts w:ascii="Lucida Sans" w:hAnsi="Lucida Sans"/>
        </w:rPr>
        <w:t>Líbrese el exhorto por intermedio de la secretaría del Despacho.</w:t>
      </w:r>
    </w:p>
    <w:p w:rsidR="00CB1D1C" w:rsidRPr="00C137C4" w:rsidRDefault="00CB1D1C" w:rsidP="00CB1D1C">
      <w:pPr>
        <w:spacing w:after="0" w:line="360" w:lineRule="auto"/>
        <w:jc w:val="both"/>
        <w:rPr>
          <w:rFonts w:ascii="Lucida Sans" w:eastAsia="Times New Roman" w:hAnsi="Lucida Sans" w:cs="Times New Roman"/>
          <w:sz w:val="21"/>
          <w:szCs w:val="21"/>
          <w:lang w:val="es-ES" w:eastAsia="es-ES"/>
        </w:rPr>
      </w:pPr>
    </w:p>
    <w:p w:rsidR="00CB1D1C" w:rsidRPr="00C137C4" w:rsidRDefault="00CB1D1C" w:rsidP="00CB1D1C">
      <w:pPr>
        <w:tabs>
          <w:tab w:val="left" w:pos="6195"/>
        </w:tabs>
        <w:spacing w:after="0" w:line="240" w:lineRule="auto"/>
        <w:rPr>
          <w:rFonts w:ascii="Bradley Hand ITC" w:eastAsia="Times New Roman" w:hAnsi="Bradley Hand ITC" w:cs="Times New Roman"/>
          <w:sz w:val="28"/>
          <w:szCs w:val="28"/>
          <w:lang w:val="es-ES" w:eastAsia="es-ES"/>
        </w:rPr>
      </w:pPr>
    </w:p>
    <w:p w:rsidR="00CB1D1C" w:rsidRPr="00C137C4" w:rsidRDefault="00CB1D1C" w:rsidP="00CB1D1C">
      <w:pPr>
        <w:spacing w:after="0" w:line="240" w:lineRule="auto"/>
        <w:jc w:val="center"/>
        <w:rPr>
          <w:rFonts w:ascii="Bradley Hand ITC" w:eastAsia="Times New Roman" w:hAnsi="Bradley Hand ITC" w:cs="Times New Roman"/>
          <w:sz w:val="28"/>
          <w:szCs w:val="28"/>
          <w:lang w:val="es-ES" w:eastAsia="es-ES"/>
        </w:rPr>
      </w:pPr>
      <w:r w:rsidRPr="00C137C4">
        <w:rPr>
          <w:rFonts w:ascii="Bradley Hand ITC" w:eastAsia="Times New Roman" w:hAnsi="Bradley Hand ITC" w:cs="Times New Roman"/>
          <w:sz w:val="28"/>
          <w:szCs w:val="28"/>
          <w:lang w:val="es-ES" w:eastAsia="es-ES"/>
        </w:rPr>
        <w:t>NOTIFÍQUESE</w:t>
      </w:r>
    </w:p>
    <w:p w:rsidR="00CB1D1C" w:rsidRPr="00C137C4" w:rsidRDefault="00CB1D1C" w:rsidP="00CB1D1C">
      <w:pPr>
        <w:spacing w:after="0" w:line="240" w:lineRule="auto"/>
        <w:rPr>
          <w:rFonts w:ascii="Bradley Hand ITC" w:eastAsia="Times New Roman" w:hAnsi="Bradley Hand ITC" w:cs="Arial"/>
          <w:sz w:val="28"/>
          <w:szCs w:val="28"/>
          <w:lang w:val="es-ES" w:eastAsia="es-ES"/>
        </w:rPr>
      </w:pPr>
    </w:p>
    <w:p w:rsidR="00CB1D1C" w:rsidRPr="00C137C4" w:rsidRDefault="00CB1D1C" w:rsidP="00CB1D1C">
      <w:pPr>
        <w:spacing w:after="0" w:line="240" w:lineRule="auto"/>
        <w:rPr>
          <w:rFonts w:ascii="Bradley Hand ITC" w:eastAsia="Times New Roman" w:hAnsi="Bradley Hand ITC" w:cs="Arial"/>
          <w:sz w:val="28"/>
          <w:szCs w:val="28"/>
          <w:lang w:val="es-ES" w:eastAsia="es-ES"/>
        </w:rPr>
      </w:pPr>
    </w:p>
    <w:p w:rsidR="00CB1D1C" w:rsidRPr="00C137C4" w:rsidRDefault="00CB1D1C" w:rsidP="00CB1D1C">
      <w:pPr>
        <w:keepNext/>
        <w:spacing w:after="0" w:line="240" w:lineRule="auto"/>
        <w:jc w:val="center"/>
        <w:outlineLvl w:val="0"/>
        <w:rPr>
          <w:rFonts w:ascii="Bradley Hand ITC" w:eastAsia="Times New Roman" w:hAnsi="Bradley Hand ITC" w:cs="Arial"/>
          <w:b/>
          <w:bCs/>
          <w:sz w:val="28"/>
          <w:szCs w:val="28"/>
          <w:lang w:val="es-ES" w:eastAsia="es-ES"/>
        </w:rPr>
      </w:pPr>
      <w:r w:rsidRPr="00C137C4">
        <w:rPr>
          <w:rFonts w:ascii="Bradley Hand ITC" w:eastAsia="Times New Roman" w:hAnsi="Bradley Hand ITC" w:cs="Arial"/>
          <w:b/>
          <w:bCs/>
          <w:sz w:val="28"/>
          <w:szCs w:val="28"/>
          <w:lang w:val="es-ES" w:eastAsia="es-ES"/>
        </w:rPr>
        <w:t xml:space="preserve">RODRIGO VERGARA CORTÉS </w:t>
      </w:r>
    </w:p>
    <w:p w:rsidR="00CB1D1C" w:rsidRPr="00C137C4" w:rsidRDefault="00CB1D1C" w:rsidP="00CB1D1C">
      <w:pPr>
        <w:spacing w:after="0" w:line="240" w:lineRule="auto"/>
        <w:jc w:val="center"/>
        <w:rPr>
          <w:rFonts w:ascii="Times New Roman" w:eastAsia="Times New Roman" w:hAnsi="Times New Roman" w:cs="Times New Roman"/>
          <w:sz w:val="24"/>
          <w:szCs w:val="24"/>
          <w:lang w:val="es-ES" w:eastAsia="es-ES"/>
        </w:rPr>
      </w:pPr>
      <w:r w:rsidRPr="00C137C4">
        <w:rPr>
          <w:rFonts w:ascii="Bradley Hand ITC" w:eastAsia="Times New Roman" w:hAnsi="Bradley Hand ITC" w:cs="Arial"/>
          <w:sz w:val="28"/>
          <w:szCs w:val="28"/>
          <w:lang w:val="es-ES" w:eastAsia="es-ES"/>
        </w:rPr>
        <w:t xml:space="preserve">Juez </w:t>
      </w:r>
    </w:p>
    <w:p w:rsidR="00CB1D1C" w:rsidRPr="00C137C4" w:rsidRDefault="00CB1D1C" w:rsidP="00CB1D1C">
      <w:pPr>
        <w:spacing w:after="0" w:line="240" w:lineRule="auto"/>
        <w:rPr>
          <w:rFonts w:ascii="Bradley Hand ITC" w:hAnsi="Bradley Hand ITC" w:cs="Arial"/>
          <w:b/>
          <w:bCs/>
          <w:sz w:val="28"/>
          <w:szCs w:val="28"/>
          <w:lang w:val="es-ES" w:eastAsia="es-ES"/>
        </w:rPr>
      </w:pPr>
    </w:p>
    <w:p w:rsidR="00CB1D1C" w:rsidRPr="00C137C4" w:rsidRDefault="00CB1D1C" w:rsidP="00CB1D1C">
      <w:pPr>
        <w:spacing w:after="0" w:line="240" w:lineRule="auto"/>
        <w:rPr>
          <w:rFonts w:ascii="Bradley Hand ITC" w:hAnsi="Bradley Hand ITC" w:cs="Arial"/>
          <w:b/>
          <w:bCs/>
          <w:sz w:val="28"/>
          <w:szCs w:val="28"/>
          <w:lang w:val="es-ES" w:eastAsia="es-ES"/>
        </w:rPr>
      </w:pPr>
    </w:p>
    <w:p w:rsidR="00CB1D1C" w:rsidRPr="00C137C4" w:rsidRDefault="00CB1D1C" w:rsidP="00CB1D1C">
      <w:pPr>
        <w:spacing w:after="0" w:line="240" w:lineRule="auto"/>
        <w:jc w:val="center"/>
        <w:rPr>
          <w:rFonts w:ascii="Bradley Hand ITC" w:hAnsi="Bradley Hand ITC" w:cs="Arial"/>
          <w:b/>
          <w:bCs/>
          <w:sz w:val="28"/>
          <w:szCs w:val="28"/>
          <w:lang w:val="es-ES" w:eastAsia="es-ES"/>
        </w:rPr>
      </w:pPr>
      <w:r w:rsidRPr="00C137C4">
        <w:rPr>
          <w:rFonts w:ascii="Trebuchet MS" w:hAnsi="Trebuchet MS"/>
          <w:b/>
          <w:bCs/>
          <w:noProof/>
          <w:szCs w:val="24"/>
          <w:lang w:eastAsia="es-CO"/>
        </w:rPr>
        <mc:AlternateContent>
          <mc:Choice Requires="wps">
            <w:drawing>
              <wp:anchor distT="0" distB="0" distL="114300" distR="114300" simplePos="0" relativeHeight="251659264" behindDoc="0" locked="0" layoutInCell="1" allowOverlap="1" wp14:anchorId="2CF871AD" wp14:editId="522DD5F9">
                <wp:simplePos x="0" y="0"/>
                <wp:positionH relativeFrom="column">
                  <wp:posOffset>923925</wp:posOffset>
                </wp:positionH>
                <wp:positionV relativeFrom="paragraph">
                  <wp:posOffset>-3810</wp:posOffset>
                </wp:positionV>
                <wp:extent cx="3610610" cy="1501140"/>
                <wp:effectExtent l="13335" t="13335" r="508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501140"/>
                        </a:xfrm>
                        <a:prstGeom prst="rect">
                          <a:avLst/>
                        </a:prstGeom>
                        <a:solidFill>
                          <a:srgbClr val="FFFFFF"/>
                        </a:solidFill>
                        <a:ln w="9525">
                          <a:solidFill>
                            <a:srgbClr val="000000"/>
                          </a:solidFill>
                          <a:miter lim="800000"/>
                          <a:headEnd/>
                          <a:tailEnd/>
                        </a:ln>
                      </wps:spPr>
                      <wps:txbx>
                        <w:txbxContent>
                          <w:p w:rsidR="00CB1D1C" w:rsidRDefault="00CB1D1C" w:rsidP="00CB1D1C">
                            <w:pPr>
                              <w:jc w:val="center"/>
                              <w:rPr>
                                <w:rFonts w:ascii="Britannic Bold" w:hAnsi="Britannic Bold"/>
                                <w:sz w:val="20"/>
                                <w:szCs w:val="20"/>
                              </w:rPr>
                            </w:pPr>
                            <w:r>
                              <w:rPr>
                                <w:rFonts w:ascii="Britannic Bold" w:hAnsi="Britannic Bold"/>
                                <w:sz w:val="20"/>
                                <w:szCs w:val="20"/>
                              </w:rPr>
                              <w:t>JUZGADO 16 ADMINISTRATIVO ORAL DE MEDELLÍN</w:t>
                            </w:r>
                          </w:p>
                          <w:p w:rsidR="00CB1D1C" w:rsidRPr="00622BAF" w:rsidRDefault="00CB1D1C" w:rsidP="00CB1D1C">
                            <w:pPr>
                              <w:jc w:val="center"/>
                              <w:rPr>
                                <w:rFonts w:ascii="Britannic Bold" w:hAnsi="Britannic Bold"/>
                                <w:b/>
                                <w:sz w:val="20"/>
                                <w:szCs w:val="20"/>
                              </w:rPr>
                            </w:pPr>
                            <w:r>
                              <w:rPr>
                                <w:rFonts w:ascii="Britannic Bold" w:hAnsi="Britannic Bold"/>
                                <w:b/>
                                <w:sz w:val="20"/>
                                <w:szCs w:val="20"/>
                              </w:rPr>
                              <w:t>NOTIFICACIÓN POR ESTADO</w:t>
                            </w:r>
                          </w:p>
                          <w:p w:rsidR="00CB1D1C" w:rsidRDefault="00CB1D1C" w:rsidP="00CB1D1C">
                            <w:pPr>
                              <w:jc w:val="center"/>
                              <w:rPr>
                                <w:rFonts w:ascii="Britannic Bold" w:hAnsi="Britannic Bold"/>
                                <w:sz w:val="20"/>
                                <w:szCs w:val="20"/>
                              </w:rPr>
                            </w:pPr>
                            <w:r>
                              <w:rPr>
                                <w:rFonts w:ascii="Britannic Bold" w:hAnsi="Britannic Bold"/>
                                <w:sz w:val="20"/>
                                <w:szCs w:val="20"/>
                              </w:rPr>
                              <w:t>En la fecha se notificó por ESTADO el auto anterior.</w:t>
                            </w:r>
                          </w:p>
                          <w:p w:rsidR="00CB1D1C" w:rsidRDefault="00CB1D1C" w:rsidP="00CB1D1C">
                            <w:pPr>
                              <w:jc w:val="center"/>
                              <w:rPr>
                                <w:rFonts w:ascii="Britannic Bold" w:hAnsi="Britannic Bold"/>
                                <w:sz w:val="20"/>
                                <w:szCs w:val="20"/>
                              </w:rPr>
                            </w:pPr>
                          </w:p>
                          <w:p w:rsidR="00CB1D1C" w:rsidRDefault="00CB1D1C" w:rsidP="00CB1D1C">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CB1D1C" w:rsidRDefault="00CB1D1C" w:rsidP="00CB1D1C">
                            <w:pPr>
                              <w:jc w:val="center"/>
                              <w:rPr>
                                <w:rFonts w:ascii="Britannic Bold" w:hAnsi="Britannic Bold"/>
                                <w:sz w:val="20"/>
                                <w:szCs w:val="20"/>
                              </w:rPr>
                            </w:pPr>
                            <w:r>
                              <w:rPr>
                                <w:rFonts w:ascii="Britannic Bold" w:hAnsi="Britannic Bold"/>
                                <w:sz w:val="20"/>
                                <w:szCs w:val="20"/>
                              </w:rPr>
                              <w:t>MAURICIO FRANCO VERGARA</w:t>
                            </w:r>
                          </w:p>
                          <w:p w:rsidR="00CB1D1C" w:rsidRDefault="00CB1D1C" w:rsidP="00CB1D1C">
                            <w:pPr>
                              <w:jc w:val="center"/>
                              <w:rPr>
                                <w:rFonts w:ascii="Britannic Bold" w:hAnsi="Britannic Bold"/>
                                <w:sz w:val="20"/>
                                <w:szCs w:val="20"/>
                              </w:rPr>
                            </w:pPr>
                            <w:r>
                              <w:rPr>
                                <w:rFonts w:ascii="Britannic Bold" w:hAnsi="Britannic Bold"/>
                                <w:sz w:val="20"/>
                                <w:szCs w:val="20"/>
                              </w:rPr>
                              <w:t>MAURICIO FRANCO VERGARA</w:t>
                            </w:r>
                          </w:p>
                          <w:p w:rsidR="00CB1D1C" w:rsidRDefault="00CB1D1C" w:rsidP="00CB1D1C">
                            <w:pPr>
                              <w:jc w:val="center"/>
                              <w:rPr>
                                <w:rFonts w:ascii="Britannic Bold" w:hAnsi="Britannic Bold"/>
                                <w:sz w:val="20"/>
                                <w:szCs w:val="20"/>
                              </w:rPr>
                            </w:pPr>
                            <w:r>
                              <w:rPr>
                                <w:rFonts w:ascii="Britannic Bold" w:hAnsi="Britannic Bold"/>
                                <w:sz w:val="20"/>
                                <w:szCs w:val="20"/>
                              </w:rPr>
                              <w:t>Secretaria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871AD" id="_x0000_t202" coordsize="21600,21600" o:spt="202" path="m,l,21600r21600,l21600,xe">
                <v:stroke joinstyle="miter"/>
                <v:path gradientshapeok="t" o:connecttype="rect"/>
              </v:shapetype>
              <v:shape id="Cuadro de texto 1" o:spid="_x0000_s1026" type="#_x0000_t202" style="position:absolute;left:0;text-align:left;margin-left:72.75pt;margin-top:-.3pt;width:284.3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">
                <v:textbox>
                  <w:txbxContent>
                    <w:p w:rsidR="00CB1D1C" w:rsidRDefault="00CB1D1C" w:rsidP="00CB1D1C">
                      <w:pPr>
                        <w:jc w:val="center"/>
                        <w:rPr>
                          <w:rFonts w:ascii="Britannic Bold" w:hAnsi="Britannic Bold"/>
                          <w:sz w:val="20"/>
                          <w:szCs w:val="20"/>
                        </w:rPr>
                      </w:pPr>
                      <w:r>
                        <w:rPr>
                          <w:rFonts w:ascii="Britannic Bold" w:hAnsi="Britannic Bold"/>
                          <w:sz w:val="20"/>
                          <w:szCs w:val="20"/>
                        </w:rPr>
                        <w:t>JUZGADO 16 ADMINISTRATIVO ORAL DE MEDELLÍN</w:t>
                      </w:r>
                    </w:p>
                    <w:p w:rsidR="00CB1D1C" w:rsidRPr="00622BAF" w:rsidRDefault="00CB1D1C" w:rsidP="00CB1D1C">
                      <w:pPr>
                        <w:jc w:val="center"/>
                        <w:rPr>
                          <w:rFonts w:ascii="Britannic Bold" w:hAnsi="Britannic Bold"/>
                          <w:b/>
                          <w:sz w:val="20"/>
                          <w:szCs w:val="20"/>
                        </w:rPr>
                      </w:pPr>
                      <w:r>
                        <w:rPr>
                          <w:rFonts w:ascii="Britannic Bold" w:hAnsi="Britannic Bold"/>
                          <w:b/>
                          <w:sz w:val="20"/>
                          <w:szCs w:val="20"/>
                        </w:rPr>
                        <w:t>NOTIFICACIÓN POR ESTADO</w:t>
                      </w:r>
                    </w:p>
                    <w:p w:rsidR="00CB1D1C" w:rsidRDefault="00CB1D1C" w:rsidP="00CB1D1C">
                      <w:pPr>
                        <w:jc w:val="center"/>
                        <w:rPr>
                          <w:rFonts w:ascii="Britannic Bold" w:hAnsi="Britannic Bold"/>
                          <w:sz w:val="20"/>
                          <w:szCs w:val="20"/>
                        </w:rPr>
                      </w:pPr>
                      <w:r>
                        <w:rPr>
                          <w:rFonts w:ascii="Britannic Bold" w:hAnsi="Britannic Bold"/>
                          <w:sz w:val="20"/>
                          <w:szCs w:val="20"/>
                        </w:rPr>
                        <w:t>En la fecha se notificó por ESTADO el auto anterior.</w:t>
                      </w:r>
                    </w:p>
                    <w:p w:rsidR="00CB1D1C" w:rsidRDefault="00CB1D1C" w:rsidP="00CB1D1C">
                      <w:pPr>
                        <w:jc w:val="center"/>
                        <w:rPr>
                          <w:rFonts w:ascii="Britannic Bold" w:hAnsi="Britannic Bold"/>
                          <w:sz w:val="20"/>
                          <w:szCs w:val="20"/>
                        </w:rPr>
                      </w:pPr>
                    </w:p>
                    <w:p w:rsidR="00CB1D1C" w:rsidRDefault="00CB1D1C" w:rsidP="00CB1D1C">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CB1D1C" w:rsidRDefault="00CB1D1C" w:rsidP="00CB1D1C">
                      <w:pPr>
                        <w:jc w:val="center"/>
                        <w:rPr>
                          <w:rFonts w:ascii="Britannic Bold" w:hAnsi="Britannic Bold"/>
                          <w:sz w:val="20"/>
                          <w:szCs w:val="20"/>
                        </w:rPr>
                      </w:pPr>
                      <w:r>
                        <w:rPr>
                          <w:rFonts w:ascii="Britannic Bold" w:hAnsi="Britannic Bold"/>
                          <w:sz w:val="20"/>
                          <w:szCs w:val="20"/>
                        </w:rPr>
                        <w:t>MAURICIO FRANCO VERGARA</w:t>
                      </w:r>
                    </w:p>
                    <w:p w:rsidR="00CB1D1C" w:rsidRDefault="00CB1D1C" w:rsidP="00CB1D1C">
                      <w:pPr>
                        <w:jc w:val="center"/>
                        <w:rPr>
                          <w:rFonts w:ascii="Britannic Bold" w:hAnsi="Britannic Bold"/>
                          <w:sz w:val="20"/>
                          <w:szCs w:val="20"/>
                        </w:rPr>
                      </w:pPr>
                      <w:r>
                        <w:rPr>
                          <w:rFonts w:ascii="Britannic Bold" w:hAnsi="Britannic Bold"/>
                          <w:sz w:val="20"/>
                          <w:szCs w:val="20"/>
                        </w:rPr>
                        <w:t>MAURICIO FRANCO VERGARA</w:t>
                      </w:r>
                    </w:p>
                    <w:p w:rsidR="00CB1D1C" w:rsidRDefault="00CB1D1C" w:rsidP="00CB1D1C">
                      <w:pPr>
                        <w:jc w:val="center"/>
                        <w:rPr>
                          <w:rFonts w:ascii="Britannic Bold" w:hAnsi="Britannic Bold"/>
                          <w:sz w:val="20"/>
                          <w:szCs w:val="20"/>
                        </w:rPr>
                      </w:pPr>
                      <w:r>
                        <w:rPr>
                          <w:rFonts w:ascii="Britannic Bold" w:hAnsi="Britannic Bold"/>
                          <w:sz w:val="20"/>
                          <w:szCs w:val="20"/>
                        </w:rPr>
                        <w:t>Secretaria</w:t>
                      </w:r>
                    </w:p>
                  </w:txbxContent>
                </v:textbox>
              </v:shape>
            </w:pict>
          </mc:Fallback>
        </mc:AlternateContent>
      </w:r>
    </w:p>
    <w:p w:rsidR="00CB1D1C" w:rsidRPr="00C137C4" w:rsidRDefault="00CB1D1C" w:rsidP="00CB1D1C">
      <w:pPr>
        <w:spacing w:after="0" w:line="240" w:lineRule="auto"/>
        <w:jc w:val="center"/>
        <w:rPr>
          <w:rFonts w:ascii="Bradley Hand ITC" w:hAnsi="Bradley Hand ITC" w:cs="Arial"/>
          <w:b/>
          <w:bCs/>
          <w:sz w:val="28"/>
          <w:szCs w:val="28"/>
          <w:lang w:val="es-ES" w:eastAsia="es-ES"/>
        </w:rPr>
      </w:pPr>
    </w:p>
    <w:p w:rsidR="00CB1D1C" w:rsidRPr="00C137C4" w:rsidRDefault="00CB1D1C" w:rsidP="00CB1D1C">
      <w:pPr>
        <w:spacing w:after="0" w:line="240" w:lineRule="auto"/>
        <w:jc w:val="center"/>
        <w:rPr>
          <w:rFonts w:ascii="Bradley Hand ITC" w:hAnsi="Bradley Hand ITC" w:cs="Arial"/>
          <w:b/>
          <w:bCs/>
          <w:sz w:val="28"/>
          <w:szCs w:val="28"/>
          <w:lang w:val="es-ES" w:eastAsia="es-ES"/>
        </w:rPr>
      </w:pPr>
    </w:p>
    <w:p w:rsidR="00CB1D1C" w:rsidRPr="00C137C4" w:rsidRDefault="00CB1D1C" w:rsidP="00CB1D1C">
      <w:pPr>
        <w:spacing w:after="0" w:line="240" w:lineRule="auto"/>
        <w:rPr>
          <w:rFonts w:ascii="Times New Roman" w:eastAsia="Times New Roman" w:hAnsi="Times New Roman" w:cs="Times New Roman"/>
          <w:sz w:val="24"/>
          <w:szCs w:val="24"/>
          <w:lang w:val="es-ES" w:eastAsia="es-ES"/>
        </w:rPr>
      </w:pPr>
    </w:p>
    <w:p w:rsidR="00CB1D1C" w:rsidRDefault="00CB1D1C" w:rsidP="00CB1D1C"/>
    <w:p w:rsidR="006E6CD2" w:rsidRDefault="00946604"/>
    <w:sectPr w:rsidR="006E6CD2" w:rsidSect="00622BAF">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66" w:rsidRDefault="00D33666" w:rsidP="00CB1D1C">
      <w:pPr>
        <w:spacing w:after="0" w:line="240" w:lineRule="auto"/>
      </w:pPr>
      <w:r>
        <w:separator/>
      </w:r>
    </w:p>
  </w:endnote>
  <w:endnote w:type="continuationSeparator" w:id="0">
    <w:p w:rsidR="00D33666" w:rsidRDefault="00D33666" w:rsidP="00CB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66" w:rsidRDefault="00D33666" w:rsidP="00CB1D1C">
      <w:pPr>
        <w:spacing w:after="0" w:line="240" w:lineRule="auto"/>
      </w:pPr>
      <w:r>
        <w:separator/>
      </w:r>
    </w:p>
  </w:footnote>
  <w:footnote w:type="continuationSeparator" w:id="0">
    <w:p w:rsidR="00D33666" w:rsidRDefault="00D33666" w:rsidP="00CB1D1C">
      <w:pPr>
        <w:spacing w:after="0" w:line="240" w:lineRule="auto"/>
      </w:pPr>
      <w:r>
        <w:continuationSeparator/>
      </w:r>
    </w:p>
  </w:footnote>
  <w:footnote w:id="1">
    <w:p w:rsidR="00CB1D1C" w:rsidRDefault="00CB1D1C" w:rsidP="00CB1D1C">
      <w:pPr>
        <w:pStyle w:val="Textonotapie"/>
      </w:pPr>
      <w:r>
        <w:rPr>
          <w:rStyle w:val="Refdenotaalpie"/>
        </w:rPr>
        <w:footnoteRef/>
      </w:r>
      <w:r>
        <w:t xml:space="preserve"> Art. 117 CGP “Los términos señalados en este Código para la realización de los actos procesales de las partes y los auxiliares de la justicia, son perentorios e improrrogables, salvo disposición en contrario”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1C"/>
    <w:rsid w:val="00456A00"/>
    <w:rsid w:val="00946604"/>
    <w:rsid w:val="009749CD"/>
    <w:rsid w:val="00B05FA4"/>
    <w:rsid w:val="00CB1D1C"/>
    <w:rsid w:val="00D33666"/>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40EC3A-F6A5-4A05-95FC-24CF1C24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D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B1D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1D1C"/>
    <w:rPr>
      <w:sz w:val="20"/>
      <w:szCs w:val="20"/>
    </w:rPr>
  </w:style>
  <w:style w:type="character" w:styleId="Refdenotaalpie">
    <w:name w:val="footnote reference"/>
    <w:basedOn w:val="Fuentedeprrafopredeter"/>
    <w:uiPriority w:val="99"/>
    <w:semiHidden/>
    <w:unhideWhenUsed/>
    <w:rsid w:val="00CB1D1C"/>
    <w:rPr>
      <w:vertAlign w:val="superscript"/>
    </w:rPr>
  </w:style>
  <w:style w:type="paragraph" w:styleId="Textodeglobo">
    <w:name w:val="Balloon Text"/>
    <w:basedOn w:val="Normal"/>
    <w:link w:val="TextodegloboCar"/>
    <w:uiPriority w:val="99"/>
    <w:semiHidden/>
    <w:unhideWhenUsed/>
    <w:rsid w:val="00CB1D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1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2015-01-20T21:32:00Z</cp:lastPrinted>
  <dcterms:created xsi:type="dcterms:W3CDTF">2015-01-27T20:41:00Z</dcterms:created>
  <dcterms:modified xsi:type="dcterms:W3CDTF">2015-01-27T20:41:00Z</dcterms:modified>
</cp:coreProperties>
</file>