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456" w:rsidRPr="007A5AC6" w:rsidRDefault="00EE4456" w:rsidP="00EE4456">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EE4456" w:rsidRPr="007A5AC6" w:rsidRDefault="00EE4456" w:rsidP="00EE4456">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EE4456" w:rsidRPr="007A5AC6" w:rsidRDefault="00EE4456" w:rsidP="00EE4456">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EE4456" w:rsidRPr="007A5AC6" w:rsidRDefault="00EE4456" w:rsidP="00EE445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EE4456" w:rsidRPr="007A5AC6" w:rsidRDefault="00EE4456" w:rsidP="00EE445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05001-33-33-016-2013 00270 00</w:t>
      </w:r>
    </w:p>
    <w:p w:rsidR="00EE4456" w:rsidRPr="007A5AC6" w:rsidRDefault="00EE4456" w:rsidP="00EE445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Pr>
          <w:rFonts w:ascii="MS Reference Sans Serif" w:eastAsia="Times New Roman" w:hAnsi="MS Reference Sans Serif" w:cs="Arial"/>
          <w:sz w:val="16"/>
          <w:szCs w:val="16"/>
          <w:lang w:val="es-MX" w:eastAsia="es-ES"/>
        </w:rPr>
        <w:t xml:space="preserve">ACCIÒN POPULAR </w:t>
      </w:r>
    </w:p>
    <w:p w:rsidR="00EE4456" w:rsidRPr="007A5AC6" w:rsidRDefault="00EE4456" w:rsidP="00EE445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JORGE MARIO DUEÑAS ROMERO</w:t>
      </w:r>
    </w:p>
    <w:p w:rsidR="00EE4456" w:rsidRPr="007A5AC6" w:rsidRDefault="00EE4456" w:rsidP="00EE445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NDADO:  MUNICIPIO DE MEDELLÍN</w:t>
      </w:r>
    </w:p>
    <w:p w:rsidR="00EE4456" w:rsidRPr="007A5AC6" w:rsidRDefault="00EE4456" w:rsidP="00EE445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EE4456" w:rsidRPr="007A5AC6" w:rsidRDefault="00EE4456" w:rsidP="00EE445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Pr>
          <w:rFonts w:ascii="MS Reference Sans Serif" w:eastAsia="Times New Roman" w:hAnsi="MS Reference Sans Serif" w:cs="Times New Roman"/>
          <w:sz w:val="16"/>
          <w:szCs w:val="16"/>
          <w:lang w:val="es-ES" w:eastAsia="es-ES"/>
        </w:rPr>
        <w:t>CONCEDE RECURSO DE APELACIÓN</w:t>
      </w:r>
      <w:r w:rsidR="0085115F">
        <w:rPr>
          <w:rFonts w:ascii="MS Reference Sans Serif" w:eastAsia="Times New Roman" w:hAnsi="MS Reference Sans Serif" w:cs="Times New Roman"/>
          <w:sz w:val="16"/>
          <w:szCs w:val="16"/>
          <w:lang w:val="es-ES" w:eastAsia="es-ES"/>
        </w:rPr>
        <w:t xml:space="preserve"> CONTRA SENTENCIA</w:t>
      </w:r>
    </w:p>
    <w:p w:rsidR="00EE4456" w:rsidRPr="007A5AC6" w:rsidRDefault="00EE4456" w:rsidP="00EE4456">
      <w:pPr>
        <w:spacing w:after="0" w:line="240" w:lineRule="auto"/>
        <w:jc w:val="both"/>
        <w:rPr>
          <w:rFonts w:ascii="Lucida Sans" w:eastAsia="Times New Roman" w:hAnsi="Lucida Sans" w:cs="Arial"/>
          <w:bCs/>
          <w:sz w:val="21"/>
          <w:szCs w:val="21"/>
          <w:lang w:val="es-ES" w:eastAsia="es-ES"/>
        </w:rPr>
      </w:pPr>
    </w:p>
    <w:p w:rsidR="00EE4456" w:rsidRPr="00EE4456" w:rsidRDefault="00EE4456" w:rsidP="008F1FDA">
      <w:pPr>
        <w:tabs>
          <w:tab w:val="left" w:pos="1653"/>
        </w:tabs>
        <w:spacing w:after="0" w:line="240" w:lineRule="auto"/>
        <w:jc w:val="both"/>
        <w:rPr>
          <w:rFonts w:ascii="Lucida Sans" w:eastAsia="Times New Roman" w:hAnsi="Lucida Sans" w:cs="Times New Roman"/>
          <w:sz w:val="20"/>
          <w:szCs w:val="20"/>
          <w:lang w:eastAsia="es-ES"/>
        </w:rPr>
      </w:pPr>
      <w:r>
        <w:rPr>
          <w:rFonts w:ascii="Lucida Sans" w:eastAsia="Times New Roman" w:hAnsi="Lucida Sans" w:cs="Times New Roman"/>
          <w:sz w:val="20"/>
          <w:szCs w:val="20"/>
          <w:lang w:eastAsia="es-ES"/>
        </w:rPr>
        <w:t xml:space="preserve">El </w:t>
      </w:r>
      <w:r w:rsidR="00CA18E8">
        <w:rPr>
          <w:rFonts w:ascii="Lucida Sans" w:eastAsia="Times New Roman" w:hAnsi="Lucida Sans" w:cs="Times New Roman"/>
          <w:sz w:val="20"/>
          <w:szCs w:val="20"/>
          <w:lang w:eastAsia="es-ES"/>
        </w:rPr>
        <w:t xml:space="preserve"> actor popular y el </w:t>
      </w:r>
      <w:r>
        <w:rPr>
          <w:rFonts w:ascii="Lucida Sans" w:eastAsia="Times New Roman" w:hAnsi="Lucida Sans" w:cs="Times New Roman"/>
          <w:sz w:val="20"/>
          <w:szCs w:val="20"/>
          <w:lang w:eastAsia="es-ES"/>
        </w:rPr>
        <w:t>apoderado del Municipio de Medellín</w:t>
      </w:r>
      <w:r w:rsidRPr="00EE4456">
        <w:rPr>
          <w:rFonts w:ascii="Lucida Sans" w:eastAsia="Times New Roman" w:hAnsi="Lucida Sans" w:cs="Times New Roman"/>
          <w:sz w:val="20"/>
          <w:szCs w:val="20"/>
          <w:lang w:eastAsia="es-ES"/>
        </w:rPr>
        <w:t xml:space="preserve"> mediant</w:t>
      </w:r>
      <w:r>
        <w:rPr>
          <w:rFonts w:ascii="Lucida Sans" w:eastAsia="Times New Roman" w:hAnsi="Lucida Sans" w:cs="Times New Roman"/>
          <w:sz w:val="20"/>
          <w:szCs w:val="20"/>
          <w:lang w:eastAsia="es-ES"/>
        </w:rPr>
        <w:t>e escrito</w:t>
      </w:r>
      <w:r w:rsidR="00CA18E8">
        <w:rPr>
          <w:rFonts w:ascii="Lucida Sans" w:eastAsia="Times New Roman" w:hAnsi="Lucida Sans" w:cs="Times New Roman"/>
          <w:sz w:val="20"/>
          <w:szCs w:val="20"/>
          <w:lang w:eastAsia="es-ES"/>
        </w:rPr>
        <w:t>s</w:t>
      </w:r>
      <w:r>
        <w:rPr>
          <w:rFonts w:ascii="Lucida Sans" w:eastAsia="Times New Roman" w:hAnsi="Lucida Sans" w:cs="Times New Roman"/>
          <w:sz w:val="20"/>
          <w:szCs w:val="20"/>
          <w:lang w:eastAsia="es-ES"/>
        </w:rPr>
        <w:t xml:space="preserve"> visible</w:t>
      </w:r>
      <w:r w:rsidR="00CA18E8">
        <w:rPr>
          <w:rFonts w:ascii="Lucida Sans" w:eastAsia="Times New Roman" w:hAnsi="Lucida Sans" w:cs="Times New Roman"/>
          <w:sz w:val="20"/>
          <w:szCs w:val="20"/>
          <w:lang w:eastAsia="es-ES"/>
        </w:rPr>
        <w:t>s</w:t>
      </w:r>
      <w:r>
        <w:rPr>
          <w:rFonts w:ascii="Lucida Sans" w:eastAsia="Times New Roman" w:hAnsi="Lucida Sans" w:cs="Times New Roman"/>
          <w:sz w:val="20"/>
          <w:szCs w:val="20"/>
          <w:lang w:eastAsia="es-ES"/>
        </w:rPr>
        <w:t xml:space="preserve"> a folios 94-98</w:t>
      </w:r>
      <w:r w:rsidR="00CA18E8">
        <w:rPr>
          <w:rFonts w:ascii="Lucida Sans" w:eastAsia="Times New Roman" w:hAnsi="Lucida Sans" w:cs="Times New Roman"/>
          <w:sz w:val="20"/>
          <w:szCs w:val="20"/>
          <w:lang w:eastAsia="es-ES"/>
        </w:rPr>
        <w:t xml:space="preserve"> y 99-100</w:t>
      </w:r>
      <w:r w:rsidRPr="00EE4456">
        <w:rPr>
          <w:rFonts w:ascii="Lucida Sans" w:eastAsia="Times New Roman" w:hAnsi="Lucida Sans" w:cs="Times New Roman"/>
          <w:sz w:val="20"/>
          <w:szCs w:val="20"/>
          <w:lang w:eastAsia="es-ES"/>
        </w:rPr>
        <w:t xml:space="preserve"> del </w:t>
      </w:r>
      <w:r>
        <w:rPr>
          <w:rFonts w:ascii="Lucida Sans" w:eastAsia="Times New Roman" w:hAnsi="Lucida Sans" w:cs="Times New Roman"/>
          <w:sz w:val="20"/>
          <w:szCs w:val="20"/>
          <w:lang w:eastAsia="es-ES"/>
        </w:rPr>
        <w:t xml:space="preserve">expediente </w:t>
      </w:r>
      <w:r w:rsidRPr="00EE4456">
        <w:rPr>
          <w:rFonts w:ascii="Lucida Sans" w:eastAsia="Times New Roman" w:hAnsi="Lucida Sans" w:cs="Times New Roman"/>
          <w:sz w:val="20"/>
          <w:szCs w:val="20"/>
          <w:lang w:eastAsia="es-ES"/>
        </w:rPr>
        <w:t>formula</w:t>
      </w:r>
      <w:r w:rsidR="00CA18E8">
        <w:rPr>
          <w:rFonts w:ascii="Lucida Sans" w:eastAsia="Times New Roman" w:hAnsi="Lucida Sans" w:cs="Times New Roman"/>
          <w:sz w:val="20"/>
          <w:szCs w:val="20"/>
          <w:lang w:eastAsia="es-ES"/>
        </w:rPr>
        <w:t>n</w:t>
      </w:r>
      <w:r w:rsidRPr="00EE4456">
        <w:rPr>
          <w:rFonts w:ascii="Lucida Sans" w:eastAsia="Times New Roman" w:hAnsi="Lucida Sans" w:cs="Times New Roman"/>
          <w:sz w:val="20"/>
          <w:szCs w:val="20"/>
          <w:lang w:eastAsia="es-ES"/>
        </w:rPr>
        <w:t xml:space="preserve"> oportunamente recurso de apelación contra </w:t>
      </w:r>
      <w:r>
        <w:rPr>
          <w:rFonts w:ascii="Lucida Sans" w:eastAsia="Times New Roman" w:hAnsi="Lucida Sans" w:cs="Times New Roman"/>
          <w:sz w:val="20"/>
          <w:szCs w:val="20"/>
          <w:lang w:eastAsia="es-ES"/>
        </w:rPr>
        <w:t>la sentencia proferida el 18 de diciembre de 2014</w:t>
      </w:r>
      <w:r w:rsidRPr="00EE4456">
        <w:rPr>
          <w:rFonts w:ascii="Lucida Sans" w:eastAsia="Times New Roman" w:hAnsi="Lucida Sans" w:cs="Times New Roman"/>
          <w:sz w:val="20"/>
          <w:szCs w:val="20"/>
          <w:lang w:eastAsia="es-ES"/>
        </w:rPr>
        <w:t>-</w:t>
      </w:r>
      <w:r>
        <w:rPr>
          <w:rFonts w:ascii="Lucida Sans" w:eastAsia="Times New Roman" w:hAnsi="Lucida Sans" w:cs="Times New Roman"/>
          <w:b/>
          <w:i/>
          <w:sz w:val="20"/>
          <w:szCs w:val="20"/>
          <w:lang w:eastAsia="es-ES"/>
        </w:rPr>
        <w:t>Fls. 75-90</w:t>
      </w:r>
      <w:r w:rsidRPr="00EE4456">
        <w:rPr>
          <w:rFonts w:ascii="Lucida Sans" w:eastAsia="Times New Roman" w:hAnsi="Lucida Sans" w:cs="Times New Roman"/>
          <w:b/>
          <w:i/>
          <w:sz w:val="20"/>
          <w:szCs w:val="20"/>
          <w:lang w:eastAsia="es-ES"/>
        </w:rPr>
        <w:t xml:space="preserve"> </w:t>
      </w:r>
      <w:r>
        <w:rPr>
          <w:rFonts w:ascii="Lucida Sans" w:eastAsia="Times New Roman" w:hAnsi="Lucida Sans" w:cs="Times New Roman"/>
          <w:sz w:val="20"/>
          <w:szCs w:val="20"/>
          <w:lang w:eastAsia="es-ES"/>
        </w:rPr>
        <w:t>mediante la cual se desató la litis en primera instancia.</w:t>
      </w:r>
    </w:p>
    <w:p w:rsidR="00EE4456" w:rsidRPr="00EE4456" w:rsidRDefault="00EE4456" w:rsidP="00EE4456">
      <w:pPr>
        <w:tabs>
          <w:tab w:val="left" w:pos="1653"/>
        </w:tabs>
        <w:spacing w:after="0" w:line="360" w:lineRule="auto"/>
        <w:jc w:val="both"/>
        <w:rPr>
          <w:rFonts w:ascii="Lucida Sans" w:eastAsia="Times New Roman" w:hAnsi="Lucida Sans" w:cs="Times New Roman"/>
          <w:sz w:val="20"/>
          <w:szCs w:val="20"/>
          <w:lang w:eastAsia="es-ES"/>
        </w:rPr>
      </w:pPr>
    </w:p>
    <w:p w:rsidR="00EE4456" w:rsidRPr="00EE4456" w:rsidRDefault="00EE4456" w:rsidP="008F1FDA">
      <w:pPr>
        <w:tabs>
          <w:tab w:val="left" w:pos="1653"/>
        </w:tabs>
        <w:spacing w:after="0" w:line="240" w:lineRule="auto"/>
        <w:jc w:val="both"/>
        <w:rPr>
          <w:rFonts w:ascii="Lucida Sans" w:eastAsia="Times New Roman" w:hAnsi="Lucida Sans" w:cs="Times New Roman"/>
          <w:sz w:val="20"/>
          <w:szCs w:val="20"/>
          <w:lang w:eastAsia="es-ES"/>
        </w:rPr>
      </w:pPr>
      <w:r w:rsidRPr="00EE4456">
        <w:rPr>
          <w:rFonts w:ascii="Lucida Sans" w:eastAsia="Times New Roman" w:hAnsi="Lucida Sans" w:cs="Times New Roman"/>
          <w:sz w:val="20"/>
          <w:szCs w:val="20"/>
          <w:lang w:eastAsia="es-ES"/>
        </w:rPr>
        <w:t xml:space="preserve">En cuanto al trámite del recurso de </w:t>
      </w:r>
      <w:r>
        <w:rPr>
          <w:rFonts w:ascii="Lucida Sans" w:eastAsia="Times New Roman" w:hAnsi="Lucida Sans" w:cs="Times New Roman"/>
          <w:sz w:val="20"/>
          <w:szCs w:val="20"/>
          <w:lang w:eastAsia="es-ES"/>
        </w:rPr>
        <w:t>apelación en acciones populares dispone el artículo 37 de la Ley 472 de 1998, lo siguiente</w:t>
      </w:r>
      <w:r w:rsidRPr="00EE4456">
        <w:rPr>
          <w:rFonts w:ascii="Lucida Sans" w:eastAsia="Times New Roman" w:hAnsi="Lucida Sans" w:cs="Times New Roman"/>
          <w:sz w:val="20"/>
          <w:szCs w:val="20"/>
          <w:lang w:eastAsia="es-ES"/>
        </w:rPr>
        <w:t xml:space="preserve">: </w:t>
      </w:r>
    </w:p>
    <w:p w:rsidR="00EE4456" w:rsidRDefault="00EE4456" w:rsidP="00EE4456">
      <w:pPr>
        <w:spacing w:after="0" w:line="240" w:lineRule="auto"/>
        <w:ind w:right="51"/>
        <w:jc w:val="both"/>
        <w:rPr>
          <w:rFonts w:ascii="Lucida Sans" w:eastAsia="Times New Roman" w:hAnsi="Lucida Sans" w:cs="Times New Roman"/>
          <w:i/>
          <w:sz w:val="20"/>
          <w:szCs w:val="20"/>
          <w:lang w:eastAsia="es-ES"/>
        </w:rPr>
      </w:pPr>
    </w:p>
    <w:p w:rsidR="008F1FDA" w:rsidRPr="0085115F" w:rsidRDefault="00EE4456" w:rsidP="008F1FDA">
      <w:pPr>
        <w:spacing w:after="0" w:line="240" w:lineRule="auto"/>
        <w:ind w:left="360" w:right="51"/>
        <w:jc w:val="both"/>
        <w:rPr>
          <w:rFonts w:ascii="Lucida Sans" w:eastAsia="Times New Roman" w:hAnsi="Lucida Sans" w:cs="Times New Roman"/>
          <w:i/>
          <w:sz w:val="18"/>
          <w:szCs w:val="18"/>
          <w:lang w:eastAsia="es-ES"/>
        </w:rPr>
      </w:pPr>
      <w:r w:rsidRPr="0085115F">
        <w:rPr>
          <w:rFonts w:ascii="Lucida Sans" w:hAnsi="Lucida Sans"/>
          <w:sz w:val="18"/>
          <w:szCs w:val="18"/>
        </w:rPr>
        <w:t>“ARTICULO 37. RECURSO DE APELACION. El recurso de apelación procederá contra la sentencia que se dicte en primera instancia, en la forma y oportunidad señalada en el Código de Procedimiento Civil, y deberá ser resuelto dentro de los veinte (20) días siguientes contados a partir de la radicación del expediente en la Secretaría del Tribunal competente. La práctica de pruebas durante la segunda instancia se sujetará, también, a la forma prevista en el Código de Procedimiento Civil; en el auto que admite el recurso se fijará un plazo para la práctica de las pruebas que, en ningún caso, excederá de diez (10) días contados a partir de la notificación de dicho auto; el plazo para resolver el recurso se entenderá ampliado en el término señalado para la práctica de pruebas.”</w:t>
      </w:r>
    </w:p>
    <w:p w:rsidR="008F1FDA" w:rsidRPr="0085115F" w:rsidRDefault="008F1FDA" w:rsidP="008F1FDA">
      <w:pPr>
        <w:spacing w:after="0" w:line="240" w:lineRule="auto"/>
        <w:ind w:left="360" w:right="51"/>
        <w:jc w:val="both"/>
        <w:rPr>
          <w:rFonts w:ascii="Lucida Sans" w:eastAsia="Times New Roman" w:hAnsi="Lucida Sans" w:cs="Times New Roman"/>
          <w:i/>
          <w:sz w:val="18"/>
          <w:szCs w:val="18"/>
          <w:lang w:eastAsia="es-ES"/>
        </w:rPr>
      </w:pPr>
    </w:p>
    <w:p w:rsidR="00EE4456" w:rsidRPr="0085115F" w:rsidRDefault="008F1FDA" w:rsidP="008F1FDA">
      <w:pPr>
        <w:spacing w:after="0" w:line="240" w:lineRule="auto"/>
        <w:ind w:left="360" w:right="51"/>
        <w:jc w:val="both"/>
        <w:rPr>
          <w:rFonts w:ascii="Lucida Sans" w:eastAsia="Times New Roman" w:hAnsi="Lucida Sans" w:cs="Times New Roman"/>
          <w:i/>
          <w:sz w:val="18"/>
          <w:szCs w:val="18"/>
          <w:lang w:eastAsia="es-ES"/>
        </w:rPr>
      </w:pPr>
      <w:r w:rsidRPr="0085115F">
        <w:rPr>
          <w:rFonts w:ascii="Lucida Sans" w:eastAsia="Times New Roman" w:hAnsi="Lucida Sans" w:cs="Times New Roman"/>
          <w:sz w:val="18"/>
          <w:szCs w:val="18"/>
          <w:lang w:eastAsia="es-ES"/>
        </w:rPr>
        <w:t>Sin embargo el</w:t>
      </w:r>
      <w:r w:rsidR="00EE4456" w:rsidRPr="0085115F">
        <w:rPr>
          <w:rFonts w:ascii="Lucida Sans" w:eastAsia="Times New Roman" w:hAnsi="Lucida Sans" w:cs="Times New Roman"/>
          <w:sz w:val="18"/>
          <w:szCs w:val="18"/>
          <w:lang w:eastAsia="es-ES"/>
        </w:rPr>
        <w:t xml:space="preserve"> artículo </w:t>
      </w:r>
      <w:r w:rsidRPr="0085115F">
        <w:rPr>
          <w:rFonts w:ascii="Lucida Sans" w:eastAsia="Times New Roman" w:hAnsi="Lucida Sans" w:cs="Times New Roman"/>
          <w:sz w:val="18"/>
          <w:szCs w:val="18"/>
          <w:lang w:eastAsia="es-ES"/>
        </w:rPr>
        <w:t xml:space="preserve">44 de la Ley 472 de 1998 dispone que en los aspectos no regulados en dicha norma, se aplicaran las disposiciones del </w:t>
      </w:r>
      <w:r w:rsidRPr="0085115F">
        <w:rPr>
          <w:rFonts w:ascii="Lucida Sans" w:hAnsi="Lucida Sans"/>
          <w:sz w:val="18"/>
          <w:szCs w:val="18"/>
        </w:rPr>
        <w:t>Código de Procedimiento Civil y del Código Contencioso Administrativo dependiendo de la jurisdicción que le corresponda.”</w:t>
      </w:r>
    </w:p>
    <w:p w:rsidR="008F1FDA" w:rsidRPr="008F1FDA" w:rsidRDefault="008F1FDA" w:rsidP="00EE4456">
      <w:pPr>
        <w:spacing w:after="0" w:line="240" w:lineRule="auto"/>
        <w:ind w:right="51"/>
        <w:jc w:val="both"/>
        <w:rPr>
          <w:rFonts w:ascii="Lucida Sans" w:eastAsia="Times New Roman" w:hAnsi="Lucida Sans" w:cs="Times New Roman"/>
          <w:sz w:val="20"/>
          <w:szCs w:val="20"/>
          <w:lang w:eastAsia="es-ES"/>
        </w:rPr>
      </w:pPr>
    </w:p>
    <w:p w:rsidR="00EE4456" w:rsidRDefault="008F1FDA" w:rsidP="00EE4456">
      <w:pPr>
        <w:spacing w:after="0" w:line="240" w:lineRule="auto"/>
        <w:ind w:right="51"/>
        <w:jc w:val="both"/>
        <w:rPr>
          <w:rFonts w:ascii="Lucida Sans" w:eastAsia="Times New Roman" w:hAnsi="Lucida Sans" w:cs="Times New Roman"/>
          <w:sz w:val="20"/>
          <w:szCs w:val="20"/>
          <w:lang w:eastAsia="es-ES"/>
        </w:rPr>
      </w:pPr>
      <w:r>
        <w:rPr>
          <w:rFonts w:ascii="Lucida Sans" w:eastAsia="Times New Roman" w:hAnsi="Lucida Sans" w:cs="Times New Roman"/>
          <w:sz w:val="20"/>
          <w:szCs w:val="20"/>
          <w:lang w:eastAsia="es-ES"/>
        </w:rPr>
        <w:t>El artículo 247 del Código de Procedimiento Administrativo y de lo Contencioso Administrativo dispone respecto al trámite del recurso de apelación de la sentencia lo siguiente:</w:t>
      </w:r>
    </w:p>
    <w:p w:rsidR="008F1FDA" w:rsidRDefault="008F1FDA" w:rsidP="00EE4456">
      <w:pPr>
        <w:spacing w:after="0" w:line="240" w:lineRule="auto"/>
        <w:ind w:right="51"/>
        <w:jc w:val="both"/>
        <w:rPr>
          <w:rFonts w:ascii="Lucida Sans" w:eastAsia="Times New Roman" w:hAnsi="Lucida Sans" w:cs="Times New Roman"/>
          <w:sz w:val="20"/>
          <w:szCs w:val="20"/>
          <w:lang w:eastAsia="es-ES"/>
        </w:rPr>
      </w:pPr>
    </w:p>
    <w:p w:rsidR="008F1FDA" w:rsidRPr="0085115F" w:rsidRDefault="008F1FDA" w:rsidP="00EE4456">
      <w:pPr>
        <w:spacing w:after="0" w:line="240" w:lineRule="auto"/>
        <w:ind w:right="51"/>
        <w:jc w:val="both"/>
        <w:rPr>
          <w:rFonts w:ascii="Lucida Sans" w:eastAsia="Times New Roman" w:hAnsi="Lucida Sans" w:cs="Times New Roman"/>
          <w:sz w:val="18"/>
          <w:szCs w:val="18"/>
          <w:lang w:eastAsia="es-ES"/>
        </w:rPr>
      </w:pPr>
      <w:r w:rsidRPr="0085115F">
        <w:rPr>
          <w:rFonts w:ascii="Lucida Sans" w:eastAsia="Times New Roman" w:hAnsi="Lucida Sans" w:cs="Times New Roman"/>
          <w:sz w:val="18"/>
          <w:szCs w:val="18"/>
          <w:lang w:eastAsia="es-ES"/>
        </w:rPr>
        <w:t xml:space="preserve">“Art. 247. El recurso de apelación contra las sentencias proferidas </w:t>
      </w:r>
      <w:r w:rsidR="0085115F" w:rsidRPr="0085115F">
        <w:rPr>
          <w:rFonts w:ascii="Lucida Sans" w:eastAsia="Times New Roman" w:hAnsi="Lucida Sans" w:cs="Times New Roman"/>
          <w:sz w:val="18"/>
          <w:szCs w:val="18"/>
          <w:lang w:eastAsia="es-ES"/>
        </w:rPr>
        <w:t>en primera instancia se tramitará de acuerdo con el siguiente procedimiento:</w:t>
      </w:r>
    </w:p>
    <w:p w:rsidR="0085115F" w:rsidRPr="0085115F" w:rsidRDefault="0085115F" w:rsidP="00EE4456">
      <w:pPr>
        <w:spacing w:after="0" w:line="240" w:lineRule="auto"/>
        <w:ind w:right="51"/>
        <w:jc w:val="both"/>
        <w:rPr>
          <w:rFonts w:ascii="Lucida Sans" w:eastAsia="Times New Roman" w:hAnsi="Lucida Sans" w:cs="Times New Roman"/>
          <w:sz w:val="18"/>
          <w:szCs w:val="18"/>
          <w:lang w:eastAsia="es-ES"/>
        </w:rPr>
      </w:pPr>
    </w:p>
    <w:p w:rsidR="0085115F" w:rsidRPr="0085115F" w:rsidRDefault="0085115F" w:rsidP="0085115F">
      <w:pPr>
        <w:pStyle w:val="Prrafodelista"/>
        <w:numPr>
          <w:ilvl w:val="0"/>
          <w:numId w:val="1"/>
        </w:numPr>
        <w:spacing w:after="0" w:line="240" w:lineRule="auto"/>
        <w:ind w:right="51"/>
        <w:jc w:val="both"/>
        <w:rPr>
          <w:rFonts w:ascii="Lucida Sans" w:eastAsia="Times New Roman" w:hAnsi="Lucida Sans" w:cs="Times New Roman"/>
          <w:sz w:val="18"/>
          <w:szCs w:val="18"/>
          <w:lang w:eastAsia="es-ES"/>
        </w:rPr>
      </w:pPr>
      <w:r w:rsidRPr="0085115F">
        <w:rPr>
          <w:rFonts w:ascii="Lucida Sans" w:eastAsia="Times New Roman" w:hAnsi="Lucida Sans" w:cs="Times New Roman"/>
          <w:sz w:val="18"/>
          <w:szCs w:val="18"/>
          <w:lang w:eastAsia="es-ES"/>
        </w:rPr>
        <w:t>El recurso deberá interponerse y sustentarse ante la autoridad que profirió la providencia, dentro de los diez (10) días siguientes a su notificación.</w:t>
      </w:r>
    </w:p>
    <w:p w:rsidR="0085115F" w:rsidRPr="0085115F" w:rsidRDefault="0085115F" w:rsidP="0085115F">
      <w:pPr>
        <w:pStyle w:val="Prrafodelista"/>
        <w:numPr>
          <w:ilvl w:val="0"/>
          <w:numId w:val="1"/>
        </w:numPr>
        <w:spacing w:after="0" w:line="240" w:lineRule="auto"/>
        <w:ind w:right="51"/>
        <w:jc w:val="both"/>
        <w:rPr>
          <w:rFonts w:ascii="Lucida Sans" w:eastAsia="Times New Roman" w:hAnsi="Lucida Sans" w:cs="Times New Roman"/>
          <w:sz w:val="18"/>
          <w:szCs w:val="18"/>
          <w:lang w:eastAsia="es-ES"/>
        </w:rPr>
      </w:pPr>
      <w:r w:rsidRPr="0085115F">
        <w:rPr>
          <w:rFonts w:ascii="Lucida Sans" w:eastAsia="Times New Roman" w:hAnsi="Lucida Sans" w:cs="Times New Roman"/>
          <w:sz w:val="18"/>
          <w:szCs w:val="18"/>
          <w:lang w:eastAsia="es-ES"/>
        </w:rPr>
        <w:t>Si el recurso fue sustentado oportunamente y reúne los demás requisitos legales, se concederá mediante auto en el que se dispondrá remitir el expediente al superior, quien decidirá de plano sino se hubiese pedido la práctica de pruebas.</w:t>
      </w:r>
    </w:p>
    <w:p w:rsidR="0085115F" w:rsidRPr="0085115F" w:rsidRDefault="0085115F" w:rsidP="0085115F">
      <w:pPr>
        <w:spacing w:after="0" w:line="240" w:lineRule="auto"/>
        <w:ind w:right="51"/>
        <w:jc w:val="both"/>
        <w:rPr>
          <w:rFonts w:ascii="Lucida Sans" w:eastAsia="Times New Roman" w:hAnsi="Lucida Sans" w:cs="Times New Roman"/>
          <w:sz w:val="18"/>
          <w:szCs w:val="18"/>
          <w:lang w:eastAsia="es-ES"/>
        </w:rPr>
      </w:pPr>
      <w:r w:rsidRPr="0085115F">
        <w:rPr>
          <w:rFonts w:ascii="Lucida Sans" w:eastAsia="Times New Roman" w:hAnsi="Lucida Sans" w:cs="Times New Roman"/>
          <w:sz w:val="18"/>
          <w:szCs w:val="18"/>
          <w:lang w:eastAsia="es-ES"/>
        </w:rPr>
        <w:t>(….)”</w:t>
      </w:r>
    </w:p>
    <w:p w:rsidR="008F1FDA" w:rsidRPr="00EE4456" w:rsidRDefault="008F1FDA" w:rsidP="00EE4456">
      <w:pPr>
        <w:spacing w:after="0" w:line="240" w:lineRule="auto"/>
        <w:ind w:right="51"/>
        <w:jc w:val="both"/>
        <w:rPr>
          <w:rFonts w:ascii="Lucida Sans" w:eastAsia="Times New Roman" w:hAnsi="Lucida Sans" w:cs="Times New Roman"/>
          <w:sz w:val="20"/>
          <w:szCs w:val="20"/>
          <w:lang w:eastAsia="es-ES"/>
        </w:rPr>
      </w:pPr>
    </w:p>
    <w:p w:rsidR="00EE4456" w:rsidRPr="00EE4456" w:rsidRDefault="0085115F" w:rsidP="00EE4456">
      <w:pPr>
        <w:spacing w:after="0" w:line="360" w:lineRule="auto"/>
        <w:jc w:val="both"/>
        <w:rPr>
          <w:rFonts w:ascii="Lucida Sans" w:eastAsia="Times New Roman" w:hAnsi="Lucida Sans" w:cs="Times New Roman"/>
          <w:sz w:val="20"/>
          <w:szCs w:val="20"/>
          <w:lang w:eastAsia="es-ES"/>
        </w:rPr>
      </w:pPr>
      <w:r>
        <w:rPr>
          <w:rFonts w:ascii="Lucida Sans" w:eastAsia="Times New Roman" w:hAnsi="Lucida Sans" w:cs="Times New Roman"/>
          <w:sz w:val="20"/>
          <w:szCs w:val="20"/>
          <w:lang w:eastAsia="es-ES"/>
        </w:rPr>
        <w:t xml:space="preserve">En atención a que el recurso de apelación formulado por </w:t>
      </w:r>
      <w:r w:rsidR="00CA18E8">
        <w:rPr>
          <w:rFonts w:ascii="Lucida Sans" w:eastAsia="Times New Roman" w:hAnsi="Lucida Sans" w:cs="Times New Roman"/>
          <w:sz w:val="20"/>
          <w:szCs w:val="20"/>
          <w:lang w:eastAsia="es-ES"/>
        </w:rPr>
        <w:t xml:space="preserve">el actor popular y </w:t>
      </w:r>
      <w:r>
        <w:rPr>
          <w:rFonts w:ascii="Lucida Sans" w:eastAsia="Times New Roman" w:hAnsi="Lucida Sans" w:cs="Times New Roman"/>
          <w:sz w:val="20"/>
          <w:szCs w:val="20"/>
          <w:lang w:eastAsia="es-ES"/>
        </w:rPr>
        <w:t xml:space="preserve">el Municipio de Medellín se presentó oportunamente y fue debidamente </w:t>
      </w:r>
      <w:r w:rsidR="00EE4456" w:rsidRPr="00EE4456">
        <w:rPr>
          <w:rFonts w:ascii="Lucida Sans" w:eastAsia="Times New Roman" w:hAnsi="Lucida Sans" w:cs="Times New Roman"/>
          <w:sz w:val="20"/>
          <w:szCs w:val="20"/>
          <w:lang w:eastAsia="es-ES"/>
        </w:rPr>
        <w:t xml:space="preserve">sustentado, </w:t>
      </w:r>
      <w:r w:rsidR="00EE4456" w:rsidRPr="00EE4456">
        <w:rPr>
          <w:rFonts w:ascii="Lucida Sans" w:eastAsia="Times New Roman" w:hAnsi="Lucida Sans" w:cs="Times New Roman"/>
          <w:b/>
          <w:sz w:val="20"/>
          <w:szCs w:val="20"/>
          <w:lang w:eastAsia="es-ES"/>
        </w:rPr>
        <w:t>SE CONCEDE</w:t>
      </w:r>
      <w:r w:rsidR="00EE4456" w:rsidRPr="00EE4456">
        <w:rPr>
          <w:rFonts w:ascii="Lucida Sans" w:eastAsia="Times New Roman" w:hAnsi="Lucida Sans" w:cs="Times New Roman"/>
          <w:sz w:val="20"/>
          <w:szCs w:val="20"/>
          <w:lang w:eastAsia="es-ES"/>
        </w:rPr>
        <w:t xml:space="preserve"> en el efecto </w:t>
      </w:r>
      <w:r w:rsidR="00EE4456" w:rsidRPr="00EE4456">
        <w:rPr>
          <w:rFonts w:ascii="Lucida Sans" w:eastAsia="Times New Roman" w:hAnsi="Lucida Sans" w:cs="Times New Roman"/>
          <w:b/>
          <w:sz w:val="20"/>
          <w:szCs w:val="20"/>
          <w:lang w:eastAsia="es-ES"/>
        </w:rPr>
        <w:t xml:space="preserve">SUSPENSIVO </w:t>
      </w:r>
      <w:r w:rsidR="00EE4456" w:rsidRPr="00EE4456">
        <w:rPr>
          <w:rFonts w:ascii="Lucida Sans" w:eastAsia="Times New Roman" w:hAnsi="Lucida Sans" w:cs="Times New Roman"/>
          <w:sz w:val="20"/>
          <w:szCs w:val="20"/>
          <w:lang w:eastAsia="es-ES"/>
        </w:rPr>
        <w:t xml:space="preserve">el RECURSO DE APELACIÓN </w:t>
      </w:r>
      <w:r>
        <w:rPr>
          <w:rFonts w:ascii="Lucida Sans" w:eastAsia="Times New Roman" w:hAnsi="Lucida Sans" w:cs="Times New Roman"/>
          <w:sz w:val="20"/>
          <w:szCs w:val="20"/>
          <w:lang w:eastAsia="es-ES"/>
        </w:rPr>
        <w:t>presentado por el</w:t>
      </w:r>
      <w:r w:rsidR="00CA18E8">
        <w:rPr>
          <w:rFonts w:ascii="Lucida Sans" w:eastAsia="Times New Roman" w:hAnsi="Lucida Sans" w:cs="Times New Roman"/>
          <w:sz w:val="20"/>
          <w:szCs w:val="20"/>
          <w:lang w:eastAsia="es-ES"/>
        </w:rPr>
        <w:t xml:space="preserve"> señor Jorge Mario Dueñas Romero y el apoderado</w:t>
      </w:r>
      <w:r>
        <w:rPr>
          <w:rFonts w:ascii="Lucida Sans" w:eastAsia="Times New Roman" w:hAnsi="Lucida Sans" w:cs="Times New Roman"/>
          <w:sz w:val="20"/>
          <w:szCs w:val="20"/>
          <w:lang w:eastAsia="es-ES"/>
        </w:rPr>
        <w:t xml:space="preserve"> del MUNICIPIO DE MEDELLÍN, frente a la sentencia proferida el 18 de diciembre de 2014.</w:t>
      </w:r>
    </w:p>
    <w:p w:rsidR="00EE4456" w:rsidRPr="007A5AC6" w:rsidRDefault="00EE4456" w:rsidP="00EE4456">
      <w:pPr>
        <w:spacing w:after="0" w:line="240" w:lineRule="auto"/>
        <w:jc w:val="both"/>
        <w:rPr>
          <w:rFonts w:ascii="Lucida Sans" w:eastAsia="Times New Roman" w:hAnsi="Lucida Sans" w:cs="Arial"/>
          <w:sz w:val="20"/>
          <w:szCs w:val="20"/>
          <w:lang w:val="es-ES" w:eastAsia="es-ES"/>
        </w:rPr>
      </w:pPr>
    </w:p>
    <w:p w:rsidR="00EE4456" w:rsidRPr="007A5AC6" w:rsidRDefault="00EE4456" w:rsidP="00EE4456">
      <w:pPr>
        <w:spacing w:after="0" w:line="240" w:lineRule="auto"/>
        <w:jc w:val="both"/>
        <w:rPr>
          <w:rFonts w:ascii="Lucida Sans" w:eastAsia="Times New Roman" w:hAnsi="Lucida Sans" w:cs="Arial"/>
          <w:sz w:val="20"/>
          <w:szCs w:val="20"/>
          <w:lang w:val="es-ES" w:eastAsia="es-ES"/>
        </w:rPr>
      </w:pPr>
    </w:p>
    <w:p w:rsidR="00EE4456" w:rsidRPr="007A5AC6" w:rsidRDefault="00EE4456" w:rsidP="00EE4456">
      <w:pPr>
        <w:spacing w:after="0" w:line="240" w:lineRule="auto"/>
        <w:rPr>
          <w:rFonts w:ascii="Times New Roman" w:eastAsia="Times New Roman" w:hAnsi="Times New Roman" w:cs="Times New Roman"/>
          <w:sz w:val="24"/>
          <w:szCs w:val="24"/>
          <w:lang w:val="es-ES_tradnl" w:eastAsia="es-ES"/>
        </w:rPr>
      </w:pPr>
    </w:p>
    <w:p w:rsidR="00EE4456" w:rsidRPr="007A5AC6" w:rsidRDefault="00EE4456" w:rsidP="00EE4456">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EE4456" w:rsidRPr="007A5AC6" w:rsidRDefault="00EE4456" w:rsidP="00EE4456">
      <w:pPr>
        <w:spacing w:after="0" w:line="240" w:lineRule="auto"/>
        <w:jc w:val="center"/>
        <w:rPr>
          <w:rFonts w:ascii="Bradley Hand ITC" w:eastAsia="Times New Roman" w:hAnsi="Bradley Hand ITC" w:cs="Times New Roman"/>
          <w:sz w:val="28"/>
          <w:szCs w:val="28"/>
          <w:lang w:val="es-ES" w:eastAsia="es-ES"/>
        </w:rPr>
      </w:pPr>
    </w:p>
    <w:p w:rsidR="00EE4456" w:rsidRPr="007A5AC6" w:rsidRDefault="00EE4456" w:rsidP="00EE4456">
      <w:pPr>
        <w:spacing w:after="0" w:line="240" w:lineRule="auto"/>
        <w:rPr>
          <w:rFonts w:ascii="Bradley Hand ITC" w:eastAsia="Times New Roman" w:hAnsi="Bradley Hand ITC" w:cs="Times New Roman"/>
          <w:sz w:val="28"/>
          <w:szCs w:val="28"/>
          <w:lang w:val="es-ES" w:eastAsia="es-ES"/>
        </w:rPr>
      </w:pPr>
    </w:p>
    <w:p w:rsidR="00EE4456" w:rsidRPr="007A5AC6" w:rsidRDefault="00EE4456" w:rsidP="00EE4456">
      <w:pPr>
        <w:spacing w:after="0" w:line="240" w:lineRule="auto"/>
        <w:rPr>
          <w:rFonts w:ascii="Bradley Hand ITC" w:eastAsia="Times New Roman" w:hAnsi="Bradley Hand ITC" w:cs="Times New Roman"/>
          <w:sz w:val="28"/>
          <w:szCs w:val="28"/>
          <w:lang w:val="es-ES" w:eastAsia="es-ES"/>
        </w:rPr>
      </w:pPr>
    </w:p>
    <w:p w:rsidR="00EE4456" w:rsidRPr="007A5AC6" w:rsidRDefault="00EE4456" w:rsidP="00EE4456">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EE4456" w:rsidRDefault="00EE4456" w:rsidP="00EE4456">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85115F" w:rsidRDefault="0085115F" w:rsidP="00EE4456">
      <w:pPr>
        <w:spacing w:after="0" w:line="240" w:lineRule="auto"/>
        <w:jc w:val="center"/>
        <w:rPr>
          <w:rFonts w:ascii="Bradley Hand ITC" w:eastAsia="Times New Roman" w:hAnsi="Bradley Hand ITC" w:cs="Times New Roman"/>
          <w:sz w:val="26"/>
          <w:szCs w:val="26"/>
          <w:lang w:val="es-ES" w:eastAsia="es-ES"/>
        </w:rPr>
      </w:pPr>
    </w:p>
    <w:p w:rsidR="0085115F" w:rsidRDefault="0085115F" w:rsidP="00EE4456">
      <w:pPr>
        <w:spacing w:after="0" w:line="240" w:lineRule="auto"/>
        <w:jc w:val="center"/>
        <w:rPr>
          <w:rFonts w:ascii="Bradley Hand ITC" w:eastAsia="Times New Roman" w:hAnsi="Bradley Hand ITC" w:cs="Times New Roman"/>
          <w:sz w:val="26"/>
          <w:szCs w:val="26"/>
          <w:lang w:val="es-ES" w:eastAsia="es-ES"/>
        </w:rPr>
      </w:pPr>
    </w:p>
    <w:p w:rsidR="00EE4456" w:rsidRPr="0085115F" w:rsidRDefault="00EE4456" w:rsidP="0085115F">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75A1D473" wp14:editId="5C602D3F">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EE4456" w:rsidRPr="007A5AC6" w:rsidRDefault="00EE4456" w:rsidP="00EE445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EE4456" w:rsidRPr="007A5AC6" w:rsidRDefault="00EE4456" w:rsidP="00EE4456">
                            <w:pPr>
                              <w:jc w:val="center"/>
                              <w:rPr>
                                <w:rFonts w:ascii="Georgia" w:hAnsi="Georgia"/>
                                <w:b/>
                                <w:sz w:val="18"/>
                                <w:szCs w:val="18"/>
                              </w:rPr>
                            </w:pPr>
                            <w:r>
                              <w:rPr>
                                <w:rFonts w:ascii="Georgia" w:hAnsi="Georgia"/>
                                <w:b/>
                                <w:sz w:val="18"/>
                                <w:szCs w:val="18"/>
                              </w:rPr>
                              <w:t>NOTIFICACIÓN POR ESTADO</w:t>
                            </w:r>
                          </w:p>
                          <w:p w:rsidR="00EE4456" w:rsidRDefault="00EE4456" w:rsidP="00EE445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EE4456" w:rsidRPr="007A5AC6" w:rsidRDefault="00EE4456" w:rsidP="00EE445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EE4456" w:rsidRDefault="00EE4456" w:rsidP="00EE445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EE4456" w:rsidRDefault="00EE4456" w:rsidP="00EE4456">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1D473" id="_x0000_t202" coordsize="21600,21600" o:spt="202" path="m,l,21600r21600,l21600,xe">
                <v:stroke joinstyle="miter"/>
                <v:path gradientshapeok="t" o:connecttype="rect"/>
              </v:shapetype>
              <v:shape id="Cuadro de texto 1" o:spid="_x0000_s1026"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8mMQIAAFk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" strokeweight="1.75pt">
                <v:textbox>
                  <w:txbxContent>
                    <w:p w:rsidR="00EE4456" w:rsidRPr="007A5AC6" w:rsidRDefault="00EE4456" w:rsidP="00EE445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EE4456" w:rsidRPr="007A5AC6" w:rsidRDefault="00EE4456" w:rsidP="00EE4456">
                      <w:pPr>
                        <w:jc w:val="center"/>
                        <w:rPr>
                          <w:rFonts w:ascii="Georgia" w:hAnsi="Georgia"/>
                          <w:b/>
                          <w:sz w:val="18"/>
                          <w:szCs w:val="18"/>
                        </w:rPr>
                      </w:pPr>
                      <w:r>
                        <w:rPr>
                          <w:rFonts w:ascii="Georgia" w:hAnsi="Georgia"/>
                          <w:b/>
                          <w:sz w:val="18"/>
                          <w:szCs w:val="18"/>
                        </w:rPr>
                        <w:t>NOTIFICACIÓN POR ESTADO</w:t>
                      </w:r>
                    </w:p>
                    <w:p w:rsidR="00EE4456" w:rsidRDefault="00EE4456" w:rsidP="00EE445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EE4456" w:rsidRPr="007A5AC6" w:rsidRDefault="00EE4456" w:rsidP="00EE445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EE4456" w:rsidRDefault="00EE4456" w:rsidP="00EE445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EE4456" w:rsidRDefault="00EE4456" w:rsidP="00EE4456">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EE4456" w:rsidRPr="007A5AC6" w:rsidRDefault="00EE4456" w:rsidP="00EE4456">
      <w:pPr>
        <w:spacing w:after="0" w:line="240" w:lineRule="auto"/>
        <w:rPr>
          <w:rFonts w:ascii="Times New Roman" w:eastAsia="Times New Roman" w:hAnsi="Times New Roman" w:cs="Times New Roman"/>
          <w:sz w:val="24"/>
          <w:szCs w:val="24"/>
          <w:lang w:val="es-ES" w:eastAsia="es-ES"/>
        </w:rPr>
      </w:pPr>
    </w:p>
    <w:p w:rsidR="00EE4456" w:rsidRPr="007A5AC6" w:rsidRDefault="00EE4456" w:rsidP="00EE4456">
      <w:pPr>
        <w:spacing w:after="0" w:line="240" w:lineRule="auto"/>
        <w:rPr>
          <w:rFonts w:ascii="Times New Roman" w:eastAsia="Times New Roman" w:hAnsi="Times New Roman" w:cs="Times New Roman"/>
          <w:sz w:val="24"/>
          <w:szCs w:val="24"/>
          <w:lang w:val="es-ES" w:eastAsia="es-ES"/>
        </w:rPr>
      </w:pPr>
    </w:p>
    <w:p w:rsidR="00EE4456" w:rsidRPr="007A5AC6" w:rsidRDefault="00EE4456" w:rsidP="00EE4456">
      <w:pPr>
        <w:spacing w:after="0" w:line="240" w:lineRule="auto"/>
        <w:rPr>
          <w:rFonts w:ascii="Times New Roman" w:eastAsia="Times New Roman" w:hAnsi="Times New Roman" w:cs="Times New Roman"/>
          <w:sz w:val="24"/>
          <w:szCs w:val="24"/>
          <w:lang w:val="es-ES" w:eastAsia="es-ES"/>
        </w:rPr>
      </w:pPr>
    </w:p>
    <w:p w:rsidR="00EE4456" w:rsidRDefault="00EE4456" w:rsidP="00EE4456"/>
    <w:p w:rsidR="00EE4456" w:rsidRDefault="00EE4456" w:rsidP="00EE4456"/>
    <w:p w:rsidR="00EE4456" w:rsidRDefault="00EE4456" w:rsidP="00EE4456"/>
    <w:p w:rsidR="006E6CD2" w:rsidRDefault="00E305A7"/>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4C6B8D"/>
    <w:multiLevelType w:val="hybridMultilevel"/>
    <w:tmpl w:val="FEBACB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56"/>
    <w:rsid w:val="00456A00"/>
    <w:rsid w:val="0085115F"/>
    <w:rsid w:val="008F1FDA"/>
    <w:rsid w:val="009749CD"/>
    <w:rsid w:val="00B05FA4"/>
    <w:rsid w:val="00CA18E8"/>
    <w:rsid w:val="00E305A7"/>
    <w:rsid w:val="00EC6425"/>
    <w:rsid w:val="00EE44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2D6CEA-64F8-4127-BDE6-3972644C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4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115F"/>
    <w:pPr>
      <w:ind w:left="720"/>
      <w:contextualSpacing/>
    </w:pPr>
  </w:style>
  <w:style w:type="paragraph" w:styleId="Textodeglobo">
    <w:name w:val="Balloon Text"/>
    <w:basedOn w:val="Normal"/>
    <w:link w:val="TextodegloboCar"/>
    <w:uiPriority w:val="99"/>
    <w:semiHidden/>
    <w:unhideWhenUsed/>
    <w:rsid w:val="008511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1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2015-01-27T13:59:00Z</cp:lastPrinted>
  <dcterms:created xsi:type="dcterms:W3CDTF">2015-01-27T20:39:00Z</dcterms:created>
  <dcterms:modified xsi:type="dcterms:W3CDTF">2015-01-27T20:39:00Z</dcterms:modified>
</cp:coreProperties>
</file>