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C51" w:rsidRPr="003F3543" w:rsidRDefault="00DD2C51" w:rsidP="00DD2C51">
      <w:pPr>
        <w:tabs>
          <w:tab w:val="left" w:pos="851"/>
        </w:tabs>
        <w:spacing w:line="360" w:lineRule="auto"/>
        <w:jc w:val="center"/>
        <w:rPr>
          <w:rFonts w:ascii="Verdana" w:hAnsi="Verdana" w:cs="Verdana"/>
          <w:b/>
          <w:bCs/>
          <w:noProof/>
          <w:spacing w:val="20"/>
          <w:lang w:eastAsia="en-US"/>
        </w:rPr>
      </w:pPr>
      <w:bookmarkStart w:id="0" w:name="_GoBack"/>
      <w:bookmarkEnd w:id="0"/>
      <w:r w:rsidRPr="003F3543">
        <w:rPr>
          <w:rFonts w:ascii="Verdana" w:hAnsi="Verdana" w:cs="Verdana"/>
          <w:b/>
          <w:bCs/>
          <w:noProof/>
          <w:spacing w:val="20"/>
          <w:lang w:eastAsia="en-US"/>
        </w:rPr>
        <w:t xml:space="preserve">REPÚBLICA DE COLOMBIA </w:t>
      </w:r>
    </w:p>
    <w:p w:rsidR="00DD2C51" w:rsidRPr="003F3543" w:rsidRDefault="00DD2C51" w:rsidP="00DD2C51">
      <w:pPr>
        <w:tabs>
          <w:tab w:val="left" w:pos="851"/>
        </w:tabs>
        <w:spacing w:line="360" w:lineRule="auto"/>
        <w:jc w:val="center"/>
        <w:rPr>
          <w:rFonts w:ascii="Verdana" w:hAnsi="Verdana" w:cs="Verdana"/>
          <w:b/>
          <w:bCs/>
          <w:noProof/>
          <w:spacing w:val="20"/>
          <w:lang w:val="en-US" w:eastAsia="en-US"/>
        </w:rPr>
      </w:pPr>
      <w:r>
        <w:rPr>
          <w:rFonts w:ascii="Verdana" w:hAnsi="Verdana" w:cs="Verdana"/>
          <w:b/>
          <w:bCs/>
          <w:noProof/>
          <w:spacing w:val="20"/>
          <w:lang w:val="es-CO" w:eastAsia="es-CO"/>
        </w:rPr>
        <w:drawing>
          <wp:inline distT="0" distB="0" distL="0" distR="0" wp14:anchorId="640449C0" wp14:editId="138E3CA5">
            <wp:extent cx="77152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DD2C51" w:rsidRPr="00BB51FC" w:rsidRDefault="00DD2C51" w:rsidP="00DD2C51">
      <w:pPr>
        <w:tabs>
          <w:tab w:val="left" w:pos="851"/>
        </w:tabs>
        <w:spacing w:line="360" w:lineRule="auto"/>
        <w:jc w:val="center"/>
        <w:rPr>
          <w:rFonts w:ascii="Verdana" w:hAnsi="Verdana" w:cs="Verdana"/>
          <w:b/>
          <w:bCs/>
          <w:spacing w:val="20"/>
          <w:lang w:val="es-MX"/>
        </w:rPr>
      </w:pPr>
      <w:r w:rsidRPr="003F3543">
        <w:rPr>
          <w:rFonts w:ascii="Verdana" w:hAnsi="Verdana" w:cs="Verdana"/>
          <w:b/>
          <w:bCs/>
          <w:spacing w:val="20"/>
          <w:lang w:val="es-MX"/>
        </w:rPr>
        <w:t>JUZGADO DOCE A</w:t>
      </w:r>
      <w:r>
        <w:rPr>
          <w:rFonts w:ascii="Verdana" w:hAnsi="Verdana" w:cs="Verdana"/>
          <w:b/>
          <w:bCs/>
          <w:spacing w:val="20"/>
          <w:lang w:val="es-MX"/>
        </w:rPr>
        <w:t xml:space="preserve">DMINISTRATIVO ORAL DE MEDELLÍN </w:t>
      </w:r>
    </w:p>
    <w:p w:rsidR="00DD2C51" w:rsidRDefault="00DD2C51" w:rsidP="00DD2C51">
      <w:pPr>
        <w:tabs>
          <w:tab w:val="left" w:pos="851"/>
        </w:tabs>
        <w:spacing w:line="360" w:lineRule="auto"/>
        <w:jc w:val="center"/>
        <w:rPr>
          <w:rFonts w:ascii="Verdana" w:hAnsi="Verdana" w:cs="Verdana"/>
          <w:sz w:val="22"/>
          <w:szCs w:val="22"/>
          <w:lang w:val="es-MX"/>
        </w:rPr>
      </w:pPr>
      <w:r w:rsidRPr="003F3543">
        <w:rPr>
          <w:rFonts w:ascii="Verdana" w:hAnsi="Verdana" w:cs="Verdana"/>
          <w:sz w:val="22"/>
          <w:szCs w:val="22"/>
          <w:lang w:val="es-MX"/>
        </w:rPr>
        <w:t xml:space="preserve">Medellín, </w:t>
      </w:r>
      <w:r>
        <w:rPr>
          <w:rFonts w:ascii="Verdana" w:hAnsi="Verdana" w:cs="Verdana"/>
          <w:sz w:val="22"/>
          <w:szCs w:val="22"/>
          <w:lang w:val="es-MX"/>
        </w:rPr>
        <w:t xml:space="preserve">nueve </w:t>
      </w:r>
      <w:r w:rsidRPr="003F3543">
        <w:rPr>
          <w:rFonts w:ascii="Verdana" w:hAnsi="Verdana" w:cs="Verdana"/>
          <w:sz w:val="22"/>
          <w:szCs w:val="22"/>
          <w:lang w:val="es-MX"/>
        </w:rPr>
        <w:t>(</w:t>
      </w:r>
      <w:r>
        <w:rPr>
          <w:rFonts w:ascii="Verdana" w:hAnsi="Verdana" w:cs="Verdana"/>
          <w:sz w:val="22"/>
          <w:szCs w:val="22"/>
          <w:lang w:val="es-MX"/>
        </w:rPr>
        <w:t>09</w:t>
      </w:r>
      <w:r w:rsidRPr="003F3543">
        <w:rPr>
          <w:rFonts w:ascii="Verdana" w:hAnsi="Verdana" w:cs="Verdana"/>
          <w:sz w:val="22"/>
          <w:szCs w:val="22"/>
          <w:lang w:val="es-MX"/>
        </w:rPr>
        <w:t xml:space="preserve">) </w:t>
      </w:r>
      <w:r>
        <w:rPr>
          <w:rFonts w:ascii="Verdana" w:hAnsi="Verdana" w:cs="Verdana"/>
          <w:sz w:val="22"/>
          <w:szCs w:val="22"/>
          <w:lang w:val="es-MX"/>
        </w:rPr>
        <w:t xml:space="preserve">de febrero de </w:t>
      </w:r>
      <w:r w:rsidRPr="003F3543">
        <w:rPr>
          <w:rFonts w:ascii="Verdana" w:hAnsi="Verdana" w:cs="Verdana"/>
          <w:sz w:val="22"/>
          <w:szCs w:val="22"/>
          <w:lang w:val="es-MX"/>
        </w:rPr>
        <w:t xml:space="preserve">dos mil </w:t>
      </w:r>
      <w:r>
        <w:rPr>
          <w:rFonts w:ascii="Verdana" w:hAnsi="Verdana" w:cs="Verdana"/>
          <w:sz w:val="22"/>
          <w:szCs w:val="22"/>
          <w:lang w:val="es-MX"/>
        </w:rPr>
        <w:t xml:space="preserve">quince </w:t>
      </w:r>
      <w:r w:rsidRPr="003F3543">
        <w:rPr>
          <w:rFonts w:ascii="Verdana" w:hAnsi="Verdana" w:cs="Verdana"/>
          <w:sz w:val="22"/>
          <w:szCs w:val="22"/>
          <w:lang w:val="es-MX"/>
        </w:rPr>
        <w:t>(</w:t>
      </w:r>
      <w:r>
        <w:rPr>
          <w:rFonts w:ascii="Verdana" w:hAnsi="Verdana" w:cs="Verdana"/>
          <w:sz w:val="22"/>
          <w:szCs w:val="22"/>
          <w:lang w:val="es-MX"/>
        </w:rPr>
        <w:t>2015).</w:t>
      </w:r>
    </w:p>
    <w:p w:rsidR="00DD2C51" w:rsidRDefault="00DD2C51" w:rsidP="00DD2C51">
      <w:pPr>
        <w:tabs>
          <w:tab w:val="left" w:pos="851"/>
        </w:tabs>
        <w:spacing w:line="360" w:lineRule="auto"/>
        <w:jc w:val="center"/>
        <w:rPr>
          <w:rFonts w:ascii="Verdana" w:hAnsi="Verdana" w:cs="Verdana"/>
          <w:sz w:val="22"/>
          <w:szCs w:val="22"/>
          <w:lang w:val="es-MX"/>
        </w:rPr>
      </w:pPr>
    </w:p>
    <w:p w:rsidR="00DD2C51" w:rsidRDefault="00DD2C51" w:rsidP="00DD2C51">
      <w:pPr>
        <w:spacing w:line="360" w:lineRule="auto"/>
        <w:rPr>
          <w:rFonts w:ascii="Verdana" w:hAnsi="Verdana" w:cs="Verdana"/>
          <w:b/>
          <w:bCs/>
          <w:sz w:val="22"/>
          <w:szCs w:val="22"/>
        </w:rPr>
      </w:pPr>
      <w:r>
        <w:rPr>
          <w:rFonts w:ascii="Verdana" w:hAnsi="Verdana" w:cs="Verdana"/>
          <w:noProof/>
          <w:sz w:val="22"/>
          <w:szCs w:val="22"/>
          <w:lang w:val="es-CO" w:eastAsia="es-CO"/>
        </w:rPr>
        <mc:AlternateContent>
          <mc:Choice Requires="wps">
            <w:drawing>
              <wp:anchor distT="0" distB="0" distL="114300" distR="114300" simplePos="0" relativeHeight="251660288" behindDoc="0" locked="0" layoutInCell="1" allowOverlap="1" wp14:anchorId="52B93D03" wp14:editId="27668956">
                <wp:simplePos x="0" y="0"/>
                <wp:positionH relativeFrom="column">
                  <wp:posOffset>591185</wp:posOffset>
                </wp:positionH>
                <wp:positionV relativeFrom="paragraph">
                  <wp:posOffset>19685</wp:posOffset>
                </wp:positionV>
                <wp:extent cx="4467225" cy="870585"/>
                <wp:effectExtent l="0" t="0" r="28575" b="2476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870585"/>
                        </a:xfrm>
                        <a:prstGeom prst="rect">
                          <a:avLst/>
                        </a:prstGeom>
                        <a:solidFill>
                          <a:srgbClr val="CCFFFF"/>
                        </a:solidFill>
                        <a:ln w="9525">
                          <a:solidFill>
                            <a:srgbClr val="000000"/>
                          </a:solidFill>
                          <a:miter lim="800000"/>
                          <a:headEnd/>
                          <a:tailEnd/>
                        </a:ln>
                      </wps:spPr>
                      <wps:txbx>
                        <w:txbxContent>
                          <w:p w:rsidR="00DD2C51" w:rsidRPr="00AD08D9" w:rsidRDefault="00DD2C51" w:rsidP="00DD2C51">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DD2C51" w:rsidRPr="00AD08D9" w:rsidRDefault="00DD2C51" w:rsidP="00DD2C51">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ROBER MIGUEL PETRO MARTÍNEZ </w:t>
                            </w:r>
                          </w:p>
                          <w:p w:rsidR="00DD2C51" w:rsidRPr="00AD08D9" w:rsidRDefault="00DD2C51" w:rsidP="00DD2C51">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DD2C51" w:rsidRPr="00AD08D9" w:rsidRDefault="00DD2C51" w:rsidP="00DD2C51">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01771 </w:t>
                            </w:r>
                            <w:r w:rsidRPr="00AD08D9">
                              <w:rPr>
                                <w:rFonts w:ascii="Verdana" w:hAnsi="Verdana" w:cs="Arial"/>
                                <w:b/>
                                <w:b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93D03" id="Rectángulo 4" o:spid="_x0000_s1026" style="position:absolute;margin-left:46.55pt;margin-top:1.55pt;width:351.75pt;height:6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" fillcolor="#cff">
                <v:textbox>
                  <w:txbxContent>
                    <w:p w:rsidR="00DD2C51" w:rsidRPr="00AD08D9" w:rsidRDefault="00DD2C51" w:rsidP="00DD2C51">
                      <w:pPr>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b/>
                          <w:bCs/>
                          <w:sz w:val="16"/>
                          <w:szCs w:val="16"/>
                        </w:rPr>
                      </w:pPr>
                      <w:r w:rsidRPr="00AD08D9">
                        <w:rPr>
                          <w:rFonts w:ascii="Verdana" w:hAnsi="Verdana" w:cs="Arial"/>
                          <w:b/>
                          <w:bCs/>
                          <w:sz w:val="16"/>
                          <w:szCs w:val="16"/>
                        </w:rPr>
                        <w:t>Medio de control</w:t>
                      </w:r>
                      <w:r>
                        <w:rPr>
                          <w:rFonts w:ascii="Verdana" w:hAnsi="Verdana" w:cs="Arial"/>
                          <w:b/>
                          <w:bCs/>
                          <w:sz w:val="16"/>
                          <w:szCs w:val="16"/>
                        </w:rPr>
                        <w:t>:</w:t>
                      </w:r>
                      <w:r>
                        <w:rPr>
                          <w:rFonts w:ascii="Verdana" w:hAnsi="Verdana" w:cs="Arial"/>
                          <w:b/>
                          <w:bCs/>
                          <w:sz w:val="16"/>
                          <w:szCs w:val="16"/>
                        </w:rPr>
                        <w:tab/>
                      </w:r>
                      <w:r w:rsidRPr="00AD08D9">
                        <w:rPr>
                          <w:rFonts w:ascii="Verdana" w:hAnsi="Verdana" w:cs="Arial"/>
                          <w:b/>
                          <w:bCs/>
                          <w:sz w:val="16"/>
                          <w:szCs w:val="16"/>
                        </w:rPr>
                        <w:t xml:space="preserve">NULIDAD Y RESTABLECIMIENTO DEL DERECHO </w:t>
                      </w:r>
                    </w:p>
                    <w:p w:rsidR="00DD2C51" w:rsidRPr="00AD08D9" w:rsidRDefault="00DD2C51" w:rsidP="00DD2C51">
                      <w:pPr>
                        <w:pStyle w:val="Ttulo1"/>
                        <w:pBdr>
                          <w:top w:val="single" w:sz="24" w:space="0" w:color="auto"/>
                          <w:left w:val="single" w:sz="24" w:space="4" w:color="auto"/>
                          <w:bottom w:val="single" w:sz="24" w:space="1" w:color="auto"/>
                          <w:right w:val="single" w:sz="24" w:space="4" w:color="auto"/>
                        </w:pBdr>
                        <w:tabs>
                          <w:tab w:val="left" w:pos="1200"/>
                        </w:tabs>
                        <w:jc w:val="both"/>
                        <w:rPr>
                          <w:rFonts w:ascii="Verdana" w:hAnsi="Verdana" w:cs="Arial"/>
                          <w:sz w:val="16"/>
                          <w:szCs w:val="16"/>
                        </w:rPr>
                      </w:pPr>
                      <w:r>
                        <w:rPr>
                          <w:rFonts w:ascii="Verdana" w:hAnsi="Verdana" w:cs="Arial"/>
                          <w:sz w:val="16"/>
                          <w:szCs w:val="16"/>
                        </w:rPr>
                        <w:t>Demandante:</w:t>
                      </w:r>
                      <w:r>
                        <w:rPr>
                          <w:rFonts w:ascii="Verdana" w:hAnsi="Verdana" w:cs="Arial"/>
                          <w:sz w:val="16"/>
                          <w:szCs w:val="16"/>
                        </w:rPr>
                        <w:tab/>
                      </w:r>
                      <w:r>
                        <w:rPr>
                          <w:rFonts w:ascii="Verdana" w:hAnsi="Verdana" w:cs="Arial"/>
                          <w:sz w:val="16"/>
                          <w:szCs w:val="16"/>
                        </w:rPr>
                        <w:tab/>
                      </w:r>
                      <w:r>
                        <w:rPr>
                          <w:rFonts w:ascii="Verdana" w:hAnsi="Verdana" w:cs="Arial"/>
                          <w:sz w:val="16"/>
                          <w:szCs w:val="16"/>
                        </w:rPr>
                        <w:t xml:space="preserve">ROBER MIGUEL PETRO MARTÍNEZ </w:t>
                      </w:r>
                    </w:p>
                    <w:p w:rsidR="00DD2C51" w:rsidRPr="00AD08D9" w:rsidRDefault="00DD2C51" w:rsidP="00DD2C51">
                      <w:pPr>
                        <w:pStyle w:val="Ttulo1"/>
                        <w:pBdr>
                          <w:top w:val="single" w:sz="24" w:space="0" w:color="auto"/>
                          <w:left w:val="single" w:sz="24" w:space="4" w:color="auto"/>
                          <w:bottom w:val="single" w:sz="24" w:space="1" w:color="auto"/>
                          <w:right w:val="single" w:sz="24" w:space="4" w:color="auto"/>
                        </w:pBdr>
                        <w:tabs>
                          <w:tab w:val="left" w:pos="1200"/>
                        </w:tabs>
                        <w:ind w:left="2124" w:hanging="2124"/>
                        <w:jc w:val="both"/>
                        <w:rPr>
                          <w:rFonts w:ascii="Verdana" w:hAnsi="Verdana" w:cs="Arial"/>
                          <w:sz w:val="16"/>
                          <w:szCs w:val="16"/>
                        </w:rPr>
                      </w:pPr>
                      <w:r w:rsidRPr="00AD08D9">
                        <w:rPr>
                          <w:rFonts w:ascii="Verdana" w:hAnsi="Verdana" w:cs="Arial"/>
                          <w:sz w:val="16"/>
                          <w:szCs w:val="16"/>
                        </w:rPr>
                        <w:t>Demandado</w:t>
                      </w:r>
                      <w:r>
                        <w:rPr>
                          <w:rFonts w:ascii="Verdana" w:hAnsi="Verdana" w:cs="Arial"/>
                          <w:sz w:val="16"/>
                          <w:szCs w:val="16"/>
                        </w:rPr>
                        <w:t>:</w:t>
                      </w:r>
                      <w:r>
                        <w:rPr>
                          <w:rFonts w:ascii="Verdana" w:hAnsi="Verdana" w:cs="Arial"/>
                          <w:sz w:val="16"/>
                          <w:szCs w:val="16"/>
                        </w:rPr>
                        <w:tab/>
                      </w:r>
                      <w:r>
                        <w:rPr>
                          <w:rFonts w:ascii="Verdana" w:hAnsi="Verdana" w:cs="Arial"/>
                          <w:sz w:val="16"/>
                          <w:szCs w:val="16"/>
                        </w:rPr>
                        <w:tab/>
                        <w:t xml:space="preserve">DEPARTAMENTO DE ANTIOQUIA </w:t>
                      </w:r>
                    </w:p>
                    <w:p w:rsidR="00DD2C51" w:rsidRPr="00AD08D9" w:rsidRDefault="00DD2C51" w:rsidP="00DD2C51">
                      <w:pPr>
                        <w:pBdr>
                          <w:top w:val="single" w:sz="24" w:space="0" w:color="auto"/>
                          <w:left w:val="single" w:sz="24" w:space="4" w:color="auto"/>
                          <w:bottom w:val="single" w:sz="24" w:space="1" w:color="auto"/>
                          <w:right w:val="single" w:sz="24" w:space="4" w:color="auto"/>
                        </w:pBdr>
                        <w:rPr>
                          <w:rFonts w:ascii="Verdana" w:hAnsi="Verdana" w:cs="Arial"/>
                          <w:b/>
                          <w:bCs/>
                          <w:sz w:val="16"/>
                          <w:szCs w:val="16"/>
                        </w:rPr>
                      </w:pPr>
                      <w:r>
                        <w:rPr>
                          <w:rFonts w:ascii="Verdana" w:hAnsi="Verdana" w:cs="Arial"/>
                          <w:b/>
                          <w:bCs/>
                          <w:sz w:val="16"/>
                          <w:szCs w:val="16"/>
                        </w:rPr>
                        <w:t>Radicado:</w:t>
                      </w:r>
                      <w:r>
                        <w:rPr>
                          <w:rFonts w:ascii="Verdana" w:hAnsi="Verdana" w:cs="Arial"/>
                          <w:b/>
                          <w:bCs/>
                          <w:sz w:val="16"/>
                          <w:szCs w:val="16"/>
                        </w:rPr>
                        <w:tab/>
                      </w:r>
                      <w:r>
                        <w:rPr>
                          <w:rFonts w:ascii="Verdana" w:hAnsi="Verdana" w:cs="Arial"/>
                          <w:b/>
                          <w:bCs/>
                          <w:sz w:val="16"/>
                          <w:szCs w:val="16"/>
                        </w:rPr>
                        <w:tab/>
                      </w:r>
                      <w:r w:rsidRPr="00AD08D9">
                        <w:rPr>
                          <w:rFonts w:ascii="Verdana" w:hAnsi="Verdana" w:cs="Arial"/>
                          <w:b/>
                          <w:bCs/>
                          <w:sz w:val="16"/>
                          <w:szCs w:val="16"/>
                        </w:rPr>
                        <w:t xml:space="preserve">05 001 33 33 012 2014 </w:t>
                      </w:r>
                      <w:r>
                        <w:rPr>
                          <w:rFonts w:ascii="Verdana" w:hAnsi="Verdana" w:cs="Arial"/>
                          <w:b/>
                          <w:bCs/>
                          <w:sz w:val="16"/>
                          <w:szCs w:val="16"/>
                        </w:rPr>
                        <w:t xml:space="preserve">01771 </w:t>
                      </w:r>
                      <w:r w:rsidRPr="00AD08D9">
                        <w:rPr>
                          <w:rFonts w:ascii="Verdana" w:hAnsi="Verdana" w:cs="Arial"/>
                          <w:b/>
                          <w:bCs/>
                          <w:sz w:val="16"/>
                          <w:szCs w:val="16"/>
                        </w:rPr>
                        <w:t>00</w:t>
                      </w:r>
                    </w:p>
                  </w:txbxContent>
                </v:textbox>
              </v:rect>
            </w:pict>
          </mc:Fallback>
        </mc:AlternateContent>
      </w:r>
    </w:p>
    <w:p w:rsidR="00DD2C51" w:rsidRPr="009B7F2A" w:rsidRDefault="00DD2C51" w:rsidP="00DD2C51">
      <w:pPr>
        <w:spacing w:line="360" w:lineRule="auto"/>
        <w:jc w:val="both"/>
        <w:rPr>
          <w:rFonts w:ascii="Verdana" w:hAnsi="Verdana" w:cs="Verdana"/>
          <w:sz w:val="22"/>
          <w:szCs w:val="22"/>
        </w:rPr>
      </w:pPr>
    </w:p>
    <w:p w:rsidR="00DD2C51" w:rsidRPr="009B7F2A" w:rsidRDefault="00DD2C51" w:rsidP="00DD2C51">
      <w:pPr>
        <w:spacing w:line="360" w:lineRule="auto"/>
        <w:jc w:val="both"/>
        <w:rPr>
          <w:rFonts w:ascii="Verdana" w:hAnsi="Verdana" w:cs="Verdana"/>
          <w:sz w:val="22"/>
          <w:szCs w:val="22"/>
        </w:rPr>
      </w:pPr>
      <w:r w:rsidRPr="009B7F2A">
        <w:rPr>
          <w:rFonts w:ascii="Verdana" w:hAnsi="Verdana" w:cs="Verdana"/>
          <w:sz w:val="22"/>
          <w:szCs w:val="22"/>
        </w:rPr>
        <w:tab/>
      </w:r>
    </w:p>
    <w:p w:rsidR="00DD2C51" w:rsidRPr="009B7F2A" w:rsidRDefault="00DD2C51" w:rsidP="00DD2C51">
      <w:pPr>
        <w:spacing w:line="360" w:lineRule="auto"/>
        <w:jc w:val="both"/>
        <w:rPr>
          <w:rFonts w:ascii="Verdana" w:hAnsi="Verdana" w:cs="Verdana"/>
          <w:sz w:val="22"/>
          <w:szCs w:val="22"/>
        </w:rPr>
      </w:pPr>
      <w:r w:rsidRPr="009B7F2A">
        <w:rPr>
          <w:rFonts w:ascii="Verdana" w:hAnsi="Verdana" w:cs="Verdana"/>
          <w:sz w:val="22"/>
          <w:szCs w:val="22"/>
        </w:rPr>
        <w:tab/>
      </w:r>
    </w:p>
    <w:p w:rsidR="00DD2C51" w:rsidRDefault="00DD2C51" w:rsidP="00DD2C51">
      <w:pPr>
        <w:suppressAutoHyphens/>
        <w:spacing w:line="360" w:lineRule="auto"/>
        <w:jc w:val="both"/>
        <w:rPr>
          <w:rFonts w:ascii="Verdana" w:hAnsi="Verdana" w:cs="Verdana"/>
          <w:b/>
          <w:bCs/>
          <w:spacing w:val="-3"/>
          <w:sz w:val="22"/>
          <w:szCs w:val="22"/>
        </w:rPr>
      </w:pPr>
    </w:p>
    <w:p w:rsidR="00DD2C51" w:rsidRPr="000561C0" w:rsidRDefault="00DD2C51" w:rsidP="00DD2C51">
      <w:pPr>
        <w:spacing w:line="360" w:lineRule="auto"/>
        <w:jc w:val="both"/>
        <w:rPr>
          <w:rFonts w:ascii="Verdana" w:hAnsi="Verdana" w:cs="Verdana"/>
          <w:b/>
          <w:bCs/>
          <w:sz w:val="22"/>
          <w:szCs w:val="22"/>
        </w:rPr>
      </w:pPr>
      <w:r>
        <w:rPr>
          <w:rFonts w:ascii="Verdana" w:hAnsi="Verdana" w:cs="Verdana"/>
          <w:b/>
          <w:bCs/>
          <w:sz w:val="22"/>
          <w:szCs w:val="22"/>
        </w:rPr>
        <w:t xml:space="preserve">Interlocutorio No. </w:t>
      </w:r>
      <w:r>
        <w:rPr>
          <w:rFonts w:ascii="Verdana" w:hAnsi="Verdana" w:cs="Verdana"/>
          <w:b/>
          <w:bCs/>
          <w:sz w:val="22"/>
          <w:szCs w:val="22"/>
        </w:rPr>
        <w:t>155</w:t>
      </w:r>
    </w:p>
    <w:p w:rsidR="00DD2C51" w:rsidRDefault="00DD2C51" w:rsidP="00DD2C51">
      <w:pPr>
        <w:spacing w:line="360" w:lineRule="auto"/>
        <w:jc w:val="both"/>
        <w:outlineLvl w:val="0"/>
        <w:rPr>
          <w:rFonts w:ascii="Verdana" w:hAnsi="Verdana" w:cs="Arial"/>
          <w:b/>
          <w:bCs/>
          <w:sz w:val="22"/>
          <w:szCs w:val="22"/>
        </w:rPr>
      </w:pPr>
    </w:p>
    <w:p w:rsidR="00DD2C51" w:rsidRPr="002D3E1D" w:rsidRDefault="00DD2C51" w:rsidP="00DD2C51">
      <w:pPr>
        <w:spacing w:line="360" w:lineRule="auto"/>
        <w:jc w:val="both"/>
        <w:outlineLvl w:val="0"/>
        <w:rPr>
          <w:rFonts w:ascii="Verdana" w:hAnsi="Verdana" w:cs="Arial"/>
          <w:b/>
          <w:bCs/>
          <w:sz w:val="22"/>
          <w:szCs w:val="22"/>
        </w:rPr>
      </w:pPr>
      <w:r>
        <w:rPr>
          <w:rFonts w:ascii="Verdana" w:hAnsi="Verdana" w:cs="Arial"/>
          <w:b/>
          <w:bCs/>
          <w:sz w:val="22"/>
          <w:szCs w:val="22"/>
        </w:rPr>
        <w:t xml:space="preserve">ASUNTO: RECHAZA DEMANDA NO CUMPLE REQUISITOS </w:t>
      </w:r>
    </w:p>
    <w:p w:rsidR="00DD2C51" w:rsidRDefault="00DD2C51" w:rsidP="00DD2C51">
      <w:pPr>
        <w:spacing w:line="360" w:lineRule="auto"/>
        <w:jc w:val="both"/>
        <w:rPr>
          <w:rFonts w:ascii="Verdana" w:hAnsi="Verdana"/>
          <w:sz w:val="22"/>
          <w:szCs w:val="22"/>
        </w:rPr>
      </w:pPr>
    </w:p>
    <w:p w:rsidR="00DD2C51" w:rsidRPr="007E55C3" w:rsidRDefault="00DD2C51" w:rsidP="00DD2C51">
      <w:pPr>
        <w:spacing w:line="360" w:lineRule="auto"/>
        <w:jc w:val="both"/>
      </w:pPr>
      <w:r>
        <w:rPr>
          <w:rFonts w:ascii="Verdana" w:hAnsi="Verdana" w:cs="Arial"/>
          <w:sz w:val="22"/>
          <w:szCs w:val="22"/>
        </w:rPr>
        <w:t xml:space="preserve">El señor </w:t>
      </w:r>
      <w:r>
        <w:rPr>
          <w:rFonts w:ascii="Verdana" w:hAnsi="Verdana" w:cs="Arial"/>
          <w:b/>
          <w:sz w:val="22"/>
          <w:szCs w:val="22"/>
        </w:rPr>
        <w:t>ROBER MIGUEL PETRO MARTÍNEZ</w:t>
      </w:r>
      <w:r w:rsidRPr="002D3E1D">
        <w:rPr>
          <w:rFonts w:ascii="Verdana" w:hAnsi="Verdana" w:cs="Arial"/>
          <w:sz w:val="22"/>
          <w:szCs w:val="22"/>
        </w:rPr>
        <w:t xml:space="preserve">, presentó demanda </w:t>
      </w:r>
      <w:r>
        <w:rPr>
          <w:rFonts w:ascii="Verdana" w:hAnsi="Verdana" w:cs="Arial"/>
          <w:sz w:val="22"/>
          <w:szCs w:val="22"/>
        </w:rPr>
        <w:t>en ejercicio del medio de control de nulidad y restablecimiento de derecho</w:t>
      </w:r>
      <w:r w:rsidRPr="002D3E1D">
        <w:rPr>
          <w:rFonts w:ascii="Verdana" w:hAnsi="Verdana" w:cs="Arial"/>
          <w:sz w:val="22"/>
          <w:szCs w:val="22"/>
        </w:rPr>
        <w:t xml:space="preserve">, </w:t>
      </w:r>
      <w:r w:rsidRPr="002D3E1D">
        <w:rPr>
          <w:rFonts w:ascii="Verdana" w:hAnsi="Verdana" w:cs="Arial"/>
          <w:bCs/>
          <w:sz w:val="22"/>
          <w:szCs w:val="22"/>
        </w:rPr>
        <w:t>co</w:t>
      </w:r>
      <w:r w:rsidRPr="002D3E1D">
        <w:rPr>
          <w:rFonts w:ascii="Verdana" w:hAnsi="Verdana" w:cs="Arial"/>
          <w:sz w:val="22"/>
          <w:szCs w:val="22"/>
        </w:rPr>
        <w:t xml:space="preserve">n el fin de que se </w:t>
      </w:r>
      <w:r>
        <w:rPr>
          <w:rFonts w:ascii="Verdana" w:hAnsi="Verdana" w:cs="Arial"/>
          <w:sz w:val="22"/>
          <w:szCs w:val="22"/>
        </w:rPr>
        <w:t>declare la nuli</w:t>
      </w:r>
      <w:r>
        <w:rPr>
          <w:rFonts w:ascii="Verdana" w:hAnsi="Verdana" w:cs="Arial"/>
          <w:sz w:val="22"/>
          <w:szCs w:val="22"/>
        </w:rPr>
        <w:t xml:space="preserve">dad del oficio No E201400197762 </w:t>
      </w:r>
      <w:r>
        <w:rPr>
          <w:rFonts w:ascii="Verdana" w:hAnsi="Verdana" w:cs="Arial"/>
          <w:sz w:val="22"/>
          <w:szCs w:val="22"/>
        </w:rPr>
        <w:t xml:space="preserve">del </w:t>
      </w:r>
      <w:r>
        <w:rPr>
          <w:rFonts w:ascii="Verdana" w:hAnsi="Verdana" w:cs="Arial"/>
          <w:sz w:val="22"/>
          <w:szCs w:val="22"/>
        </w:rPr>
        <w:t xml:space="preserve">05 </w:t>
      </w:r>
      <w:r>
        <w:rPr>
          <w:rFonts w:ascii="Verdana" w:hAnsi="Verdana" w:cs="Arial"/>
          <w:sz w:val="22"/>
          <w:szCs w:val="22"/>
        </w:rPr>
        <w:t xml:space="preserve">de febrero de </w:t>
      </w:r>
      <w:r>
        <w:rPr>
          <w:rFonts w:ascii="Verdana" w:hAnsi="Verdana" w:cs="Arial"/>
          <w:sz w:val="22"/>
          <w:szCs w:val="22"/>
        </w:rPr>
        <w:t>2014</w:t>
      </w:r>
      <w:r>
        <w:rPr>
          <w:rFonts w:ascii="Verdana" w:hAnsi="Verdana" w:cs="Arial"/>
          <w:sz w:val="22"/>
          <w:szCs w:val="22"/>
        </w:rPr>
        <w:t>, por medio del cual se negó el reconocimiento y pago de la prima de servicio establecida en la ley</w:t>
      </w:r>
      <w:r>
        <w:rPr>
          <w:rStyle w:val="Refdenotaalpie"/>
          <w:rFonts w:ascii="Verdana" w:hAnsi="Verdana" w:cs="Arial"/>
          <w:sz w:val="22"/>
          <w:szCs w:val="22"/>
        </w:rPr>
        <w:footnoteReference w:id="1"/>
      </w:r>
      <w:r>
        <w:rPr>
          <w:rFonts w:ascii="Verdana" w:hAnsi="Verdana" w:cs="Arial"/>
          <w:sz w:val="22"/>
          <w:szCs w:val="22"/>
        </w:rPr>
        <w:t xml:space="preserve">. </w:t>
      </w:r>
    </w:p>
    <w:p w:rsidR="00DD2C51" w:rsidRPr="007E55C3" w:rsidRDefault="00DD2C51" w:rsidP="00DD2C51">
      <w:pPr>
        <w:spacing w:line="480" w:lineRule="auto"/>
        <w:jc w:val="both"/>
      </w:pPr>
    </w:p>
    <w:p w:rsidR="00DD2C51" w:rsidRPr="002D3E1D" w:rsidRDefault="00DD2C51" w:rsidP="00DD2C51">
      <w:pPr>
        <w:spacing w:line="360" w:lineRule="auto"/>
        <w:jc w:val="center"/>
        <w:rPr>
          <w:rFonts w:ascii="Verdana" w:hAnsi="Verdana" w:cs="Arial"/>
          <w:b/>
          <w:i/>
          <w:sz w:val="22"/>
          <w:szCs w:val="22"/>
          <w:lang w:val="en-US"/>
        </w:rPr>
      </w:pPr>
      <w:r w:rsidRPr="002D3E1D">
        <w:rPr>
          <w:rFonts w:ascii="Verdana" w:hAnsi="Verdana" w:cs="Arial"/>
          <w:b/>
          <w:i/>
          <w:sz w:val="22"/>
          <w:szCs w:val="22"/>
          <w:lang w:val="en-US"/>
        </w:rPr>
        <w:t>H I S T O R I A    P R O C E S A L:</w:t>
      </w:r>
    </w:p>
    <w:p w:rsidR="00DD2C51" w:rsidRPr="002D3E1D" w:rsidRDefault="00DD2C51" w:rsidP="00DD2C51">
      <w:pPr>
        <w:spacing w:line="480" w:lineRule="auto"/>
        <w:ind w:firstLine="708"/>
        <w:jc w:val="both"/>
        <w:rPr>
          <w:rFonts w:ascii="Verdana" w:hAnsi="Verdana" w:cs="Arial"/>
          <w:sz w:val="22"/>
          <w:szCs w:val="22"/>
          <w:lang w:val="en-US"/>
        </w:rPr>
      </w:pPr>
    </w:p>
    <w:p w:rsidR="00DD2C51" w:rsidRPr="002D3E1D" w:rsidRDefault="00DD2C51" w:rsidP="00DD2C51">
      <w:pPr>
        <w:spacing w:line="360" w:lineRule="auto"/>
        <w:jc w:val="both"/>
        <w:rPr>
          <w:rFonts w:ascii="Verdana" w:hAnsi="Verdana" w:cs="Arial"/>
          <w:sz w:val="22"/>
          <w:szCs w:val="22"/>
        </w:rPr>
      </w:pPr>
      <w:r w:rsidRPr="002D3E1D">
        <w:rPr>
          <w:rFonts w:ascii="Verdana" w:hAnsi="Verdana" w:cs="Arial"/>
          <w:sz w:val="22"/>
          <w:szCs w:val="22"/>
        </w:rPr>
        <w:t xml:space="preserve">La acción fue presentada ante </w:t>
      </w:r>
      <w:r>
        <w:rPr>
          <w:rFonts w:ascii="Verdana" w:hAnsi="Verdana" w:cs="Arial"/>
          <w:sz w:val="22"/>
          <w:szCs w:val="22"/>
        </w:rPr>
        <w:t xml:space="preserve">la oficina de apoyo judicial de los juzgados administrativos y una vez </w:t>
      </w:r>
      <w:r>
        <w:rPr>
          <w:rFonts w:ascii="Verdana" w:hAnsi="Verdana" w:cs="Arial"/>
          <w:sz w:val="22"/>
          <w:szCs w:val="22"/>
          <w:lang w:val="es-CO"/>
        </w:rPr>
        <w:t xml:space="preserve">sometido a reparto, correspondió el </w:t>
      </w:r>
      <w:r w:rsidRPr="002D3E1D">
        <w:rPr>
          <w:rFonts w:ascii="Verdana" w:hAnsi="Verdana" w:cs="Arial"/>
          <w:sz w:val="22"/>
          <w:szCs w:val="22"/>
        </w:rPr>
        <w:t xml:space="preserve">conocimiento del asunto a </w:t>
      </w:r>
      <w:r>
        <w:rPr>
          <w:rFonts w:ascii="Verdana" w:hAnsi="Verdana" w:cs="Arial"/>
          <w:sz w:val="22"/>
          <w:szCs w:val="22"/>
        </w:rPr>
        <w:t>e</w:t>
      </w:r>
      <w:r w:rsidRPr="002D3E1D">
        <w:rPr>
          <w:rFonts w:ascii="Verdana" w:hAnsi="Verdana" w:cs="Arial"/>
          <w:sz w:val="22"/>
          <w:szCs w:val="22"/>
        </w:rPr>
        <w:t xml:space="preserve">ste despacho, el cual mediante auto </w:t>
      </w:r>
      <w:r>
        <w:rPr>
          <w:rFonts w:ascii="Verdana" w:hAnsi="Verdana" w:cs="Arial"/>
          <w:sz w:val="22"/>
          <w:szCs w:val="22"/>
        </w:rPr>
        <w:t xml:space="preserve">del quince </w:t>
      </w:r>
      <w:r w:rsidRPr="002D3E1D">
        <w:rPr>
          <w:rFonts w:ascii="Verdana" w:hAnsi="Verdana" w:cs="Arial"/>
          <w:sz w:val="22"/>
          <w:szCs w:val="22"/>
        </w:rPr>
        <w:t>(</w:t>
      </w:r>
      <w:r>
        <w:rPr>
          <w:rFonts w:ascii="Verdana" w:hAnsi="Verdana" w:cs="Arial"/>
          <w:sz w:val="22"/>
          <w:szCs w:val="22"/>
        </w:rPr>
        <w:t>15</w:t>
      </w:r>
      <w:r w:rsidRPr="002D3E1D">
        <w:rPr>
          <w:rFonts w:ascii="Verdana" w:hAnsi="Verdana" w:cs="Arial"/>
          <w:sz w:val="22"/>
          <w:szCs w:val="22"/>
        </w:rPr>
        <w:t xml:space="preserve">) de </w:t>
      </w:r>
      <w:r>
        <w:rPr>
          <w:rFonts w:ascii="Verdana" w:hAnsi="Verdana" w:cs="Arial"/>
          <w:sz w:val="22"/>
          <w:szCs w:val="22"/>
        </w:rPr>
        <w:t>diciembre de dos mil catorce (2014)</w:t>
      </w:r>
      <w:r w:rsidRPr="002D3E1D">
        <w:rPr>
          <w:rFonts w:ascii="Verdana" w:hAnsi="Verdana" w:cs="Arial"/>
          <w:sz w:val="22"/>
          <w:szCs w:val="22"/>
        </w:rPr>
        <w:t>, exigió a la parte demandante</w:t>
      </w:r>
      <w:r>
        <w:rPr>
          <w:rFonts w:ascii="Verdana" w:hAnsi="Verdana" w:cs="Arial"/>
          <w:sz w:val="22"/>
          <w:szCs w:val="22"/>
        </w:rPr>
        <w:t xml:space="preserve"> lo siguiente</w:t>
      </w:r>
      <w:r w:rsidRPr="002D3E1D">
        <w:rPr>
          <w:rFonts w:ascii="Verdana" w:hAnsi="Verdana" w:cs="Arial"/>
          <w:sz w:val="22"/>
          <w:szCs w:val="22"/>
        </w:rPr>
        <w:t>:</w:t>
      </w:r>
    </w:p>
    <w:p w:rsidR="00DD2C51" w:rsidRPr="0021438A" w:rsidRDefault="00DD2C51" w:rsidP="00DD2C51">
      <w:pPr>
        <w:spacing w:line="480" w:lineRule="auto"/>
        <w:ind w:left="4248" w:right="851"/>
        <w:jc w:val="both"/>
        <w:rPr>
          <w:rFonts w:ascii="Verdana" w:hAnsi="Verdana" w:cs="Arial"/>
          <w:i/>
          <w:sz w:val="20"/>
          <w:szCs w:val="20"/>
        </w:rPr>
      </w:pPr>
    </w:p>
    <w:p w:rsidR="00DD2C51" w:rsidRPr="00DD2C51" w:rsidRDefault="00DD2C51" w:rsidP="00DD2C51">
      <w:pPr>
        <w:ind w:left="284"/>
        <w:jc w:val="both"/>
        <w:rPr>
          <w:rFonts w:ascii="Verdana" w:hAnsi="Verdana"/>
          <w:i/>
          <w:color w:val="000000"/>
          <w:sz w:val="20"/>
          <w:szCs w:val="20"/>
        </w:rPr>
      </w:pPr>
      <w:r>
        <w:rPr>
          <w:rFonts w:ascii="Verdana" w:hAnsi="Verdana"/>
          <w:b/>
          <w:i/>
          <w:sz w:val="20"/>
          <w:szCs w:val="20"/>
          <w:lang w:val="es-ES_tradnl"/>
        </w:rPr>
        <w:t>“</w:t>
      </w:r>
      <w:r w:rsidRPr="00DD2C51">
        <w:rPr>
          <w:rFonts w:ascii="Verdana" w:hAnsi="Verdana"/>
          <w:b/>
          <w:i/>
          <w:sz w:val="20"/>
          <w:szCs w:val="20"/>
          <w:lang w:val="es-ES_tradnl"/>
        </w:rPr>
        <w:t xml:space="preserve">1. </w:t>
      </w:r>
      <w:r w:rsidRPr="00DD2C51">
        <w:rPr>
          <w:rFonts w:ascii="Verdana" w:hAnsi="Verdana"/>
          <w:i/>
          <w:sz w:val="20"/>
          <w:szCs w:val="20"/>
          <w:lang w:val="es-ES_tradnl"/>
        </w:rPr>
        <w:tab/>
      </w:r>
      <w:r w:rsidRPr="00DD2C51">
        <w:rPr>
          <w:rFonts w:ascii="Verdana" w:hAnsi="Verdana" w:cs="Arial"/>
          <w:i/>
          <w:sz w:val="20"/>
          <w:szCs w:val="20"/>
        </w:rPr>
        <w:t xml:space="preserve">Señala el artículo 161 de la Ley 1437 de 2011 que para acudir ante la jurisdicción contencioso administrativa la presentación de </w:t>
      </w:r>
      <w:r w:rsidRPr="00DD2C51">
        <w:rPr>
          <w:rFonts w:ascii="Verdana" w:hAnsi="Verdana"/>
          <w:i/>
          <w:color w:val="000000"/>
          <w:sz w:val="20"/>
          <w:szCs w:val="20"/>
        </w:rPr>
        <w:t>toda demanda se someterá al cumplimiento de requisitos previos, así dispone:</w:t>
      </w:r>
    </w:p>
    <w:p w:rsidR="00DD2C51" w:rsidRPr="00DD2C51" w:rsidRDefault="00DD2C51" w:rsidP="00DD2C51">
      <w:pPr>
        <w:ind w:left="284"/>
        <w:jc w:val="both"/>
        <w:rPr>
          <w:rFonts w:ascii="Verdana" w:hAnsi="Verdana"/>
          <w:i/>
          <w:color w:val="000000"/>
          <w:sz w:val="20"/>
          <w:szCs w:val="20"/>
        </w:rPr>
      </w:pPr>
    </w:p>
    <w:p w:rsidR="00DD2C51" w:rsidRPr="00DD2C51" w:rsidRDefault="00DD2C51" w:rsidP="00DD2C51">
      <w:pPr>
        <w:ind w:left="284"/>
        <w:jc w:val="both"/>
        <w:rPr>
          <w:rFonts w:ascii="Verdana" w:hAnsi="Verdana"/>
          <w:i/>
          <w:color w:val="000000"/>
          <w:sz w:val="20"/>
          <w:szCs w:val="20"/>
        </w:rPr>
      </w:pPr>
      <w:bookmarkStart w:id="1" w:name="161"/>
      <w:r w:rsidRPr="00DD2C51">
        <w:rPr>
          <w:rStyle w:val="textonavy"/>
          <w:rFonts w:ascii="Verdana" w:hAnsi="Verdana"/>
          <w:i/>
          <w:color w:val="000080"/>
          <w:sz w:val="20"/>
          <w:szCs w:val="20"/>
        </w:rPr>
        <w:lastRenderedPageBreak/>
        <w:t>“ARTÍCULO 161.</w:t>
      </w:r>
      <w:r w:rsidRPr="00DD2C51">
        <w:rPr>
          <w:rStyle w:val="apple-converted-space"/>
          <w:rFonts w:ascii="Verdana" w:hAnsi="Verdana"/>
          <w:i/>
          <w:color w:val="000080"/>
          <w:sz w:val="20"/>
          <w:szCs w:val="20"/>
        </w:rPr>
        <w:t> </w:t>
      </w:r>
      <w:r w:rsidRPr="00DD2C51">
        <w:rPr>
          <w:rStyle w:val="textonavy"/>
          <w:rFonts w:ascii="Verdana" w:hAnsi="Verdana"/>
          <w:i/>
          <w:iCs/>
          <w:color w:val="000080"/>
          <w:sz w:val="20"/>
          <w:szCs w:val="20"/>
        </w:rPr>
        <w:t>REQUISITOS PREVIOS PARA DEMANDAR.</w:t>
      </w:r>
      <w:bookmarkEnd w:id="1"/>
      <w:r w:rsidRPr="00DD2C51">
        <w:rPr>
          <w:rStyle w:val="apple-converted-space"/>
          <w:rFonts w:ascii="Verdana" w:hAnsi="Verdana"/>
          <w:i/>
          <w:iCs/>
          <w:color w:val="000000"/>
          <w:sz w:val="20"/>
          <w:szCs w:val="20"/>
        </w:rPr>
        <w:t> </w:t>
      </w:r>
      <w:r w:rsidRPr="00DD2C51">
        <w:rPr>
          <w:rFonts w:ascii="Verdana" w:hAnsi="Verdana"/>
          <w:i/>
          <w:color w:val="000000"/>
          <w:sz w:val="20"/>
          <w:szCs w:val="20"/>
        </w:rPr>
        <w:t>La presentación de la demanda se someterá al cumplimiento de requisitos previos en los siguientes casos:</w:t>
      </w:r>
    </w:p>
    <w:p w:rsidR="00DD2C51" w:rsidRPr="00DD2C51" w:rsidRDefault="00DD2C51" w:rsidP="00DD2C51">
      <w:pPr>
        <w:ind w:left="284"/>
        <w:jc w:val="both"/>
        <w:rPr>
          <w:rFonts w:ascii="Verdana" w:hAnsi="Verdana"/>
          <w:i/>
          <w:color w:val="000000"/>
          <w:sz w:val="20"/>
          <w:szCs w:val="20"/>
        </w:rPr>
      </w:pPr>
    </w:p>
    <w:p w:rsidR="00DD2C51" w:rsidRPr="00DD2C51" w:rsidRDefault="00DD2C51" w:rsidP="00DD2C51">
      <w:pPr>
        <w:numPr>
          <w:ilvl w:val="0"/>
          <w:numId w:val="1"/>
        </w:numPr>
        <w:tabs>
          <w:tab w:val="clear" w:pos="720"/>
          <w:tab w:val="num" w:pos="1068"/>
        </w:tabs>
        <w:ind w:left="284" w:firstLine="0"/>
        <w:jc w:val="both"/>
        <w:rPr>
          <w:rFonts w:ascii="Verdana" w:hAnsi="Verdana"/>
          <w:i/>
          <w:color w:val="000000"/>
          <w:sz w:val="20"/>
          <w:szCs w:val="20"/>
        </w:rPr>
      </w:pPr>
      <w:r w:rsidRPr="00DD2C51">
        <w:rPr>
          <w:rFonts w:ascii="Verdana" w:hAnsi="Verdana"/>
          <w:i/>
          <w:color w:val="000000"/>
          <w:sz w:val="20"/>
          <w:szCs w:val="20"/>
        </w:rPr>
        <w:t xml:space="preserve">Cuando los asuntos sean conciliables, el trámite de la conciliación extrajudicial constituirá requisito de procedibilidad de toda demanda en que se formulen pretensiones relativas a </w:t>
      </w:r>
      <w:r w:rsidRPr="00DD2C51">
        <w:rPr>
          <w:rFonts w:ascii="Verdana" w:hAnsi="Verdana"/>
          <w:b/>
          <w:i/>
          <w:color w:val="000000"/>
          <w:sz w:val="20"/>
          <w:szCs w:val="20"/>
        </w:rPr>
        <w:t>nulidad con restablecimiento del derecho</w:t>
      </w:r>
      <w:r w:rsidRPr="00DD2C51">
        <w:rPr>
          <w:rFonts w:ascii="Verdana" w:hAnsi="Verdana"/>
          <w:i/>
          <w:color w:val="000000"/>
          <w:sz w:val="20"/>
          <w:szCs w:val="20"/>
        </w:rPr>
        <w:t xml:space="preserve">, reparación directa y controversias contractuales. (…)” </w:t>
      </w:r>
    </w:p>
    <w:p w:rsidR="00DD2C51" w:rsidRPr="00DD2C51" w:rsidRDefault="00DD2C51" w:rsidP="00DD2C51">
      <w:pPr>
        <w:ind w:left="284"/>
        <w:jc w:val="both"/>
        <w:rPr>
          <w:rFonts w:ascii="Verdana" w:hAnsi="Verdana"/>
          <w:i/>
          <w:color w:val="000000"/>
          <w:sz w:val="20"/>
          <w:szCs w:val="20"/>
        </w:rPr>
      </w:pPr>
    </w:p>
    <w:p w:rsidR="00DD2C51" w:rsidRPr="00DD2C51" w:rsidRDefault="00DD2C51" w:rsidP="00DD2C51">
      <w:pPr>
        <w:autoSpaceDE w:val="0"/>
        <w:autoSpaceDN w:val="0"/>
        <w:adjustRightInd w:val="0"/>
        <w:ind w:left="284"/>
        <w:jc w:val="both"/>
        <w:rPr>
          <w:rFonts w:ascii="Verdana" w:hAnsi="Verdana" w:cs="TTE1F32838t00"/>
          <w:i/>
          <w:sz w:val="20"/>
          <w:szCs w:val="20"/>
          <w:lang w:val="es-CO" w:eastAsia="es-CO"/>
        </w:rPr>
      </w:pPr>
      <w:r w:rsidRPr="00DD2C51">
        <w:rPr>
          <w:rFonts w:ascii="Verdana" w:hAnsi="Verdana"/>
          <w:i/>
          <w:color w:val="000000"/>
          <w:sz w:val="20"/>
          <w:szCs w:val="20"/>
        </w:rPr>
        <w:t xml:space="preserve">Respecto a la necesidad de agotar el requisito de la conciliación prejudicial previo a acudir a la jurisdicción, en asuntos como el que es objeto del presente proceso, se trae a </w:t>
      </w:r>
      <w:r w:rsidRPr="00DD2C51">
        <w:rPr>
          <w:rFonts w:ascii="Verdana" w:hAnsi="Verdana" w:cs="TTE1F32838t00"/>
          <w:i/>
          <w:sz w:val="20"/>
          <w:szCs w:val="20"/>
          <w:lang w:val="es-CO" w:eastAsia="es-CO"/>
        </w:rPr>
        <w:t>colación lo manifestado por el Tribunal Administrativo de Antioquia mediante auto del 23 de octubre de 2013 (Exp. 05001-33-33-010-2013-00182-01; M.P. Dr. José Ignacio Madrigal Álzate), en el que, señaló:</w:t>
      </w:r>
    </w:p>
    <w:p w:rsidR="00DD2C51" w:rsidRPr="00DD2C51" w:rsidRDefault="00DD2C51" w:rsidP="00DD2C51">
      <w:pPr>
        <w:autoSpaceDE w:val="0"/>
        <w:autoSpaceDN w:val="0"/>
        <w:adjustRightInd w:val="0"/>
        <w:ind w:left="284"/>
        <w:rPr>
          <w:rFonts w:ascii="Verdana" w:hAnsi="Verdana" w:cs="TTE1F32838t00"/>
          <w:i/>
          <w:sz w:val="20"/>
          <w:szCs w:val="20"/>
          <w:lang w:val="es-CO" w:eastAsia="es-CO"/>
        </w:rPr>
      </w:pPr>
    </w:p>
    <w:p w:rsidR="00DD2C51" w:rsidRPr="00DD2C51" w:rsidRDefault="00DD2C51" w:rsidP="00DD2C51">
      <w:pPr>
        <w:autoSpaceDE w:val="0"/>
        <w:autoSpaceDN w:val="0"/>
        <w:adjustRightInd w:val="0"/>
        <w:ind w:left="284"/>
        <w:jc w:val="both"/>
        <w:rPr>
          <w:rFonts w:ascii="Verdana" w:hAnsi="Verdana" w:cs="TTE1FFAC00t00"/>
          <w:i/>
          <w:sz w:val="20"/>
          <w:szCs w:val="20"/>
          <w:lang w:val="es-CO" w:eastAsia="es-CO"/>
        </w:rPr>
      </w:pPr>
      <w:r w:rsidRPr="00DD2C51">
        <w:rPr>
          <w:rFonts w:ascii="Verdana" w:hAnsi="Verdana" w:cs="TTE1F32838t00"/>
          <w:i/>
          <w:sz w:val="20"/>
          <w:szCs w:val="20"/>
          <w:lang w:val="es-CO" w:eastAsia="es-CO"/>
        </w:rPr>
        <w:t>“</w:t>
      </w:r>
      <w:r w:rsidRPr="00DD2C51">
        <w:rPr>
          <w:rFonts w:ascii="Verdana" w:hAnsi="Verdana" w:cs="TTE1FFAC00t00"/>
          <w:i/>
          <w:sz w:val="20"/>
          <w:szCs w:val="20"/>
          <w:lang w:val="es-CO" w:eastAsia="es-CO"/>
        </w:rPr>
        <w:t xml:space="preserve">Se colige de lo anterior que los eventos en los cuales el Consejo de Estado ha indicado que no es dable exigir la conciliación como requisito de procedibilidad, </w:t>
      </w:r>
      <w:r w:rsidRPr="00DD2C51">
        <w:rPr>
          <w:rFonts w:ascii="Verdana" w:hAnsi="Verdana" w:cs="TTE1F32838t00"/>
          <w:i/>
          <w:sz w:val="20"/>
          <w:szCs w:val="20"/>
          <w:lang w:val="es-CO" w:eastAsia="es-CO"/>
        </w:rPr>
        <w:t xml:space="preserve">teniendo en cuenta que el derecho fundamental a la seguridad social es irrenunciable por expresa disposición del artículo 48 Superior, y dado que son irrenunciables los beneficios mínimos establecidos en las normas laborales en virtud del Art. 53 de la Carta, principios que reflejan la protección constitucional brindada al trabajo tal como se observa en el artículo 2º de la Constitución Política, </w:t>
      </w:r>
      <w:r w:rsidRPr="00DD2C51">
        <w:rPr>
          <w:rFonts w:ascii="Verdana" w:hAnsi="Verdana" w:cs="TTE1FFAC00t00"/>
          <w:i/>
          <w:sz w:val="20"/>
          <w:szCs w:val="20"/>
          <w:lang w:val="es-CO" w:eastAsia="es-CO"/>
        </w:rPr>
        <w:t>se ha referido a asuntos de reconocimiento pensional y no en asuntos relativos a reconocimiento de prima de servicios como es el caso de la referencia.</w:t>
      </w:r>
    </w:p>
    <w:p w:rsidR="00DD2C51" w:rsidRPr="00DD2C51" w:rsidRDefault="00DD2C51" w:rsidP="00DD2C51">
      <w:pPr>
        <w:autoSpaceDE w:val="0"/>
        <w:autoSpaceDN w:val="0"/>
        <w:adjustRightInd w:val="0"/>
        <w:ind w:left="284"/>
        <w:jc w:val="both"/>
        <w:rPr>
          <w:rFonts w:ascii="Verdana" w:hAnsi="Verdana" w:cs="TTE1F32838t00"/>
          <w:i/>
          <w:sz w:val="20"/>
          <w:szCs w:val="20"/>
          <w:lang w:val="es-CO" w:eastAsia="es-CO"/>
        </w:rPr>
      </w:pPr>
    </w:p>
    <w:p w:rsidR="00DD2C51" w:rsidRPr="00DD2C51" w:rsidRDefault="00DD2C51" w:rsidP="00DD2C51">
      <w:pPr>
        <w:autoSpaceDE w:val="0"/>
        <w:autoSpaceDN w:val="0"/>
        <w:adjustRightInd w:val="0"/>
        <w:ind w:left="284"/>
        <w:jc w:val="both"/>
        <w:rPr>
          <w:rFonts w:ascii="Verdana" w:hAnsi="Verdana" w:cs="TTE1F32838t00"/>
          <w:i/>
          <w:sz w:val="20"/>
          <w:szCs w:val="20"/>
          <w:lang w:val="es-CO" w:eastAsia="es-CO"/>
        </w:rPr>
      </w:pPr>
      <w:r w:rsidRPr="00DD2C51">
        <w:rPr>
          <w:rFonts w:ascii="Verdana" w:hAnsi="Verdana" w:cs="TTE1F32838t00"/>
          <w:i/>
          <w:sz w:val="20"/>
          <w:szCs w:val="20"/>
          <w:lang w:val="es-CO" w:eastAsia="es-CO"/>
        </w:rPr>
        <w:t>En este orden de ideas, la conciliación en materia contencioso administrativa en el caso que estudia la Sala, no significa que se esté aceptando la renuncia a un derecho fundamental, teniendo en cuenta que el operador jurídico, evaluará la legalidad del acuerdo realizado por las partes y deberá establecer si está en concordancia con las normas constitucionales y legales para cada caso concreto.</w:t>
      </w:r>
    </w:p>
    <w:p w:rsidR="00DD2C51" w:rsidRPr="00DD2C51" w:rsidRDefault="00DD2C51" w:rsidP="00DD2C51">
      <w:pPr>
        <w:autoSpaceDE w:val="0"/>
        <w:autoSpaceDN w:val="0"/>
        <w:adjustRightInd w:val="0"/>
        <w:ind w:left="284"/>
        <w:jc w:val="both"/>
        <w:rPr>
          <w:rFonts w:ascii="Verdana" w:hAnsi="Verdana" w:cs="TTE1F32838t00"/>
          <w:i/>
          <w:sz w:val="20"/>
          <w:szCs w:val="20"/>
          <w:lang w:val="es-CO" w:eastAsia="es-CO"/>
        </w:rPr>
      </w:pPr>
    </w:p>
    <w:p w:rsidR="00DD2C51" w:rsidRPr="00DD2C51" w:rsidRDefault="00DD2C51" w:rsidP="00DD2C51">
      <w:pPr>
        <w:autoSpaceDE w:val="0"/>
        <w:autoSpaceDN w:val="0"/>
        <w:adjustRightInd w:val="0"/>
        <w:ind w:left="284"/>
        <w:jc w:val="both"/>
        <w:rPr>
          <w:rFonts w:ascii="Verdana" w:hAnsi="Verdana" w:cs="TTE1FFAC00t00"/>
          <w:i/>
          <w:sz w:val="20"/>
          <w:szCs w:val="20"/>
          <w:lang w:val="es-CO" w:eastAsia="es-CO"/>
        </w:rPr>
      </w:pPr>
      <w:r w:rsidRPr="00DD2C51">
        <w:rPr>
          <w:rFonts w:ascii="Verdana" w:hAnsi="Verdana" w:cs="TTE1F32838t00"/>
          <w:i/>
          <w:sz w:val="20"/>
          <w:szCs w:val="20"/>
          <w:lang w:val="es-CO" w:eastAsia="es-CO"/>
        </w:rPr>
        <w:t xml:space="preserve">2.9-. </w:t>
      </w:r>
      <w:r w:rsidRPr="00DD2C51">
        <w:rPr>
          <w:rFonts w:ascii="Verdana" w:hAnsi="Verdana" w:cs="TTE1FFAC00t00"/>
          <w:i/>
          <w:sz w:val="20"/>
          <w:szCs w:val="20"/>
          <w:lang w:val="es-CO" w:eastAsia="es-CO"/>
        </w:rPr>
        <w:t>Tales premisas imponen exigir la Conciliación en el caso concreto y como consecuencia de ello, al no acreditarse el agotamiento de la misma, la terminación del proceso en la forma dispuesta por el Juez Décimo Administrativo.</w:t>
      </w:r>
    </w:p>
    <w:p w:rsidR="00DD2C51" w:rsidRPr="00DD2C51" w:rsidRDefault="00DD2C51" w:rsidP="00DD2C51">
      <w:pPr>
        <w:autoSpaceDE w:val="0"/>
        <w:autoSpaceDN w:val="0"/>
        <w:adjustRightInd w:val="0"/>
        <w:ind w:left="284"/>
        <w:jc w:val="both"/>
        <w:rPr>
          <w:rFonts w:ascii="Verdana" w:hAnsi="Verdana" w:cs="TTE1FFAC00t00"/>
          <w:i/>
          <w:sz w:val="20"/>
          <w:szCs w:val="20"/>
          <w:lang w:val="es-CO" w:eastAsia="es-CO"/>
        </w:rPr>
      </w:pPr>
    </w:p>
    <w:p w:rsidR="00DD2C51" w:rsidRPr="00DD2C51" w:rsidRDefault="00DD2C51" w:rsidP="00DD2C51">
      <w:pPr>
        <w:autoSpaceDE w:val="0"/>
        <w:autoSpaceDN w:val="0"/>
        <w:adjustRightInd w:val="0"/>
        <w:ind w:left="284"/>
        <w:jc w:val="both"/>
        <w:rPr>
          <w:rFonts w:ascii="Verdana" w:hAnsi="Verdana"/>
          <w:i/>
          <w:color w:val="000000"/>
          <w:sz w:val="20"/>
          <w:szCs w:val="20"/>
        </w:rPr>
      </w:pPr>
      <w:r w:rsidRPr="00DD2C51">
        <w:rPr>
          <w:rFonts w:ascii="Verdana" w:hAnsi="Verdana" w:cs="TTE1F32838t00"/>
          <w:i/>
          <w:sz w:val="20"/>
          <w:szCs w:val="20"/>
          <w:lang w:val="es-CO" w:eastAsia="es-CO"/>
        </w:rPr>
        <w:t>2.10-. Finalmente debe precisar la Sala que los argumentos que se acaban de mencionar no implican que en todos los casos se requiere el agotamiento del requisito previo de conciliación prejudicial en materia laboral, ya que ello se predica únicamente de los asuntos en que se discutan derechos inciertos, discutibles o renunciables, porque de lo contrario no se exigirá tal requisito  con fundamento especialmente en el artículo 53 de la Constitución Política así como las leyes 1285 de 2009 y 1437 de 2011.”</w:t>
      </w:r>
    </w:p>
    <w:p w:rsidR="00DD2C51" w:rsidRPr="00DD2C51" w:rsidRDefault="00DD2C51" w:rsidP="00DD2C51">
      <w:pPr>
        <w:ind w:left="284"/>
        <w:jc w:val="both"/>
        <w:rPr>
          <w:rFonts w:ascii="Verdana" w:hAnsi="Verdana"/>
          <w:i/>
          <w:color w:val="000000"/>
          <w:sz w:val="20"/>
          <w:szCs w:val="20"/>
        </w:rPr>
      </w:pPr>
    </w:p>
    <w:p w:rsidR="00DD2C51" w:rsidRPr="00DD2C51" w:rsidRDefault="00DD2C51" w:rsidP="00DD2C51">
      <w:pPr>
        <w:pStyle w:val="Textonotapie"/>
        <w:ind w:left="284"/>
        <w:jc w:val="both"/>
        <w:rPr>
          <w:i/>
          <w:lang w:val="es-ES_tradnl"/>
        </w:rPr>
      </w:pPr>
      <w:r w:rsidRPr="00DD2C51">
        <w:rPr>
          <w:i/>
          <w:lang w:val="es-ES_tradnl"/>
        </w:rPr>
        <w:t xml:space="preserve">Por lo anterior, la parte actora </w:t>
      </w:r>
      <w:r w:rsidRPr="00DD2C51">
        <w:rPr>
          <w:b/>
          <w:i/>
          <w:lang w:val="es-ES_tradnl"/>
        </w:rPr>
        <w:t>DEBERÁ</w:t>
      </w:r>
      <w:r w:rsidRPr="00DD2C51">
        <w:rPr>
          <w:i/>
          <w:lang w:val="es-ES_tradnl"/>
        </w:rPr>
        <w:t xml:space="preserve"> acreditar el agotamiento del requisito de procedibilidad de acudir a la conciliación prejudicial como requisito previo para demandar en ejercicio del medio de control de nulidad y restablecimiento del derecho. </w:t>
      </w:r>
    </w:p>
    <w:p w:rsidR="00DD2C51" w:rsidRPr="00DD2C51" w:rsidRDefault="00DD2C51" w:rsidP="00DD2C51">
      <w:pPr>
        <w:overflowPunct w:val="0"/>
        <w:autoSpaceDE w:val="0"/>
        <w:autoSpaceDN w:val="0"/>
        <w:adjustRightInd w:val="0"/>
        <w:ind w:left="284"/>
        <w:jc w:val="both"/>
        <w:textAlignment w:val="baseline"/>
        <w:rPr>
          <w:rFonts w:ascii="Verdana" w:hAnsi="Verdana" w:cs="Arial"/>
          <w:b/>
          <w:i/>
          <w:sz w:val="20"/>
          <w:szCs w:val="20"/>
        </w:rPr>
      </w:pPr>
    </w:p>
    <w:p w:rsidR="00DD2C51" w:rsidRPr="00DD2C51" w:rsidRDefault="00DD2C51" w:rsidP="00DD2C51">
      <w:pPr>
        <w:ind w:left="284"/>
        <w:jc w:val="both"/>
        <w:rPr>
          <w:rFonts w:ascii="Verdana" w:hAnsi="Verdana" w:cs="Arial"/>
          <w:bCs/>
          <w:i/>
          <w:sz w:val="20"/>
          <w:szCs w:val="20"/>
        </w:rPr>
      </w:pPr>
      <w:r w:rsidRPr="00DD2C51">
        <w:rPr>
          <w:rFonts w:ascii="Verdana" w:hAnsi="Verdana" w:cs="Arial"/>
          <w:b/>
          <w:bCs/>
          <w:i/>
          <w:sz w:val="20"/>
          <w:szCs w:val="20"/>
        </w:rPr>
        <w:t>2.</w:t>
      </w:r>
      <w:r w:rsidRPr="00DD2C51">
        <w:rPr>
          <w:rFonts w:ascii="Verdana" w:hAnsi="Verdana" w:cs="Arial"/>
          <w:bCs/>
          <w:i/>
          <w:sz w:val="20"/>
          <w:szCs w:val="20"/>
        </w:rPr>
        <w:t xml:space="preserve"> Prescribe el </w:t>
      </w:r>
      <w:r w:rsidRPr="00DD2C51">
        <w:rPr>
          <w:rFonts w:ascii="Verdana" w:hAnsi="Verdana" w:cs="Arial"/>
          <w:b/>
          <w:bCs/>
          <w:i/>
          <w:sz w:val="20"/>
          <w:szCs w:val="20"/>
        </w:rPr>
        <w:t>artículo 74 del Código General del Proceso</w:t>
      </w:r>
      <w:r w:rsidRPr="00DD2C51">
        <w:rPr>
          <w:rFonts w:ascii="Verdana" w:hAnsi="Verdana" w:cs="Arial"/>
          <w:bCs/>
          <w:i/>
          <w:sz w:val="20"/>
          <w:szCs w:val="20"/>
        </w:rPr>
        <w:t xml:space="preserve">: “Los   poderes generales para toda clase de procesos sólo podrán conferirse por escritura pública. El poder especial para uno o varios procesos podrá conferirse por documentos privado. En los poderes especiales, </w:t>
      </w:r>
      <w:r w:rsidRPr="00DD2C51">
        <w:rPr>
          <w:rFonts w:ascii="Verdana" w:hAnsi="Verdana" w:cs="Arial"/>
          <w:b/>
          <w:bCs/>
          <w:i/>
          <w:sz w:val="20"/>
          <w:szCs w:val="20"/>
        </w:rPr>
        <w:t>los asuntos deberán estar determinados y claramente identificados.</w:t>
      </w:r>
      <w:r w:rsidRPr="00DD2C51">
        <w:rPr>
          <w:rFonts w:ascii="Verdana" w:hAnsi="Verdana" w:cs="Arial"/>
          <w:bCs/>
          <w:i/>
          <w:sz w:val="20"/>
          <w:szCs w:val="20"/>
        </w:rPr>
        <w:t xml:space="preserve"> […]”.</w:t>
      </w:r>
    </w:p>
    <w:p w:rsidR="00DD2C51" w:rsidRPr="00DD2C51" w:rsidRDefault="00DD2C51" w:rsidP="00DD2C51">
      <w:pPr>
        <w:ind w:left="284"/>
        <w:jc w:val="both"/>
        <w:rPr>
          <w:rFonts w:ascii="Verdana" w:hAnsi="Verdana" w:cs="Arial"/>
          <w:b/>
          <w:bCs/>
          <w:i/>
          <w:sz w:val="20"/>
          <w:szCs w:val="20"/>
        </w:rPr>
      </w:pPr>
    </w:p>
    <w:p w:rsidR="00DD2C51" w:rsidRPr="00DD2C51" w:rsidRDefault="00DD2C51" w:rsidP="00DD2C51">
      <w:pPr>
        <w:ind w:left="284"/>
        <w:jc w:val="both"/>
        <w:rPr>
          <w:rFonts w:ascii="Verdana" w:hAnsi="Verdana" w:cs="Arial"/>
          <w:i/>
          <w:sz w:val="20"/>
          <w:szCs w:val="20"/>
        </w:rPr>
      </w:pPr>
      <w:r w:rsidRPr="00DD2C51">
        <w:rPr>
          <w:rFonts w:ascii="Verdana" w:hAnsi="Verdana" w:cs="Arial"/>
          <w:bCs/>
          <w:i/>
          <w:sz w:val="20"/>
          <w:szCs w:val="20"/>
        </w:rPr>
        <w:t xml:space="preserve">Por tanto, </w:t>
      </w:r>
      <w:r w:rsidRPr="00DD2C51">
        <w:rPr>
          <w:rFonts w:ascii="Verdana" w:hAnsi="Verdana" w:cs="Arial"/>
          <w:b/>
          <w:bCs/>
          <w:i/>
          <w:sz w:val="20"/>
          <w:szCs w:val="20"/>
        </w:rPr>
        <w:t>DEBERÁ</w:t>
      </w:r>
      <w:r w:rsidRPr="00DD2C51">
        <w:rPr>
          <w:rFonts w:ascii="Verdana" w:hAnsi="Verdana" w:cs="Arial"/>
          <w:bCs/>
          <w:i/>
          <w:sz w:val="20"/>
          <w:szCs w:val="20"/>
        </w:rPr>
        <w:t xml:space="preserve"> allegarse un poder suficiente en el que se determine claramente, el medio de control a ejercer, el objetivo de la demanda y el acto administrativo emanado de la entidad demandada, que será objeto de impugnación.</w:t>
      </w:r>
    </w:p>
    <w:p w:rsidR="00DD2C51" w:rsidRPr="00DD2C51" w:rsidRDefault="00DD2C51" w:rsidP="00DD2C51">
      <w:pPr>
        <w:overflowPunct w:val="0"/>
        <w:autoSpaceDE w:val="0"/>
        <w:autoSpaceDN w:val="0"/>
        <w:adjustRightInd w:val="0"/>
        <w:ind w:left="284"/>
        <w:jc w:val="both"/>
        <w:textAlignment w:val="baseline"/>
        <w:rPr>
          <w:rFonts w:ascii="Verdana" w:hAnsi="Verdana" w:cs="Arial"/>
          <w:b/>
          <w:i/>
          <w:sz w:val="20"/>
          <w:szCs w:val="20"/>
        </w:rPr>
      </w:pPr>
    </w:p>
    <w:p w:rsidR="00DD2C51" w:rsidRPr="00DD2C51" w:rsidRDefault="00DD2C51" w:rsidP="00DD2C51">
      <w:pPr>
        <w:overflowPunct w:val="0"/>
        <w:autoSpaceDE w:val="0"/>
        <w:autoSpaceDN w:val="0"/>
        <w:adjustRightInd w:val="0"/>
        <w:ind w:left="284"/>
        <w:jc w:val="both"/>
        <w:textAlignment w:val="baseline"/>
        <w:rPr>
          <w:rFonts w:ascii="Verdana" w:hAnsi="Verdana" w:cs="Arial"/>
          <w:i/>
          <w:sz w:val="20"/>
          <w:szCs w:val="20"/>
        </w:rPr>
      </w:pPr>
      <w:r w:rsidRPr="00DD2C51">
        <w:rPr>
          <w:rFonts w:ascii="Verdana" w:hAnsi="Verdana" w:cs="Arial"/>
          <w:b/>
          <w:i/>
          <w:sz w:val="20"/>
          <w:szCs w:val="20"/>
        </w:rPr>
        <w:lastRenderedPageBreak/>
        <w:t>3. DEBERÁ</w:t>
      </w:r>
      <w:r w:rsidRPr="00DD2C51">
        <w:rPr>
          <w:rFonts w:ascii="Verdana" w:hAnsi="Verdana" w:cs="Arial"/>
          <w:i/>
          <w:sz w:val="20"/>
          <w:szCs w:val="20"/>
        </w:rPr>
        <w:t xml:space="preserve"> allegar copia de la demanda y de la subsanación de la misma en medio magnético (preferiblemente en formato WORD o PDF) a efecto de proceder con la notificación electrónica a las partes demandadas, intervinientes y terceros. </w:t>
      </w:r>
    </w:p>
    <w:p w:rsidR="00DD2C51" w:rsidRPr="00DD2C51" w:rsidRDefault="00DD2C51" w:rsidP="00DD2C51">
      <w:pPr>
        <w:overflowPunct w:val="0"/>
        <w:autoSpaceDE w:val="0"/>
        <w:autoSpaceDN w:val="0"/>
        <w:adjustRightInd w:val="0"/>
        <w:ind w:left="284"/>
        <w:jc w:val="both"/>
        <w:textAlignment w:val="baseline"/>
        <w:rPr>
          <w:rFonts w:ascii="Verdana" w:hAnsi="Verdana" w:cs="Arial"/>
          <w:i/>
          <w:sz w:val="20"/>
          <w:szCs w:val="20"/>
        </w:rPr>
      </w:pPr>
    </w:p>
    <w:p w:rsidR="00DD2C51" w:rsidRPr="00DD2C51" w:rsidRDefault="00DD2C51" w:rsidP="00DD2C51">
      <w:pPr>
        <w:overflowPunct w:val="0"/>
        <w:autoSpaceDE w:val="0"/>
        <w:autoSpaceDN w:val="0"/>
        <w:adjustRightInd w:val="0"/>
        <w:ind w:left="284"/>
        <w:jc w:val="both"/>
        <w:textAlignment w:val="baseline"/>
        <w:rPr>
          <w:rFonts w:ascii="Verdana" w:eastAsia="Calibri" w:hAnsi="Verdana" w:cs="Arial"/>
          <w:i/>
          <w:sz w:val="20"/>
          <w:szCs w:val="20"/>
          <w:lang w:val="es-ES_tradnl"/>
        </w:rPr>
      </w:pPr>
      <w:r w:rsidRPr="00DD2C51">
        <w:rPr>
          <w:rFonts w:ascii="Verdana" w:hAnsi="Verdana" w:cs="Arial"/>
          <w:bCs/>
          <w:i/>
          <w:sz w:val="20"/>
          <w:szCs w:val="20"/>
        </w:rPr>
        <w:t xml:space="preserve">Del memorial con el cual se dé cumplimiento a los requisitos, y los anexos que se presenten, se debe aportar copia para el traslado a la entidad demandada,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DD2C51">
            <w:rPr>
              <w:rFonts w:ascii="Verdana" w:hAnsi="Verdana" w:cs="Arial"/>
              <w:bCs/>
              <w:i/>
              <w:sz w:val="20"/>
              <w:szCs w:val="20"/>
            </w:rPr>
            <w:t>la Agencia</w:t>
          </w:r>
        </w:smartTag>
        <w:r w:rsidRPr="00DD2C51">
          <w:rPr>
            <w:rFonts w:ascii="Verdana" w:hAnsi="Verdana" w:cs="Arial"/>
            <w:bCs/>
            <w:i/>
            <w:sz w:val="20"/>
            <w:szCs w:val="20"/>
          </w:rPr>
          <w:t xml:space="preserve"> Nacional</w:t>
        </w:r>
      </w:smartTag>
      <w:r w:rsidRPr="00DD2C51">
        <w:rPr>
          <w:rFonts w:ascii="Verdana" w:hAnsi="Verdana" w:cs="Arial"/>
          <w:bCs/>
          <w:i/>
          <w:sz w:val="20"/>
          <w:szCs w:val="20"/>
        </w:rPr>
        <w:t xml:space="preserve"> de Defensa Jurídica del Estado y al Ministerio Público. </w:t>
      </w:r>
      <w:r>
        <w:rPr>
          <w:rFonts w:ascii="Verdana" w:hAnsi="Verdana" w:cs="Arial"/>
          <w:bCs/>
          <w:i/>
          <w:sz w:val="20"/>
          <w:szCs w:val="20"/>
        </w:rPr>
        <w:t>“</w:t>
      </w:r>
    </w:p>
    <w:p w:rsidR="00DD2C51" w:rsidRDefault="00DD2C51" w:rsidP="00DD2C51">
      <w:pPr>
        <w:overflowPunct w:val="0"/>
        <w:autoSpaceDE w:val="0"/>
        <w:autoSpaceDN w:val="0"/>
        <w:adjustRightInd w:val="0"/>
        <w:ind w:left="284"/>
        <w:jc w:val="both"/>
        <w:textAlignment w:val="baseline"/>
        <w:rPr>
          <w:rFonts w:ascii="Verdana" w:hAnsi="Verdana" w:cs="Arial"/>
          <w:bCs/>
          <w:i/>
          <w:sz w:val="20"/>
          <w:szCs w:val="20"/>
        </w:rPr>
      </w:pPr>
    </w:p>
    <w:p w:rsidR="00DD2C51" w:rsidRPr="00A13643" w:rsidRDefault="00DD2C51" w:rsidP="00DD2C51">
      <w:pPr>
        <w:overflowPunct w:val="0"/>
        <w:autoSpaceDE w:val="0"/>
        <w:autoSpaceDN w:val="0"/>
        <w:adjustRightInd w:val="0"/>
        <w:ind w:left="284"/>
        <w:jc w:val="both"/>
        <w:textAlignment w:val="baseline"/>
        <w:rPr>
          <w:rFonts w:ascii="Verdana" w:eastAsia="Calibri" w:hAnsi="Verdana" w:cs="Arial"/>
          <w:i/>
          <w:sz w:val="20"/>
          <w:szCs w:val="20"/>
          <w:lang w:val="es-ES_tradnl"/>
        </w:rPr>
      </w:pPr>
    </w:p>
    <w:p w:rsidR="00DD2C51" w:rsidRPr="002D3E1D" w:rsidRDefault="00DD2C51" w:rsidP="00DD2C51">
      <w:pPr>
        <w:autoSpaceDE w:val="0"/>
        <w:autoSpaceDN w:val="0"/>
        <w:adjustRightInd w:val="0"/>
        <w:spacing w:line="360" w:lineRule="auto"/>
        <w:jc w:val="both"/>
        <w:rPr>
          <w:rFonts w:ascii="Verdana" w:hAnsi="Verdana" w:cs="Arial"/>
          <w:sz w:val="22"/>
          <w:szCs w:val="22"/>
        </w:rPr>
      </w:pPr>
      <w:r>
        <w:rPr>
          <w:rFonts w:ascii="Verdana" w:hAnsi="Verdana" w:cs="Arial"/>
          <w:sz w:val="22"/>
          <w:szCs w:val="22"/>
        </w:rPr>
        <w:t xml:space="preserve">Como </w:t>
      </w:r>
      <w:r w:rsidRPr="002D3E1D">
        <w:rPr>
          <w:rFonts w:ascii="Verdana" w:hAnsi="Verdana" w:cs="Arial"/>
          <w:sz w:val="22"/>
          <w:szCs w:val="22"/>
        </w:rPr>
        <w:t>ha transcurrido el término legal sin que la parte demandante hubiera dado cumplimiento a lo exigido, este es motivo suficiente para rechazar la demanda a la luz de lo señalado en el Artículo 169 del Código de Procedimiento Administrativo y de lo Contencioso Administrativo, pues es sabido que la demanda para su admisión debe reunir los presupuestos de la acción que la hacen viable y tener presentes los requisitos generales contenidos en los artículos 162 y siguientes del Código de Procedimiento Administrativo y de lo Contencioso Administrativo , ya que de lo contrario la inobservancia de los mismos conduce indefectiblemente al rechazo de ella.</w:t>
      </w:r>
    </w:p>
    <w:p w:rsidR="00DD2C51" w:rsidRPr="002D3E1D" w:rsidRDefault="00DD2C51" w:rsidP="00DD2C51">
      <w:pPr>
        <w:spacing w:line="480" w:lineRule="auto"/>
        <w:jc w:val="both"/>
        <w:rPr>
          <w:rFonts w:ascii="Verdana" w:hAnsi="Verdana" w:cs="Arial"/>
          <w:sz w:val="22"/>
          <w:szCs w:val="22"/>
        </w:rPr>
      </w:pPr>
    </w:p>
    <w:p w:rsidR="00DD2C51" w:rsidRDefault="00DD2C51" w:rsidP="00DD2C51">
      <w:pPr>
        <w:spacing w:line="360" w:lineRule="auto"/>
        <w:jc w:val="both"/>
        <w:rPr>
          <w:rFonts w:ascii="Verdana" w:hAnsi="Verdana" w:cs="Arial"/>
          <w:sz w:val="22"/>
          <w:szCs w:val="22"/>
        </w:rPr>
      </w:pPr>
      <w:r w:rsidRPr="002D3E1D">
        <w:rPr>
          <w:rFonts w:ascii="Verdana" w:hAnsi="Verdana" w:cs="Arial"/>
          <w:sz w:val="22"/>
          <w:szCs w:val="22"/>
        </w:rPr>
        <w:t>Como se evidencia en esta acción que no se han llenado los requisitos que por ley debe contener la demanda, carga que es atribuible sólo a la parte demandante, ya que en ejercicio del derecho de acción acudió a la jurisdicción en aras de obtener un pronunciamiento re</w:t>
      </w:r>
      <w:r>
        <w:rPr>
          <w:rFonts w:ascii="Verdana" w:hAnsi="Verdana" w:cs="Arial"/>
          <w:sz w:val="22"/>
          <w:szCs w:val="22"/>
        </w:rPr>
        <w:t xml:space="preserve">specto a lo pretendido por ella. Por lo tanto, </w:t>
      </w:r>
      <w:r w:rsidRPr="002D3E1D">
        <w:rPr>
          <w:rFonts w:ascii="Verdana" w:hAnsi="Verdana" w:cs="Arial"/>
          <w:sz w:val="22"/>
          <w:szCs w:val="22"/>
        </w:rPr>
        <w:t xml:space="preserve"> lo procedente es rechazar la misma conforme a lo dispuesto en el numeral segundo del artículo 169 del CPACA, ordenando igualmente la devolución de los anexos, sin necesidad de desglose, y, efectuando el respectivo registro en el Sistema de Gestión.</w:t>
      </w:r>
    </w:p>
    <w:p w:rsidR="00DD2C51" w:rsidRDefault="00DD2C51" w:rsidP="00DD2C51">
      <w:pPr>
        <w:spacing w:line="480" w:lineRule="auto"/>
        <w:jc w:val="both"/>
        <w:rPr>
          <w:rFonts w:ascii="Verdana" w:hAnsi="Verdana" w:cs="Arial"/>
          <w:sz w:val="22"/>
          <w:szCs w:val="22"/>
        </w:rPr>
      </w:pPr>
    </w:p>
    <w:p w:rsidR="00DD2C51" w:rsidRPr="002D3E1D" w:rsidRDefault="00DD2C51" w:rsidP="00DD2C51">
      <w:pPr>
        <w:pStyle w:val="Textoindependiente"/>
        <w:rPr>
          <w:rFonts w:ascii="Verdana" w:hAnsi="Verdana" w:cs="Arial"/>
          <w:b/>
          <w:bCs/>
          <w:i/>
          <w:iCs/>
          <w:sz w:val="22"/>
          <w:szCs w:val="22"/>
        </w:rPr>
      </w:pPr>
      <w:r>
        <w:rPr>
          <w:rFonts w:ascii="Verdana" w:hAnsi="Verdana" w:cs="Arial"/>
          <w:sz w:val="22"/>
          <w:szCs w:val="22"/>
        </w:rPr>
        <w:t>En mérito de lo</w:t>
      </w:r>
      <w:r w:rsidRPr="002D3E1D">
        <w:rPr>
          <w:rFonts w:ascii="Verdana" w:hAnsi="Verdana" w:cs="Arial"/>
          <w:sz w:val="22"/>
          <w:szCs w:val="22"/>
        </w:rPr>
        <w:t xml:space="preserve"> expuesto, el </w:t>
      </w:r>
      <w:r w:rsidRPr="002D3E1D">
        <w:rPr>
          <w:rFonts w:ascii="Verdana" w:hAnsi="Verdana" w:cs="Arial"/>
          <w:b/>
          <w:bCs/>
          <w:i/>
          <w:iCs/>
          <w:sz w:val="22"/>
          <w:szCs w:val="22"/>
        </w:rPr>
        <w:t xml:space="preserve">JUZGADO DOCE ADMINISTRATIVO ORAL DE MEDELLÍN, </w:t>
      </w:r>
    </w:p>
    <w:p w:rsidR="00DD2C51" w:rsidRDefault="00DD2C51" w:rsidP="00DD2C51">
      <w:pPr>
        <w:pStyle w:val="Textoindependiente"/>
        <w:spacing w:line="480" w:lineRule="auto"/>
        <w:jc w:val="center"/>
        <w:rPr>
          <w:rFonts w:ascii="Verdana" w:hAnsi="Verdana" w:cs="Arial"/>
          <w:b/>
          <w:bCs/>
          <w:i/>
          <w:iCs/>
          <w:sz w:val="22"/>
          <w:szCs w:val="22"/>
        </w:rPr>
      </w:pPr>
    </w:p>
    <w:p w:rsidR="00DD2C51" w:rsidRPr="002D3E1D" w:rsidRDefault="00DD2C51" w:rsidP="00DD2C51">
      <w:pPr>
        <w:pStyle w:val="Textoindependiente"/>
        <w:jc w:val="center"/>
        <w:rPr>
          <w:rFonts w:ascii="Verdana" w:hAnsi="Verdana" w:cs="Arial"/>
          <w:sz w:val="22"/>
          <w:szCs w:val="22"/>
        </w:rPr>
      </w:pPr>
      <w:r w:rsidRPr="002D3E1D">
        <w:rPr>
          <w:rFonts w:ascii="Verdana" w:hAnsi="Verdana" w:cs="Arial"/>
          <w:b/>
          <w:bCs/>
          <w:i/>
          <w:iCs/>
          <w:sz w:val="22"/>
          <w:szCs w:val="22"/>
        </w:rPr>
        <w:t>R E S U E L V E:</w:t>
      </w:r>
    </w:p>
    <w:p w:rsidR="00DD2C51" w:rsidRPr="002D3E1D" w:rsidRDefault="00DD2C51" w:rsidP="00DD2C51">
      <w:pPr>
        <w:pStyle w:val="Textoindependiente"/>
        <w:spacing w:line="480" w:lineRule="auto"/>
        <w:ind w:firstLine="708"/>
        <w:rPr>
          <w:rFonts w:ascii="Verdana" w:hAnsi="Verdana" w:cs="Arial"/>
          <w:sz w:val="22"/>
          <w:szCs w:val="22"/>
        </w:rPr>
      </w:pPr>
    </w:p>
    <w:p w:rsidR="00DD2C51" w:rsidRDefault="00DD2C51" w:rsidP="00DD2C51">
      <w:pPr>
        <w:pStyle w:val="Textoindependiente"/>
        <w:rPr>
          <w:rFonts w:ascii="Verdana" w:hAnsi="Verdana" w:cs="Arial"/>
          <w:sz w:val="22"/>
          <w:szCs w:val="22"/>
        </w:rPr>
      </w:pPr>
      <w:r w:rsidRPr="002D3E1D">
        <w:rPr>
          <w:rFonts w:ascii="Verdana" w:hAnsi="Verdana" w:cs="Arial"/>
          <w:sz w:val="22"/>
          <w:szCs w:val="22"/>
        </w:rPr>
        <w:t>I.-</w:t>
      </w:r>
      <w:r w:rsidRPr="002D3E1D">
        <w:rPr>
          <w:rFonts w:ascii="Verdana" w:hAnsi="Verdana" w:cs="Arial"/>
          <w:sz w:val="22"/>
          <w:szCs w:val="22"/>
        </w:rPr>
        <w:tab/>
      </w:r>
      <w:r w:rsidRPr="002D3E1D">
        <w:rPr>
          <w:rFonts w:ascii="Verdana" w:hAnsi="Verdana" w:cs="Arial"/>
          <w:b/>
          <w:bCs/>
          <w:sz w:val="22"/>
          <w:szCs w:val="22"/>
        </w:rPr>
        <w:t>RECHAZAR</w:t>
      </w:r>
      <w:r w:rsidRPr="002D3E1D">
        <w:rPr>
          <w:rFonts w:ascii="Verdana" w:hAnsi="Verdana" w:cs="Arial"/>
          <w:sz w:val="22"/>
          <w:szCs w:val="22"/>
        </w:rPr>
        <w:t xml:space="preserve"> la presente demanda por falta de requisitos.</w:t>
      </w:r>
    </w:p>
    <w:p w:rsidR="00DD2C51" w:rsidRPr="002D3E1D" w:rsidRDefault="00DD2C51" w:rsidP="00DD2C51">
      <w:pPr>
        <w:pStyle w:val="Textoindependiente"/>
        <w:spacing w:line="480" w:lineRule="auto"/>
        <w:rPr>
          <w:rFonts w:ascii="Verdana" w:hAnsi="Verdana" w:cs="Arial"/>
          <w:sz w:val="22"/>
          <w:szCs w:val="22"/>
        </w:rPr>
      </w:pPr>
    </w:p>
    <w:p w:rsidR="00DD2C51" w:rsidRPr="002D3E1D" w:rsidRDefault="00DD2C51" w:rsidP="00DD2C51">
      <w:pPr>
        <w:pStyle w:val="Textoindependiente"/>
        <w:rPr>
          <w:rFonts w:ascii="Verdana" w:hAnsi="Verdana" w:cs="Arial"/>
          <w:sz w:val="22"/>
          <w:szCs w:val="22"/>
        </w:rPr>
      </w:pPr>
      <w:r w:rsidRPr="002D3E1D">
        <w:rPr>
          <w:rFonts w:ascii="Verdana" w:hAnsi="Verdana" w:cs="Arial"/>
          <w:sz w:val="22"/>
          <w:szCs w:val="22"/>
        </w:rPr>
        <w:t>II.-</w:t>
      </w:r>
      <w:r w:rsidRPr="002D3E1D">
        <w:rPr>
          <w:rFonts w:ascii="Verdana" w:hAnsi="Verdana" w:cs="Arial"/>
          <w:sz w:val="22"/>
          <w:szCs w:val="22"/>
        </w:rPr>
        <w:tab/>
      </w:r>
      <w:r w:rsidRPr="002D3E1D">
        <w:rPr>
          <w:rFonts w:ascii="Verdana" w:hAnsi="Verdana" w:cs="Arial"/>
          <w:b/>
          <w:bCs/>
          <w:sz w:val="22"/>
          <w:szCs w:val="22"/>
        </w:rPr>
        <w:t>DEVOLVER</w:t>
      </w:r>
      <w:r w:rsidRPr="002D3E1D">
        <w:rPr>
          <w:rFonts w:ascii="Verdana" w:hAnsi="Verdana" w:cs="Arial"/>
          <w:sz w:val="22"/>
          <w:szCs w:val="22"/>
        </w:rPr>
        <w:t xml:space="preserve"> los anexos sin necesidad de desglose.</w:t>
      </w:r>
    </w:p>
    <w:p w:rsidR="00DD2C51" w:rsidRDefault="00DD2C51" w:rsidP="00DD2C51">
      <w:pPr>
        <w:pStyle w:val="Textoindependiente"/>
        <w:ind w:firstLine="708"/>
        <w:rPr>
          <w:rFonts w:ascii="Verdana" w:hAnsi="Verdana" w:cs="Arial"/>
          <w:sz w:val="22"/>
          <w:szCs w:val="22"/>
        </w:rPr>
      </w:pPr>
    </w:p>
    <w:p w:rsidR="00DD2C51" w:rsidRPr="002D3E1D" w:rsidRDefault="00DD2C51" w:rsidP="00DD2C51">
      <w:pPr>
        <w:spacing w:line="360" w:lineRule="auto"/>
        <w:jc w:val="both"/>
        <w:rPr>
          <w:rFonts w:ascii="Verdana" w:hAnsi="Verdana" w:cs="Arial"/>
          <w:sz w:val="22"/>
          <w:szCs w:val="22"/>
        </w:rPr>
      </w:pPr>
      <w:r w:rsidRPr="002D3E1D">
        <w:rPr>
          <w:rFonts w:ascii="Verdana" w:hAnsi="Verdana" w:cs="Arial"/>
          <w:sz w:val="22"/>
          <w:szCs w:val="22"/>
        </w:rPr>
        <w:lastRenderedPageBreak/>
        <w:t>III.-</w:t>
      </w:r>
      <w:r w:rsidRPr="002D3E1D">
        <w:rPr>
          <w:rFonts w:ascii="Verdana" w:hAnsi="Verdana" w:cs="Arial"/>
          <w:sz w:val="22"/>
          <w:szCs w:val="22"/>
        </w:rPr>
        <w:tab/>
        <w:t xml:space="preserve"> </w:t>
      </w:r>
      <w:r w:rsidRPr="002D3E1D">
        <w:rPr>
          <w:rFonts w:ascii="Verdana" w:hAnsi="Verdana" w:cs="Arial"/>
          <w:b/>
          <w:bCs/>
          <w:sz w:val="22"/>
          <w:szCs w:val="22"/>
        </w:rPr>
        <w:t xml:space="preserve">EFECTUAR </w:t>
      </w:r>
      <w:r w:rsidRPr="002D3E1D">
        <w:rPr>
          <w:rFonts w:ascii="Verdana" w:hAnsi="Verdana" w:cs="Arial"/>
          <w:bCs/>
          <w:sz w:val="22"/>
          <w:szCs w:val="22"/>
        </w:rPr>
        <w:t>la anotación correspondiente en el respectivo sistema de gestión.</w:t>
      </w:r>
    </w:p>
    <w:p w:rsidR="00DD2C51" w:rsidRDefault="00DD2C51" w:rsidP="00DD2C51">
      <w:pPr>
        <w:pStyle w:val="Textoindependiente"/>
        <w:jc w:val="center"/>
        <w:rPr>
          <w:rFonts w:ascii="Verdana" w:hAnsi="Verdana" w:cs="Arial"/>
          <w:b/>
          <w:bCs/>
          <w:sz w:val="22"/>
          <w:szCs w:val="22"/>
        </w:rPr>
      </w:pPr>
    </w:p>
    <w:p w:rsidR="00DD2C51" w:rsidRPr="00E61E74" w:rsidRDefault="00DD2C51" w:rsidP="00DD2C51">
      <w:pPr>
        <w:pStyle w:val="Textoindependiente"/>
        <w:jc w:val="center"/>
        <w:rPr>
          <w:rFonts w:ascii="Verdana" w:hAnsi="Verdana" w:cs="Arial"/>
          <w:b/>
          <w:bCs/>
          <w:sz w:val="22"/>
          <w:szCs w:val="22"/>
        </w:rPr>
      </w:pPr>
      <w:r w:rsidRPr="00E61E74">
        <w:rPr>
          <w:rFonts w:ascii="Verdana" w:hAnsi="Verdana" w:cs="Arial"/>
          <w:b/>
          <w:bCs/>
          <w:sz w:val="22"/>
          <w:szCs w:val="22"/>
        </w:rPr>
        <w:t>N O T I F Í Q U E S E.-</w:t>
      </w:r>
    </w:p>
    <w:p w:rsidR="00DD2C51" w:rsidRPr="00E61E74" w:rsidRDefault="00DD2C51" w:rsidP="00DD2C51">
      <w:pPr>
        <w:pStyle w:val="Textoindependiente"/>
        <w:ind w:firstLine="708"/>
        <w:rPr>
          <w:rFonts w:ascii="Verdana" w:hAnsi="Verdana" w:cs="Arial"/>
          <w:sz w:val="22"/>
          <w:szCs w:val="22"/>
        </w:rPr>
      </w:pPr>
    </w:p>
    <w:p w:rsidR="00DD2C51" w:rsidRDefault="00DD2C51" w:rsidP="00DD2C51">
      <w:pPr>
        <w:pStyle w:val="Textoindependiente"/>
        <w:rPr>
          <w:rFonts w:ascii="Verdana" w:hAnsi="Verdana" w:cs="Arial"/>
          <w:sz w:val="22"/>
          <w:szCs w:val="22"/>
        </w:rPr>
      </w:pPr>
      <w:r w:rsidRPr="00E61E74">
        <w:rPr>
          <w:rFonts w:ascii="Verdana" w:hAnsi="Verdana" w:cs="Arial"/>
          <w:sz w:val="22"/>
          <w:szCs w:val="22"/>
        </w:rPr>
        <w:t>La Juez,</w:t>
      </w:r>
    </w:p>
    <w:p w:rsidR="00DD2C51" w:rsidRPr="00E61E74" w:rsidRDefault="00DD2C51" w:rsidP="00DD2C51">
      <w:pPr>
        <w:pStyle w:val="Textoindependiente"/>
        <w:rPr>
          <w:rFonts w:ascii="Verdana" w:hAnsi="Verdana" w:cs="Arial"/>
          <w:sz w:val="22"/>
          <w:szCs w:val="22"/>
        </w:rPr>
      </w:pPr>
    </w:p>
    <w:p w:rsidR="00DD2C51" w:rsidRDefault="00DD2C51" w:rsidP="00DD2C51">
      <w:pPr>
        <w:pStyle w:val="Textoindependiente"/>
        <w:rPr>
          <w:rFonts w:ascii="Verdana" w:hAnsi="Verdana" w:cs="Arial"/>
          <w:b/>
          <w:bCs/>
          <w:sz w:val="22"/>
          <w:szCs w:val="22"/>
        </w:rPr>
      </w:pPr>
    </w:p>
    <w:p w:rsidR="00DD2C51" w:rsidRPr="00E61E74" w:rsidRDefault="00DD2C51" w:rsidP="00DD2C51">
      <w:pPr>
        <w:pStyle w:val="Textoindependiente"/>
        <w:jc w:val="center"/>
        <w:rPr>
          <w:rFonts w:ascii="Verdana" w:hAnsi="Verdana" w:cs="Arial"/>
          <w:b/>
          <w:bCs/>
          <w:sz w:val="22"/>
          <w:szCs w:val="22"/>
        </w:rPr>
      </w:pPr>
      <w:r>
        <w:rPr>
          <w:rFonts w:ascii="Verdana" w:hAnsi="Verdana" w:cs="Arial"/>
          <w:b/>
          <w:bCs/>
          <w:sz w:val="22"/>
          <w:szCs w:val="22"/>
        </w:rPr>
        <w:t xml:space="preserve">LEIDY JOHANA ARANGO BOLÍVAR </w:t>
      </w:r>
    </w:p>
    <w:p w:rsidR="00DD2C51" w:rsidRDefault="00DD2C51" w:rsidP="00DD2C51"/>
    <w:p w:rsidR="00DD2C51" w:rsidRDefault="00DD2C51" w:rsidP="00DD2C51">
      <w:r>
        <w:rPr>
          <w:noProof/>
          <w:lang w:val="es-CO" w:eastAsia="es-CO"/>
        </w:rPr>
        <mc:AlternateContent>
          <mc:Choice Requires="wps">
            <w:drawing>
              <wp:anchor distT="0" distB="0" distL="114300" distR="114300" simplePos="0" relativeHeight="251659264" behindDoc="1" locked="0" layoutInCell="1" allowOverlap="1" wp14:anchorId="23AF7BA4" wp14:editId="1E26FC6D">
                <wp:simplePos x="0" y="0"/>
                <wp:positionH relativeFrom="margin">
                  <wp:posOffset>958850</wp:posOffset>
                </wp:positionH>
                <wp:positionV relativeFrom="paragraph">
                  <wp:posOffset>178435</wp:posOffset>
                </wp:positionV>
                <wp:extent cx="3886200" cy="1704975"/>
                <wp:effectExtent l="0" t="0" r="1905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704975"/>
                        </a:xfrm>
                        <a:prstGeom prst="rect">
                          <a:avLst/>
                        </a:prstGeom>
                        <a:solidFill>
                          <a:srgbClr val="FFFFFF"/>
                        </a:solidFill>
                        <a:ln w="9525">
                          <a:solidFill>
                            <a:srgbClr val="000000"/>
                          </a:solidFill>
                          <a:miter lim="800000"/>
                          <a:headEnd/>
                          <a:tailEnd/>
                        </a:ln>
                      </wps:spPr>
                      <wps:txbx>
                        <w:txbxContent>
                          <w:p w:rsidR="00DD2C51" w:rsidRPr="00AC57EE" w:rsidRDefault="00DD2C51" w:rsidP="00DD2C51">
                            <w:pPr>
                              <w:jc w:val="center"/>
                              <w:rPr>
                                <w:rFonts w:ascii="Verdana" w:hAnsi="Verdana"/>
                                <w:b/>
                                <w:sz w:val="14"/>
                                <w:szCs w:val="14"/>
                              </w:rPr>
                            </w:pPr>
                            <w:r w:rsidRPr="00AC57EE">
                              <w:rPr>
                                <w:rFonts w:ascii="Verdana" w:hAnsi="Verdana"/>
                                <w:b/>
                                <w:sz w:val="14"/>
                                <w:szCs w:val="14"/>
                              </w:rPr>
                              <w:t>NOTIFICACIÓN POR ESTADOS ELECTRÓNICOS</w:t>
                            </w:r>
                          </w:p>
                          <w:p w:rsidR="00DD2C51" w:rsidRPr="00AC57EE" w:rsidRDefault="00DD2C51" w:rsidP="00DD2C51">
                            <w:pPr>
                              <w:jc w:val="center"/>
                              <w:rPr>
                                <w:rFonts w:ascii="Verdana" w:hAnsi="Verdana"/>
                                <w:sz w:val="14"/>
                                <w:szCs w:val="14"/>
                              </w:rPr>
                            </w:pPr>
                          </w:p>
                          <w:p w:rsidR="00DD2C51" w:rsidRPr="00AC57EE" w:rsidRDefault="00DD2C51" w:rsidP="00DD2C51">
                            <w:pPr>
                              <w:jc w:val="center"/>
                              <w:rPr>
                                <w:rFonts w:ascii="Verdana" w:hAnsi="Verdana"/>
                                <w:b/>
                                <w:sz w:val="14"/>
                                <w:szCs w:val="14"/>
                              </w:rPr>
                            </w:pPr>
                            <w:r w:rsidRPr="00AC57EE">
                              <w:rPr>
                                <w:rFonts w:ascii="Verdana" w:hAnsi="Verdana"/>
                                <w:b/>
                                <w:sz w:val="14"/>
                                <w:szCs w:val="14"/>
                              </w:rPr>
                              <w:t>JUZGADO DOCE ADMINISTRATIVO ORAL DE MEDELLIN</w:t>
                            </w:r>
                          </w:p>
                          <w:p w:rsidR="00DD2C51" w:rsidRPr="00AC57EE" w:rsidRDefault="00DD2C51" w:rsidP="00DD2C51">
                            <w:pPr>
                              <w:ind w:left="131"/>
                              <w:jc w:val="center"/>
                              <w:rPr>
                                <w:rFonts w:ascii="Verdana" w:hAnsi="Verdana"/>
                                <w:sz w:val="14"/>
                                <w:szCs w:val="14"/>
                              </w:rPr>
                            </w:pPr>
                          </w:p>
                          <w:p w:rsidR="00DD2C51" w:rsidRPr="00AC57EE" w:rsidRDefault="00DD2C51" w:rsidP="00DD2C51">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DD2C51" w:rsidRPr="00AC57EE" w:rsidRDefault="00DD2C51" w:rsidP="00DD2C51">
                            <w:pPr>
                              <w:jc w:val="center"/>
                              <w:rPr>
                                <w:rFonts w:ascii="Verdana" w:hAnsi="Verdana"/>
                                <w:sz w:val="14"/>
                                <w:szCs w:val="14"/>
                              </w:rPr>
                            </w:pPr>
                          </w:p>
                          <w:p w:rsidR="00DD2C51" w:rsidRPr="00AC57EE" w:rsidRDefault="00DD2C51" w:rsidP="00DD2C51">
                            <w:pPr>
                              <w:jc w:val="center"/>
                              <w:rPr>
                                <w:rFonts w:ascii="Verdana" w:hAnsi="Verdana"/>
                                <w:sz w:val="14"/>
                                <w:szCs w:val="14"/>
                              </w:rPr>
                            </w:pPr>
                            <w:hyperlink r:id="rId8"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DD2C51" w:rsidRPr="00AC57EE" w:rsidRDefault="00DD2C51" w:rsidP="00DD2C51">
                            <w:pPr>
                              <w:rPr>
                                <w:rFonts w:ascii="Verdana" w:hAnsi="Verdana"/>
                                <w:sz w:val="14"/>
                                <w:szCs w:val="14"/>
                              </w:rPr>
                            </w:pPr>
                          </w:p>
                          <w:p w:rsidR="00DD2C51" w:rsidRPr="00AC57EE" w:rsidRDefault="00DD2C51" w:rsidP="00DD2C51">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 xml:space="preserve">10 </w:t>
                            </w:r>
                            <w:r w:rsidRPr="00AC57EE">
                              <w:rPr>
                                <w:rFonts w:ascii="Verdana" w:hAnsi="Verdana"/>
                                <w:b/>
                                <w:sz w:val="14"/>
                                <w:szCs w:val="14"/>
                                <w:u w:val="single"/>
                              </w:rPr>
                              <w:t xml:space="preserve">de </w:t>
                            </w:r>
                            <w:r>
                              <w:rPr>
                                <w:rFonts w:ascii="Verdana" w:hAnsi="Verdana"/>
                                <w:b/>
                                <w:sz w:val="14"/>
                                <w:szCs w:val="14"/>
                                <w:u w:val="single"/>
                              </w:rPr>
                              <w:t xml:space="preserve">Febrero </w:t>
                            </w:r>
                            <w:r w:rsidRPr="00AC57EE">
                              <w:rPr>
                                <w:rFonts w:ascii="Verdana" w:hAnsi="Verdana"/>
                                <w:b/>
                                <w:sz w:val="14"/>
                                <w:szCs w:val="14"/>
                                <w:u w:val="single"/>
                              </w:rPr>
                              <w:t>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DD2C51" w:rsidRPr="00AC57EE" w:rsidRDefault="00DD2C51" w:rsidP="00DD2C51">
                            <w:pPr>
                              <w:jc w:val="center"/>
                              <w:rPr>
                                <w:rFonts w:ascii="Verdana" w:hAnsi="Verdana"/>
                                <w:sz w:val="14"/>
                                <w:szCs w:val="14"/>
                              </w:rPr>
                            </w:pPr>
                          </w:p>
                          <w:p w:rsidR="00DD2C51" w:rsidRPr="00AC57EE" w:rsidRDefault="00DD2C51" w:rsidP="00DD2C51">
                            <w:pPr>
                              <w:jc w:val="center"/>
                              <w:rPr>
                                <w:rFonts w:ascii="Verdana" w:hAnsi="Verdana"/>
                                <w:sz w:val="14"/>
                                <w:szCs w:val="14"/>
                              </w:rPr>
                            </w:pPr>
                            <w:r w:rsidRPr="00AC57EE">
                              <w:rPr>
                                <w:rFonts w:ascii="Verdana" w:hAnsi="Verdana"/>
                                <w:sz w:val="14"/>
                                <w:szCs w:val="14"/>
                              </w:rPr>
                              <w:t>_______________________________</w:t>
                            </w:r>
                          </w:p>
                          <w:p w:rsidR="00DD2C51" w:rsidRPr="00AC57EE" w:rsidRDefault="00DD2C51" w:rsidP="00DD2C51">
                            <w:pPr>
                              <w:jc w:val="center"/>
                              <w:rPr>
                                <w:rFonts w:ascii="Verdana" w:hAnsi="Verdana"/>
                                <w:b/>
                                <w:sz w:val="14"/>
                                <w:szCs w:val="14"/>
                              </w:rPr>
                            </w:pPr>
                            <w:r w:rsidRPr="00AC57EE">
                              <w:rPr>
                                <w:rFonts w:ascii="Verdana" w:hAnsi="Verdana"/>
                                <w:b/>
                                <w:sz w:val="14"/>
                                <w:szCs w:val="14"/>
                              </w:rPr>
                              <w:t>KENNY DÍAZ MONTOYA</w:t>
                            </w:r>
                          </w:p>
                          <w:p w:rsidR="00DD2C51" w:rsidRPr="00AC57EE" w:rsidRDefault="00DD2C51" w:rsidP="00DD2C51">
                            <w:pPr>
                              <w:jc w:val="center"/>
                              <w:rPr>
                                <w:rFonts w:ascii="Verdana" w:hAnsi="Verdana"/>
                                <w:sz w:val="14"/>
                                <w:szCs w:val="14"/>
                              </w:rPr>
                            </w:pPr>
                            <w:r w:rsidRPr="00AC57EE">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F7BA4" id="_x0000_t202" coordsize="21600,21600" o:spt="202" path="m,l,21600r21600,l21600,xe">
                <v:stroke joinstyle="miter"/>
                <v:path gradientshapeok="t" o:connecttype="rect"/>
              </v:shapetype>
              <v:shape id="Cuadro de texto 2" o:spid="_x0000_s1027" type="#_x0000_t202" style="position:absolute;margin-left:75.5pt;margin-top:14.05pt;width:306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">
                <v:textbox>
                  <w:txbxContent>
                    <w:p w:rsidR="00DD2C51" w:rsidRPr="00AC57EE" w:rsidRDefault="00DD2C51" w:rsidP="00DD2C51">
                      <w:pPr>
                        <w:jc w:val="center"/>
                        <w:rPr>
                          <w:rFonts w:ascii="Verdana" w:hAnsi="Verdana"/>
                          <w:b/>
                          <w:sz w:val="14"/>
                          <w:szCs w:val="14"/>
                        </w:rPr>
                      </w:pPr>
                      <w:r w:rsidRPr="00AC57EE">
                        <w:rPr>
                          <w:rFonts w:ascii="Verdana" w:hAnsi="Verdana"/>
                          <w:b/>
                          <w:sz w:val="14"/>
                          <w:szCs w:val="14"/>
                        </w:rPr>
                        <w:t>NOTIFICACIÓN POR ESTADOS ELECTRÓNICOS</w:t>
                      </w:r>
                    </w:p>
                    <w:p w:rsidR="00DD2C51" w:rsidRPr="00AC57EE" w:rsidRDefault="00DD2C51" w:rsidP="00DD2C51">
                      <w:pPr>
                        <w:jc w:val="center"/>
                        <w:rPr>
                          <w:rFonts w:ascii="Verdana" w:hAnsi="Verdana"/>
                          <w:sz w:val="14"/>
                          <w:szCs w:val="14"/>
                        </w:rPr>
                      </w:pPr>
                    </w:p>
                    <w:p w:rsidR="00DD2C51" w:rsidRPr="00AC57EE" w:rsidRDefault="00DD2C51" w:rsidP="00DD2C51">
                      <w:pPr>
                        <w:jc w:val="center"/>
                        <w:rPr>
                          <w:rFonts w:ascii="Verdana" w:hAnsi="Verdana"/>
                          <w:b/>
                          <w:sz w:val="14"/>
                          <w:szCs w:val="14"/>
                        </w:rPr>
                      </w:pPr>
                      <w:r w:rsidRPr="00AC57EE">
                        <w:rPr>
                          <w:rFonts w:ascii="Verdana" w:hAnsi="Verdana"/>
                          <w:b/>
                          <w:sz w:val="14"/>
                          <w:szCs w:val="14"/>
                        </w:rPr>
                        <w:t>JUZGADO DOCE ADMINISTRATIVO ORAL DE MEDELLIN</w:t>
                      </w:r>
                    </w:p>
                    <w:p w:rsidR="00DD2C51" w:rsidRPr="00AC57EE" w:rsidRDefault="00DD2C51" w:rsidP="00DD2C51">
                      <w:pPr>
                        <w:ind w:left="131"/>
                        <w:jc w:val="center"/>
                        <w:rPr>
                          <w:rFonts w:ascii="Verdana" w:hAnsi="Verdana"/>
                          <w:sz w:val="14"/>
                          <w:szCs w:val="14"/>
                        </w:rPr>
                      </w:pPr>
                    </w:p>
                    <w:p w:rsidR="00DD2C51" w:rsidRPr="00AC57EE" w:rsidRDefault="00DD2C51" w:rsidP="00DD2C51">
                      <w:pPr>
                        <w:jc w:val="center"/>
                        <w:rPr>
                          <w:rFonts w:ascii="Verdana" w:hAnsi="Verdana"/>
                          <w:sz w:val="14"/>
                          <w:szCs w:val="14"/>
                        </w:rPr>
                      </w:pPr>
                      <w:r w:rsidRPr="00AC57EE">
                        <w:rPr>
                          <w:rFonts w:ascii="Verdana" w:hAnsi="Verdana"/>
                          <w:b/>
                          <w:sz w:val="14"/>
                          <w:szCs w:val="14"/>
                        </w:rPr>
                        <w:t>CERTIFICO:</w:t>
                      </w:r>
                      <w:r w:rsidRPr="00AC57EE">
                        <w:rPr>
                          <w:rFonts w:ascii="Verdana" w:hAnsi="Verdana"/>
                          <w:sz w:val="14"/>
                          <w:szCs w:val="14"/>
                        </w:rPr>
                        <w:t xml:space="preserve"> En la fecha se notificó por ESTADOS ELECTRÓNICOS el auto anterior en la siguiente dirección electrónica:</w:t>
                      </w:r>
                    </w:p>
                    <w:p w:rsidR="00DD2C51" w:rsidRPr="00AC57EE" w:rsidRDefault="00DD2C51" w:rsidP="00DD2C51">
                      <w:pPr>
                        <w:jc w:val="center"/>
                        <w:rPr>
                          <w:rFonts w:ascii="Verdana" w:hAnsi="Verdana"/>
                          <w:sz w:val="14"/>
                          <w:szCs w:val="14"/>
                        </w:rPr>
                      </w:pPr>
                    </w:p>
                    <w:p w:rsidR="00DD2C51" w:rsidRPr="00AC57EE" w:rsidRDefault="00DD2C51" w:rsidP="00DD2C51">
                      <w:pPr>
                        <w:jc w:val="center"/>
                        <w:rPr>
                          <w:rFonts w:ascii="Verdana" w:hAnsi="Verdana"/>
                          <w:sz w:val="14"/>
                          <w:szCs w:val="14"/>
                        </w:rPr>
                      </w:pPr>
                      <w:hyperlink r:id="rId9" w:history="1">
                        <w:r w:rsidRPr="00AC57EE">
                          <w:rPr>
                            <w:rStyle w:val="Hipervnculo"/>
                            <w:rFonts w:ascii="Verdana" w:hAnsi="Verdana"/>
                            <w:sz w:val="14"/>
                            <w:szCs w:val="14"/>
                          </w:rPr>
                          <w:t>http://www.ramajudicial.gov.co/web/juzgado-12-administrativo-de-medellin</w:t>
                        </w:r>
                      </w:hyperlink>
                      <w:r w:rsidRPr="00AC57EE">
                        <w:rPr>
                          <w:rFonts w:ascii="Verdana" w:hAnsi="Verdana"/>
                          <w:sz w:val="14"/>
                          <w:szCs w:val="14"/>
                        </w:rPr>
                        <w:t xml:space="preserve">. </w:t>
                      </w:r>
                    </w:p>
                    <w:p w:rsidR="00DD2C51" w:rsidRPr="00AC57EE" w:rsidRDefault="00DD2C51" w:rsidP="00DD2C51">
                      <w:pPr>
                        <w:rPr>
                          <w:rFonts w:ascii="Verdana" w:hAnsi="Verdana"/>
                          <w:sz w:val="14"/>
                          <w:szCs w:val="14"/>
                        </w:rPr>
                      </w:pPr>
                    </w:p>
                    <w:p w:rsidR="00DD2C51" w:rsidRPr="00AC57EE" w:rsidRDefault="00DD2C51" w:rsidP="00DD2C51">
                      <w:pPr>
                        <w:jc w:val="center"/>
                        <w:rPr>
                          <w:rFonts w:ascii="Verdana" w:hAnsi="Verdana"/>
                          <w:sz w:val="14"/>
                          <w:szCs w:val="14"/>
                        </w:rPr>
                      </w:pPr>
                      <w:r w:rsidRPr="00AC57EE">
                        <w:rPr>
                          <w:rFonts w:ascii="Verdana" w:hAnsi="Verdana"/>
                          <w:sz w:val="14"/>
                          <w:szCs w:val="14"/>
                        </w:rPr>
                        <w:t xml:space="preserve">Medellín, </w:t>
                      </w:r>
                      <w:r>
                        <w:rPr>
                          <w:rFonts w:ascii="Verdana" w:hAnsi="Verdana"/>
                          <w:b/>
                          <w:sz w:val="14"/>
                          <w:szCs w:val="14"/>
                          <w:u w:val="single"/>
                        </w:rPr>
                        <w:t xml:space="preserve">10 </w:t>
                      </w:r>
                      <w:r w:rsidRPr="00AC57EE">
                        <w:rPr>
                          <w:rFonts w:ascii="Verdana" w:hAnsi="Verdana"/>
                          <w:b/>
                          <w:sz w:val="14"/>
                          <w:szCs w:val="14"/>
                          <w:u w:val="single"/>
                        </w:rPr>
                        <w:t xml:space="preserve">de </w:t>
                      </w:r>
                      <w:r>
                        <w:rPr>
                          <w:rFonts w:ascii="Verdana" w:hAnsi="Verdana"/>
                          <w:b/>
                          <w:sz w:val="14"/>
                          <w:szCs w:val="14"/>
                          <w:u w:val="single"/>
                        </w:rPr>
                        <w:t xml:space="preserve">Febrero </w:t>
                      </w:r>
                      <w:r w:rsidRPr="00AC57EE">
                        <w:rPr>
                          <w:rFonts w:ascii="Verdana" w:hAnsi="Verdana"/>
                          <w:b/>
                          <w:sz w:val="14"/>
                          <w:szCs w:val="14"/>
                          <w:u w:val="single"/>
                        </w:rPr>
                        <w:t>de 2015</w:t>
                      </w:r>
                      <w:r w:rsidRPr="00AC57EE">
                        <w:rPr>
                          <w:rFonts w:ascii="Verdana" w:hAnsi="Verdana"/>
                          <w:sz w:val="14"/>
                          <w:szCs w:val="14"/>
                        </w:rPr>
                        <w:t xml:space="preserve">. Fijado a las </w:t>
                      </w:r>
                      <w:smartTag w:uri="urn:schemas-microsoft-com:office:smarttags" w:element="metricconverter">
                        <w:smartTagPr>
                          <w:attr w:name="ProductID" w:val="8.00 a"/>
                        </w:smartTagPr>
                        <w:r w:rsidRPr="00AC57EE">
                          <w:rPr>
                            <w:rFonts w:ascii="Verdana" w:hAnsi="Verdana"/>
                            <w:sz w:val="14"/>
                            <w:szCs w:val="14"/>
                          </w:rPr>
                          <w:t>8.00 a</w:t>
                        </w:r>
                      </w:smartTag>
                      <w:r w:rsidRPr="00AC57EE">
                        <w:rPr>
                          <w:rFonts w:ascii="Verdana" w:hAnsi="Verdana"/>
                          <w:sz w:val="14"/>
                          <w:szCs w:val="14"/>
                        </w:rPr>
                        <w:t>.m.</w:t>
                      </w:r>
                    </w:p>
                    <w:p w:rsidR="00DD2C51" w:rsidRPr="00AC57EE" w:rsidRDefault="00DD2C51" w:rsidP="00DD2C51">
                      <w:pPr>
                        <w:jc w:val="center"/>
                        <w:rPr>
                          <w:rFonts w:ascii="Verdana" w:hAnsi="Verdana"/>
                          <w:sz w:val="14"/>
                          <w:szCs w:val="14"/>
                        </w:rPr>
                      </w:pPr>
                    </w:p>
                    <w:p w:rsidR="00DD2C51" w:rsidRPr="00AC57EE" w:rsidRDefault="00DD2C51" w:rsidP="00DD2C51">
                      <w:pPr>
                        <w:jc w:val="center"/>
                        <w:rPr>
                          <w:rFonts w:ascii="Verdana" w:hAnsi="Verdana"/>
                          <w:sz w:val="14"/>
                          <w:szCs w:val="14"/>
                        </w:rPr>
                      </w:pPr>
                      <w:r w:rsidRPr="00AC57EE">
                        <w:rPr>
                          <w:rFonts w:ascii="Verdana" w:hAnsi="Verdana"/>
                          <w:sz w:val="14"/>
                          <w:szCs w:val="14"/>
                        </w:rPr>
                        <w:t>_______________________________</w:t>
                      </w:r>
                    </w:p>
                    <w:p w:rsidR="00DD2C51" w:rsidRPr="00AC57EE" w:rsidRDefault="00DD2C51" w:rsidP="00DD2C51">
                      <w:pPr>
                        <w:jc w:val="center"/>
                        <w:rPr>
                          <w:rFonts w:ascii="Verdana" w:hAnsi="Verdana"/>
                          <w:b/>
                          <w:sz w:val="14"/>
                          <w:szCs w:val="14"/>
                        </w:rPr>
                      </w:pPr>
                      <w:r w:rsidRPr="00AC57EE">
                        <w:rPr>
                          <w:rFonts w:ascii="Verdana" w:hAnsi="Verdana"/>
                          <w:b/>
                          <w:sz w:val="14"/>
                          <w:szCs w:val="14"/>
                        </w:rPr>
                        <w:t>KENNY DÍAZ MONTOYA</w:t>
                      </w:r>
                    </w:p>
                    <w:p w:rsidR="00DD2C51" w:rsidRPr="00AC57EE" w:rsidRDefault="00DD2C51" w:rsidP="00DD2C51">
                      <w:pPr>
                        <w:jc w:val="center"/>
                        <w:rPr>
                          <w:rFonts w:ascii="Verdana" w:hAnsi="Verdana"/>
                          <w:sz w:val="14"/>
                          <w:szCs w:val="14"/>
                        </w:rPr>
                      </w:pPr>
                      <w:r w:rsidRPr="00AC57EE">
                        <w:rPr>
                          <w:rFonts w:ascii="Verdana" w:hAnsi="Verdana"/>
                          <w:sz w:val="14"/>
                          <w:szCs w:val="14"/>
                        </w:rPr>
                        <w:t>Secretario</w:t>
                      </w:r>
                    </w:p>
                  </w:txbxContent>
                </v:textbox>
                <w10:wrap anchorx="margin"/>
              </v:shape>
            </w:pict>
          </mc:Fallback>
        </mc:AlternateContent>
      </w:r>
    </w:p>
    <w:p w:rsidR="00DD2C51" w:rsidRDefault="00DD2C51" w:rsidP="00DD2C51"/>
    <w:p w:rsidR="00DD2C51" w:rsidRDefault="00DD2C51" w:rsidP="00DD2C51"/>
    <w:p w:rsidR="00DD2C51" w:rsidRDefault="00DD2C51" w:rsidP="00DD2C51"/>
    <w:p w:rsidR="00DD2C51" w:rsidRDefault="00DD2C51" w:rsidP="00DD2C51"/>
    <w:p w:rsidR="00DD2C51" w:rsidRDefault="00DD2C51" w:rsidP="00DD2C51"/>
    <w:p w:rsidR="00DD2C51" w:rsidRDefault="00DD2C51" w:rsidP="00DD2C51"/>
    <w:p w:rsidR="00DD2C51" w:rsidRDefault="00DD2C51" w:rsidP="00DD2C51"/>
    <w:p w:rsidR="00DD2C51" w:rsidRDefault="00DD2C51" w:rsidP="00DD2C51"/>
    <w:p w:rsidR="00EC2E99" w:rsidRDefault="00EC2E99"/>
    <w:sectPr w:rsidR="00EC2E99" w:rsidSect="001A5583">
      <w:footerReference w:type="even" r:id="rId10"/>
      <w:footerReference w:type="default" r:id="rId11"/>
      <w:pgSz w:w="12242" w:h="18722" w:code="171"/>
      <w:pgMar w:top="2268" w:right="1701" w:bottom="1701" w:left="1985"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C51" w:rsidRDefault="00DD2C51" w:rsidP="00DD2C51">
      <w:r>
        <w:separator/>
      </w:r>
    </w:p>
  </w:endnote>
  <w:endnote w:type="continuationSeparator" w:id="0">
    <w:p w:rsidR="00DD2C51" w:rsidRDefault="00DD2C51" w:rsidP="00DD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TE1F32838t00">
    <w:panose1 w:val="00000000000000000000"/>
    <w:charset w:val="00"/>
    <w:family w:val="auto"/>
    <w:notTrueType/>
    <w:pitch w:val="default"/>
    <w:sig w:usb0="00000003" w:usb1="00000000" w:usb2="00000000" w:usb3="00000000" w:csb0="00000001" w:csb1="00000000"/>
  </w:font>
  <w:font w:name="TTE1FFAC0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D436BB"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1CE" w:rsidRDefault="00D436BB" w:rsidP="003A11C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CE" w:rsidRDefault="00D436BB" w:rsidP="00B563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11CE" w:rsidRDefault="00D436BB" w:rsidP="003A11C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C51" w:rsidRDefault="00DD2C51" w:rsidP="00DD2C51">
      <w:r>
        <w:separator/>
      </w:r>
    </w:p>
  </w:footnote>
  <w:footnote w:type="continuationSeparator" w:id="0">
    <w:p w:rsidR="00DD2C51" w:rsidRDefault="00DD2C51" w:rsidP="00DD2C51">
      <w:r>
        <w:continuationSeparator/>
      </w:r>
    </w:p>
  </w:footnote>
  <w:footnote w:id="1">
    <w:p w:rsidR="00DD2C51" w:rsidRPr="0062423C" w:rsidRDefault="00DD2C51" w:rsidP="00DD2C51">
      <w:pPr>
        <w:pStyle w:val="Textonotapie"/>
        <w:rPr>
          <w:sz w:val="16"/>
          <w:szCs w:val="16"/>
          <w:lang w:val="es-CO"/>
        </w:rPr>
      </w:pPr>
      <w:r w:rsidRPr="0062423C">
        <w:rPr>
          <w:rStyle w:val="Refdenotaalpie"/>
          <w:sz w:val="16"/>
          <w:szCs w:val="16"/>
        </w:rPr>
        <w:footnoteRef/>
      </w:r>
      <w:r w:rsidRPr="0062423C">
        <w:rPr>
          <w:sz w:val="16"/>
          <w:szCs w:val="16"/>
          <w:lang w:val="es-CO"/>
        </w:rPr>
        <w:t xml:space="preserve">Folio </w:t>
      </w:r>
      <w:r>
        <w:rPr>
          <w:sz w:val="16"/>
          <w:szCs w:val="16"/>
          <w:lang w:val="es-CO"/>
        </w:rPr>
        <w:t>1</w:t>
      </w:r>
      <w:r w:rsidRPr="0062423C">
        <w:rPr>
          <w:sz w:val="16"/>
          <w:szCs w:val="16"/>
          <w:lang w:val="es-C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65844"/>
    <w:multiLevelType w:val="hybridMultilevel"/>
    <w:tmpl w:val="573E43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51"/>
    <w:rsid w:val="0006785C"/>
    <w:rsid w:val="007B4E5D"/>
    <w:rsid w:val="0081760D"/>
    <w:rsid w:val="008B4AEC"/>
    <w:rsid w:val="00A5583F"/>
    <w:rsid w:val="00AB7B82"/>
    <w:rsid w:val="00AF41D0"/>
    <w:rsid w:val="00B2762B"/>
    <w:rsid w:val="00CC49FD"/>
    <w:rsid w:val="00D436BB"/>
    <w:rsid w:val="00DD2C51"/>
    <w:rsid w:val="00EC2E99"/>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8FE5D50-8F55-4F38-A423-7D2AAEBE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D2C51"/>
    <w:pPr>
      <w:keepNext/>
      <w:outlineLvl w:val="0"/>
    </w:pPr>
    <w:rPr>
      <w:b/>
      <w:bCs/>
      <w:sz w:val="1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D2C51"/>
    <w:rPr>
      <w:rFonts w:ascii="Times New Roman" w:eastAsia="Times New Roman" w:hAnsi="Times New Roman" w:cs="Times New Roman"/>
      <w:b/>
      <w:bCs/>
      <w:sz w:val="18"/>
      <w:szCs w:val="24"/>
      <w:lang w:eastAsia="es-ES"/>
    </w:rPr>
  </w:style>
  <w:style w:type="paragraph" w:styleId="Textoindependiente">
    <w:name w:val="Body Text"/>
    <w:basedOn w:val="Normal"/>
    <w:link w:val="TextoindependienteCar"/>
    <w:rsid w:val="00DD2C51"/>
    <w:pPr>
      <w:autoSpaceDE w:val="0"/>
      <w:autoSpaceDN w:val="0"/>
      <w:spacing w:line="360" w:lineRule="auto"/>
      <w:jc w:val="both"/>
    </w:pPr>
    <w:rPr>
      <w:sz w:val="28"/>
      <w:szCs w:val="28"/>
      <w:lang w:val="es-ES_tradnl"/>
    </w:rPr>
  </w:style>
  <w:style w:type="character" w:customStyle="1" w:styleId="TextoindependienteCar">
    <w:name w:val="Texto independiente Car"/>
    <w:basedOn w:val="Fuentedeprrafopredeter"/>
    <w:link w:val="Textoindependiente"/>
    <w:rsid w:val="00DD2C51"/>
    <w:rPr>
      <w:rFonts w:ascii="Times New Roman" w:eastAsia="Times New Roman" w:hAnsi="Times New Roman" w:cs="Times New Roman"/>
      <w:sz w:val="28"/>
      <w:szCs w:val="28"/>
      <w:lang w:val="es-ES_tradnl" w:eastAsia="es-ES"/>
    </w:rPr>
  </w:style>
  <w:style w:type="paragraph" w:styleId="Textonotapie">
    <w:name w:val="footnote text"/>
    <w:aliases w:val="Footnote Text Char Char Char Char Char,Footnote Text Char Char Char Char,Footnote reference,FA Fu,Footnote Text Char Char Char"/>
    <w:basedOn w:val="Normal"/>
    <w:link w:val="TextonotapieCar"/>
    <w:rsid w:val="00DD2C5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DD2C51"/>
    <w:rPr>
      <w:rFonts w:ascii="Times New Roman" w:eastAsia="Times New Roman" w:hAnsi="Times New Roman" w:cs="Times New Roman"/>
      <w:sz w:val="20"/>
      <w:szCs w:val="20"/>
      <w:lang w:val="es-ES" w:eastAsia="es-ES"/>
    </w:rPr>
  </w:style>
  <w:style w:type="character" w:styleId="Refdenotaalpie">
    <w:name w:val="footnote reference"/>
    <w:rsid w:val="00DD2C51"/>
    <w:rPr>
      <w:vertAlign w:val="superscript"/>
    </w:rPr>
  </w:style>
  <w:style w:type="paragraph" w:styleId="Piedepgina">
    <w:name w:val="footer"/>
    <w:basedOn w:val="Normal"/>
    <w:link w:val="PiedepginaCar"/>
    <w:rsid w:val="00DD2C51"/>
    <w:pPr>
      <w:tabs>
        <w:tab w:val="center" w:pos="4252"/>
        <w:tab w:val="right" w:pos="8504"/>
      </w:tabs>
    </w:pPr>
  </w:style>
  <w:style w:type="character" w:customStyle="1" w:styleId="PiedepginaCar">
    <w:name w:val="Pie de página Car"/>
    <w:basedOn w:val="Fuentedeprrafopredeter"/>
    <w:link w:val="Piedepgina"/>
    <w:rsid w:val="00DD2C5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D2C51"/>
  </w:style>
  <w:style w:type="character" w:styleId="Hipervnculo">
    <w:name w:val="Hyperlink"/>
    <w:rsid w:val="00DD2C51"/>
    <w:rPr>
      <w:color w:val="0000FF"/>
      <w:u w:val="single"/>
    </w:rPr>
  </w:style>
  <w:style w:type="paragraph" w:styleId="Prrafodelista">
    <w:name w:val="List Paragraph"/>
    <w:basedOn w:val="Normal"/>
    <w:uiPriority w:val="34"/>
    <w:qFormat/>
    <w:rsid w:val="00DD2C51"/>
    <w:pPr>
      <w:ind w:left="720"/>
      <w:contextualSpacing/>
    </w:pPr>
  </w:style>
  <w:style w:type="character" w:customStyle="1" w:styleId="textonavy">
    <w:name w:val="texto_navy"/>
    <w:rsid w:val="00DD2C51"/>
  </w:style>
  <w:style w:type="character" w:customStyle="1" w:styleId="apple-converted-space">
    <w:name w:val="apple-converted-space"/>
    <w:rsid w:val="00DD2C51"/>
  </w:style>
  <w:style w:type="paragraph" w:styleId="Textodeglobo">
    <w:name w:val="Balloon Text"/>
    <w:basedOn w:val="Normal"/>
    <w:link w:val="TextodegloboCar"/>
    <w:uiPriority w:val="99"/>
    <w:semiHidden/>
    <w:unhideWhenUsed/>
    <w:rsid w:val="00DD2C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C5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4</Pages>
  <Words>1023</Words>
  <Characters>5630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1</cp:revision>
  <cp:lastPrinted>2015-02-09T17:10:00Z</cp:lastPrinted>
  <dcterms:created xsi:type="dcterms:W3CDTF">2015-02-09T17:06:00Z</dcterms:created>
  <dcterms:modified xsi:type="dcterms:W3CDTF">2015-02-09T22:38:00Z</dcterms:modified>
</cp:coreProperties>
</file>